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rsidR="00A50007" w:rsidRPr="0008176F" w:rsidRDefault="0008176F" w:rsidP="0008176F">
          <w:pPr>
            <w:pStyle w:val="AralkYok"/>
            <w:jc w:val="center"/>
            <w:rPr>
              <w:caps/>
            </w:rPr>
          </w:pPr>
          <w:r w:rsidRPr="0008176F">
            <w:rPr>
              <w:caps/>
            </w:rPr>
            <w:t>University of Oklahoma</w:t>
          </w:r>
        </w:p>
        <w:p w:rsidR="0008176F" w:rsidRPr="0008176F" w:rsidRDefault="0008176F" w:rsidP="0008176F">
          <w:pPr>
            <w:pStyle w:val="AralkYok"/>
            <w:jc w:val="center"/>
            <w:rPr>
              <w:caps/>
            </w:rPr>
          </w:pPr>
        </w:p>
        <w:p w:rsidR="0008176F" w:rsidRPr="0008176F" w:rsidRDefault="0008176F" w:rsidP="0008176F">
          <w:pPr>
            <w:pStyle w:val="AralkYok"/>
            <w:jc w:val="center"/>
            <w:rPr>
              <w:caps/>
            </w:rPr>
          </w:pPr>
          <w:r w:rsidRPr="0008176F">
            <w:rPr>
              <w:caps/>
            </w:rPr>
            <w:t>Graduate College</w:t>
          </w:r>
        </w:p>
      </w:sdtContent>
    </w:sdt>
    <w:p w:rsidR="0008176F" w:rsidRPr="0008176F" w:rsidRDefault="0008176F" w:rsidP="0008176F">
      <w:pPr>
        <w:pStyle w:val="AralkYok"/>
        <w:jc w:val="center"/>
        <w:rPr>
          <w:caps/>
        </w:rPr>
      </w:pPr>
    </w:p>
    <w:p w:rsidR="0008176F" w:rsidRPr="0008176F" w:rsidRDefault="0008176F" w:rsidP="0008176F">
      <w:pPr>
        <w:pStyle w:val="AralkYok"/>
        <w:jc w:val="center"/>
        <w:rPr>
          <w:caps/>
        </w:rPr>
      </w:pPr>
    </w:p>
    <w:p w:rsidR="0008176F" w:rsidRPr="0008176F" w:rsidRDefault="0008176F" w:rsidP="0008176F">
      <w:pPr>
        <w:pStyle w:val="AralkYok"/>
        <w:jc w:val="center"/>
        <w:rPr>
          <w:caps/>
        </w:rPr>
      </w:pPr>
    </w:p>
    <w:p w:rsidR="0008176F" w:rsidRPr="0008176F" w:rsidRDefault="0008176F" w:rsidP="0008176F">
      <w:pPr>
        <w:pStyle w:val="AralkYok"/>
        <w:jc w:val="center"/>
        <w:rPr>
          <w:caps/>
        </w:rPr>
      </w:pPr>
    </w:p>
    <w:p w:rsidR="0008176F" w:rsidRPr="0008176F" w:rsidRDefault="0008176F" w:rsidP="0008176F">
      <w:pPr>
        <w:pStyle w:val="AralkYok"/>
        <w:jc w:val="center"/>
        <w:rPr>
          <w:caps/>
        </w:rPr>
      </w:pPr>
    </w:p>
    <w:p w:rsidR="0008176F" w:rsidRPr="0008176F" w:rsidRDefault="0008176F" w:rsidP="0008176F">
      <w:pPr>
        <w:pStyle w:val="AralkYok"/>
        <w:jc w:val="center"/>
        <w:rPr>
          <w:caps/>
        </w:rPr>
      </w:pPr>
    </w:p>
    <w:p w:rsidR="0008176F" w:rsidRPr="0008176F" w:rsidRDefault="0008176F" w:rsidP="0008176F">
      <w:pPr>
        <w:pStyle w:val="AralkYok"/>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DB52AA" w:rsidP="0008176F">
          <w:pPr>
            <w:pStyle w:val="AralkYok"/>
            <w:spacing w:line="480" w:lineRule="auto"/>
            <w:jc w:val="center"/>
            <w:rPr>
              <w:caps/>
            </w:rPr>
          </w:pPr>
          <w:r>
            <w:rPr>
              <w:caps/>
            </w:rPr>
            <w:t>GEOCHEMICAL CHARACTERIZATION OF THE LOWER PENNSYLVANIAN MORROW SHALE IN THE ANADARKO BASIN OF OKLAHOMA</w:t>
          </w:r>
        </w:p>
      </w:sdtContent>
    </w:sdt>
    <w:p w:rsidR="0008176F" w:rsidRPr="0008176F" w:rsidRDefault="0008176F" w:rsidP="0008176F">
      <w:pPr>
        <w:pStyle w:val="AralkYok"/>
        <w:jc w:val="center"/>
        <w:rPr>
          <w:caps/>
        </w:rPr>
      </w:pPr>
    </w:p>
    <w:p w:rsidR="0008176F" w:rsidRPr="0008176F" w:rsidRDefault="0008176F" w:rsidP="0008176F">
      <w:pPr>
        <w:pStyle w:val="AralkYok"/>
        <w:jc w:val="center"/>
        <w:rPr>
          <w:caps/>
        </w:rPr>
      </w:pPr>
    </w:p>
    <w:p w:rsidR="0008176F" w:rsidRPr="0008176F" w:rsidRDefault="0008176F" w:rsidP="0008176F">
      <w:pPr>
        <w:pStyle w:val="AralkYok"/>
        <w:jc w:val="center"/>
        <w:rPr>
          <w:caps/>
        </w:rPr>
      </w:pPr>
    </w:p>
    <w:p w:rsidR="0008176F" w:rsidRPr="0008176F" w:rsidRDefault="0008176F" w:rsidP="0008176F">
      <w:pPr>
        <w:pStyle w:val="AralkYok"/>
        <w:jc w:val="center"/>
        <w:rPr>
          <w:caps/>
        </w:rPr>
      </w:pPr>
    </w:p>
    <w:p w:rsidR="0008176F" w:rsidRPr="0008176F" w:rsidRDefault="0008176F" w:rsidP="0008176F">
      <w:pPr>
        <w:pStyle w:val="AralkYok"/>
        <w:jc w:val="center"/>
        <w:rPr>
          <w:caps/>
        </w:rPr>
      </w:pPr>
    </w:p>
    <w:p w:rsidR="0008176F" w:rsidRPr="0008176F" w:rsidRDefault="0008176F" w:rsidP="0008176F">
      <w:pPr>
        <w:pStyle w:val="AralkYok"/>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AralkYok"/>
            <w:jc w:val="center"/>
            <w:rPr>
              <w:caps/>
            </w:rPr>
          </w:pPr>
          <w:r w:rsidRPr="0008176F">
            <w:rPr>
              <w:caps/>
            </w:rPr>
            <w:t>A thesis</w:t>
          </w:r>
        </w:p>
        <w:p w:rsidR="0008176F" w:rsidRPr="0008176F" w:rsidRDefault="0008176F" w:rsidP="0008176F">
          <w:pPr>
            <w:pStyle w:val="AralkYok"/>
            <w:jc w:val="center"/>
            <w:rPr>
              <w:caps/>
            </w:rPr>
          </w:pPr>
        </w:p>
        <w:p w:rsidR="0008176F" w:rsidRPr="0008176F" w:rsidRDefault="0008176F" w:rsidP="0008176F">
          <w:pPr>
            <w:pStyle w:val="AralkYok"/>
            <w:jc w:val="center"/>
            <w:rPr>
              <w:caps/>
            </w:rPr>
          </w:pPr>
          <w:r w:rsidRPr="0008176F">
            <w:rPr>
              <w:caps/>
            </w:rPr>
            <w:t>submitted to the Graduate Faculty</w:t>
          </w:r>
        </w:p>
        <w:p w:rsidR="0008176F" w:rsidRDefault="0008176F" w:rsidP="0008176F">
          <w:pPr>
            <w:pStyle w:val="AralkYok"/>
            <w:jc w:val="center"/>
          </w:pPr>
        </w:p>
        <w:p w:rsidR="0008176F" w:rsidRDefault="0008176F" w:rsidP="0008176F">
          <w:pPr>
            <w:pStyle w:val="AralkYok"/>
            <w:jc w:val="center"/>
          </w:pPr>
          <w:r>
            <w:t>in partial fulfillment of the requirements for the</w:t>
          </w:r>
        </w:p>
        <w:p w:rsidR="0008176F" w:rsidRDefault="0008176F" w:rsidP="0008176F">
          <w:pPr>
            <w:pStyle w:val="AralkYok"/>
            <w:jc w:val="center"/>
          </w:pPr>
        </w:p>
        <w:p w:rsidR="0008176F" w:rsidRDefault="0008176F" w:rsidP="0008176F">
          <w:pPr>
            <w:pStyle w:val="AralkYok"/>
            <w:jc w:val="center"/>
          </w:pPr>
          <w:r>
            <w:t>Degree of</w:t>
          </w:r>
        </w:p>
      </w:sdtContent>
    </w:sdt>
    <w:p w:rsidR="0008176F" w:rsidRDefault="0008176F" w:rsidP="0008176F">
      <w:pPr>
        <w:pStyle w:val="AralkYok"/>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DD3CFD" w:rsidP="00746E16">
          <w:pPr>
            <w:pStyle w:val="AralkYok"/>
            <w:spacing w:line="480" w:lineRule="auto"/>
            <w:jc w:val="center"/>
            <w:rPr>
              <w:caps/>
            </w:rPr>
          </w:pPr>
          <w:r>
            <w:rPr>
              <w:caps/>
            </w:rPr>
            <w:t>Master of Science</w:t>
          </w:r>
        </w:p>
      </w:sdtContent>
    </w:sdt>
    <w:p w:rsidR="00730F0A" w:rsidRDefault="00730F0A" w:rsidP="0008176F">
      <w:pPr>
        <w:pStyle w:val="AralkYok"/>
        <w:jc w:val="center"/>
      </w:pPr>
    </w:p>
    <w:p w:rsidR="00730F0A" w:rsidRDefault="00730F0A" w:rsidP="0008176F">
      <w:pPr>
        <w:pStyle w:val="AralkYok"/>
        <w:jc w:val="center"/>
      </w:pPr>
    </w:p>
    <w:p w:rsidR="00730F0A" w:rsidRDefault="00730F0A" w:rsidP="0008176F">
      <w:pPr>
        <w:pStyle w:val="AralkYok"/>
        <w:jc w:val="center"/>
      </w:pPr>
    </w:p>
    <w:p w:rsidR="00730F0A" w:rsidRDefault="00730F0A" w:rsidP="0008176F">
      <w:pPr>
        <w:pStyle w:val="AralkYok"/>
        <w:jc w:val="center"/>
      </w:pPr>
    </w:p>
    <w:p w:rsidR="00730F0A" w:rsidRDefault="00730F0A" w:rsidP="0008176F">
      <w:pPr>
        <w:pStyle w:val="AralkYok"/>
        <w:jc w:val="center"/>
      </w:pPr>
    </w:p>
    <w:p w:rsidR="00730F0A" w:rsidRDefault="00730F0A" w:rsidP="0008176F">
      <w:pPr>
        <w:pStyle w:val="AralkYok"/>
        <w:jc w:val="center"/>
      </w:pPr>
    </w:p>
    <w:p w:rsidR="00730F0A" w:rsidRDefault="00730F0A" w:rsidP="0008176F">
      <w:pPr>
        <w:pStyle w:val="AralkYok"/>
        <w:jc w:val="center"/>
      </w:pPr>
    </w:p>
    <w:p w:rsidR="00730F0A" w:rsidRDefault="00730F0A" w:rsidP="0008176F">
      <w:pPr>
        <w:pStyle w:val="AralkYok"/>
        <w:jc w:val="center"/>
      </w:pPr>
    </w:p>
    <w:p w:rsidR="00730F0A" w:rsidRDefault="00730F0A" w:rsidP="0008176F">
      <w:pPr>
        <w:pStyle w:val="AralkYok"/>
        <w:jc w:val="center"/>
      </w:pPr>
    </w:p>
    <w:p w:rsidR="00730F0A" w:rsidRDefault="00730F0A" w:rsidP="0008176F">
      <w:pPr>
        <w:pStyle w:val="AralkYok"/>
        <w:jc w:val="center"/>
      </w:pPr>
      <w:r>
        <w:t>By</w:t>
      </w:r>
    </w:p>
    <w:p w:rsidR="00730F0A" w:rsidRDefault="00730F0A" w:rsidP="0008176F">
      <w:pPr>
        <w:pStyle w:val="AralkYok"/>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DB52AA" w:rsidP="00746E16">
          <w:pPr>
            <w:pStyle w:val="AralkYok"/>
            <w:jc w:val="center"/>
            <w:rPr>
              <w:caps/>
            </w:rPr>
          </w:pPr>
          <w:r>
            <w:rPr>
              <w:caps/>
            </w:rPr>
            <w:t>YAGMUR SUMER GORENEKLI</w:t>
          </w:r>
        </w:p>
      </w:sdtContent>
    </w:sdt>
    <w:sdt>
      <w:sdtPr>
        <w:id w:val="30091838"/>
        <w:lock w:val="contentLocked"/>
        <w:placeholder>
          <w:docPart w:val="DefaultPlaceholder_22675703"/>
        </w:placeholder>
        <w:group/>
      </w:sdtPr>
      <w:sdtEndPr/>
      <w:sdtContent>
        <w:p w:rsidR="00730F0A" w:rsidRDefault="00746E16" w:rsidP="00746E16">
          <w:pPr>
            <w:pStyle w:val="AralkYok"/>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DB52AA" w:rsidP="00730F0A">
          <w:pPr>
            <w:pStyle w:val="AralkYok"/>
            <w:jc w:val="center"/>
          </w:pPr>
          <w:r>
            <w:t>2018</w:t>
          </w:r>
        </w:p>
      </w:sdtContent>
    </w:sdt>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6B5C7A" w:rsidRDefault="006B5C7A" w:rsidP="00730F0A">
      <w:pPr>
        <w:pStyle w:val="AralkYok"/>
        <w:jc w:val="center"/>
      </w:pPr>
    </w:p>
    <w:p w:rsidR="00C378FA" w:rsidRDefault="00C378FA" w:rsidP="00730F0A">
      <w:pPr>
        <w:pStyle w:val="AralkYok"/>
        <w:jc w:val="center"/>
      </w:pPr>
    </w:p>
    <w:p w:rsidR="00730F0A" w:rsidRDefault="00730F0A" w:rsidP="00730F0A">
      <w:pPr>
        <w:pStyle w:val="AralkYok"/>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0231A4" w:rsidP="00730F0A">
          <w:pPr>
            <w:pStyle w:val="AralkYok"/>
            <w:jc w:val="center"/>
            <w:rPr>
              <w:caps/>
            </w:rPr>
          </w:pPr>
          <w:r>
            <w:rPr>
              <w:caps/>
            </w:rPr>
            <w:t>Geochemıcal characterizatıon of the lower pennsylvanıan morrow shale ın the anadarko basın of oklahoma</w:t>
          </w:r>
        </w:p>
      </w:sdtContent>
    </w:sdt>
    <w:p w:rsidR="00730F0A" w:rsidRPr="00730F0A" w:rsidRDefault="00730F0A" w:rsidP="00730F0A">
      <w:pPr>
        <w:pStyle w:val="AralkYok"/>
        <w:jc w:val="center"/>
        <w:rPr>
          <w:caps/>
        </w:rPr>
      </w:pPr>
    </w:p>
    <w:p w:rsidR="00730F0A" w:rsidRPr="00730F0A" w:rsidRDefault="00730F0A" w:rsidP="00730F0A">
      <w:pPr>
        <w:pStyle w:val="AralkYok"/>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AralkYok"/>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DD3CFD" w:rsidP="00746E16">
          <w:pPr>
            <w:pStyle w:val="AralkYok"/>
            <w:jc w:val="center"/>
            <w:rPr>
              <w:caps/>
            </w:rPr>
          </w:pPr>
          <w:r>
            <w:rPr>
              <w:caps/>
            </w:rPr>
            <w:t>ConocoPhillips School of Geology and Geophysics</w:t>
          </w:r>
        </w:p>
      </w:sdtContent>
    </w:sdt>
    <w:p w:rsidR="00730F0A" w:rsidRPr="00730F0A" w:rsidRDefault="00730F0A" w:rsidP="00730F0A">
      <w:pPr>
        <w:pStyle w:val="AralkYok"/>
        <w:jc w:val="center"/>
        <w:rPr>
          <w:caps/>
        </w:rPr>
      </w:pPr>
    </w:p>
    <w:p w:rsidR="00730F0A" w:rsidRPr="00730F0A" w:rsidRDefault="00730F0A" w:rsidP="00730F0A">
      <w:pPr>
        <w:pStyle w:val="AralkYok"/>
        <w:jc w:val="center"/>
        <w:rPr>
          <w:caps/>
        </w:rPr>
      </w:pPr>
    </w:p>
    <w:p w:rsidR="00730F0A" w:rsidRPr="00730F0A" w:rsidRDefault="00730F0A" w:rsidP="00730F0A">
      <w:pPr>
        <w:pStyle w:val="AralkYok"/>
        <w:jc w:val="center"/>
        <w:rPr>
          <w:caps/>
        </w:rPr>
      </w:pPr>
    </w:p>
    <w:p w:rsidR="00730F0A" w:rsidRDefault="00730F0A" w:rsidP="00730F0A">
      <w:pPr>
        <w:pStyle w:val="AralkYok"/>
        <w:jc w:val="center"/>
        <w:rPr>
          <w:caps/>
        </w:rPr>
      </w:pPr>
    </w:p>
    <w:p w:rsidR="00730F0A" w:rsidRPr="00730F0A" w:rsidRDefault="00730F0A" w:rsidP="00730F0A">
      <w:pPr>
        <w:pStyle w:val="AralkYok"/>
        <w:jc w:val="center"/>
        <w:rPr>
          <w:caps/>
        </w:rPr>
      </w:pPr>
    </w:p>
    <w:p w:rsidR="00730F0A" w:rsidRPr="00730F0A" w:rsidRDefault="00730F0A" w:rsidP="00730F0A">
      <w:pPr>
        <w:pStyle w:val="AralkYok"/>
        <w:jc w:val="center"/>
        <w:rPr>
          <w:caps/>
        </w:rPr>
      </w:pPr>
    </w:p>
    <w:p w:rsidR="00730F0A" w:rsidRPr="00730F0A" w:rsidRDefault="00730F0A" w:rsidP="00730F0A">
      <w:pPr>
        <w:pStyle w:val="AralkYok"/>
        <w:jc w:val="center"/>
        <w:rPr>
          <w:caps/>
        </w:rPr>
      </w:pPr>
    </w:p>
    <w:p w:rsidR="00730F0A" w:rsidRPr="00730F0A" w:rsidRDefault="00730F0A" w:rsidP="00730F0A">
      <w:pPr>
        <w:pStyle w:val="AralkYok"/>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AralkYok"/>
            <w:jc w:val="center"/>
            <w:rPr>
              <w:caps/>
            </w:rPr>
          </w:pPr>
          <w:r w:rsidRPr="00730F0A">
            <w:rPr>
              <w:caps/>
            </w:rPr>
            <w:t>By</w:t>
          </w:r>
        </w:p>
      </w:sdtContent>
    </w:sdt>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Pr="003B763D" w:rsidRDefault="003B763D" w:rsidP="00730F0A">
      <w:pPr>
        <w:pStyle w:val="AralkYok"/>
        <w:jc w:val="right"/>
      </w:pPr>
      <w:r>
        <w:t>______________________________</w:t>
      </w:r>
    </w:p>
    <w:p w:rsidR="00730F0A" w:rsidRDefault="003F6459" w:rsidP="00730F0A">
      <w:pPr>
        <w:pStyle w:val="AralkYok"/>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DD3CF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DB52AA">
            <w:t>Roger M. Slatt</w:t>
          </w:r>
        </w:sdtContent>
      </w:sdt>
      <w:r w:rsidR="00730F0A">
        <w:t xml:space="preserve">, </w:t>
      </w:r>
      <w:r w:rsidR="007608CF">
        <w:t>C</w:t>
      </w:r>
      <w:r w:rsidR="00730F0A">
        <w:t>hair</w:t>
      </w:r>
    </w:p>
    <w:p w:rsidR="00730F0A" w:rsidRDefault="00730F0A" w:rsidP="00730F0A">
      <w:pPr>
        <w:pStyle w:val="AralkYok"/>
        <w:jc w:val="right"/>
      </w:pPr>
    </w:p>
    <w:p w:rsidR="00730F0A" w:rsidRDefault="00730F0A" w:rsidP="00730F0A">
      <w:pPr>
        <w:pStyle w:val="AralkYok"/>
        <w:jc w:val="right"/>
      </w:pPr>
    </w:p>
    <w:p w:rsidR="00730F0A" w:rsidRPr="003B763D" w:rsidRDefault="003B763D" w:rsidP="00730F0A">
      <w:pPr>
        <w:pStyle w:val="AralkYok"/>
        <w:jc w:val="right"/>
      </w:pPr>
      <w:r>
        <w:t>______________________________</w:t>
      </w:r>
    </w:p>
    <w:p w:rsidR="00730F0A" w:rsidRDefault="003F6459" w:rsidP="00730F0A">
      <w:pPr>
        <w:pStyle w:val="AralkYok"/>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DD3CF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7608CF">
            <w:t>R. Paul Phi</w:t>
          </w:r>
          <w:r w:rsidR="00DB52AA">
            <w:t>lp</w:t>
          </w:r>
        </w:sdtContent>
      </w:sdt>
    </w:p>
    <w:p w:rsidR="00730F0A" w:rsidRDefault="00730F0A" w:rsidP="00730F0A">
      <w:pPr>
        <w:pStyle w:val="AralkYok"/>
        <w:jc w:val="right"/>
      </w:pPr>
    </w:p>
    <w:p w:rsidR="00730F0A" w:rsidRDefault="00730F0A" w:rsidP="00730F0A">
      <w:pPr>
        <w:pStyle w:val="AralkYok"/>
        <w:jc w:val="right"/>
      </w:pPr>
    </w:p>
    <w:p w:rsidR="00730F0A" w:rsidRPr="003B763D" w:rsidRDefault="003B763D" w:rsidP="00730F0A">
      <w:pPr>
        <w:pStyle w:val="AralkYok"/>
        <w:jc w:val="right"/>
      </w:pPr>
      <w:r>
        <w:t>______________________________</w:t>
      </w:r>
    </w:p>
    <w:p w:rsidR="00730F0A" w:rsidRDefault="003F6459" w:rsidP="00730F0A">
      <w:pPr>
        <w:pStyle w:val="AralkYok"/>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DD3CFD">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DB52AA">
            <w:t>Michael H. Engel</w:t>
          </w:r>
        </w:sdtContent>
      </w:sdt>
    </w:p>
    <w:p w:rsidR="00730F0A" w:rsidRDefault="00730F0A" w:rsidP="00730F0A">
      <w:pPr>
        <w:pStyle w:val="AralkYok"/>
        <w:jc w:val="right"/>
      </w:pPr>
    </w:p>
    <w:p w:rsidR="00730F0A" w:rsidRDefault="00730F0A" w:rsidP="00730F0A">
      <w:pPr>
        <w:pStyle w:val="AralkYok"/>
        <w:jc w:val="right"/>
      </w:pPr>
    </w:p>
    <w:p w:rsidR="00730F0A" w:rsidRDefault="00730F0A" w:rsidP="00730F0A">
      <w:pPr>
        <w:pStyle w:val="AralkYok"/>
        <w:jc w:val="center"/>
      </w:pPr>
      <w:r>
        <w:br w:type="page"/>
      </w: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730F0A" w:rsidP="00730F0A">
      <w:pPr>
        <w:pStyle w:val="AralkYok"/>
        <w:jc w:val="center"/>
      </w:pPr>
    </w:p>
    <w:p w:rsidR="00730F0A" w:rsidRDefault="003F6459" w:rsidP="00730F0A">
      <w:pPr>
        <w:pStyle w:val="AralkYok"/>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DB52AA">
            <w:rPr>
              <w:caps/>
            </w:rPr>
            <w:t>Yagmur sumer goreneklı</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DB52AA">
            <w:t>2018</w:t>
          </w:r>
        </w:sdtContent>
      </w:sdt>
    </w:p>
    <w:p w:rsidR="00730F0A" w:rsidRDefault="00730F0A" w:rsidP="00730F0A">
      <w:pPr>
        <w:pStyle w:val="AralkYok"/>
        <w:jc w:val="center"/>
      </w:pPr>
      <w:r>
        <w:t>All Rights Reserved.</w:t>
      </w:r>
    </w:p>
    <w:p w:rsidR="00AF5409" w:rsidRDefault="006F10CE" w:rsidP="008E1C26">
      <w:r>
        <w:br w:type="page"/>
      </w:r>
    </w:p>
    <w:p w:rsidR="00AF5409" w:rsidRDefault="00AF5409" w:rsidP="00AF5409">
      <w:pPr>
        <w:jc w:val="both"/>
        <w:rPr>
          <w:rFonts w:ascii="Times New Roman" w:hAnsi="Times New Roman"/>
          <w:i/>
        </w:rPr>
      </w:pPr>
    </w:p>
    <w:p w:rsidR="00AF5409" w:rsidRDefault="00AF5409" w:rsidP="00AF5409">
      <w:pPr>
        <w:jc w:val="both"/>
        <w:rPr>
          <w:rFonts w:ascii="Times New Roman" w:hAnsi="Times New Roman"/>
          <w:i/>
        </w:rPr>
      </w:pPr>
    </w:p>
    <w:p w:rsidR="00AF5409" w:rsidRDefault="00AF5409" w:rsidP="00AF5409">
      <w:pPr>
        <w:jc w:val="both"/>
        <w:rPr>
          <w:rFonts w:ascii="Times New Roman" w:hAnsi="Times New Roman"/>
          <w:i/>
        </w:rPr>
      </w:pPr>
    </w:p>
    <w:p w:rsidR="00AF5409" w:rsidRDefault="00AF5409" w:rsidP="00AF5409">
      <w:pPr>
        <w:jc w:val="both"/>
        <w:rPr>
          <w:rFonts w:ascii="Times New Roman" w:hAnsi="Times New Roman"/>
          <w:i/>
        </w:rPr>
      </w:pPr>
    </w:p>
    <w:p w:rsidR="00AF5409" w:rsidRDefault="00AF5409" w:rsidP="00AF5409">
      <w:pPr>
        <w:jc w:val="both"/>
        <w:rPr>
          <w:rFonts w:ascii="Times New Roman" w:hAnsi="Times New Roman"/>
          <w:i/>
        </w:rPr>
      </w:pPr>
    </w:p>
    <w:p w:rsidR="00D926BD" w:rsidRDefault="00D926BD" w:rsidP="00AF5409">
      <w:pPr>
        <w:jc w:val="both"/>
        <w:rPr>
          <w:rFonts w:ascii="Times New Roman" w:hAnsi="Times New Roman"/>
          <w:i/>
        </w:rPr>
      </w:pPr>
    </w:p>
    <w:p w:rsidR="00D926BD" w:rsidRDefault="00D926BD" w:rsidP="00AF5409">
      <w:pPr>
        <w:jc w:val="both"/>
        <w:rPr>
          <w:rFonts w:ascii="Times New Roman" w:hAnsi="Times New Roman"/>
          <w:i/>
        </w:rPr>
      </w:pPr>
    </w:p>
    <w:p w:rsidR="00AF5409" w:rsidRDefault="00AF5409" w:rsidP="00AF5409">
      <w:pPr>
        <w:jc w:val="both"/>
        <w:rPr>
          <w:rFonts w:ascii="Times New Roman" w:hAnsi="Times New Roman"/>
          <w:i/>
        </w:rPr>
      </w:pPr>
    </w:p>
    <w:p w:rsidR="00594C0A" w:rsidRDefault="00594C0A" w:rsidP="00594C0A">
      <w:pPr>
        <w:rPr>
          <w:rFonts w:ascii="Times New Roman" w:hAnsi="Times New Roman"/>
          <w:i/>
        </w:rPr>
      </w:pPr>
    </w:p>
    <w:p w:rsidR="007224FE" w:rsidRPr="00594C0A" w:rsidRDefault="00AF5409" w:rsidP="00594C0A">
      <w:pPr>
        <w:jc w:val="both"/>
        <w:rPr>
          <w:rFonts w:ascii="Times New Roman" w:hAnsi="Times New Roman"/>
          <w:i/>
        </w:rPr>
      </w:pPr>
      <w:r>
        <w:rPr>
          <w:rFonts w:ascii="Times New Roman" w:hAnsi="Times New Roman"/>
          <w:i/>
        </w:rPr>
        <w:t>Dedicated t</w:t>
      </w:r>
      <w:r w:rsidRPr="001C3237">
        <w:rPr>
          <w:rFonts w:ascii="Times New Roman" w:hAnsi="Times New Roman"/>
          <w:i/>
        </w:rPr>
        <w:t>o th</w:t>
      </w:r>
      <w:r w:rsidR="00594C0A">
        <w:rPr>
          <w:rFonts w:ascii="Times New Roman" w:hAnsi="Times New Roman"/>
          <w:i/>
        </w:rPr>
        <w:t>e memory of my father, Turgut Sü</w:t>
      </w:r>
      <w:r w:rsidRPr="001C3237">
        <w:rPr>
          <w:rFonts w:ascii="Times New Roman" w:hAnsi="Times New Roman"/>
          <w:i/>
        </w:rPr>
        <w:t>mer, whom I still miss every day</w:t>
      </w:r>
      <w:r>
        <w:rPr>
          <w:rFonts w:ascii="Times New Roman" w:hAnsi="Times New Roman"/>
          <w:i/>
        </w:rPr>
        <w:t>…</w:t>
      </w:r>
      <w:r w:rsidR="00594C0A">
        <w:rPr>
          <w:rFonts w:ascii="Times New Roman" w:hAnsi="Times New Roman"/>
          <w:i/>
        </w:rPr>
        <w:t xml:space="preserve"> to my mother, Feriha Sü</w:t>
      </w:r>
      <w:r>
        <w:rPr>
          <w:rFonts w:ascii="Times New Roman" w:hAnsi="Times New Roman"/>
          <w:i/>
        </w:rPr>
        <w:t xml:space="preserve">mer, </w:t>
      </w:r>
      <w:r w:rsidRPr="00BA04CF">
        <w:rPr>
          <w:rFonts w:ascii="Times New Roman" w:hAnsi="Times New Roman"/>
          <w:i/>
        </w:rPr>
        <w:t>who has</w:t>
      </w:r>
      <w:r>
        <w:rPr>
          <w:rFonts w:ascii="Times New Roman" w:hAnsi="Times New Roman"/>
          <w:i/>
        </w:rPr>
        <w:t xml:space="preserve"> been</w:t>
      </w:r>
      <w:r w:rsidRPr="00BA04CF">
        <w:rPr>
          <w:rFonts w:ascii="Times New Roman" w:hAnsi="Times New Roman"/>
          <w:i/>
        </w:rPr>
        <w:t xml:space="preserve"> </w:t>
      </w:r>
      <w:r w:rsidR="007224FE">
        <w:rPr>
          <w:rFonts w:ascii="Times New Roman" w:hAnsi="Times New Roman"/>
          <w:i/>
        </w:rPr>
        <w:t>there for me</w:t>
      </w:r>
      <w:r>
        <w:rPr>
          <w:rFonts w:ascii="Times New Roman" w:hAnsi="Times New Roman"/>
          <w:i/>
        </w:rPr>
        <w:t xml:space="preserve"> and supported me through</w:t>
      </w:r>
      <w:r w:rsidRPr="00BA04CF">
        <w:rPr>
          <w:rFonts w:ascii="Times New Roman" w:hAnsi="Times New Roman"/>
          <w:i/>
        </w:rPr>
        <w:t xml:space="preserve"> </w:t>
      </w:r>
      <w:r w:rsidR="007224FE">
        <w:rPr>
          <w:rFonts w:ascii="Times New Roman" w:hAnsi="Times New Roman"/>
          <w:i/>
        </w:rPr>
        <w:t xml:space="preserve">all my life… </w:t>
      </w:r>
      <w:r w:rsidR="00594C0A">
        <w:rPr>
          <w:rFonts w:ascii="Times New Roman" w:hAnsi="Times New Roman"/>
          <w:i/>
        </w:rPr>
        <w:t>a</w:t>
      </w:r>
      <w:r w:rsidR="007224FE">
        <w:rPr>
          <w:rFonts w:ascii="Times New Roman" w:hAnsi="Times New Roman"/>
          <w:i/>
        </w:rPr>
        <w:t>nd to Arcan, for his love</w:t>
      </w:r>
      <w:r w:rsidR="00594C0A">
        <w:rPr>
          <w:rFonts w:ascii="Times New Roman" w:hAnsi="Times New Roman"/>
          <w:i/>
        </w:rPr>
        <w:t xml:space="preserve"> and </w:t>
      </w:r>
      <w:r w:rsidR="007224FE">
        <w:rPr>
          <w:rFonts w:ascii="Times New Roman" w:hAnsi="Times New Roman"/>
          <w:i/>
        </w:rPr>
        <w:t>unconditional support</w:t>
      </w:r>
      <w:r w:rsidR="00594C0A">
        <w:rPr>
          <w:rFonts w:ascii="Times New Roman" w:hAnsi="Times New Roman"/>
          <w:i/>
        </w:rPr>
        <w:t>. You bring comfort and joy into my life…</w:t>
      </w:r>
    </w:p>
    <w:p w:rsidR="007224FE" w:rsidRDefault="007224FE" w:rsidP="00594C0A">
      <w:pPr>
        <w:jc w:val="both"/>
        <w:rPr>
          <w:rFonts w:ascii="Times New Roman" w:hAnsi="Times New Roman"/>
          <w:i/>
        </w:rPr>
      </w:pPr>
    </w:p>
    <w:p w:rsidR="00AF5409" w:rsidRDefault="00AF5409" w:rsidP="00594C0A">
      <w:pPr>
        <w:jc w:val="both"/>
      </w:pPr>
    </w:p>
    <w:p w:rsidR="00F11464" w:rsidRDefault="00F11464" w:rsidP="00594C0A">
      <w:pPr>
        <w:jc w:val="both"/>
      </w:pPr>
    </w:p>
    <w:p w:rsidR="00AF5409" w:rsidRDefault="00AF5409" w:rsidP="00594C0A">
      <w:pPr>
        <w:jc w:val="both"/>
      </w:pPr>
    </w:p>
    <w:p w:rsidR="00AF5409" w:rsidRDefault="00AF5409" w:rsidP="00594C0A">
      <w:pPr>
        <w:jc w:val="both"/>
      </w:pPr>
    </w:p>
    <w:p w:rsidR="00AF5409" w:rsidRDefault="00AF5409" w:rsidP="00F11464"/>
    <w:p w:rsidR="00AF5409" w:rsidRDefault="00AF5409" w:rsidP="00F11464">
      <w:pPr>
        <w:rPr>
          <w:rFonts w:ascii="Times New Roman" w:hAnsi="Times New Roman"/>
          <w:b/>
        </w:rPr>
      </w:pPr>
    </w:p>
    <w:p w:rsidR="00AF5409" w:rsidRDefault="00AF5409" w:rsidP="00F11464"/>
    <w:p w:rsidR="00AF5409" w:rsidRDefault="00AF5409" w:rsidP="00F11464"/>
    <w:p w:rsidR="00594C0A" w:rsidRDefault="00594C0A" w:rsidP="00F11464"/>
    <w:p w:rsidR="009C1DDC" w:rsidRDefault="009C1DDC" w:rsidP="00E1019B">
      <w:pPr>
        <w:pStyle w:val="Balk1"/>
        <w:sectPr w:rsidR="009C1DDC" w:rsidSect="00D926BD">
          <w:pgSz w:w="12240" w:h="15840" w:code="1"/>
          <w:pgMar w:top="1440" w:right="1440" w:bottom="1440" w:left="2304" w:header="720" w:footer="720" w:gutter="0"/>
          <w:pgNumType w:fmt="lowerRoman" w:start="1"/>
          <w:cols w:space="720"/>
          <w:docGrid w:linePitch="360"/>
        </w:sectPr>
      </w:pPr>
    </w:p>
    <w:p w:rsidR="00AF5409" w:rsidRDefault="00E1019B" w:rsidP="00E1019B">
      <w:pPr>
        <w:pStyle w:val="Balk1"/>
      </w:pPr>
      <w:bookmarkStart w:id="0" w:name="_Toc507506616"/>
      <w:r>
        <w:lastRenderedPageBreak/>
        <w:t>Acknowledgement</w:t>
      </w:r>
      <w:bookmarkEnd w:id="0"/>
    </w:p>
    <w:p w:rsidR="00AF5409" w:rsidRPr="00A4251C" w:rsidRDefault="00AF5409" w:rsidP="00AF5409">
      <w:pPr>
        <w:ind w:firstLine="720"/>
        <w:jc w:val="both"/>
        <w:rPr>
          <w:rFonts w:ascii="Times New Roman" w:hAnsi="Times New Roman"/>
        </w:rPr>
      </w:pPr>
      <w:r w:rsidRPr="00A4251C">
        <w:rPr>
          <w:rFonts w:ascii="Times New Roman" w:hAnsi="Times New Roman"/>
        </w:rPr>
        <w:t>I</w:t>
      </w:r>
      <w:r>
        <w:rPr>
          <w:rFonts w:ascii="Times New Roman" w:hAnsi="Times New Roman"/>
        </w:rPr>
        <w:t xml:space="preserve"> would </w:t>
      </w:r>
      <w:r w:rsidRPr="00A4251C">
        <w:rPr>
          <w:rFonts w:ascii="Times New Roman" w:hAnsi="Times New Roman"/>
        </w:rPr>
        <w:t xml:space="preserve">like to thank </w:t>
      </w:r>
      <w:r>
        <w:rPr>
          <w:rFonts w:ascii="Times New Roman" w:hAnsi="Times New Roman"/>
        </w:rPr>
        <w:t>my sponsor, Tur</w:t>
      </w:r>
      <w:r w:rsidR="00E1019B">
        <w:rPr>
          <w:rFonts w:ascii="Times New Roman" w:hAnsi="Times New Roman"/>
        </w:rPr>
        <w:t xml:space="preserve">kish Petroleum and Corporation, </w:t>
      </w:r>
      <w:r w:rsidRPr="00A4251C">
        <w:rPr>
          <w:rFonts w:ascii="Times New Roman" w:hAnsi="Times New Roman"/>
        </w:rPr>
        <w:t>for providing me this amazing opportunity</w:t>
      </w:r>
      <w:r>
        <w:rPr>
          <w:rFonts w:ascii="Times New Roman" w:hAnsi="Times New Roman"/>
        </w:rPr>
        <w:t xml:space="preserve"> and</w:t>
      </w:r>
      <w:r w:rsidRPr="00A4251C">
        <w:rPr>
          <w:rFonts w:ascii="Times New Roman" w:hAnsi="Times New Roman"/>
        </w:rPr>
        <w:t xml:space="preserve"> financial suppor</w:t>
      </w:r>
      <w:r>
        <w:rPr>
          <w:rFonts w:ascii="Times New Roman" w:hAnsi="Times New Roman"/>
        </w:rPr>
        <w:t xml:space="preserve">t throughout this project and my academic career.  </w:t>
      </w:r>
    </w:p>
    <w:p w:rsidR="00AF5409" w:rsidRPr="00857AAC" w:rsidRDefault="00AF5409" w:rsidP="00AF5409">
      <w:pPr>
        <w:ind w:firstLine="720"/>
        <w:jc w:val="both"/>
        <w:rPr>
          <w:rFonts w:ascii="Times New Roman" w:hAnsi="Times New Roman"/>
        </w:rPr>
      </w:pPr>
      <w:r w:rsidRPr="00857AAC">
        <w:rPr>
          <w:rFonts w:ascii="Times New Roman" w:hAnsi="Times New Roman"/>
        </w:rPr>
        <w:t xml:space="preserve">I would </w:t>
      </w:r>
      <w:r>
        <w:rPr>
          <w:rFonts w:ascii="Times New Roman" w:hAnsi="Times New Roman"/>
        </w:rPr>
        <w:t xml:space="preserve">also </w:t>
      </w:r>
      <w:r w:rsidRPr="00857AAC">
        <w:rPr>
          <w:rFonts w:ascii="Times New Roman" w:hAnsi="Times New Roman"/>
        </w:rPr>
        <w:t xml:space="preserve">like to express my deepest gratitude to the following people for their support, encouragement and guidance through the completion of my M.S Thesis. This study would not have been possible without the help and valuable contributions of them. </w:t>
      </w:r>
    </w:p>
    <w:p w:rsidR="00AF5409" w:rsidRDefault="00AF5409" w:rsidP="00AF5409">
      <w:pPr>
        <w:ind w:firstLine="720"/>
        <w:jc w:val="both"/>
        <w:rPr>
          <w:rFonts w:ascii="Times New Roman" w:hAnsi="Times New Roman"/>
        </w:rPr>
      </w:pPr>
      <w:r w:rsidRPr="00857AAC">
        <w:rPr>
          <w:rFonts w:ascii="Times New Roman" w:hAnsi="Times New Roman"/>
        </w:rPr>
        <w:t>First, I would like to acknowledge Dr. Paul Philp</w:t>
      </w:r>
      <w:r>
        <w:rPr>
          <w:rFonts w:ascii="Times New Roman" w:hAnsi="Times New Roman"/>
        </w:rPr>
        <w:t xml:space="preserve"> </w:t>
      </w:r>
      <w:r w:rsidRPr="00857AAC">
        <w:rPr>
          <w:rFonts w:ascii="Times New Roman" w:hAnsi="Times New Roman"/>
        </w:rPr>
        <w:t xml:space="preserve">for accepting to be my advisor, and </w:t>
      </w:r>
      <w:r>
        <w:rPr>
          <w:rFonts w:ascii="Times New Roman" w:hAnsi="Times New Roman"/>
        </w:rPr>
        <w:t>providing</w:t>
      </w:r>
      <w:r w:rsidRPr="00857AAC">
        <w:rPr>
          <w:rFonts w:ascii="Times New Roman" w:hAnsi="Times New Roman"/>
        </w:rPr>
        <w:t xml:space="preserve"> his invaluable time, guidance and advice throughout this project. </w:t>
      </w:r>
      <w:r>
        <w:rPr>
          <w:rFonts w:ascii="Times New Roman" w:hAnsi="Times New Roman"/>
        </w:rPr>
        <w:t xml:space="preserve">It was an honor to work with you. I owe my gratitude </w:t>
      </w:r>
      <w:r w:rsidR="00E1019B">
        <w:rPr>
          <w:rFonts w:ascii="Times New Roman" w:hAnsi="Times New Roman"/>
        </w:rPr>
        <w:t>to Dr. Roger Slatt for agreeing</w:t>
      </w:r>
      <w:r>
        <w:rPr>
          <w:rFonts w:ascii="Times New Roman" w:hAnsi="Times New Roman"/>
        </w:rPr>
        <w:t xml:space="preserve"> to be the chair of my thesis committee, his valuable advices and suggestions during my time in University of Oklahoma. I have enjoyed participating all of your classes. I would also like to thank Dr. Michael Engel, for providing valuable advices and feedback as a committee member. </w:t>
      </w:r>
    </w:p>
    <w:p w:rsidR="00AF5409" w:rsidRDefault="00AF5409" w:rsidP="00AF5409">
      <w:pPr>
        <w:ind w:firstLine="720"/>
        <w:jc w:val="both"/>
        <w:rPr>
          <w:rFonts w:ascii="Times New Roman" w:hAnsi="Times New Roman"/>
        </w:rPr>
      </w:pPr>
      <w:r>
        <w:rPr>
          <w:rFonts w:ascii="Times New Roman" w:hAnsi="Times New Roman"/>
        </w:rPr>
        <w:t xml:space="preserve">I am highly indebted and grateful to </w:t>
      </w:r>
      <w:r w:rsidR="002C0DCF">
        <w:rPr>
          <w:rFonts w:ascii="Times New Roman" w:hAnsi="Times New Roman"/>
        </w:rPr>
        <w:t xml:space="preserve">Jonathan </w:t>
      </w:r>
      <w:r w:rsidR="002C0DCF" w:rsidRPr="002C0DCF">
        <w:rPr>
          <w:rFonts w:ascii="Times New Roman" w:hAnsi="Times New Roman"/>
        </w:rPr>
        <w:t xml:space="preserve">Allen </w:t>
      </w:r>
      <w:r>
        <w:rPr>
          <w:rFonts w:ascii="Times New Roman" w:hAnsi="Times New Roman"/>
        </w:rPr>
        <w:t xml:space="preserve">and Ann Sullivan Ojeda who taught me all the lab procedures and techniques, guided me and helped me whenever I needed. My thanks also extend to the Organic Geochemistry Group especially; Lydia Jones, </w:t>
      </w:r>
      <w:r w:rsidRPr="00D6344B">
        <w:rPr>
          <w:rFonts w:ascii="Times New Roman" w:hAnsi="Times New Roman"/>
        </w:rPr>
        <w:t>Andreina Liborius Parada</w:t>
      </w:r>
      <w:r>
        <w:rPr>
          <w:rFonts w:ascii="Times New Roman" w:hAnsi="Times New Roman"/>
        </w:rPr>
        <w:t xml:space="preserve"> and </w:t>
      </w:r>
      <w:r w:rsidRPr="00D6344B">
        <w:rPr>
          <w:rFonts w:ascii="Times New Roman" w:hAnsi="Times New Roman"/>
        </w:rPr>
        <w:t>Cecilia Lopez-Gamundi</w:t>
      </w:r>
      <w:r>
        <w:rPr>
          <w:rFonts w:ascii="Times New Roman" w:hAnsi="Times New Roman"/>
        </w:rPr>
        <w:t xml:space="preserve"> for their support and friendship.  I would also like to thank Javier </w:t>
      </w:r>
      <w:r w:rsidRPr="00F02AC3">
        <w:rPr>
          <w:rFonts w:ascii="Times New Roman" w:hAnsi="Times New Roman"/>
        </w:rPr>
        <w:t>Tellez</w:t>
      </w:r>
      <w:r>
        <w:rPr>
          <w:rFonts w:ascii="Times New Roman" w:hAnsi="Times New Roman"/>
        </w:rPr>
        <w:t xml:space="preserve"> for not only being a good friend but also helping me to prepare the maps in my thesis. Finally, I also thank all my friends who helped me, supported me and cheered me up during my time in OU.  </w:t>
      </w:r>
    </w:p>
    <w:p w:rsidR="00AF5409" w:rsidRDefault="00AF5409" w:rsidP="00AF5409">
      <w:pPr>
        <w:ind w:firstLine="720"/>
        <w:jc w:val="both"/>
        <w:rPr>
          <w:rFonts w:ascii="Times New Roman" w:hAnsi="Times New Roman"/>
        </w:rPr>
      </w:pPr>
      <w:r>
        <w:rPr>
          <w:rFonts w:ascii="Times New Roman" w:hAnsi="Times New Roman"/>
        </w:rPr>
        <w:t xml:space="preserve">I’m also grateful to all my teachers at </w:t>
      </w:r>
      <w:r w:rsidRPr="00620038">
        <w:rPr>
          <w:rFonts w:ascii="Times New Roman" w:hAnsi="Times New Roman"/>
        </w:rPr>
        <w:t>ConocoPhillips School of Geology and Geophysics</w:t>
      </w:r>
      <w:r>
        <w:rPr>
          <w:rFonts w:ascii="Times New Roman" w:hAnsi="Times New Roman"/>
        </w:rPr>
        <w:t xml:space="preserve"> for their expertise, valuable guidance and for providing excellent information </w:t>
      </w:r>
      <w:r>
        <w:rPr>
          <w:rFonts w:ascii="Times New Roman" w:hAnsi="Times New Roman"/>
        </w:rPr>
        <w:lastRenderedPageBreak/>
        <w:t>regarding to geology and this research. During my time in here, I realized once again why the University of Oklahoma is one of the best univer</w:t>
      </w:r>
      <w:r w:rsidR="002027CC">
        <w:rPr>
          <w:rFonts w:ascii="Times New Roman" w:hAnsi="Times New Roman"/>
        </w:rPr>
        <w:t>sity in petroleum geology in</w:t>
      </w:r>
      <w:r>
        <w:rPr>
          <w:rFonts w:ascii="Times New Roman" w:hAnsi="Times New Roman"/>
        </w:rPr>
        <w:t xml:space="preserve"> United States of America. We rock! I’d also like to thank the staff at 7</w:t>
      </w:r>
      <w:r w:rsidRPr="00204DA2">
        <w:rPr>
          <w:rFonts w:ascii="Times New Roman" w:hAnsi="Times New Roman"/>
          <w:vertAlign w:val="superscript"/>
        </w:rPr>
        <w:t>th</w:t>
      </w:r>
      <w:r>
        <w:rPr>
          <w:rFonts w:ascii="Times New Roman" w:hAnsi="Times New Roman"/>
        </w:rPr>
        <w:t xml:space="preserve"> floor, especially Rebecca and Ginny for their help, kindness, and smiley faces whenever I stop by there. I’ll miss our Halloween parties at the 7</w:t>
      </w:r>
      <w:r w:rsidRPr="003655E9">
        <w:rPr>
          <w:rFonts w:ascii="Times New Roman" w:hAnsi="Times New Roman"/>
          <w:vertAlign w:val="superscript"/>
        </w:rPr>
        <w:t>th</w:t>
      </w:r>
      <w:r>
        <w:rPr>
          <w:rFonts w:ascii="Times New Roman" w:hAnsi="Times New Roman"/>
        </w:rPr>
        <w:t xml:space="preserve"> floor!</w:t>
      </w:r>
    </w:p>
    <w:p w:rsidR="00AF5409" w:rsidRDefault="00AF5409" w:rsidP="00AF5409">
      <w:pPr>
        <w:ind w:firstLine="720"/>
        <w:jc w:val="both"/>
        <w:rPr>
          <w:rFonts w:ascii="Times New Roman" w:hAnsi="Times New Roman"/>
        </w:rPr>
      </w:pPr>
      <w:r>
        <w:rPr>
          <w:rFonts w:ascii="Times New Roman" w:hAnsi="Times New Roman"/>
        </w:rPr>
        <w:t>Saving the most important for last, I would like to thank to my family for their unconditional support and endless interest that they have shown me</w:t>
      </w:r>
      <w:r w:rsidR="002027CC">
        <w:rPr>
          <w:rFonts w:ascii="Times New Roman" w:hAnsi="Times New Roman"/>
        </w:rPr>
        <w:t xml:space="preserve"> since the day I was born</w:t>
      </w:r>
      <w:r>
        <w:rPr>
          <w:rFonts w:ascii="Times New Roman" w:hAnsi="Times New Roman"/>
        </w:rPr>
        <w:t>. In particular, I’m grateful to my mother and my father for being great paren</w:t>
      </w:r>
      <w:r w:rsidR="002C0DCF">
        <w:rPr>
          <w:rFonts w:ascii="Times New Roman" w:hAnsi="Times New Roman"/>
        </w:rPr>
        <w:t xml:space="preserve">ts. Thank you for always being </w:t>
      </w:r>
      <w:r>
        <w:rPr>
          <w:rFonts w:ascii="Times New Roman" w:hAnsi="Times New Roman"/>
        </w:rPr>
        <w:t>supportive, encouraging, and thoughtful. I’m indebted to your sacrifices and devotion for raising me as I am now. I also thank t</w:t>
      </w:r>
      <w:r w:rsidR="00594C0A">
        <w:rPr>
          <w:rFonts w:ascii="Times New Roman" w:hAnsi="Times New Roman"/>
        </w:rPr>
        <w:t>o my brother, Yalı</w:t>
      </w:r>
      <w:r>
        <w:rPr>
          <w:rFonts w:ascii="Times New Roman" w:hAnsi="Times New Roman"/>
        </w:rPr>
        <w:t>n, for being just one call away whenever I needed, being a great protector to me and most importantly making me the “youngest” aunt of two beautiful children. Lastly, I cannot express enough thanks to my amazing husband, Arcan, for his constant support, patience and understanding to me during these past two years. I consider myself the luckiest women in the world to marry such a good hearted men who comforts me and being the constant source of my laughs and joy. I am so thankful for having you in my life.</w:t>
      </w:r>
    </w:p>
    <w:p w:rsidR="00AF5409" w:rsidRDefault="00AF5409" w:rsidP="00AF5409">
      <w:pPr>
        <w:ind w:firstLine="720"/>
        <w:jc w:val="both"/>
        <w:rPr>
          <w:rFonts w:ascii="Times New Roman" w:hAnsi="Times New Roman"/>
        </w:rPr>
      </w:pPr>
    </w:p>
    <w:p w:rsidR="00AF5409" w:rsidRDefault="00AF5409" w:rsidP="00AF5409">
      <w:pPr>
        <w:ind w:firstLine="720"/>
        <w:jc w:val="both"/>
        <w:rPr>
          <w:rFonts w:ascii="Times New Roman" w:hAnsi="Times New Roman"/>
        </w:rPr>
      </w:pPr>
    </w:p>
    <w:p w:rsidR="00AF5409" w:rsidRDefault="00AF5409" w:rsidP="00AF5409">
      <w:pPr>
        <w:ind w:firstLine="720"/>
        <w:jc w:val="both"/>
        <w:rPr>
          <w:rFonts w:ascii="Times New Roman" w:hAnsi="Times New Roman"/>
        </w:rPr>
      </w:pPr>
    </w:p>
    <w:p w:rsidR="00AF5409" w:rsidRDefault="00AF5409" w:rsidP="00AF5409">
      <w:pPr>
        <w:ind w:firstLine="720"/>
        <w:jc w:val="both"/>
        <w:rPr>
          <w:rFonts w:ascii="Times New Roman" w:hAnsi="Times New Roman"/>
        </w:rPr>
      </w:pPr>
    </w:p>
    <w:p w:rsidR="00AF5409" w:rsidRDefault="00AF5409" w:rsidP="00AF5409">
      <w:pPr>
        <w:spacing w:line="240" w:lineRule="auto"/>
        <w:sectPr w:rsidR="00AF5409" w:rsidSect="009C1DDC">
          <w:footerReference w:type="default" r:id="rId8"/>
          <w:pgSz w:w="12240" w:h="15840" w:code="1"/>
          <w:pgMar w:top="1440" w:right="1440" w:bottom="1440" w:left="2304" w:header="720" w:footer="720" w:gutter="0"/>
          <w:pgNumType w:fmt="lowerRoman" w:start="4"/>
          <w:cols w:space="720"/>
          <w:docGrid w:linePitch="360"/>
        </w:sectPr>
      </w:pPr>
    </w:p>
    <w:p w:rsidR="00C87D2E" w:rsidRDefault="00C87D2E" w:rsidP="00E1019B">
      <w:pPr>
        <w:pStyle w:val="Balk1"/>
      </w:pPr>
      <w:bookmarkStart w:id="1" w:name="_Toc507506617"/>
      <w:r>
        <w:lastRenderedPageBreak/>
        <w:t>Table of Contents</w:t>
      </w:r>
      <w:bookmarkEnd w:id="1"/>
    </w:p>
    <w:p w:rsidR="00B23625" w:rsidRDefault="00C87D2E">
      <w:pPr>
        <w:pStyle w:val="T1"/>
        <w:rPr>
          <w:rFonts w:eastAsiaTheme="minorEastAsia" w:cstheme="minorBidi"/>
          <w:noProof/>
          <w:sz w:val="22"/>
          <w:szCs w:val="22"/>
          <w:lang w:val="tr-TR" w:eastAsia="tr-TR" w:bidi="ar-SA"/>
        </w:rPr>
      </w:pPr>
      <w:r>
        <w:fldChar w:fldCharType="begin"/>
      </w:r>
      <w:r>
        <w:instrText xml:space="preserve"> TOC \o "1-5" \h \z \u </w:instrText>
      </w:r>
      <w:r>
        <w:fldChar w:fldCharType="separate"/>
      </w:r>
      <w:hyperlink w:anchor="_Toc507506616" w:history="1">
        <w:r w:rsidR="00B23625" w:rsidRPr="00855843">
          <w:rPr>
            <w:rStyle w:val="Kpr"/>
            <w:noProof/>
          </w:rPr>
          <w:t>Acknowledgement</w:t>
        </w:r>
        <w:r w:rsidR="00B23625">
          <w:rPr>
            <w:noProof/>
            <w:webHidden/>
          </w:rPr>
          <w:tab/>
        </w:r>
        <w:r w:rsidR="00B23625">
          <w:rPr>
            <w:noProof/>
            <w:webHidden/>
          </w:rPr>
          <w:fldChar w:fldCharType="begin"/>
        </w:r>
        <w:r w:rsidR="00B23625">
          <w:rPr>
            <w:noProof/>
            <w:webHidden/>
          </w:rPr>
          <w:instrText xml:space="preserve"> PAGEREF _Toc507506616 \h </w:instrText>
        </w:r>
        <w:r w:rsidR="00B23625">
          <w:rPr>
            <w:noProof/>
            <w:webHidden/>
          </w:rPr>
        </w:r>
        <w:r w:rsidR="00B23625">
          <w:rPr>
            <w:noProof/>
            <w:webHidden/>
          </w:rPr>
          <w:fldChar w:fldCharType="separate"/>
        </w:r>
        <w:r w:rsidR="003F6459">
          <w:rPr>
            <w:noProof/>
            <w:webHidden/>
          </w:rPr>
          <w:t>iv</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17" w:history="1">
        <w:r w:rsidR="00B23625" w:rsidRPr="00855843">
          <w:rPr>
            <w:rStyle w:val="Kpr"/>
            <w:noProof/>
          </w:rPr>
          <w:t>Table of Contents</w:t>
        </w:r>
        <w:r w:rsidR="00B23625">
          <w:rPr>
            <w:noProof/>
            <w:webHidden/>
          </w:rPr>
          <w:tab/>
        </w:r>
        <w:r w:rsidR="00B23625">
          <w:rPr>
            <w:noProof/>
            <w:webHidden/>
          </w:rPr>
          <w:fldChar w:fldCharType="begin"/>
        </w:r>
        <w:r w:rsidR="00B23625">
          <w:rPr>
            <w:noProof/>
            <w:webHidden/>
          </w:rPr>
          <w:instrText xml:space="preserve"> PAGEREF _Toc507506617 \h </w:instrText>
        </w:r>
        <w:r w:rsidR="00B23625">
          <w:rPr>
            <w:noProof/>
            <w:webHidden/>
          </w:rPr>
        </w:r>
        <w:r w:rsidR="00B23625">
          <w:rPr>
            <w:noProof/>
            <w:webHidden/>
          </w:rPr>
          <w:fldChar w:fldCharType="separate"/>
        </w:r>
        <w:r>
          <w:rPr>
            <w:noProof/>
            <w:webHidden/>
          </w:rPr>
          <w:t>vi</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18" w:history="1">
        <w:r w:rsidR="00B23625" w:rsidRPr="00855843">
          <w:rPr>
            <w:rStyle w:val="Kpr"/>
            <w:noProof/>
          </w:rPr>
          <w:t>List of Tables</w:t>
        </w:r>
        <w:r w:rsidR="00B23625">
          <w:rPr>
            <w:noProof/>
            <w:webHidden/>
          </w:rPr>
          <w:tab/>
        </w:r>
        <w:r w:rsidR="00B23625">
          <w:rPr>
            <w:noProof/>
            <w:webHidden/>
          </w:rPr>
          <w:fldChar w:fldCharType="begin"/>
        </w:r>
        <w:r w:rsidR="00B23625">
          <w:rPr>
            <w:noProof/>
            <w:webHidden/>
          </w:rPr>
          <w:instrText xml:space="preserve"> PAGEREF _Toc507506618 \h </w:instrText>
        </w:r>
        <w:r w:rsidR="00B23625">
          <w:rPr>
            <w:noProof/>
            <w:webHidden/>
          </w:rPr>
        </w:r>
        <w:r w:rsidR="00B23625">
          <w:rPr>
            <w:noProof/>
            <w:webHidden/>
          </w:rPr>
          <w:fldChar w:fldCharType="separate"/>
        </w:r>
        <w:r>
          <w:rPr>
            <w:noProof/>
            <w:webHidden/>
          </w:rPr>
          <w:t>ix</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19" w:history="1">
        <w:r w:rsidR="00B23625" w:rsidRPr="00855843">
          <w:rPr>
            <w:rStyle w:val="Kpr"/>
            <w:noProof/>
          </w:rPr>
          <w:t>List of Figures</w:t>
        </w:r>
        <w:r w:rsidR="00B23625">
          <w:rPr>
            <w:noProof/>
            <w:webHidden/>
          </w:rPr>
          <w:tab/>
        </w:r>
        <w:r w:rsidR="00B23625">
          <w:rPr>
            <w:noProof/>
            <w:webHidden/>
          </w:rPr>
          <w:fldChar w:fldCharType="begin"/>
        </w:r>
        <w:r w:rsidR="00B23625">
          <w:rPr>
            <w:noProof/>
            <w:webHidden/>
          </w:rPr>
          <w:instrText xml:space="preserve"> PAGEREF _Toc507506619 \h </w:instrText>
        </w:r>
        <w:r w:rsidR="00B23625">
          <w:rPr>
            <w:noProof/>
            <w:webHidden/>
          </w:rPr>
        </w:r>
        <w:r w:rsidR="00B23625">
          <w:rPr>
            <w:noProof/>
            <w:webHidden/>
          </w:rPr>
          <w:fldChar w:fldCharType="separate"/>
        </w:r>
        <w:r>
          <w:rPr>
            <w:noProof/>
            <w:webHidden/>
          </w:rPr>
          <w:t>x</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20" w:history="1">
        <w:r w:rsidR="00B23625" w:rsidRPr="00855843">
          <w:rPr>
            <w:rStyle w:val="Kpr"/>
            <w:noProof/>
          </w:rPr>
          <w:t>Abstract</w:t>
        </w:r>
        <w:r w:rsidR="00B23625">
          <w:rPr>
            <w:noProof/>
            <w:webHidden/>
          </w:rPr>
          <w:tab/>
        </w:r>
        <w:r w:rsidR="00B23625">
          <w:rPr>
            <w:noProof/>
            <w:webHidden/>
          </w:rPr>
          <w:fldChar w:fldCharType="begin"/>
        </w:r>
        <w:r w:rsidR="00B23625">
          <w:rPr>
            <w:noProof/>
            <w:webHidden/>
          </w:rPr>
          <w:instrText xml:space="preserve"> PAGEREF _Toc507506620 \h </w:instrText>
        </w:r>
        <w:r w:rsidR="00B23625">
          <w:rPr>
            <w:noProof/>
            <w:webHidden/>
          </w:rPr>
        </w:r>
        <w:r w:rsidR="00B23625">
          <w:rPr>
            <w:noProof/>
            <w:webHidden/>
          </w:rPr>
          <w:fldChar w:fldCharType="separate"/>
        </w:r>
        <w:r>
          <w:rPr>
            <w:noProof/>
            <w:webHidden/>
          </w:rPr>
          <w:t>xiii</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21" w:history="1">
        <w:r w:rsidR="00B23625" w:rsidRPr="00855843">
          <w:rPr>
            <w:rStyle w:val="Kpr"/>
            <w:noProof/>
          </w:rPr>
          <w:t>Chapter 1: Introduction</w:t>
        </w:r>
        <w:r w:rsidR="00B23625">
          <w:rPr>
            <w:noProof/>
            <w:webHidden/>
          </w:rPr>
          <w:tab/>
        </w:r>
        <w:r w:rsidR="00B23625">
          <w:rPr>
            <w:noProof/>
            <w:webHidden/>
          </w:rPr>
          <w:fldChar w:fldCharType="begin"/>
        </w:r>
        <w:r w:rsidR="00B23625">
          <w:rPr>
            <w:noProof/>
            <w:webHidden/>
          </w:rPr>
          <w:instrText xml:space="preserve"> PAGEREF _Toc507506621 \h </w:instrText>
        </w:r>
        <w:r w:rsidR="00B23625">
          <w:rPr>
            <w:noProof/>
            <w:webHidden/>
          </w:rPr>
        </w:r>
        <w:r w:rsidR="00B23625">
          <w:rPr>
            <w:noProof/>
            <w:webHidden/>
          </w:rPr>
          <w:fldChar w:fldCharType="separate"/>
        </w:r>
        <w:r>
          <w:rPr>
            <w:noProof/>
            <w:webHidden/>
          </w:rPr>
          <w:t>1</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22" w:history="1">
        <w:r w:rsidR="00B23625" w:rsidRPr="00855843">
          <w:rPr>
            <w:rStyle w:val="Kpr"/>
            <w:noProof/>
          </w:rPr>
          <w:t>Chapter 2: Geological Background</w:t>
        </w:r>
        <w:r w:rsidR="00B23625">
          <w:rPr>
            <w:noProof/>
            <w:webHidden/>
          </w:rPr>
          <w:tab/>
        </w:r>
        <w:r w:rsidR="00B23625">
          <w:rPr>
            <w:noProof/>
            <w:webHidden/>
          </w:rPr>
          <w:fldChar w:fldCharType="begin"/>
        </w:r>
        <w:r w:rsidR="00B23625">
          <w:rPr>
            <w:noProof/>
            <w:webHidden/>
          </w:rPr>
          <w:instrText xml:space="preserve"> PAGEREF _Toc507506622 \h </w:instrText>
        </w:r>
        <w:r w:rsidR="00B23625">
          <w:rPr>
            <w:noProof/>
            <w:webHidden/>
          </w:rPr>
        </w:r>
        <w:r w:rsidR="00B23625">
          <w:rPr>
            <w:noProof/>
            <w:webHidden/>
          </w:rPr>
          <w:fldChar w:fldCharType="separate"/>
        </w:r>
        <w:r>
          <w:rPr>
            <w:noProof/>
            <w:webHidden/>
          </w:rPr>
          <w:t>4</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23" w:history="1">
        <w:r w:rsidR="00B23625" w:rsidRPr="00855843">
          <w:rPr>
            <w:rStyle w:val="Kpr"/>
            <w:noProof/>
          </w:rPr>
          <w:t>2.1 Geologic History of the Anadarko Basin</w:t>
        </w:r>
        <w:r w:rsidR="00B23625">
          <w:rPr>
            <w:noProof/>
            <w:webHidden/>
          </w:rPr>
          <w:tab/>
        </w:r>
        <w:r w:rsidR="00B23625">
          <w:rPr>
            <w:noProof/>
            <w:webHidden/>
          </w:rPr>
          <w:fldChar w:fldCharType="begin"/>
        </w:r>
        <w:r w:rsidR="00B23625">
          <w:rPr>
            <w:noProof/>
            <w:webHidden/>
          </w:rPr>
          <w:instrText xml:space="preserve"> PAGEREF _Toc507506623 \h </w:instrText>
        </w:r>
        <w:r w:rsidR="00B23625">
          <w:rPr>
            <w:noProof/>
            <w:webHidden/>
          </w:rPr>
        </w:r>
        <w:r w:rsidR="00B23625">
          <w:rPr>
            <w:noProof/>
            <w:webHidden/>
          </w:rPr>
          <w:fldChar w:fldCharType="separate"/>
        </w:r>
        <w:r>
          <w:rPr>
            <w:noProof/>
            <w:webHidden/>
          </w:rPr>
          <w:t>4</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24" w:history="1">
        <w:r w:rsidR="00B23625" w:rsidRPr="00855843">
          <w:rPr>
            <w:rStyle w:val="Kpr"/>
            <w:noProof/>
          </w:rPr>
          <w:t>2.2 Previous Studies on the Morrow Formation</w:t>
        </w:r>
        <w:r w:rsidR="00B23625">
          <w:rPr>
            <w:noProof/>
            <w:webHidden/>
          </w:rPr>
          <w:tab/>
        </w:r>
        <w:r w:rsidR="00B23625">
          <w:rPr>
            <w:noProof/>
            <w:webHidden/>
          </w:rPr>
          <w:fldChar w:fldCharType="begin"/>
        </w:r>
        <w:r w:rsidR="00B23625">
          <w:rPr>
            <w:noProof/>
            <w:webHidden/>
          </w:rPr>
          <w:instrText xml:space="preserve"> PAGEREF _Toc507506624 \h </w:instrText>
        </w:r>
        <w:r w:rsidR="00B23625">
          <w:rPr>
            <w:noProof/>
            <w:webHidden/>
          </w:rPr>
        </w:r>
        <w:r w:rsidR="00B23625">
          <w:rPr>
            <w:noProof/>
            <w:webHidden/>
          </w:rPr>
          <w:fldChar w:fldCharType="separate"/>
        </w:r>
        <w:r>
          <w:rPr>
            <w:noProof/>
            <w:webHidden/>
          </w:rPr>
          <w:t>9</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25" w:history="1">
        <w:r w:rsidR="00B23625" w:rsidRPr="00855843">
          <w:rPr>
            <w:rStyle w:val="Kpr"/>
            <w:noProof/>
          </w:rPr>
          <w:t xml:space="preserve">2.3 </w:t>
        </w:r>
        <w:r w:rsidR="007346E1">
          <w:rPr>
            <w:rStyle w:val="Kpr"/>
            <w:noProof/>
          </w:rPr>
          <w:t xml:space="preserve">The </w:t>
        </w:r>
        <w:r w:rsidR="00B23625" w:rsidRPr="00855843">
          <w:rPr>
            <w:rStyle w:val="Kpr"/>
            <w:noProof/>
          </w:rPr>
          <w:t>Early Pennsylvanian World in North America</w:t>
        </w:r>
        <w:r w:rsidR="00B23625">
          <w:rPr>
            <w:noProof/>
            <w:webHidden/>
          </w:rPr>
          <w:tab/>
        </w:r>
        <w:r w:rsidR="00B23625">
          <w:rPr>
            <w:noProof/>
            <w:webHidden/>
          </w:rPr>
          <w:fldChar w:fldCharType="begin"/>
        </w:r>
        <w:r w:rsidR="00B23625">
          <w:rPr>
            <w:noProof/>
            <w:webHidden/>
          </w:rPr>
          <w:instrText xml:space="preserve"> PAGEREF _Toc507506625 \h </w:instrText>
        </w:r>
        <w:r w:rsidR="00B23625">
          <w:rPr>
            <w:noProof/>
            <w:webHidden/>
          </w:rPr>
        </w:r>
        <w:r w:rsidR="00B23625">
          <w:rPr>
            <w:noProof/>
            <w:webHidden/>
          </w:rPr>
          <w:fldChar w:fldCharType="separate"/>
        </w:r>
        <w:r>
          <w:rPr>
            <w:noProof/>
            <w:webHidden/>
          </w:rPr>
          <w:t>12</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26" w:history="1">
        <w:r w:rsidR="00B23625" w:rsidRPr="00855843">
          <w:rPr>
            <w:rStyle w:val="Kpr"/>
            <w:noProof/>
          </w:rPr>
          <w:t>2.3 The Morrow Stratigraphy</w:t>
        </w:r>
        <w:r w:rsidR="00B23625">
          <w:rPr>
            <w:noProof/>
            <w:webHidden/>
          </w:rPr>
          <w:tab/>
        </w:r>
        <w:r w:rsidR="00B23625">
          <w:rPr>
            <w:noProof/>
            <w:webHidden/>
          </w:rPr>
          <w:fldChar w:fldCharType="begin"/>
        </w:r>
        <w:r w:rsidR="00B23625">
          <w:rPr>
            <w:noProof/>
            <w:webHidden/>
          </w:rPr>
          <w:instrText xml:space="preserve"> PAGEREF _Toc507506626 \h </w:instrText>
        </w:r>
        <w:r w:rsidR="00B23625">
          <w:rPr>
            <w:noProof/>
            <w:webHidden/>
          </w:rPr>
        </w:r>
        <w:r w:rsidR="00B23625">
          <w:rPr>
            <w:noProof/>
            <w:webHidden/>
          </w:rPr>
          <w:fldChar w:fldCharType="separate"/>
        </w:r>
        <w:r>
          <w:rPr>
            <w:noProof/>
            <w:webHidden/>
          </w:rPr>
          <w:t>15</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27" w:history="1">
        <w:r w:rsidR="00B23625" w:rsidRPr="00855843">
          <w:rPr>
            <w:rStyle w:val="Kpr"/>
            <w:noProof/>
          </w:rPr>
          <w:t>2.4 Depositional Environment of the Morrow Shale in Oklahoma</w:t>
        </w:r>
        <w:r w:rsidR="00B23625">
          <w:rPr>
            <w:noProof/>
            <w:webHidden/>
          </w:rPr>
          <w:tab/>
        </w:r>
        <w:r w:rsidR="00B23625">
          <w:rPr>
            <w:noProof/>
            <w:webHidden/>
          </w:rPr>
          <w:fldChar w:fldCharType="begin"/>
        </w:r>
        <w:r w:rsidR="00B23625">
          <w:rPr>
            <w:noProof/>
            <w:webHidden/>
          </w:rPr>
          <w:instrText xml:space="preserve"> PAGEREF _Toc507506627 \h </w:instrText>
        </w:r>
        <w:r w:rsidR="00B23625">
          <w:rPr>
            <w:noProof/>
            <w:webHidden/>
          </w:rPr>
        </w:r>
        <w:r w:rsidR="00B23625">
          <w:rPr>
            <w:noProof/>
            <w:webHidden/>
          </w:rPr>
          <w:fldChar w:fldCharType="separate"/>
        </w:r>
        <w:r>
          <w:rPr>
            <w:noProof/>
            <w:webHidden/>
          </w:rPr>
          <w:t>17</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28" w:history="1">
        <w:r w:rsidR="00B23625" w:rsidRPr="00855843">
          <w:rPr>
            <w:rStyle w:val="Kpr"/>
            <w:noProof/>
          </w:rPr>
          <w:t>2.5 The Morrow Formation in a Sequence Stratigraphic Framework</w:t>
        </w:r>
        <w:r w:rsidR="00B23625">
          <w:rPr>
            <w:noProof/>
            <w:webHidden/>
          </w:rPr>
          <w:tab/>
        </w:r>
        <w:r w:rsidR="00B23625">
          <w:rPr>
            <w:noProof/>
            <w:webHidden/>
          </w:rPr>
          <w:fldChar w:fldCharType="begin"/>
        </w:r>
        <w:r w:rsidR="00B23625">
          <w:rPr>
            <w:noProof/>
            <w:webHidden/>
          </w:rPr>
          <w:instrText xml:space="preserve"> PAGEREF _Toc507506628 \h </w:instrText>
        </w:r>
        <w:r w:rsidR="00B23625">
          <w:rPr>
            <w:noProof/>
            <w:webHidden/>
          </w:rPr>
        </w:r>
        <w:r w:rsidR="00B23625">
          <w:rPr>
            <w:noProof/>
            <w:webHidden/>
          </w:rPr>
          <w:fldChar w:fldCharType="separate"/>
        </w:r>
        <w:r>
          <w:rPr>
            <w:noProof/>
            <w:webHidden/>
          </w:rPr>
          <w:t>21</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29" w:history="1">
        <w:r w:rsidR="00B23625" w:rsidRPr="00855843">
          <w:rPr>
            <w:rStyle w:val="Kpr"/>
            <w:noProof/>
          </w:rPr>
          <w:t>Chapter 3: Methodology</w:t>
        </w:r>
        <w:r w:rsidR="00B23625">
          <w:rPr>
            <w:noProof/>
            <w:webHidden/>
          </w:rPr>
          <w:tab/>
        </w:r>
        <w:r w:rsidR="00B23625">
          <w:rPr>
            <w:noProof/>
            <w:webHidden/>
          </w:rPr>
          <w:fldChar w:fldCharType="begin"/>
        </w:r>
        <w:r w:rsidR="00B23625">
          <w:rPr>
            <w:noProof/>
            <w:webHidden/>
          </w:rPr>
          <w:instrText xml:space="preserve"> PAGEREF _Toc507506629 \h </w:instrText>
        </w:r>
        <w:r w:rsidR="00B23625">
          <w:rPr>
            <w:noProof/>
            <w:webHidden/>
          </w:rPr>
        </w:r>
        <w:r w:rsidR="00B23625">
          <w:rPr>
            <w:noProof/>
            <w:webHidden/>
          </w:rPr>
          <w:fldChar w:fldCharType="separate"/>
        </w:r>
        <w:r>
          <w:rPr>
            <w:noProof/>
            <w:webHidden/>
          </w:rPr>
          <w:t>25</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30" w:history="1">
        <w:r w:rsidR="00B23625" w:rsidRPr="00855843">
          <w:rPr>
            <w:rStyle w:val="Kpr"/>
            <w:noProof/>
          </w:rPr>
          <w:t>3.1 Study Area and Sample Locations</w:t>
        </w:r>
        <w:r w:rsidR="00B23625">
          <w:rPr>
            <w:noProof/>
            <w:webHidden/>
          </w:rPr>
          <w:tab/>
        </w:r>
        <w:r w:rsidR="00B23625">
          <w:rPr>
            <w:noProof/>
            <w:webHidden/>
          </w:rPr>
          <w:fldChar w:fldCharType="begin"/>
        </w:r>
        <w:r w:rsidR="00B23625">
          <w:rPr>
            <w:noProof/>
            <w:webHidden/>
          </w:rPr>
          <w:instrText xml:space="preserve"> PAGEREF _Toc507506630 \h </w:instrText>
        </w:r>
        <w:r w:rsidR="00B23625">
          <w:rPr>
            <w:noProof/>
            <w:webHidden/>
          </w:rPr>
        </w:r>
        <w:r w:rsidR="00B23625">
          <w:rPr>
            <w:noProof/>
            <w:webHidden/>
          </w:rPr>
          <w:fldChar w:fldCharType="separate"/>
        </w:r>
        <w:r>
          <w:rPr>
            <w:noProof/>
            <w:webHidden/>
          </w:rPr>
          <w:t>25</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31" w:history="1">
        <w:r w:rsidR="00B23625" w:rsidRPr="00855843">
          <w:rPr>
            <w:rStyle w:val="Kpr"/>
            <w:noProof/>
          </w:rPr>
          <w:t>3.2 Experimental Procedure</w:t>
        </w:r>
        <w:r w:rsidR="00B23625">
          <w:rPr>
            <w:noProof/>
            <w:webHidden/>
          </w:rPr>
          <w:tab/>
        </w:r>
        <w:r w:rsidR="00B23625">
          <w:rPr>
            <w:noProof/>
            <w:webHidden/>
          </w:rPr>
          <w:fldChar w:fldCharType="begin"/>
        </w:r>
        <w:r w:rsidR="00B23625">
          <w:rPr>
            <w:noProof/>
            <w:webHidden/>
          </w:rPr>
          <w:instrText xml:space="preserve"> PAGEREF _Toc507506631 \h </w:instrText>
        </w:r>
        <w:r w:rsidR="00B23625">
          <w:rPr>
            <w:noProof/>
            <w:webHidden/>
          </w:rPr>
        </w:r>
        <w:r w:rsidR="00B23625">
          <w:rPr>
            <w:noProof/>
            <w:webHidden/>
          </w:rPr>
          <w:fldChar w:fldCharType="separate"/>
        </w:r>
        <w:r>
          <w:rPr>
            <w:noProof/>
            <w:webHidden/>
          </w:rPr>
          <w:t>28</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32" w:history="1">
        <w:r w:rsidR="00B23625" w:rsidRPr="00855843">
          <w:rPr>
            <w:rStyle w:val="Kpr"/>
            <w:noProof/>
          </w:rPr>
          <w:t>3.2.1 Preliminary Sample Treatment</w:t>
        </w:r>
        <w:r w:rsidR="00B23625">
          <w:rPr>
            <w:noProof/>
            <w:webHidden/>
          </w:rPr>
          <w:tab/>
        </w:r>
        <w:r w:rsidR="00B23625">
          <w:rPr>
            <w:noProof/>
            <w:webHidden/>
          </w:rPr>
          <w:fldChar w:fldCharType="begin"/>
        </w:r>
        <w:r w:rsidR="00B23625">
          <w:rPr>
            <w:noProof/>
            <w:webHidden/>
          </w:rPr>
          <w:instrText xml:space="preserve"> PAGEREF _Toc507506632 \h </w:instrText>
        </w:r>
        <w:r w:rsidR="00B23625">
          <w:rPr>
            <w:noProof/>
            <w:webHidden/>
          </w:rPr>
        </w:r>
        <w:r w:rsidR="00B23625">
          <w:rPr>
            <w:noProof/>
            <w:webHidden/>
          </w:rPr>
          <w:fldChar w:fldCharType="separate"/>
        </w:r>
        <w:r>
          <w:rPr>
            <w:noProof/>
            <w:webHidden/>
          </w:rPr>
          <w:t>28</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33" w:history="1">
        <w:r w:rsidR="00B23625" w:rsidRPr="00855843">
          <w:rPr>
            <w:rStyle w:val="Kpr"/>
            <w:noProof/>
          </w:rPr>
          <w:t>3.2.2 Rock Eval Pyrolysis</w:t>
        </w:r>
        <w:r w:rsidR="00B23625">
          <w:rPr>
            <w:noProof/>
            <w:webHidden/>
          </w:rPr>
          <w:tab/>
        </w:r>
        <w:r w:rsidR="00B23625">
          <w:rPr>
            <w:noProof/>
            <w:webHidden/>
          </w:rPr>
          <w:fldChar w:fldCharType="begin"/>
        </w:r>
        <w:r w:rsidR="00B23625">
          <w:rPr>
            <w:noProof/>
            <w:webHidden/>
          </w:rPr>
          <w:instrText xml:space="preserve"> PAGEREF _Toc507506633 \h </w:instrText>
        </w:r>
        <w:r w:rsidR="00B23625">
          <w:rPr>
            <w:noProof/>
            <w:webHidden/>
          </w:rPr>
        </w:r>
        <w:r w:rsidR="00B23625">
          <w:rPr>
            <w:noProof/>
            <w:webHidden/>
          </w:rPr>
          <w:fldChar w:fldCharType="separate"/>
        </w:r>
        <w:r>
          <w:rPr>
            <w:noProof/>
            <w:webHidden/>
          </w:rPr>
          <w:t>30</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34" w:history="1">
        <w:r w:rsidR="00B23625" w:rsidRPr="00855843">
          <w:rPr>
            <w:rStyle w:val="Kpr"/>
            <w:noProof/>
          </w:rPr>
          <w:t>3.2.3 Soxhlet Extraction</w:t>
        </w:r>
        <w:r w:rsidR="00B23625">
          <w:rPr>
            <w:noProof/>
            <w:webHidden/>
          </w:rPr>
          <w:tab/>
        </w:r>
        <w:r w:rsidR="00B23625">
          <w:rPr>
            <w:noProof/>
            <w:webHidden/>
          </w:rPr>
          <w:fldChar w:fldCharType="begin"/>
        </w:r>
        <w:r w:rsidR="00B23625">
          <w:rPr>
            <w:noProof/>
            <w:webHidden/>
          </w:rPr>
          <w:instrText xml:space="preserve"> PAGEREF _Toc507506634 \h </w:instrText>
        </w:r>
        <w:r w:rsidR="00B23625">
          <w:rPr>
            <w:noProof/>
            <w:webHidden/>
          </w:rPr>
        </w:r>
        <w:r w:rsidR="00B23625">
          <w:rPr>
            <w:noProof/>
            <w:webHidden/>
          </w:rPr>
          <w:fldChar w:fldCharType="separate"/>
        </w:r>
        <w:r>
          <w:rPr>
            <w:noProof/>
            <w:webHidden/>
          </w:rPr>
          <w:t>34</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35" w:history="1">
        <w:r w:rsidR="00B23625" w:rsidRPr="00855843">
          <w:rPr>
            <w:rStyle w:val="Kpr"/>
            <w:noProof/>
          </w:rPr>
          <w:t>3.2.4 Deasphalting of the Bitumen</w:t>
        </w:r>
        <w:r w:rsidR="00B23625">
          <w:rPr>
            <w:noProof/>
            <w:webHidden/>
          </w:rPr>
          <w:tab/>
        </w:r>
        <w:r w:rsidR="00B23625">
          <w:rPr>
            <w:noProof/>
            <w:webHidden/>
          </w:rPr>
          <w:fldChar w:fldCharType="begin"/>
        </w:r>
        <w:r w:rsidR="00B23625">
          <w:rPr>
            <w:noProof/>
            <w:webHidden/>
          </w:rPr>
          <w:instrText xml:space="preserve"> PAGEREF _Toc507506635 \h </w:instrText>
        </w:r>
        <w:r w:rsidR="00B23625">
          <w:rPr>
            <w:noProof/>
            <w:webHidden/>
          </w:rPr>
        </w:r>
        <w:r w:rsidR="00B23625">
          <w:rPr>
            <w:noProof/>
            <w:webHidden/>
          </w:rPr>
          <w:fldChar w:fldCharType="separate"/>
        </w:r>
        <w:r>
          <w:rPr>
            <w:noProof/>
            <w:webHidden/>
          </w:rPr>
          <w:t>35</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36" w:history="1">
        <w:r w:rsidR="00B23625" w:rsidRPr="00855843">
          <w:rPr>
            <w:rStyle w:val="Kpr"/>
            <w:noProof/>
          </w:rPr>
          <w:t>3.2.5 Maltene Fractionation: Column Chromatography</w:t>
        </w:r>
        <w:r w:rsidR="00B23625">
          <w:rPr>
            <w:noProof/>
            <w:webHidden/>
          </w:rPr>
          <w:tab/>
        </w:r>
        <w:r w:rsidR="00B23625">
          <w:rPr>
            <w:noProof/>
            <w:webHidden/>
          </w:rPr>
          <w:fldChar w:fldCharType="begin"/>
        </w:r>
        <w:r w:rsidR="00B23625">
          <w:rPr>
            <w:noProof/>
            <w:webHidden/>
          </w:rPr>
          <w:instrText xml:space="preserve"> PAGEREF _Toc507506636 \h </w:instrText>
        </w:r>
        <w:r w:rsidR="00B23625">
          <w:rPr>
            <w:noProof/>
            <w:webHidden/>
          </w:rPr>
        </w:r>
        <w:r w:rsidR="00B23625">
          <w:rPr>
            <w:noProof/>
            <w:webHidden/>
          </w:rPr>
          <w:fldChar w:fldCharType="separate"/>
        </w:r>
        <w:r>
          <w:rPr>
            <w:noProof/>
            <w:webHidden/>
          </w:rPr>
          <w:t>35</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37" w:history="1">
        <w:r w:rsidR="00B23625" w:rsidRPr="00855843">
          <w:rPr>
            <w:rStyle w:val="Kpr"/>
            <w:noProof/>
          </w:rPr>
          <w:t>3.2.6 Gas Chromatography</w:t>
        </w:r>
        <w:r w:rsidR="00B23625">
          <w:rPr>
            <w:noProof/>
            <w:webHidden/>
          </w:rPr>
          <w:tab/>
        </w:r>
        <w:r w:rsidR="00B23625">
          <w:rPr>
            <w:noProof/>
            <w:webHidden/>
          </w:rPr>
          <w:fldChar w:fldCharType="begin"/>
        </w:r>
        <w:r w:rsidR="00B23625">
          <w:rPr>
            <w:noProof/>
            <w:webHidden/>
          </w:rPr>
          <w:instrText xml:space="preserve"> PAGEREF _Toc507506637 \h </w:instrText>
        </w:r>
        <w:r w:rsidR="00B23625">
          <w:rPr>
            <w:noProof/>
            <w:webHidden/>
          </w:rPr>
        </w:r>
        <w:r w:rsidR="00B23625">
          <w:rPr>
            <w:noProof/>
            <w:webHidden/>
          </w:rPr>
          <w:fldChar w:fldCharType="separate"/>
        </w:r>
        <w:r>
          <w:rPr>
            <w:noProof/>
            <w:webHidden/>
          </w:rPr>
          <w:t>37</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38" w:history="1">
        <w:r w:rsidR="00B23625" w:rsidRPr="00855843">
          <w:rPr>
            <w:rStyle w:val="Kpr"/>
            <w:noProof/>
          </w:rPr>
          <w:t>3.2.7 Gas Chromatography-Mass Spectrometry</w:t>
        </w:r>
        <w:r w:rsidR="00B23625">
          <w:rPr>
            <w:noProof/>
            <w:webHidden/>
          </w:rPr>
          <w:tab/>
        </w:r>
        <w:r w:rsidR="00B23625">
          <w:rPr>
            <w:noProof/>
            <w:webHidden/>
          </w:rPr>
          <w:fldChar w:fldCharType="begin"/>
        </w:r>
        <w:r w:rsidR="00B23625">
          <w:rPr>
            <w:noProof/>
            <w:webHidden/>
          </w:rPr>
          <w:instrText xml:space="preserve"> PAGEREF _Toc507506638 \h </w:instrText>
        </w:r>
        <w:r w:rsidR="00B23625">
          <w:rPr>
            <w:noProof/>
            <w:webHidden/>
          </w:rPr>
        </w:r>
        <w:r w:rsidR="00B23625">
          <w:rPr>
            <w:noProof/>
            <w:webHidden/>
          </w:rPr>
          <w:fldChar w:fldCharType="separate"/>
        </w:r>
        <w:r>
          <w:rPr>
            <w:noProof/>
            <w:webHidden/>
          </w:rPr>
          <w:t>38</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39" w:history="1">
        <w:r w:rsidR="00B23625" w:rsidRPr="00855843">
          <w:rPr>
            <w:rStyle w:val="Kpr"/>
            <w:noProof/>
          </w:rPr>
          <w:t>3.2.8 Gas Chromatography-Mass Spectrometry-Mass Spectrometry</w:t>
        </w:r>
        <w:r w:rsidR="00B23625">
          <w:rPr>
            <w:noProof/>
            <w:webHidden/>
          </w:rPr>
          <w:tab/>
        </w:r>
        <w:r w:rsidR="00B23625">
          <w:rPr>
            <w:noProof/>
            <w:webHidden/>
          </w:rPr>
          <w:fldChar w:fldCharType="begin"/>
        </w:r>
        <w:r w:rsidR="00B23625">
          <w:rPr>
            <w:noProof/>
            <w:webHidden/>
          </w:rPr>
          <w:instrText xml:space="preserve"> PAGEREF _Toc507506639 \h </w:instrText>
        </w:r>
        <w:r w:rsidR="00B23625">
          <w:rPr>
            <w:noProof/>
            <w:webHidden/>
          </w:rPr>
        </w:r>
        <w:r w:rsidR="00B23625">
          <w:rPr>
            <w:noProof/>
            <w:webHidden/>
          </w:rPr>
          <w:fldChar w:fldCharType="separate"/>
        </w:r>
        <w:r>
          <w:rPr>
            <w:noProof/>
            <w:webHidden/>
          </w:rPr>
          <w:t>38</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40" w:history="1">
        <w:r w:rsidR="00B23625" w:rsidRPr="00855843">
          <w:rPr>
            <w:rStyle w:val="Kpr"/>
            <w:noProof/>
          </w:rPr>
          <w:t>Chapter 4: Results and Discussion</w:t>
        </w:r>
        <w:r w:rsidR="00B23625">
          <w:rPr>
            <w:noProof/>
            <w:webHidden/>
          </w:rPr>
          <w:tab/>
        </w:r>
        <w:r w:rsidR="00B23625">
          <w:rPr>
            <w:noProof/>
            <w:webHidden/>
          </w:rPr>
          <w:fldChar w:fldCharType="begin"/>
        </w:r>
        <w:r w:rsidR="00B23625">
          <w:rPr>
            <w:noProof/>
            <w:webHidden/>
          </w:rPr>
          <w:instrText xml:space="preserve"> PAGEREF _Toc507506640 \h </w:instrText>
        </w:r>
        <w:r w:rsidR="00B23625">
          <w:rPr>
            <w:noProof/>
            <w:webHidden/>
          </w:rPr>
        </w:r>
        <w:r w:rsidR="00B23625">
          <w:rPr>
            <w:noProof/>
            <w:webHidden/>
          </w:rPr>
          <w:fldChar w:fldCharType="separate"/>
        </w:r>
        <w:r>
          <w:rPr>
            <w:noProof/>
            <w:webHidden/>
          </w:rPr>
          <w:t>39</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41" w:history="1">
        <w:r w:rsidR="00B23625" w:rsidRPr="00855843">
          <w:rPr>
            <w:rStyle w:val="Kpr"/>
            <w:noProof/>
          </w:rPr>
          <w:t>4.1 Source Rock Characterization</w:t>
        </w:r>
        <w:r w:rsidR="00B23625">
          <w:rPr>
            <w:noProof/>
            <w:webHidden/>
          </w:rPr>
          <w:tab/>
        </w:r>
        <w:r w:rsidR="00B23625">
          <w:rPr>
            <w:noProof/>
            <w:webHidden/>
          </w:rPr>
          <w:fldChar w:fldCharType="begin"/>
        </w:r>
        <w:r w:rsidR="00B23625">
          <w:rPr>
            <w:noProof/>
            <w:webHidden/>
          </w:rPr>
          <w:instrText xml:space="preserve"> PAGEREF _Toc507506641 \h </w:instrText>
        </w:r>
        <w:r w:rsidR="00B23625">
          <w:rPr>
            <w:noProof/>
            <w:webHidden/>
          </w:rPr>
        </w:r>
        <w:r w:rsidR="00B23625">
          <w:rPr>
            <w:noProof/>
            <w:webHidden/>
          </w:rPr>
          <w:fldChar w:fldCharType="separate"/>
        </w:r>
        <w:r>
          <w:rPr>
            <w:noProof/>
            <w:webHidden/>
          </w:rPr>
          <w:t>39</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42" w:history="1">
        <w:r w:rsidR="00B23625" w:rsidRPr="00855843">
          <w:rPr>
            <w:rStyle w:val="Kpr"/>
            <w:noProof/>
          </w:rPr>
          <w:t>4.1.1. Total Organic Content</w:t>
        </w:r>
        <w:r w:rsidR="00B23625">
          <w:rPr>
            <w:noProof/>
            <w:webHidden/>
          </w:rPr>
          <w:tab/>
        </w:r>
        <w:r w:rsidR="00B23625">
          <w:rPr>
            <w:noProof/>
            <w:webHidden/>
          </w:rPr>
          <w:fldChar w:fldCharType="begin"/>
        </w:r>
        <w:r w:rsidR="00B23625">
          <w:rPr>
            <w:noProof/>
            <w:webHidden/>
          </w:rPr>
          <w:instrText xml:space="preserve"> PAGEREF _Toc507506642 \h </w:instrText>
        </w:r>
        <w:r w:rsidR="00B23625">
          <w:rPr>
            <w:noProof/>
            <w:webHidden/>
          </w:rPr>
        </w:r>
        <w:r w:rsidR="00B23625">
          <w:rPr>
            <w:noProof/>
            <w:webHidden/>
          </w:rPr>
          <w:fldChar w:fldCharType="separate"/>
        </w:r>
        <w:r>
          <w:rPr>
            <w:noProof/>
            <w:webHidden/>
          </w:rPr>
          <w:t>43</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43" w:history="1">
        <w:r w:rsidR="00B23625" w:rsidRPr="00855843">
          <w:rPr>
            <w:rStyle w:val="Kpr"/>
            <w:noProof/>
          </w:rPr>
          <w:t>4.1.2 Kerogen Classification</w:t>
        </w:r>
        <w:r w:rsidR="00B23625">
          <w:rPr>
            <w:noProof/>
            <w:webHidden/>
          </w:rPr>
          <w:tab/>
        </w:r>
        <w:r w:rsidR="00B23625">
          <w:rPr>
            <w:noProof/>
            <w:webHidden/>
          </w:rPr>
          <w:fldChar w:fldCharType="begin"/>
        </w:r>
        <w:r w:rsidR="00B23625">
          <w:rPr>
            <w:noProof/>
            <w:webHidden/>
          </w:rPr>
          <w:instrText xml:space="preserve"> PAGEREF _Toc507506643 \h </w:instrText>
        </w:r>
        <w:r w:rsidR="00B23625">
          <w:rPr>
            <w:noProof/>
            <w:webHidden/>
          </w:rPr>
        </w:r>
        <w:r w:rsidR="00B23625">
          <w:rPr>
            <w:noProof/>
            <w:webHidden/>
          </w:rPr>
          <w:fldChar w:fldCharType="separate"/>
        </w:r>
        <w:r>
          <w:rPr>
            <w:noProof/>
            <w:webHidden/>
          </w:rPr>
          <w:t>45</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44" w:history="1">
        <w:r w:rsidR="00B23625" w:rsidRPr="00855843">
          <w:rPr>
            <w:rStyle w:val="Kpr"/>
            <w:noProof/>
          </w:rPr>
          <w:t>4.1.3 Thermal Maturity</w:t>
        </w:r>
        <w:r w:rsidR="00B23625">
          <w:rPr>
            <w:noProof/>
            <w:webHidden/>
          </w:rPr>
          <w:tab/>
        </w:r>
        <w:r w:rsidR="00B23625">
          <w:rPr>
            <w:noProof/>
            <w:webHidden/>
          </w:rPr>
          <w:fldChar w:fldCharType="begin"/>
        </w:r>
        <w:r w:rsidR="00B23625">
          <w:rPr>
            <w:noProof/>
            <w:webHidden/>
          </w:rPr>
          <w:instrText xml:space="preserve"> PAGEREF _Toc507506644 \h </w:instrText>
        </w:r>
        <w:r w:rsidR="00B23625">
          <w:rPr>
            <w:noProof/>
            <w:webHidden/>
          </w:rPr>
        </w:r>
        <w:r w:rsidR="00B23625">
          <w:rPr>
            <w:noProof/>
            <w:webHidden/>
          </w:rPr>
          <w:fldChar w:fldCharType="separate"/>
        </w:r>
        <w:r>
          <w:rPr>
            <w:noProof/>
            <w:webHidden/>
          </w:rPr>
          <w:t>49</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45" w:history="1">
        <w:r w:rsidR="00B23625" w:rsidRPr="00855843">
          <w:rPr>
            <w:rStyle w:val="Kpr"/>
            <w:noProof/>
          </w:rPr>
          <w:t>4.2 Fraction Yields</w:t>
        </w:r>
        <w:r w:rsidR="00B23625">
          <w:rPr>
            <w:noProof/>
            <w:webHidden/>
          </w:rPr>
          <w:tab/>
        </w:r>
        <w:r w:rsidR="00B23625">
          <w:rPr>
            <w:noProof/>
            <w:webHidden/>
          </w:rPr>
          <w:fldChar w:fldCharType="begin"/>
        </w:r>
        <w:r w:rsidR="00B23625">
          <w:rPr>
            <w:noProof/>
            <w:webHidden/>
          </w:rPr>
          <w:instrText xml:space="preserve"> PAGEREF _Toc507506645 \h </w:instrText>
        </w:r>
        <w:r w:rsidR="00B23625">
          <w:rPr>
            <w:noProof/>
            <w:webHidden/>
          </w:rPr>
        </w:r>
        <w:r w:rsidR="00B23625">
          <w:rPr>
            <w:noProof/>
            <w:webHidden/>
          </w:rPr>
          <w:fldChar w:fldCharType="separate"/>
        </w:r>
        <w:r>
          <w:rPr>
            <w:noProof/>
            <w:webHidden/>
          </w:rPr>
          <w:t>53</w:t>
        </w:r>
        <w:r w:rsidR="00B23625">
          <w:rPr>
            <w:noProof/>
            <w:webHidden/>
          </w:rPr>
          <w:fldChar w:fldCharType="end"/>
        </w:r>
      </w:hyperlink>
    </w:p>
    <w:p w:rsidR="00B23625" w:rsidRDefault="003F6459">
      <w:pPr>
        <w:pStyle w:val="T2"/>
        <w:tabs>
          <w:tab w:val="right" w:leader="dot" w:pos="8486"/>
        </w:tabs>
        <w:rPr>
          <w:rFonts w:eastAsiaTheme="minorEastAsia" w:cstheme="minorBidi"/>
          <w:noProof/>
          <w:sz w:val="22"/>
          <w:szCs w:val="22"/>
          <w:lang w:val="tr-TR" w:eastAsia="tr-TR" w:bidi="ar-SA"/>
        </w:rPr>
      </w:pPr>
      <w:hyperlink w:anchor="_Toc507506646" w:history="1">
        <w:r w:rsidR="00B23625" w:rsidRPr="00855843">
          <w:rPr>
            <w:rStyle w:val="Kpr"/>
            <w:noProof/>
          </w:rPr>
          <w:t>4.3 Biomarker Analysis</w:t>
        </w:r>
        <w:r w:rsidR="00B23625">
          <w:rPr>
            <w:noProof/>
            <w:webHidden/>
          </w:rPr>
          <w:tab/>
        </w:r>
        <w:r w:rsidR="00B23625">
          <w:rPr>
            <w:noProof/>
            <w:webHidden/>
          </w:rPr>
          <w:fldChar w:fldCharType="begin"/>
        </w:r>
        <w:r w:rsidR="00B23625">
          <w:rPr>
            <w:noProof/>
            <w:webHidden/>
          </w:rPr>
          <w:instrText xml:space="preserve"> PAGEREF _Toc507506646 \h </w:instrText>
        </w:r>
        <w:r w:rsidR="00B23625">
          <w:rPr>
            <w:noProof/>
            <w:webHidden/>
          </w:rPr>
        </w:r>
        <w:r w:rsidR="00B23625">
          <w:rPr>
            <w:noProof/>
            <w:webHidden/>
          </w:rPr>
          <w:fldChar w:fldCharType="separate"/>
        </w:r>
        <w:r>
          <w:rPr>
            <w:noProof/>
            <w:webHidden/>
          </w:rPr>
          <w:t>55</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47" w:history="1">
        <w:r w:rsidR="00B23625" w:rsidRPr="00855843">
          <w:rPr>
            <w:rStyle w:val="Kpr"/>
            <w:noProof/>
          </w:rPr>
          <w:t>4.3.1 n-Alkanes and Isoprenoids</w:t>
        </w:r>
        <w:r w:rsidR="00B23625">
          <w:rPr>
            <w:noProof/>
            <w:webHidden/>
          </w:rPr>
          <w:tab/>
        </w:r>
        <w:r w:rsidR="00B23625">
          <w:rPr>
            <w:noProof/>
            <w:webHidden/>
          </w:rPr>
          <w:fldChar w:fldCharType="begin"/>
        </w:r>
        <w:r w:rsidR="00B23625">
          <w:rPr>
            <w:noProof/>
            <w:webHidden/>
          </w:rPr>
          <w:instrText xml:space="preserve"> PAGEREF _Toc507506647 \h </w:instrText>
        </w:r>
        <w:r w:rsidR="00B23625">
          <w:rPr>
            <w:noProof/>
            <w:webHidden/>
          </w:rPr>
        </w:r>
        <w:r w:rsidR="00B23625">
          <w:rPr>
            <w:noProof/>
            <w:webHidden/>
          </w:rPr>
          <w:fldChar w:fldCharType="separate"/>
        </w:r>
        <w:r>
          <w:rPr>
            <w:noProof/>
            <w:webHidden/>
          </w:rPr>
          <w:t>55</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48" w:history="1">
        <w:r w:rsidR="00B23625" w:rsidRPr="00855843">
          <w:rPr>
            <w:rStyle w:val="Kpr"/>
            <w:noProof/>
          </w:rPr>
          <w:t>4.3.2 Bicyclic Sesquiterpanes</w:t>
        </w:r>
        <w:r w:rsidR="00B23625">
          <w:rPr>
            <w:noProof/>
            <w:webHidden/>
          </w:rPr>
          <w:tab/>
        </w:r>
        <w:r w:rsidR="00B23625">
          <w:rPr>
            <w:noProof/>
            <w:webHidden/>
          </w:rPr>
          <w:fldChar w:fldCharType="begin"/>
        </w:r>
        <w:r w:rsidR="00B23625">
          <w:rPr>
            <w:noProof/>
            <w:webHidden/>
          </w:rPr>
          <w:instrText xml:space="preserve"> PAGEREF _Toc507506648 \h </w:instrText>
        </w:r>
        <w:r w:rsidR="00B23625">
          <w:rPr>
            <w:noProof/>
            <w:webHidden/>
          </w:rPr>
        </w:r>
        <w:r w:rsidR="00B23625">
          <w:rPr>
            <w:noProof/>
            <w:webHidden/>
          </w:rPr>
          <w:fldChar w:fldCharType="separate"/>
        </w:r>
        <w:r>
          <w:rPr>
            <w:noProof/>
            <w:webHidden/>
          </w:rPr>
          <w:t>63</w:t>
        </w:r>
        <w:r w:rsidR="00B23625">
          <w:rPr>
            <w:noProof/>
            <w:webHidden/>
          </w:rPr>
          <w:fldChar w:fldCharType="end"/>
        </w:r>
      </w:hyperlink>
    </w:p>
    <w:p w:rsidR="00B23625" w:rsidRDefault="003F6459" w:rsidP="00B23625">
      <w:pPr>
        <w:pStyle w:val="T3"/>
        <w:tabs>
          <w:tab w:val="right" w:leader="dot" w:pos="8486"/>
        </w:tabs>
        <w:rPr>
          <w:rFonts w:eastAsiaTheme="minorEastAsia" w:cstheme="minorBidi"/>
          <w:noProof/>
          <w:sz w:val="22"/>
          <w:szCs w:val="22"/>
          <w:lang w:val="tr-TR" w:eastAsia="tr-TR" w:bidi="ar-SA"/>
        </w:rPr>
      </w:pPr>
      <w:hyperlink w:anchor="_Toc507506649" w:history="1">
        <w:r w:rsidR="00B23625" w:rsidRPr="00855843">
          <w:rPr>
            <w:rStyle w:val="Kpr"/>
            <w:noProof/>
          </w:rPr>
          <w:t>4.3.3 The Tricyclic Terpanes</w:t>
        </w:r>
        <w:r w:rsidR="00B23625">
          <w:rPr>
            <w:noProof/>
            <w:webHidden/>
          </w:rPr>
          <w:tab/>
        </w:r>
        <w:r w:rsidR="00B23625">
          <w:rPr>
            <w:noProof/>
            <w:webHidden/>
          </w:rPr>
          <w:fldChar w:fldCharType="begin"/>
        </w:r>
        <w:r w:rsidR="00B23625">
          <w:rPr>
            <w:noProof/>
            <w:webHidden/>
          </w:rPr>
          <w:instrText xml:space="preserve"> PAGEREF _Toc507506649 \h </w:instrText>
        </w:r>
        <w:r w:rsidR="00B23625">
          <w:rPr>
            <w:noProof/>
            <w:webHidden/>
          </w:rPr>
        </w:r>
        <w:r w:rsidR="00B23625">
          <w:rPr>
            <w:noProof/>
            <w:webHidden/>
          </w:rPr>
          <w:fldChar w:fldCharType="separate"/>
        </w:r>
        <w:r>
          <w:rPr>
            <w:noProof/>
            <w:webHidden/>
          </w:rPr>
          <w:t>66</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51" w:history="1">
        <w:r w:rsidR="00B23625" w:rsidRPr="00855843">
          <w:rPr>
            <w:rStyle w:val="Kpr"/>
            <w:iCs/>
            <w:noProof/>
          </w:rPr>
          <w:t>4.3.4 The Pentacyclic Terpanes</w:t>
        </w:r>
        <w:r w:rsidR="00B23625">
          <w:rPr>
            <w:noProof/>
            <w:webHidden/>
          </w:rPr>
          <w:tab/>
        </w:r>
        <w:r w:rsidR="00B23625">
          <w:rPr>
            <w:noProof/>
            <w:webHidden/>
          </w:rPr>
          <w:fldChar w:fldCharType="begin"/>
        </w:r>
        <w:r w:rsidR="00B23625">
          <w:rPr>
            <w:noProof/>
            <w:webHidden/>
          </w:rPr>
          <w:instrText xml:space="preserve"> PAGEREF _Toc507506651 \h </w:instrText>
        </w:r>
        <w:r w:rsidR="00B23625">
          <w:rPr>
            <w:noProof/>
            <w:webHidden/>
          </w:rPr>
        </w:r>
        <w:r w:rsidR="00B23625">
          <w:rPr>
            <w:noProof/>
            <w:webHidden/>
          </w:rPr>
          <w:fldChar w:fldCharType="separate"/>
        </w:r>
        <w:r>
          <w:rPr>
            <w:noProof/>
            <w:webHidden/>
          </w:rPr>
          <w:t>70</w:t>
        </w:r>
        <w:r w:rsidR="00B23625">
          <w:rPr>
            <w:noProof/>
            <w:webHidden/>
          </w:rPr>
          <w:fldChar w:fldCharType="end"/>
        </w:r>
      </w:hyperlink>
    </w:p>
    <w:p w:rsidR="00B23625" w:rsidRDefault="003F6459">
      <w:pPr>
        <w:pStyle w:val="T4"/>
        <w:tabs>
          <w:tab w:val="right" w:leader="dot" w:pos="8486"/>
        </w:tabs>
        <w:rPr>
          <w:rFonts w:eastAsiaTheme="minorEastAsia" w:cstheme="minorBidi"/>
          <w:noProof/>
          <w:sz w:val="22"/>
          <w:szCs w:val="22"/>
          <w:lang w:val="tr-TR" w:eastAsia="tr-TR" w:bidi="ar-SA"/>
        </w:rPr>
      </w:pPr>
      <w:hyperlink w:anchor="_Toc507506652" w:history="1">
        <w:r w:rsidR="00B23625" w:rsidRPr="00855843">
          <w:rPr>
            <w:rStyle w:val="Kpr"/>
            <w:i/>
            <w:noProof/>
          </w:rPr>
          <w:t>4.3.4.1 Rearranged Hopanes</w:t>
        </w:r>
        <w:r w:rsidR="00B23625">
          <w:rPr>
            <w:noProof/>
            <w:webHidden/>
          </w:rPr>
          <w:tab/>
        </w:r>
        <w:r w:rsidR="00B23625">
          <w:rPr>
            <w:noProof/>
            <w:webHidden/>
          </w:rPr>
          <w:fldChar w:fldCharType="begin"/>
        </w:r>
        <w:r w:rsidR="00B23625">
          <w:rPr>
            <w:noProof/>
            <w:webHidden/>
          </w:rPr>
          <w:instrText xml:space="preserve"> PAGEREF _Toc507506652 \h </w:instrText>
        </w:r>
        <w:r w:rsidR="00B23625">
          <w:rPr>
            <w:noProof/>
            <w:webHidden/>
          </w:rPr>
        </w:r>
        <w:r w:rsidR="00B23625">
          <w:rPr>
            <w:noProof/>
            <w:webHidden/>
          </w:rPr>
          <w:fldChar w:fldCharType="separate"/>
        </w:r>
        <w:r>
          <w:rPr>
            <w:noProof/>
            <w:webHidden/>
          </w:rPr>
          <w:t>75</w:t>
        </w:r>
        <w:r w:rsidR="00B23625">
          <w:rPr>
            <w:noProof/>
            <w:webHidden/>
          </w:rPr>
          <w:fldChar w:fldCharType="end"/>
        </w:r>
      </w:hyperlink>
    </w:p>
    <w:p w:rsidR="00B23625" w:rsidRDefault="003F6459">
      <w:pPr>
        <w:pStyle w:val="T4"/>
        <w:tabs>
          <w:tab w:val="right" w:leader="dot" w:pos="8486"/>
        </w:tabs>
        <w:rPr>
          <w:rFonts w:eastAsiaTheme="minorEastAsia" w:cstheme="minorBidi"/>
          <w:noProof/>
          <w:sz w:val="22"/>
          <w:szCs w:val="22"/>
          <w:lang w:val="tr-TR" w:eastAsia="tr-TR" w:bidi="ar-SA"/>
        </w:rPr>
      </w:pPr>
      <w:hyperlink w:anchor="_Toc507506653" w:history="1">
        <w:r w:rsidR="00B23625" w:rsidRPr="00855843">
          <w:rPr>
            <w:rStyle w:val="Kpr"/>
            <w:i/>
            <w:noProof/>
          </w:rPr>
          <w:t>4.3.4.2 Oleanane</w:t>
        </w:r>
        <w:r w:rsidR="00B23625">
          <w:rPr>
            <w:noProof/>
            <w:webHidden/>
          </w:rPr>
          <w:tab/>
        </w:r>
        <w:r w:rsidR="00B23625">
          <w:rPr>
            <w:noProof/>
            <w:webHidden/>
          </w:rPr>
          <w:fldChar w:fldCharType="begin"/>
        </w:r>
        <w:r w:rsidR="00B23625">
          <w:rPr>
            <w:noProof/>
            <w:webHidden/>
          </w:rPr>
          <w:instrText xml:space="preserve"> PAGEREF _Toc507506653 \h </w:instrText>
        </w:r>
        <w:r w:rsidR="00B23625">
          <w:rPr>
            <w:noProof/>
            <w:webHidden/>
          </w:rPr>
        </w:r>
        <w:r w:rsidR="00B23625">
          <w:rPr>
            <w:noProof/>
            <w:webHidden/>
          </w:rPr>
          <w:fldChar w:fldCharType="separate"/>
        </w:r>
        <w:r>
          <w:rPr>
            <w:noProof/>
            <w:webHidden/>
          </w:rPr>
          <w:t>76</w:t>
        </w:r>
        <w:r w:rsidR="00B23625">
          <w:rPr>
            <w:noProof/>
            <w:webHidden/>
          </w:rPr>
          <w:fldChar w:fldCharType="end"/>
        </w:r>
      </w:hyperlink>
    </w:p>
    <w:p w:rsidR="00B23625" w:rsidRDefault="003F6459">
      <w:pPr>
        <w:pStyle w:val="T4"/>
        <w:tabs>
          <w:tab w:val="right" w:leader="dot" w:pos="8486"/>
        </w:tabs>
        <w:rPr>
          <w:rFonts w:eastAsiaTheme="minorEastAsia" w:cstheme="minorBidi"/>
          <w:noProof/>
          <w:sz w:val="22"/>
          <w:szCs w:val="22"/>
          <w:lang w:val="tr-TR" w:eastAsia="tr-TR" w:bidi="ar-SA"/>
        </w:rPr>
      </w:pPr>
      <w:hyperlink w:anchor="_Toc507506654" w:history="1">
        <w:r w:rsidR="00B23625" w:rsidRPr="00855843">
          <w:rPr>
            <w:rStyle w:val="Kpr"/>
            <w:i/>
            <w:noProof/>
            <w:shd w:val="clear" w:color="auto" w:fill="FFFFFF"/>
          </w:rPr>
          <w:t>4.3.4.3 Demethylated Hopanes</w:t>
        </w:r>
        <w:r w:rsidR="00B23625">
          <w:rPr>
            <w:noProof/>
            <w:webHidden/>
          </w:rPr>
          <w:tab/>
        </w:r>
        <w:r w:rsidR="00B23625">
          <w:rPr>
            <w:noProof/>
            <w:webHidden/>
          </w:rPr>
          <w:fldChar w:fldCharType="begin"/>
        </w:r>
        <w:r w:rsidR="00B23625">
          <w:rPr>
            <w:noProof/>
            <w:webHidden/>
          </w:rPr>
          <w:instrText xml:space="preserve"> PAGEREF _Toc507506654 \h </w:instrText>
        </w:r>
        <w:r w:rsidR="00B23625">
          <w:rPr>
            <w:noProof/>
            <w:webHidden/>
          </w:rPr>
        </w:r>
        <w:r w:rsidR="00B23625">
          <w:rPr>
            <w:noProof/>
            <w:webHidden/>
          </w:rPr>
          <w:fldChar w:fldCharType="separate"/>
        </w:r>
        <w:r>
          <w:rPr>
            <w:noProof/>
            <w:webHidden/>
          </w:rPr>
          <w:t>85</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55" w:history="1">
        <w:r w:rsidR="00B23625" w:rsidRPr="00855843">
          <w:rPr>
            <w:rStyle w:val="Kpr"/>
            <w:noProof/>
          </w:rPr>
          <w:t>4.3.5 Steranes</w:t>
        </w:r>
        <w:r w:rsidR="00B23625">
          <w:rPr>
            <w:noProof/>
            <w:webHidden/>
          </w:rPr>
          <w:tab/>
        </w:r>
        <w:r w:rsidR="00B23625">
          <w:rPr>
            <w:noProof/>
            <w:webHidden/>
          </w:rPr>
          <w:fldChar w:fldCharType="begin"/>
        </w:r>
        <w:r w:rsidR="00B23625">
          <w:rPr>
            <w:noProof/>
            <w:webHidden/>
          </w:rPr>
          <w:instrText xml:space="preserve"> PAGEREF _Toc507506655 \h </w:instrText>
        </w:r>
        <w:r w:rsidR="00B23625">
          <w:rPr>
            <w:noProof/>
            <w:webHidden/>
          </w:rPr>
        </w:r>
        <w:r w:rsidR="00B23625">
          <w:rPr>
            <w:noProof/>
            <w:webHidden/>
          </w:rPr>
          <w:fldChar w:fldCharType="separate"/>
        </w:r>
        <w:r>
          <w:rPr>
            <w:noProof/>
            <w:webHidden/>
          </w:rPr>
          <w:t>88</w:t>
        </w:r>
        <w:r w:rsidR="00B23625">
          <w:rPr>
            <w:noProof/>
            <w:webHidden/>
          </w:rPr>
          <w:fldChar w:fldCharType="end"/>
        </w:r>
      </w:hyperlink>
    </w:p>
    <w:p w:rsidR="00B23625" w:rsidRDefault="003F6459">
      <w:pPr>
        <w:pStyle w:val="T4"/>
        <w:tabs>
          <w:tab w:val="right" w:leader="dot" w:pos="8486"/>
        </w:tabs>
        <w:rPr>
          <w:rFonts w:eastAsiaTheme="minorEastAsia" w:cstheme="minorBidi"/>
          <w:noProof/>
          <w:sz w:val="22"/>
          <w:szCs w:val="22"/>
          <w:lang w:val="tr-TR" w:eastAsia="tr-TR" w:bidi="ar-SA"/>
        </w:rPr>
      </w:pPr>
      <w:hyperlink w:anchor="_Toc507506656" w:history="1">
        <w:r w:rsidR="00B23625" w:rsidRPr="00855843">
          <w:rPr>
            <w:rStyle w:val="Kpr"/>
            <w:i/>
            <w:noProof/>
          </w:rPr>
          <w:t>4.3.5.1 Steranes as Depositional Environment</w:t>
        </w:r>
        <w:r w:rsidR="00B23625" w:rsidRPr="00B23625">
          <w:t xml:space="preserve"> </w:t>
        </w:r>
        <w:r w:rsidR="00B23625" w:rsidRPr="00B23625">
          <w:rPr>
            <w:rStyle w:val="Kpr"/>
            <w:i/>
            <w:noProof/>
          </w:rPr>
          <w:t>Indicators</w:t>
        </w:r>
        <w:r w:rsidR="00B23625">
          <w:rPr>
            <w:noProof/>
            <w:webHidden/>
          </w:rPr>
          <w:tab/>
        </w:r>
        <w:r w:rsidR="00B23625">
          <w:rPr>
            <w:noProof/>
            <w:webHidden/>
          </w:rPr>
          <w:fldChar w:fldCharType="begin"/>
        </w:r>
        <w:r w:rsidR="00B23625">
          <w:rPr>
            <w:noProof/>
            <w:webHidden/>
          </w:rPr>
          <w:instrText xml:space="preserve"> PAGEREF _Toc507506656 \h </w:instrText>
        </w:r>
        <w:r w:rsidR="00B23625">
          <w:rPr>
            <w:noProof/>
            <w:webHidden/>
          </w:rPr>
        </w:r>
        <w:r w:rsidR="00B23625">
          <w:rPr>
            <w:noProof/>
            <w:webHidden/>
          </w:rPr>
          <w:fldChar w:fldCharType="separate"/>
        </w:r>
        <w:r>
          <w:rPr>
            <w:noProof/>
            <w:webHidden/>
          </w:rPr>
          <w:t>90</w:t>
        </w:r>
        <w:r w:rsidR="00B23625">
          <w:rPr>
            <w:noProof/>
            <w:webHidden/>
          </w:rPr>
          <w:fldChar w:fldCharType="end"/>
        </w:r>
      </w:hyperlink>
    </w:p>
    <w:p w:rsidR="00B23625" w:rsidRDefault="003F6459">
      <w:pPr>
        <w:pStyle w:val="T4"/>
        <w:tabs>
          <w:tab w:val="right" w:leader="dot" w:pos="8486"/>
        </w:tabs>
        <w:rPr>
          <w:rFonts w:eastAsiaTheme="minorEastAsia" w:cstheme="minorBidi"/>
          <w:noProof/>
          <w:sz w:val="22"/>
          <w:szCs w:val="22"/>
          <w:lang w:val="tr-TR" w:eastAsia="tr-TR" w:bidi="ar-SA"/>
        </w:rPr>
      </w:pPr>
      <w:hyperlink w:anchor="_Toc507506657" w:history="1">
        <w:r w:rsidR="00B23625" w:rsidRPr="00855843">
          <w:rPr>
            <w:rStyle w:val="Kpr"/>
            <w:i/>
            <w:noProof/>
          </w:rPr>
          <w:t>4.3.5.2 Steranes as Maturity Indicators</w:t>
        </w:r>
        <w:r w:rsidR="00B23625">
          <w:rPr>
            <w:noProof/>
            <w:webHidden/>
          </w:rPr>
          <w:tab/>
        </w:r>
        <w:r w:rsidR="00B23625">
          <w:rPr>
            <w:noProof/>
            <w:webHidden/>
          </w:rPr>
          <w:fldChar w:fldCharType="begin"/>
        </w:r>
        <w:r w:rsidR="00B23625">
          <w:rPr>
            <w:noProof/>
            <w:webHidden/>
          </w:rPr>
          <w:instrText xml:space="preserve"> PAGEREF _Toc507506657 \h </w:instrText>
        </w:r>
        <w:r w:rsidR="00B23625">
          <w:rPr>
            <w:noProof/>
            <w:webHidden/>
          </w:rPr>
        </w:r>
        <w:r w:rsidR="00B23625">
          <w:rPr>
            <w:noProof/>
            <w:webHidden/>
          </w:rPr>
          <w:fldChar w:fldCharType="separate"/>
        </w:r>
        <w:r>
          <w:rPr>
            <w:noProof/>
            <w:webHidden/>
          </w:rPr>
          <w:t>94</w:t>
        </w:r>
        <w:r w:rsidR="00B23625">
          <w:rPr>
            <w:noProof/>
            <w:webHidden/>
          </w:rPr>
          <w:fldChar w:fldCharType="end"/>
        </w:r>
      </w:hyperlink>
    </w:p>
    <w:p w:rsidR="00B23625" w:rsidRDefault="003F6459">
      <w:pPr>
        <w:pStyle w:val="T4"/>
        <w:tabs>
          <w:tab w:val="right" w:leader="dot" w:pos="8486"/>
        </w:tabs>
        <w:rPr>
          <w:rFonts w:eastAsiaTheme="minorEastAsia" w:cstheme="minorBidi"/>
          <w:noProof/>
          <w:sz w:val="22"/>
          <w:szCs w:val="22"/>
          <w:lang w:val="tr-TR" w:eastAsia="tr-TR" w:bidi="ar-SA"/>
        </w:rPr>
      </w:pPr>
      <w:hyperlink w:anchor="_Toc507506658" w:history="1">
        <w:r w:rsidR="00B23625" w:rsidRPr="00855843">
          <w:rPr>
            <w:rStyle w:val="Kpr"/>
            <w:i/>
            <w:noProof/>
          </w:rPr>
          <w:t>4.3.5.3 Diasteranes</w:t>
        </w:r>
        <w:r w:rsidR="00B23625">
          <w:rPr>
            <w:noProof/>
            <w:webHidden/>
          </w:rPr>
          <w:tab/>
        </w:r>
        <w:r w:rsidR="00B23625">
          <w:rPr>
            <w:noProof/>
            <w:webHidden/>
          </w:rPr>
          <w:fldChar w:fldCharType="begin"/>
        </w:r>
        <w:r w:rsidR="00B23625">
          <w:rPr>
            <w:noProof/>
            <w:webHidden/>
          </w:rPr>
          <w:instrText xml:space="preserve"> PAGEREF _Toc507506658 \h </w:instrText>
        </w:r>
        <w:r w:rsidR="00B23625">
          <w:rPr>
            <w:noProof/>
            <w:webHidden/>
          </w:rPr>
        </w:r>
        <w:r w:rsidR="00B23625">
          <w:rPr>
            <w:noProof/>
            <w:webHidden/>
          </w:rPr>
          <w:fldChar w:fldCharType="separate"/>
        </w:r>
        <w:r>
          <w:rPr>
            <w:noProof/>
            <w:webHidden/>
          </w:rPr>
          <w:t>97</w:t>
        </w:r>
        <w:r w:rsidR="00B23625">
          <w:rPr>
            <w:noProof/>
            <w:webHidden/>
          </w:rPr>
          <w:fldChar w:fldCharType="end"/>
        </w:r>
      </w:hyperlink>
    </w:p>
    <w:p w:rsidR="00B23625" w:rsidRDefault="003F6459">
      <w:pPr>
        <w:pStyle w:val="T3"/>
        <w:tabs>
          <w:tab w:val="right" w:leader="dot" w:pos="8486"/>
        </w:tabs>
        <w:rPr>
          <w:rFonts w:eastAsiaTheme="minorEastAsia" w:cstheme="minorBidi"/>
          <w:noProof/>
          <w:sz w:val="22"/>
          <w:szCs w:val="22"/>
          <w:lang w:val="tr-TR" w:eastAsia="tr-TR" w:bidi="ar-SA"/>
        </w:rPr>
      </w:pPr>
      <w:hyperlink w:anchor="_Toc507506659" w:history="1">
        <w:r w:rsidR="00B23625" w:rsidRPr="00855843">
          <w:rPr>
            <w:rStyle w:val="Kpr"/>
            <w:noProof/>
          </w:rPr>
          <w:t>4.3.6. Polycyclic Aromatic Hydrocarbons</w:t>
        </w:r>
        <w:r w:rsidR="00B23625">
          <w:rPr>
            <w:noProof/>
            <w:webHidden/>
          </w:rPr>
          <w:tab/>
        </w:r>
        <w:r w:rsidR="00B23625">
          <w:rPr>
            <w:noProof/>
            <w:webHidden/>
          </w:rPr>
          <w:fldChar w:fldCharType="begin"/>
        </w:r>
        <w:r w:rsidR="00B23625">
          <w:rPr>
            <w:noProof/>
            <w:webHidden/>
          </w:rPr>
          <w:instrText xml:space="preserve"> PAGEREF _Toc507506659 \h </w:instrText>
        </w:r>
        <w:r w:rsidR="00B23625">
          <w:rPr>
            <w:noProof/>
            <w:webHidden/>
          </w:rPr>
        </w:r>
        <w:r w:rsidR="00B23625">
          <w:rPr>
            <w:noProof/>
            <w:webHidden/>
          </w:rPr>
          <w:fldChar w:fldCharType="separate"/>
        </w:r>
        <w:r>
          <w:rPr>
            <w:noProof/>
            <w:webHidden/>
          </w:rPr>
          <w:t>98</w:t>
        </w:r>
        <w:r w:rsidR="00B23625">
          <w:rPr>
            <w:noProof/>
            <w:webHidden/>
          </w:rPr>
          <w:fldChar w:fldCharType="end"/>
        </w:r>
      </w:hyperlink>
    </w:p>
    <w:p w:rsidR="00B23625" w:rsidRDefault="003F6459">
      <w:pPr>
        <w:pStyle w:val="T4"/>
        <w:tabs>
          <w:tab w:val="right" w:leader="dot" w:pos="8486"/>
        </w:tabs>
        <w:rPr>
          <w:rFonts w:eastAsiaTheme="minorEastAsia" w:cstheme="minorBidi"/>
          <w:noProof/>
          <w:sz w:val="22"/>
          <w:szCs w:val="22"/>
          <w:lang w:val="tr-TR" w:eastAsia="tr-TR" w:bidi="ar-SA"/>
        </w:rPr>
      </w:pPr>
      <w:hyperlink w:anchor="_Toc507506660" w:history="1">
        <w:r w:rsidR="00B23625" w:rsidRPr="00855843">
          <w:rPr>
            <w:rStyle w:val="Kpr"/>
            <w:i/>
            <w:noProof/>
          </w:rPr>
          <w:t>4.3.6.1 PAHs as Depositional Environment and Source Indicator</w:t>
        </w:r>
        <w:r w:rsidR="00443370">
          <w:rPr>
            <w:rStyle w:val="Kpr"/>
            <w:i/>
            <w:noProof/>
          </w:rPr>
          <w:t>s</w:t>
        </w:r>
        <w:r w:rsidR="00B23625">
          <w:rPr>
            <w:noProof/>
            <w:webHidden/>
          </w:rPr>
          <w:tab/>
        </w:r>
        <w:r w:rsidR="00B23625">
          <w:rPr>
            <w:noProof/>
            <w:webHidden/>
          </w:rPr>
          <w:fldChar w:fldCharType="begin"/>
        </w:r>
        <w:r w:rsidR="00B23625">
          <w:rPr>
            <w:noProof/>
            <w:webHidden/>
          </w:rPr>
          <w:instrText xml:space="preserve"> PAGEREF _Toc507506660 \h </w:instrText>
        </w:r>
        <w:r w:rsidR="00B23625">
          <w:rPr>
            <w:noProof/>
            <w:webHidden/>
          </w:rPr>
        </w:r>
        <w:r w:rsidR="00B23625">
          <w:rPr>
            <w:noProof/>
            <w:webHidden/>
          </w:rPr>
          <w:fldChar w:fldCharType="separate"/>
        </w:r>
        <w:r>
          <w:rPr>
            <w:noProof/>
            <w:webHidden/>
          </w:rPr>
          <w:t>99</w:t>
        </w:r>
        <w:r w:rsidR="00B23625">
          <w:rPr>
            <w:noProof/>
            <w:webHidden/>
          </w:rPr>
          <w:fldChar w:fldCharType="end"/>
        </w:r>
      </w:hyperlink>
    </w:p>
    <w:p w:rsidR="00B23625" w:rsidRDefault="003F6459">
      <w:pPr>
        <w:pStyle w:val="T5"/>
        <w:tabs>
          <w:tab w:val="right" w:leader="dot" w:pos="8486"/>
        </w:tabs>
        <w:rPr>
          <w:rFonts w:eastAsiaTheme="minorEastAsia" w:cstheme="minorBidi"/>
          <w:noProof/>
          <w:sz w:val="22"/>
          <w:szCs w:val="22"/>
          <w:lang w:val="tr-TR" w:eastAsia="tr-TR" w:bidi="ar-SA"/>
        </w:rPr>
      </w:pPr>
      <w:hyperlink w:anchor="_Toc507506661" w:history="1">
        <w:r w:rsidR="00B23625" w:rsidRPr="00855843">
          <w:rPr>
            <w:rStyle w:val="Kpr"/>
            <w:noProof/>
          </w:rPr>
          <w:t>4.3.6.1.1 Dibenzothiophene</w:t>
        </w:r>
        <w:r w:rsidR="00B23625">
          <w:rPr>
            <w:noProof/>
            <w:webHidden/>
          </w:rPr>
          <w:tab/>
        </w:r>
        <w:r w:rsidR="00B23625">
          <w:rPr>
            <w:noProof/>
            <w:webHidden/>
          </w:rPr>
          <w:fldChar w:fldCharType="begin"/>
        </w:r>
        <w:r w:rsidR="00B23625">
          <w:rPr>
            <w:noProof/>
            <w:webHidden/>
          </w:rPr>
          <w:instrText xml:space="preserve"> PAGEREF _Toc507506661 \h </w:instrText>
        </w:r>
        <w:r w:rsidR="00B23625">
          <w:rPr>
            <w:noProof/>
            <w:webHidden/>
          </w:rPr>
        </w:r>
        <w:r w:rsidR="00B23625">
          <w:rPr>
            <w:noProof/>
            <w:webHidden/>
          </w:rPr>
          <w:fldChar w:fldCharType="separate"/>
        </w:r>
        <w:r>
          <w:rPr>
            <w:noProof/>
            <w:webHidden/>
          </w:rPr>
          <w:t>99</w:t>
        </w:r>
        <w:r w:rsidR="00B23625">
          <w:rPr>
            <w:noProof/>
            <w:webHidden/>
          </w:rPr>
          <w:fldChar w:fldCharType="end"/>
        </w:r>
      </w:hyperlink>
    </w:p>
    <w:p w:rsidR="00B23625" w:rsidRDefault="003F6459">
      <w:pPr>
        <w:pStyle w:val="T5"/>
        <w:tabs>
          <w:tab w:val="right" w:leader="dot" w:pos="8486"/>
        </w:tabs>
        <w:rPr>
          <w:rFonts w:eastAsiaTheme="minorEastAsia" w:cstheme="minorBidi"/>
          <w:noProof/>
          <w:sz w:val="22"/>
          <w:szCs w:val="22"/>
          <w:lang w:val="tr-TR" w:eastAsia="tr-TR" w:bidi="ar-SA"/>
        </w:rPr>
      </w:pPr>
      <w:hyperlink w:anchor="_Toc507506662" w:history="1">
        <w:r w:rsidR="00B23625" w:rsidRPr="00855843">
          <w:rPr>
            <w:rStyle w:val="Kpr"/>
            <w:noProof/>
          </w:rPr>
          <w:t>4.3.6.1.2 Alkylnaphthalenes</w:t>
        </w:r>
        <w:r w:rsidR="00B23625">
          <w:rPr>
            <w:noProof/>
            <w:webHidden/>
          </w:rPr>
          <w:tab/>
        </w:r>
        <w:r w:rsidR="00B23625">
          <w:rPr>
            <w:noProof/>
            <w:webHidden/>
          </w:rPr>
          <w:fldChar w:fldCharType="begin"/>
        </w:r>
        <w:r w:rsidR="00B23625">
          <w:rPr>
            <w:noProof/>
            <w:webHidden/>
          </w:rPr>
          <w:instrText xml:space="preserve"> PAGEREF _Toc507506662 \h </w:instrText>
        </w:r>
        <w:r w:rsidR="00B23625">
          <w:rPr>
            <w:noProof/>
            <w:webHidden/>
          </w:rPr>
        </w:r>
        <w:r w:rsidR="00B23625">
          <w:rPr>
            <w:noProof/>
            <w:webHidden/>
          </w:rPr>
          <w:fldChar w:fldCharType="separate"/>
        </w:r>
        <w:r>
          <w:rPr>
            <w:noProof/>
            <w:webHidden/>
          </w:rPr>
          <w:t>104</w:t>
        </w:r>
        <w:r w:rsidR="00B23625">
          <w:rPr>
            <w:noProof/>
            <w:webHidden/>
          </w:rPr>
          <w:fldChar w:fldCharType="end"/>
        </w:r>
      </w:hyperlink>
    </w:p>
    <w:p w:rsidR="00B23625" w:rsidRDefault="003F6459">
      <w:pPr>
        <w:pStyle w:val="T5"/>
        <w:tabs>
          <w:tab w:val="right" w:leader="dot" w:pos="8486"/>
        </w:tabs>
        <w:rPr>
          <w:rFonts w:eastAsiaTheme="minorEastAsia" w:cstheme="minorBidi"/>
          <w:noProof/>
          <w:sz w:val="22"/>
          <w:szCs w:val="22"/>
          <w:lang w:val="tr-TR" w:eastAsia="tr-TR" w:bidi="ar-SA"/>
        </w:rPr>
      </w:pPr>
      <w:hyperlink w:anchor="_Toc507506663" w:history="1">
        <w:r w:rsidR="00B23625" w:rsidRPr="00855843">
          <w:rPr>
            <w:rStyle w:val="Kpr"/>
            <w:noProof/>
          </w:rPr>
          <w:t>4.3.6.1.3 Cadalene, Fluorene, Dibenzofuran and Its Alkyl Derivatives</w:t>
        </w:r>
        <w:r w:rsidR="00B23625">
          <w:rPr>
            <w:noProof/>
            <w:webHidden/>
          </w:rPr>
          <w:tab/>
        </w:r>
        <w:r w:rsidR="00B23625">
          <w:rPr>
            <w:noProof/>
            <w:webHidden/>
          </w:rPr>
          <w:fldChar w:fldCharType="begin"/>
        </w:r>
        <w:r w:rsidR="00B23625">
          <w:rPr>
            <w:noProof/>
            <w:webHidden/>
          </w:rPr>
          <w:instrText xml:space="preserve"> PAGEREF _Toc507506663 \h </w:instrText>
        </w:r>
        <w:r w:rsidR="00B23625">
          <w:rPr>
            <w:noProof/>
            <w:webHidden/>
          </w:rPr>
        </w:r>
        <w:r w:rsidR="00B23625">
          <w:rPr>
            <w:noProof/>
            <w:webHidden/>
          </w:rPr>
          <w:fldChar w:fldCharType="separate"/>
        </w:r>
        <w:r>
          <w:rPr>
            <w:noProof/>
            <w:webHidden/>
          </w:rPr>
          <w:t>110</w:t>
        </w:r>
        <w:r w:rsidR="00B23625">
          <w:rPr>
            <w:noProof/>
            <w:webHidden/>
          </w:rPr>
          <w:fldChar w:fldCharType="end"/>
        </w:r>
      </w:hyperlink>
    </w:p>
    <w:p w:rsidR="00B23625" w:rsidRDefault="003F6459">
      <w:pPr>
        <w:pStyle w:val="T5"/>
        <w:tabs>
          <w:tab w:val="right" w:leader="dot" w:pos="8486"/>
        </w:tabs>
        <w:rPr>
          <w:rFonts w:eastAsiaTheme="minorEastAsia" w:cstheme="minorBidi"/>
          <w:noProof/>
          <w:sz w:val="22"/>
          <w:szCs w:val="22"/>
          <w:lang w:val="tr-TR" w:eastAsia="tr-TR" w:bidi="ar-SA"/>
        </w:rPr>
      </w:pPr>
      <w:hyperlink w:anchor="_Toc507506664" w:history="1">
        <w:r w:rsidR="00B23625" w:rsidRPr="00855843">
          <w:rPr>
            <w:rStyle w:val="Kpr"/>
            <w:noProof/>
          </w:rPr>
          <w:t>4.3.6.1.4 Alkylphenanthrenes as Maturity and Potential Source Indicators</w:t>
        </w:r>
        <w:r w:rsidR="00B23625">
          <w:rPr>
            <w:noProof/>
            <w:webHidden/>
          </w:rPr>
          <w:tab/>
        </w:r>
        <w:r w:rsidR="00B23625">
          <w:rPr>
            <w:noProof/>
            <w:webHidden/>
          </w:rPr>
          <w:fldChar w:fldCharType="begin"/>
        </w:r>
        <w:r w:rsidR="00B23625">
          <w:rPr>
            <w:noProof/>
            <w:webHidden/>
          </w:rPr>
          <w:instrText xml:space="preserve"> PAGEREF _Toc507506664 \h </w:instrText>
        </w:r>
        <w:r w:rsidR="00B23625">
          <w:rPr>
            <w:noProof/>
            <w:webHidden/>
          </w:rPr>
        </w:r>
        <w:r w:rsidR="00B23625">
          <w:rPr>
            <w:noProof/>
            <w:webHidden/>
          </w:rPr>
          <w:fldChar w:fldCharType="separate"/>
        </w:r>
        <w:r>
          <w:rPr>
            <w:noProof/>
            <w:webHidden/>
          </w:rPr>
          <w:t>111</w:t>
        </w:r>
        <w:r w:rsidR="00B23625">
          <w:rPr>
            <w:noProof/>
            <w:webHidden/>
          </w:rPr>
          <w:fldChar w:fldCharType="end"/>
        </w:r>
      </w:hyperlink>
    </w:p>
    <w:p w:rsidR="00B23625" w:rsidRDefault="003F6459">
      <w:pPr>
        <w:pStyle w:val="T4"/>
        <w:tabs>
          <w:tab w:val="right" w:leader="dot" w:pos="8486"/>
        </w:tabs>
        <w:rPr>
          <w:rFonts w:eastAsiaTheme="minorEastAsia" w:cstheme="minorBidi"/>
          <w:noProof/>
          <w:sz w:val="22"/>
          <w:szCs w:val="22"/>
          <w:lang w:val="tr-TR" w:eastAsia="tr-TR" w:bidi="ar-SA"/>
        </w:rPr>
      </w:pPr>
      <w:hyperlink w:anchor="_Toc507506665" w:history="1">
        <w:r w:rsidR="00B23625" w:rsidRPr="00855843">
          <w:rPr>
            <w:rStyle w:val="Kpr"/>
            <w:i/>
            <w:noProof/>
          </w:rPr>
          <w:t>4.3.6.2 PAHs as Paleo-wildfire Indicators</w:t>
        </w:r>
        <w:r w:rsidR="00B23625">
          <w:rPr>
            <w:noProof/>
            <w:webHidden/>
          </w:rPr>
          <w:tab/>
        </w:r>
        <w:r w:rsidR="00B23625">
          <w:rPr>
            <w:noProof/>
            <w:webHidden/>
          </w:rPr>
          <w:fldChar w:fldCharType="begin"/>
        </w:r>
        <w:r w:rsidR="00B23625">
          <w:rPr>
            <w:noProof/>
            <w:webHidden/>
          </w:rPr>
          <w:instrText xml:space="preserve"> PAGEREF _Toc507506665 \h </w:instrText>
        </w:r>
        <w:r w:rsidR="00B23625">
          <w:rPr>
            <w:noProof/>
            <w:webHidden/>
          </w:rPr>
        </w:r>
        <w:r w:rsidR="00B23625">
          <w:rPr>
            <w:noProof/>
            <w:webHidden/>
          </w:rPr>
          <w:fldChar w:fldCharType="separate"/>
        </w:r>
        <w:r>
          <w:rPr>
            <w:noProof/>
            <w:webHidden/>
          </w:rPr>
          <w:t>117</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66" w:history="1">
        <w:r w:rsidR="00B23625" w:rsidRPr="00855843">
          <w:rPr>
            <w:rStyle w:val="Kpr"/>
            <w:noProof/>
          </w:rPr>
          <w:t>Chapter 5: Conclusions</w:t>
        </w:r>
        <w:r w:rsidR="00B23625">
          <w:rPr>
            <w:noProof/>
            <w:webHidden/>
          </w:rPr>
          <w:tab/>
        </w:r>
        <w:r w:rsidR="00B23625">
          <w:rPr>
            <w:noProof/>
            <w:webHidden/>
          </w:rPr>
          <w:fldChar w:fldCharType="begin"/>
        </w:r>
        <w:r w:rsidR="00B23625">
          <w:rPr>
            <w:noProof/>
            <w:webHidden/>
          </w:rPr>
          <w:instrText xml:space="preserve"> PAGEREF _Toc507506666 \h </w:instrText>
        </w:r>
        <w:r w:rsidR="00B23625">
          <w:rPr>
            <w:noProof/>
            <w:webHidden/>
          </w:rPr>
        </w:r>
        <w:r w:rsidR="00B23625">
          <w:rPr>
            <w:noProof/>
            <w:webHidden/>
          </w:rPr>
          <w:fldChar w:fldCharType="separate"/>
        </w:r>
        <w:r>
          <w:rPr>
            <w:noProof/>
            <w:webHidden/>
          </w:rPr>
          <w:t>120</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67" w:history="1">
        <w:r w:rsidR="00B23625" w:rsidRPr="00855843">
          <w:rPr>
            <w:rStyle w:val="Kpr"/>
            <w:noProof/>
          </w:rPr>
          <w:t>References</w:t>
        </w:r>
        <w:r w:rsidR="00B23625">
          <w:rPr>
            <w:noProof/>
            <w:webHidden/>
          </w:rPr>
          <w:tab/>
        </w:r>
        <w:r w:rsidR="00B23625">
          <w:rPr>
            <w:noProof/>
            <w:webHidden/>
          </w:rPr>
          <w:fldChar w:fldCharType="begin"/>
        </w:r>
        <w:r w:rsidR="00B23625">
          <w:rPr>
            <w:noProof/>
            <w:webHidden/>
          </w:rPr>
          <w:instrText xml:space="preserve"> PAGEREF _Toc507506667 \h </w:instrText>
        </w:r>
        <w:r w:rsidR="00B23625">
          <w:rPr>
            <w:noProof/>
            <w:webHidden/>
          </w:rPr>
        </w:r>
        <w:r w:rsidR="00B23625">
          <w:rPr>
            <w:noProof/>
            <w:webHidden/>
          </w:rPr>
          <w:fldChar w:fldCharType="separate"/>
        </w:r>
        <w:r>
          <w:rPr>
            <w:noProof/>
            <w:webHidden/>
          </w:rPr>
          <w:t>124</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68" w:history="1">
        <w:r w:rsidR="00B23625" w:rsidRPr="00855843">
          <w:rPr>
            <w:rStyle w:val="Kpr"/>
            <w:noProof/>
          </w:rPr>
          <w:t>Appendix A: Compound Structures</w:t>
        </w:r>
        <w:r w:rsidR="00B23625">
          <w:rPr>
            <w:noProof/>
            <w:webHidden/>
          </w:rPr>
          <w:tab/>
        </w:r>
        <w:r w:rsidR="00B23625">
          <w:rPr>
            <w:noProof/>
            <w:webHidden/>
          </w:rPr>
          <w:fldChar w:fldCharType="begin"/>
        </w:r>
        <w:r w:rsidR="00B23625">
          <w:rPr>
            <w:noProof/>
            <w:webHidden/>
          </w:rPr>
          <w:instrText xml:space="preserve"> PAGEREF _Toc507506668 \h </w:instrText>
        </w:r>
        <w:r w:rsidR="00B23625">
          <w:rPr>
            <w:noProof/>
            <w:webHidden/>
          </w:rPr>
        </w:r>
        <w:r w:rsidR="00B23625">
          <w:rPr>
            <w:noProof/>
            <w:webHidden/>
          </w:rPr>
          <w:fldChar w:fldCharType="separate"/>
        </w:r>
        <w:r>
          <w:rPr>
            <w:noProof/>
            <w:webHidden/>
          </w:rPr>
          <w:t>143</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69" w:history="1">
        <w:r w:rsidR="00B23625" w:rsidRPr="00855843">
          <w:rPr>
            <w:rStyle w:val="Kpr"/>
            <w:noProof/>
            <w:lang w:val="tr-TR"/>
          </w:rPr>
          <w:t xml:space="preserve">Appendix B: </w:t>
        </w:r>
        <w:r w:rsidR="00443370">
          <w:rPr>
            <w:rStyle w:val="Kpr"/>
            <w:noProof/>
            <w:lang w:val="tr-TR"/>
          </w:rPr>
          <w:t xml:space="preserve">Selected </w:t>
        </w:r>
        <w:r w:rsidR="00B23625" w:rsidRPr="00855843">
          <w:rPr>
            <w:rStyle w:val="Kpr"/>
            <w:noProof/>
            <w:lang w:val="tr-TR"/>
          </w:rPr>
          <w:t>Gas Chromatography Results</w:t>
        </w:r>
        <w:r w:rsidR="00B23625">
          <w:rPr>
            <w:noProof/>
            <w:webHidden/>
          </w:rPr>
          <w:tab/>
        </w:r>
        <w:r w:rsidR="00B23625">
          <w:rPr>
            <w:noProof/>
            <w:webHidden/>
          </w:rPr>
          <w:fldChar w:fldCharType="begin"/>
        </w:r>
        <w:r w:rsidR="00B23625">
          <w:rPr>
            <w:noProof/>
            <w:webHidden/>
          </w:rPr>
          <w:instrText xml:space="preserve"> PAGEREF _Toc507506669 \h </w:instrText>
        </w:r>
        <w:r w:rsidR="00B23625">
          <w:rPr>
            <w:noProof/>
            <w:webHidden/>
          </w:rPr>
        </w:r>
        <w:r w:rsidR="00B23625">
          <w:rPr>
            <w:noProof/>
            <w:webHidden/>
          </w:rPr>
          <w:fldChar w:fldCharType="separate"/>
        </w:r>
        <w:r>
          <w:rPr>
            <w:noProof/>
            <w:webHidden/>
          </w:rPr>
          <w:t>155</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70" w:history="1">
        <w:r w:rsidR="00B23625" w:rsidRPr="00855843">
          <w:rPr>
            <w:rStyle w:val="Kpr"/>
            <w:noProof/>
          </w:rPr>
          <w:t>Appendix C: Selected GCMS Results</w:t>
        </w:r>
        <w:r w:rsidR="00B23625">
          <w:rPr>
            <w:noProof/>
            <w:webHidden/>
          </w:rPr>
          <w:tab/>
        </w:r>
        <w:r w:rsidR="00B23625">
          <w:rPr>
            <w:noProof/>
            <w:webHidden/>
          </w:rPr>
          <w:fldChar w:fldCharType="begin"/>
        </w:r>
        <w:r w:rsidR="00B23625">
          <w:rPr>
            <w:noProof/>
            <w:webHidden/>
          </w:rPr>
          <w:instrText xml:space="preserve"> PAGEREF _Toc507506670 \h </w:instrText>
        </w:r>
        <w:r w:rsidR="00B23625">
          <w:rPr>
            <w:noProof/>
            <w:webHidden/>
          </w:rPr>
        </w:r>
        <w:r w:rsidR="00B23625">
          <w:rPr>
            <w:noProof/>
            <w:webHidden/>
          </w:rPr>
          <w:fldChar w:fldCharType="separate"/>
        </w:r>
        <w:r>
          <w:rPr>
            <w:noProof/>
            <w:webHidden/>
          </w:rPr>
          <w:t>160</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71" w:history="1">
        <w:r w:rsidR="00B23625" w:rsidRPr="00855843">
          <w:rPr>
            <w:rStyle w:val="Kpr"/>
            <w:noProof/>
          </w:rPr>
          <w:t>Appendix D: Selected GCMS-MS Results</w:t>
        </w:r>
        <w:r w:rsidR="00B23625">
          <w:rPr>
            <w:noProof/>
            <w:webHidden/>
          </w:rPr>
          <w:tab/>
        </w:r>
        <w:r w:rsidR="00B23625">
          <w:rPr>
            <w:noProof/>
            <w:webHidden/>
          </w:rPr>
          <w:fldChar w:fldCharType="begin"/>
        </w:r>
        <w:r w:rsidR="00B23625">
          <w:rPr>
            <w:noProof/>
            <w:webHidden/>
          </w:rPr>
          <w:instrText xml:space="preserve"> PAGEREF _Toc507506671 \h </w:instrText>
        </w:r>
        <w:r w:rsidR="00B23625">
          <w:rPr>
            <w:noProof/>
            <w:webHidden/>
          </w:rPr>
        </w:r>
        <w:r w:rsidR="00B23625">
          <w:rPr>
            <w:noProof/>
            <w:webHidden/>
          </w:rPr>
          <w:fldChar w:fldCharType="separate"/>
        </w:r>
        <w:r>
          <w:rPr>
            <w:noProof/>
            <w:webHidden/>
          </w:rPr>
          <w:t>170</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72" w:history="1">
        <w:r w:rsidR="00B23625" w:rsidRPr="00855843">
          <w:rPr>
            <w:rStyle w:val="Kpr"/>
            <w:noProof/>
          </w:rPr>
          <w:t>Appendix E: Naphthalene Distribution of Selected Samples</w:t>
        </w:r>
        <w:r w:rsidR="00B23625">
          <w:rPr>
            <w:noProof/>
            <w:webHidden/>
          </w:rPr>
          <w:tab/>
        </w:r>
        <w:r w:rsidR="00B23625">
          <w:rPr>
            <w:noProof/>
            <w:webHidden/>
          </w:rPr>
          <w:fldChar w:fldCharType="begin"/>
        </w:r>
        <w:r w:rsidR="00B23625">
          <w:rPr>
            <w:noProof/>
            <w:webHidden/>
          </w:rPr>
          <w:instrText xml:space="preserve"> PAGEREF _Toc507506672 \h </w:instrText>
        </w:r>
        <w:r w:rsidR="00B23625">
          <w:rPr>
            <w:noProof/>
            <w:webHidden/>
          </w:rPr>
        </w:r>
        <w:r w:rsidR="00B23625">
          <w:rPr>
            <w:noProof/>
            <w:webHidden/>
          </w:rPr>
          <w:fldChar w:fldCharType="separate"/>
        </w:r>
        <w:r>
          <w:rPr>
            <w:noProof/>
            <w:webHidden/>
          </w:rPr>
          <w:t>171</w:t>
        </w:r>
        <w:r w:rsidR="00B23625">
          <w:rPr>
            <w:noProof/>
            <w:webHidden/>
          </w:rPr>
          <w:fldChar w:fldCharType="end"/>
        </w:r>
      </w:hyperlink>
    </w:p>
    <w:p w:rsidR="00B23625" w:rsidRDefault="003F6459">
      <w:pPr>
        <w:pStyle w:val="T1"/>
        <w:rPr>
          <w:rFonts w:eastAsiaTheme="minorEastAsia" w:cstheme="minorBidi"/>
          <w:noProof/>
          <w:sz w:val="22"/>
          <w:szCs w:val="22"/>
          <w:lang w:val="tr-TR" w:eastAsia="tr-TR" w:bidi="ar-SA"/>
        </w:rPr>
      </w:pPr>
      <w:hyperlink w:anchor="_Toc507506673" w:history="1">
        <w:r w:rsidR="00B23625" w:rsidRPr="00855843">
          <w:rPr>
            <w:rStyle w:val="Kpr"/>
            <w:noProof/>
          </w:rPr>
          <w:t>Appendix F: Phenanthrene Distribution of Selected Samples</w:t>
        </w:r>
        <w:r w:rsidR="00B23625">
          <w:rPr>
            <w:noProof/>
            <w:webHidden/>
          </w:rPr>
          <w:tab/>
        </w:r>
        <w:r w:rsidR="00B23625">
          <w:rPr>
            <w:noProof/>
            <w:webHidden/>
          </w:rPr>
          <w:fldChar w:fldCharType="begin"/>
        </w:r>
        <w:r w:rsidR="00B23625">
          <w:rPr>
            <w:noProof/>
            <w:webHidden/>
          </w:rPr>
          <w:instrText xml:space="preserve"> PAGEREF _Toc507506673 \h </w:instrText>
        </w:r>
        <w:r w:rsidR="00B23625">
          <w:rPr>
            <w:noProof/>
            <w:webHidden/>
          </w:rPr>
        </w:r>
        <w:r w:rsidR="00B23625">
          <w:rPr>
            <w:noProof/>
            <w:webHidden/>
          </w:rPr>
          <w:fldChar w:fldCharType="separate"/>
        </w:r>
        <w:r>
          <w:rPr>
            <w:noProof/>
            <w:webHidden/>
          </w:rPr>
          <w:t>174</w:t>
        </w:r>
        <w:r w:rsidR="00B23625">
          <w:rPr>
            <w:noProof/>
            <w:webHidden/>
          </w:rPr>
          <w:fldChar w:fldCharType="end"/>
        </w:r>
      </w:hyperlink>
    </w:p>
    <w:p w:rsidR="00DA1971" w:rsidRDefault="00C87D2E" w:rsidP="00E0639C">
      <w:pPr>
        <w:pStyle w:val="T3"/>
        <w:tabs>
          <w:tab w:val="right" w:leader="dot" w:pos="8486"/>
        </w:tabs>
      </w:pPr>
      <w:r>
        <w:fldChar w:fldCharType="end"/>
      </w:r>
      <w:r w:rsidR="00C92079">
        <w:t xml:space="preserve"> </w:t>
      </w:r>
    </w:p>
    <w:p w:rsidR="00775701" w:rsidRDefault="00DA1971" w:rsidP="00E1019B">
      <w:pPr>
        <w:pStyle w:val="Balk1"/>
      </w:pPr>
      <w:r>
        <w:br w:type="page"/>
      </w:r>
      <w:bookmarkStart w:id="2" w:name="_Toc310579465"/>
      <w:bookmarkStart w:id="3" w:name="_Toc507506618"/>
      <w:r>
        <w:lastRenderedPageBreak/>
        <w:t>List of Tables</w:t>
      </w:r>
      <w:bookmarkEnd w:id="2"/>
      <w:bookmarkEnd w:id="3"/>
    </w:p>
    <w:p w:rsidR="008875B3" w:rsidRDefault="00AA4AED">
      <w:pPr>
        <w:pStyle w:val="ekillerTablosu"/>
        <w:tabs>
          <w:tab w:val="right" w:leader="dot" w:pos="8486"/>
        </w:tabs>
        <w:rPr>
          <w:rFonts w:eastAsiaTheme="minorEastAsia" w:cstheme="minorBidi"/>
          <w:noProof/>
          <w:sz w:val="22"/>
          <w:szCs w:val="22"/>
          <w:lang w:val="tr-TR" w:eastAsia="tr-TR" w:bidi="ar-SA"/>
        </w:rPr>
      </w:pPr>
      <w:r>
        <w:fldChar w:fldCharType="begin"/>
      </w:r>
      <w:r w:rsidR="00E948D0">
        <w:instrText xml:space="preserve"> TOC \h \z \c "Table" </w:instrText>
      </w:r>
      <w:r>
        <w:fldChar w:fldCharType="separate"/>
      </w:r>
      <w:hyperlink w:anchor="_Toc507508791" w:history="1">
        <w:r w:rsidR="008875B3" w:rsidRPr="00C22F4E">
          <w:rPr>
            <w:rStyle w:val="Kpr"/>
            <w:noProof/>
          </w:rPr>
          <w:t xml:space="preserve">Table 1. </w:t>
        </w:r>
        <w:r w:rsidR="008875B3" w:rsidRPr="008875B3">
          <w:rPr>
            <w:rStyle w:val="Kpr"/>
            <w:noProof/>
          </w:rPr>
          <w:t>Sample Names, Depths and Locations of the Morrow Samples</w:t>
        </w:r>
        <w:r w:rsidR="008875B3">
          <w:rPr>
            <w:noProof/>
            <w:webHidden/>
          </w:rPr>
          <w:tab/>
        </w:r>
        <w:r w:rsidR="008875B3">
          <w:rPr>
            <w:noProof/>
            <w:webHidden/>
          </w:rPr>
          <w:fldChar w:fldCharType="begin"/>
        </w:r>
        <w:r w:rsidR="008875B3">
          <w:rPr>
            <w:noProof/>
            <w:webHidden/>
          </w:rPr>
          <w:instrText xml:space="preserve"> PAGEREF _Toc507508791 \h </w:instrText>
        </w:r>
        <w:r w:rsidR="008875B3">
          <w:rPr>
            <w:noProof/>
            <w:webHidden/>
          </w:rPr>
        </w:r>
        <w:r w:rsidR="008875B3">
          <w:rPr>
            <w:noProof/>
            <w:webHidden/>
          </w:rPr>
          <w:fldChar w:fldCharType="separate"/>
        </w:r>
        <w:r w:rsidR="003F6459">
          <w:rPr>
            <w:noProof/>
            <w:webHidden/>
          </w:rPr>
          <w:t>27</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792" w:history="1">
        <w:r w:rsidR="008875B3" w:rsidRPr="00C22F4E">
          <w:rPr>
            <w:rStyle w:val="Kpr"/>
            <w:noProof/>
          </w:rPr>
          <w:t xml:space="preserve">Table 2. </w:t>
        </w:r>
        <w:r w:rsidR="008875B3" w:rsidRPr="008875B3">
          <w:rPr>
            <w:rStyle w:val="Kpr"/>
            <w:noProof/>
          </w:rPr>
          <w:t>Sample Weights of Extract, Asphaltene, Maltene, and the Resulting Yields</w:t>
        </w:r>
        <w:r w:rsidR="008875B3">
          <w:rPr>
            <w:noProof/>
            <w:webHidden/>
          </w:rPr>
          <w:tab/>
        </w:r>
        <w:r w:rsidR="008875B3">
          <w:rPr>
            <w:noProof/>
            <w:webHidden/>
          </w:rPr>
          <w:fldChar w:fldCharType="begin"/>
        </w:r>
        <w:r w:rsidR="008875B3">
          <w:rPr>
            <w:noProof/>
            <w:webHidden/>
          </w:rPr>
          <w:instrText xml:space="preserve"> PAGEREF _Toc507508792 \h </w:instrText>
        </w:r>
        <w:r w:rsidR="008875B3">
          <w:rPr>
            <w:noProof/>
            <w:webHidden/>
          </w:rPr>
        </w:r>
        <w:r w:rsidR="008875B3">
          <w:rPr>
            <w:noProof/>
            <w:webHidden/>
          </w:rPr>
          <w:fldChar w:fldCharType="separate"/>
        </w:r>
        <w:r>
          <w:rPr>
            <w:noProof/>
            <w:webHidden/>
          </w:rPr>
          <w:t>36</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r:id="rId9" w:anchor="_Toc507508793" w:history="1">
        <w:r w:rsidR="008875B3" w:rsidRPr="00C22F4E">
          <w:rPr>
            <w:rStyle w:val="Kpr"/>
            <w:noProof/>
          </w:rPr>
          <w:t xml:space="preserve">Table 3. </w:t>
        </w:r>
        <w:r w:rsidR="008875B3" w:rsidRPr="008875B3">
          <w:rPr>
            <w:rStyle w:val="Kpr"/>
            <w:noProof/>
          </w:rPr>
          <w:t>Rock-Eval Pyrolysis Results of the Kephart-I and Laverne-State-I Well</w:t>
        </w:r>
        <w:r w:rsidR="008875B3">
          <w:rPr>
            <w:noProof/>
            <w:webHidden/>
          </w:rPr>
          <w:tab/>
        </w:r>
        <w:r w:rsidR="008875B3">
          <w:rPr>
            <w:noProof/>
            <w:webHidden/>
          </w:rPr>
          <w:fldChar w:fldCharType="begin"/>
        </w:r>
        <w:r w:rsidR="008875B3">
          <w:rPr>
            <w:noProof/>
            <w:webHidden/>
          </w:rPr>
          <w:instrText xml:space="preserve"> PAGEREF _Toc507508793 \h </w:instrText>
        </w:r>
        <w:r w:rsidR="008875B3">
          <w:rPr>
            <w:noProof/>
            <w:webHidden/>
          </w:rPr>
        </w:r>
        <w:r w:rsidR="008875B3">
          <w:rPr>
            <w:noProof/>
            <w:webHidden/>
          </w:rPr>
          <w:fldChar w:fldCharType="separate"/>
        </w:r>
        <w:r>
          <w:rPr>
            <w:noProof/>
            <w:webHidden/>
          </w:rPr>
          <w:t>40</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794" w:history="1">
        <w:r w:rsidR="008875B3" w:rsidRPr="00C22F4E">
          <w:rPr>
            <w:rStyle w:val="Kpr"/>
            <w:noProof/>
          </w:rPr>
          <w:t xml:space="preserve">Table 4. </w:t>
        </w:r>
        <w:r w:rsidR="008875B3" w:rsidRPr="008875B3">
          <w:rPr>
            <w:rStyle w:val="Kpr"/>
            <w:noProof/>
          </w:rPr>
          <w:t>Rock-Eval Pyrolysis Data of the Wang (1993) Source Rock Samples</w:t>
        </w:r>
        <w:r w:rsidR="008875B3">
          <w:rPr>
            <w:noProof/>
            <w:webHidden/>
          </w:rPr>
          <w:tab/>
        </w:r>
        <w:r w:rsidR="008875B3">
          <w:rPr>
            <w:noProof/>
            <w:webHidden/>
          </w:rPr>
          <w:fldChar w:fldCharType="begin"/>
        </w:r>
        <w:r w:rsidR="008875B3">
          <w:rPr>
            <w:noProof/>
            <w:webHidden/>
          </w:rPr>
          <w:instrText xml:space="preserve"> PAGEREF _Toc507508794 \h </w:instrText>
        </w:r>
        <w:r w:rsidR="008875B3">
          <w:rPr>
            <w:noProof/>
            <w:webHidden/>
          </w:rPr>
        </w:r>
        <w:r w:rsidR="008875B3">
          <w:rPr>
            <w:noProof/>
            <w:webHidden/>
          </w:rPr>
          <w:fldChar w:fldCharType="separate"/>
        </w:r>
        <w:r>
          <w:rPr>
            <w:noProof/>
            <w:webHidden/>
          </w:rPr>
          <w:t>41</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795" w:history="1">
        <w:r w:rsidR="008875B3" w:rsidRPr="00C22F4E">
          <w:rPr>
            <w:rStyle w:val="Kpr"/>
            <w:noProof/>
          </w:rPr>
          <w:t xml:space="preserve">Table 5. </w:t>
        </w:r>
        <w:r w:rsidR="008875B3" w:rsidRPr="008875B3">
          <w:rPr>
            <w:rStyle w:val="Kpr"/>
            <w:noProof/>
          </w:rPr>
          <w:t>Rock-Eval Screening Parameters Used for Evaluation of the Data</w:t>
        </w:r>
        <w:r w:rsidR="008875B3">
          <w:rPr>
            <w:noProof/>
            <w:webHidden/>
          </w:rPr>
          <w:tab/>
        </w:r>
        <w:r w:rsidR="008875B3">
          <w:rPr>
            <w:noProof/>
            <w:webHidden/>
          </w:rPr>
          <w:fldChar w:fldCharType="begin"/>
        </w:r>
        <w:r w:rsidR="008875B3">
          <w:rPr>
            <w:noProof/>
            <w:webHidden/>
          </w:rPr>
          <w:instrText xml:space="preserve"> PAGEREF _Toc507508795 \h </w:instrText>
        </w:r>
        <w:r w:rsidR="008875B3">
          <w:rPr>
            <w:noProof/>
            <w:webHidden/>
          </w:rPr>
        </w:r>
        <w:r w:rsidR="008875B3">
          <w:rPr>
            <w:noProof/>
            <w:webHidden/>
          </w:rPr>
          <w:fldChar w:fldCharType="separate"/>
        </w:r>
        <w:r>
          <w:rPr>
            <w:noProof/>
            <w:webHidden/>
          </w:rPr>
          <w:t>43</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796" w:history="1">
        <w:r w:rsidR="008875B3" w:rsidRPr="00C22F4E">
          <w:rPr>
            <w:rStyle w:val="Kpr"/>
            <w:noProof/>
          </w:rPr>
          <w:t xml:space="preserve">Table 6. </w:t>
        </w:r>
        <w:r w:rsidR="008875B3" w:rsidRPr="008875B3">
          <w:rPr>
            <w:rStyle w:val="Kpr"/>
            <w:noProof/>
          </w:rPr>
          <w:t>Calculated Isoprenoid, Tricyclic and Pentacyclic Terpane Values</w:t>
        </w:r>
        <w:r w:rsidR="008875B3">
          <w:rPr>
            <w:noProof/>
            <w:webHidden/>
          </w:rPr>
          <w:tab/>
        </w:r>
        <w:r w:rsidR="008875B3">
          <w:rPr>
            <w:noProof/>
            <w:webHidden/>
          </w:rPr>
          <w:fldChar w:fldCharType="begin"/>
        </w:r>
        <w:r w:rsidR="008875B3">
          <w:rPr>
            <w:noProof/>
            <w:webHidden/>
          </w:rPr>
          <w:instrText xml:space="preserve"> PAGEREF _Toc507508796 \h </w:instrText>
        </w:r>
        <w:r w:rsidR="008875B3">
          <w:rPr>
            <w:noProof/>
            <w:webHidden/>
          </w:rPr>
        </w:r>
        <w:r w:rsidR="008875B3">
          <w:rPr>
            <w:noProof/>
            <w:webHidden/>
          </w:rPr>
          <w:fldChar w:fldCharType="separate"/>
        </w:r>
        <w:r>
          <w:rPr>
            <w:noProof/>
            <w:webHidden/>
          </w:rPr>
          <w:t>62</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797" w:history="1">
        <w:r w:rsidR="008875B3" w:rsidRPr="00C22F4E">
          <w:rPr>
            <w:rStyle w:val="Kpr"/>
            <w:noProof/>
          </w:rPr>
          <w:t xml:space="preserve">Table 7. </w:t>
        </w:r>
        <w:r w:rsidR="008875B3" w:rsidRPr="008875B3">
          <w:rPr>
            <w:rStyle w:val="Kpr"/>
            <w:noProof/>
          </w:rPr>
          <w:t>Sesquiterpane Identification (m/z 123)</w:t>
        </w:r>
        <w:r w:rsidR="008875B3">
          <w:rPr>
            <w:noProof/>
            <w:webHidden/>
          </w:rPr>
          <w:tab/>
        </w:r>
        <w:r w:rsidR="008875B3">
          <w:rPr>
            <w:noProof/>
            <w:webHidden/>
          </w:rPr>
          <w:fldChar w:fldCharType="begin"/>
        </w:r>
        <w:r w:rsidR="008875B3">
          <w:rPr>
            <w:noProof/>
            <w:webHidden/>
          </w:rPr>
          <w:instrText xml:space="preserve"> PAGEREF _Toc507508797 \h </w:instrText>
        </w:r>
        <w:r w:rsidR="008875B3">
          <w:rPr>
            <w:noProof/>
            <w:webHidden/>
          </w:rPr>
        </w:r>
        <w:r w:rsidR="008875B3">
          <w:rPr>
            <w:noProof/>
            <w:webHidden/>
          </w:rPr>
          <w:fldChar w:fldCharType="separate"/>
        </w:r>
        <w:r>
          <w:rPr>
            <w:noProof/>
            <w:webHidden/>
          </w:rPr>
          <w:t>65</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798" w:history="1">
        <w:r w:rsidR="008875B3" w:rsidRPr="00C22F4E">
          <w:rPr>
            <w:rStyle w:val="Kpr"/>
            <w:noProof/>
          </w:rPr>
          <w:t xml:space="preserve">Table 8. </w:t>
        </w:r>
        <w:r w:rsidR="008875B3" w:rsidRPr="008875B3">
          <w:rPr>
            <w:rStyle w:val="Kpr"/>
            <w:noProof/>
          </w:rPr>
          <w:t>Terpane Compound Identification (m/z 191)</w:t>
        </w:r>
        <w:r w:rsidR="008875B3">
          <w:rPr>
            <w:noProof/>
            <w:webHidden/>
          </w:rPr>
          <w:tab/>
        </w:r>
        <w:r w:rsidR="008875B3">
          <w:rPr>
            <w:noProof/>
            <w:webHidden/>
          </w:rPr>
          <w:fldChar w:fldCharType="begin"/>
        </w:r>
        <w:r w:rsidR="008875B3">
          <w:rPr>
            <w:noProof/>
            <w:webHidden/>
          </w:rPr>
          <w:instrText xml:space="preserve"> PAGEREF _Toc507508798 \h </w:instrText>
        </w:r>
        <w:r w:rsidR="008875B3">
          <w:rPr>
            <w:noProof/>
            <w:webHidden/>
          </w:rPr>
        </w:r>
        <w:r w:rsidR="008875B3">
          <w:rPr>
            <w:noProof/>
            <w:webHidden/>
          </w:rPr>
          <w:fldChar w:fldCharType="separate"/>
        </w:r>
        <w:r>
          <w:rPr>
            <w:noProof/>
            <w:webHidden/>
          </w:rPr>
          <w:t>73</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799" w:history="1">
        <w:r w:rsidR="008875B3" w:rsidRPr="00C22F4E">
          <w:rPr>
            <w:rStyle w:val="Kpr"/>
            <w:noProof/>
          </w:rPr>
          <w:t xml:space="preserve">Table 9. </w:t>
        </w:r>
        <w:r w:rsidR="008875B3" w:rsidRPr="008875B3">
          <w:rPr>
            <w:rStyle w:val="Kpr"/>
            <w:noProof/>
          </w:rPr>
          <w:t>Calculated Concentra</w:t>
        </w:r>
        <w:r w:rsidR="00072D7C">
          <w:rPr>
            <w:rStyle w:val="Kpr"/>
            <w:noProof/>
          </w:rPr>
          <w:t>tions of 1,2,8-TMP, 1,2,7-TMN, O</w:t>
        </w:r>
        <w:r w:rsidR="008875B3" w:rsidRPr="008875B3">
          <w:rPr>
            <w:rStyle w:val="Kpr"/>
            <w:noProof/>
          </w:rPr>
          <w:t>leanane, 25-NHP, 25,28,30-TNH, and 25,30-BNH in the Kephart-1 Well</w:t>
        </w:r>
        <w:r w:rsidR="008875B3">
          <w:rPr>
            <w:noProof/>
            <w:webHidden/>
          </w:rPr>
          <w:tab/>
        </w:r>
        <w:r w:rsidR="008875B3">
          <w:rPr>
            <w:noProof/>
            <w:webHidden/>
          </w:rPr>
          <w:fldChar w:fldCharType="begin"/>
        </w:r>
        <w:r w:rsidR="008875B3">
          <w:rPr>
            <w:noProof/>
            <w:webHidden/>
          </w:rPr>
          <w:instrText xml:space="preserve"> PAGEREF _Toc507508799 \h </w:instrText>
        </w:r>
        <w:r w:rsidR="008875B3">
          <w:rPr>
            <w:noProof/>
            <w:webHidden/>
          </w:rPr>
        </w:r>
        <w:r w:rsidR="008875B3">
          <w:rPr>
            <w:noProof/>
            <w:webHidden/>
          </w:rPr>
          <w:fldChar w:fldCharType="separate"/>
        </w:r>
        <w:r>
          <w:rPr>
            <w:noProof/>
            <w:webHidden/>
          </w:rPr>
          <w:t>78</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800" w:history="1">
        <w:r w:rsidR="008875B3" w:rsidRPr="00C22F4E">
          <w:rPr>
            <w:rStyle w:val="Kpr"/>
            <w:noProof/>
          </w:rPr>
          <w:t xml:space="preserve">Table 10. </w:t>
        </w:r>
        <w:r w:rsidR="008875B3" w:rsidRPr="008875B3">
          <w:rPr>
            <w:rStyle w:val="Kpr"/>
            <w:noProof/>
          </w:rPr>
          <w:t>Sterane Compound Identification (m/z 217)</w:t>
        </w:r>
        <w:r w:rsidR="008875B3">
          <w:rPr>
            <w:noProof/>
            <w:webHidden/>
          </w:rPr>
          <w:tab/>
        </w:r>
        <w:r w:rsidR="008875B3">
          <w:rPr>
            <w:noProof/>
            <w:webHidden/>
          </w:rPr>
          <w:fldChar w:fldCharType="begin"/>
        </w:r>
        <w:r w:rsidR="008875B3">
          <w:rPr>
            <w:noProof/>
            <w:webHidden/>
          </w:rPr>
          <w:instrText xml:space="preserve"> PAGEREF _Toc507508800 \h </w:instrText>
        </w:r>
        <w:r w:rsidR="008875B3">
          <w:rPr>
            <w:noProof/>
            <w:webHidden/>
          </w:rPr>
        </w:r>
        <w:r w:rsidR="008875B3">
          <w:rPr>
            <w:noProof/>
            <w:webHidden/>
          </w:rPr>
          <w:fldChar w:fldCharType="separate"/>
        </w:r>
        <w:r>
          <w:rPr>
            <w:noProof/>
            <w:webHidden/>
          </w:rPr>
          <w:t>90</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801" w:history="1">
        <w:r w:rsidR="008875B3" w:rsidRPr="00C22F4E">
          <w:rPr>
            <w:rStyle w:val="Kpr"/>
            <w:noProof/>
          </w:rPr>
          <w:t xml:space="preserve">Table 11. </w:t>
        </w:r>
        <w:r w:rsidR="008875B3" w:rsidRPr="008875B3">
          <w:rPr>
            <w:rStyle w:val="Kpr"/>
            <w:noProof/>
          </w:rPr>
          <w:t>Calculated Sterane and Diasterane Ratios</w:t>
        </w:r>
        <w:r w:rsidR="008875B3">
          <w:rPr>
            <w:noProof/>
            <w:webHidden/>
          </w:rPr>
          <w:tab/>
        </w:r>
        <w:r w:rsidR="008875B3">
          <w:rPr>
            <w:noProof/>
            <w:webHidden/>
          </w:rPr>
          <w:fldChar w:fldCharType="begin"/>
        </w:r>
        <w:r w:rsidR="008875B3">
          <w:rPr>
            <w:noProof/>
            <w:webHidden/>
          </w:rPr>
          <w:instrText xml:space="preserve"> PAGEREF _Toc507508801 \h </w:instrText>
        </w:r>
        <w:r w:rsidR="008875B3">
          <w:rPr>
            <w:noProof/>
            <w:webHidden/>
          </w:rPr>
        </w:r>
        <w:r w:rsidR="008875B3">
          <w:rPr>
            <w:noProof/>
            <w:webHidden/>
          </w:rPr>
          <w:fldChar w:fldCharType="separate"/>
        </w:r>
        <w:r>
          <w:rPr>
            <w:noProof/>
            <w:webHidden/>
          </w:rPr>
          <w:t>93</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802" w:history="1">
        <w:r w:rsidR="008875B3" w:rsidRPr="00C22F4E">
          <w:rPr>
            <w:rStyle w:val="Kpr"/>
            <w:noProof/>
          </w:rPr>
          <w:t xml:space="preserve">Table 12. </w:t>
        </w:r>
        <w:r w:rsidR="008875B3" w:rsidRPr="008875B3">
          <w:rPr>
            <w:rStyle w:val="Kpr"/>
            <w:noProof/>
          </w:rPr>
          <w:t>Calculated Ratios of DBT/P, MPI-1, R</w:t>
        </w:r>
        <w:r w:rsidR="008875B3" w:rsidRPr="00072D7C">
          <w:rPr>
            <w:rStyle w:val="Kpr"/>
            <w:noProof/>
            <w:vertAlign w:val="subscript"/>
          </w:rPr>
          <w:t>c</w:t>
        </w:r>
        <w:r w:rsidR="008875B3" w:rsidRPr="008875B3">
          <w:rPr>
            <w:rStyle w:val="Kpr"/>
            <w:noProof/>
          </w:rPr>
          <w:t>%, log(1,2,5-TMN/1,3,6-TMN), log(1,2,7-TMN/1,3,7-TMN), BaA/(BaA+Chrysene), MDR, and R</w:t>
        </w:r>
        <w:r w:rsidR="008875B3" w:rsidRPr="008875B3">
          <w:rPr>
            <w:rStyle w:val="Kpr"/>
            <w:noProof/>
            <w:vertAlign w:val="subscript"/>
          </w:rPr>
          <w:t>m</w:t>
        </w:r>
        <w:r w:rsidR="008875B3" w:rsidRPr="008875B3">
          <w:rPr>
            <w:rStyle w:val="Kpr"/>
            <w:noProof/>
          </w:rPr>
          <w:t>%</w:t>
        </w:r>
        <w:r w:rsidR="008875B3">
          <w:rPr>
            <w:noProof/>
            <w:webHidden/>
          </w:rPr>
          <w:tab/>
        </w:r>
        <w:r w:rsidR="008875B3">
          <w:rPr>
            <w:noProof/>
            <w:webHidden/>
          </w:rPr>
          <w:fldChar w:fldCharType="begin"/>
        </w:r>
        <w:r w:rsidR="008875B3">
          <w:rPr>
            <w:noProof/>
            <w:webHidden/>
          </w:rPr>
          <w:instrText xml:space="preserve"> PAGEREF _Toc507508802 \h </w:instrText>
        </w:r>
        <w:r w:rsidR="008875B3">
          <w:rPr>
            <w:noProof/>
            <w:webHidden/>
          </w:rPr>
        </w:r>
        <w:r w:rsidR="008875B3">
          <w:rPr>
            <w:noProof/>
            <w:webHidden/>
          </w:rPr>
          <w:fldChar w:fldCharType="separate"/>
        </w:r>
        <w:r>
          <w:rPr>
            <w:noProof/>
            <w:webHidden/>
          </w:rPr>
          <w:t>102</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803" w:history="1">
        <w:r w:rsidR="008875B3" w:rsidRPr="00C22F4E">
          <w:rPr>
            <w:rStyle w:val="Kpr"/>
            <w:noProof/>
          </w:rPr>
          <w:t xml:space="preserve">Table 13. </w:t>
        </w:r>
        <w:r w:rsidR="008875B3" w:rsidRPr="008875B3">
          <w:rPr>
            <w:rStyle w:val="Kpr"/>
            <w:noProof/>
          </w:rPr>
          <w:t>Naphthalene Identification (m/z 142+156+170+184+198+212)</w:t>
        </w:r>
        <w:r w:rsidR="008875B3">
          <w:rPr>
            <w:noProof/>
            <w:webHidden/>
          </w:rPr>
          <w:tab/>
        </w:r>
        <w:r w:rsidR="008875B3">
          <w:rPr>
            <w:noProof/>
            <w:webHidden/>
          </w:rPr>
          <w:fldChar w:fldCharType="begin"/>
        </w:r>
        <w:r w:rsidR="008875B3">
          <w:rPr>
            <w:noProof/>
            <w:webHidden/>
          </w:rPr>
          <w:instrText xml:space="preserve"> PAGEREF _Toc507508803 \h </w:instrText>
        </w:r>
        <w:r w:rsidR="008875B3">
          <w:rPr>
            <w:noProof/>
            <w:webHidden/>
          </w:rPr>
        </w:r>
        <w:r w:rsidR="008875B3">
          <w:rPr>
            <w:noProof/>
            <w:webHidden/>
          </w:rPr>
          <w:fldChar w:fldCharType="separate"/>
        </w:r>
        <w:r>
          <w:rPr>
            <w:noProof/>
            <w:webHidden/>
          </w:rPr>
          <w:t>105</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8804" w:history="1">
        <w:r w:rsidR="008875B3" w:rsidRPr="00C22F4E">
          <w:rPr>
            <w:rStyle w:val="Kpr"/>
            <w:noProof/>
          </w:rPr>
          <w:t xml:space="preserve">Table 14. </w:t>
        </w:r>
        <w:r w:rsidR="008875B3" w:rsidRPr="008875B3">
          <w:rPr>
            <w:rStyle w:val="Kpr"/>
            <w:noProof/>
          </w:rPr>
          <w:t>Phenanthrene Identification (m/z 178+192+206+220)</w:t>
        </w:r>
        <w:r w:rsidR="008875B3">
          <w:rPr>
            <w:noProof/>
            <w:webHidden/>
          </w:rPr>
          <w:tab/>
        </w:r>
        <w:r w:rsidR="008875B3">
          <w:rPr>
            <w:noProof/>
            <w:webHidden/>
          </w:rPr>
          <w:fldChar w:fldCharType="begin"/>
        </w:r>
        <w:r w:rsidR="008875B3">
          <w:rPr>
            <w:noProof/>
            <w:webHidden/>
          </w:rPr>
          <w:instrText xml:space="preserve"> PAGEREF _Toc507508804 \h </w:instrText>
        </w:r>
        <w:r w:rsidR="008875B3">
          <w:rPr>
            <w:noProof/>
            <w:webHidden/>
          </w:rPr>
        </w:r>
        <w:r w:rsidR="008875B3">
          <w:rPr>
            <w:noProof/>
            <w:webHidden/>
          </w:rPr>
          <w:fldChar w:fldCharType="separate"/>
        </w:r>
        <w:r>
          <w:rPr>
            <w:noProof/>
            <w:webHidden/>
          </w:rPr>
          <w:t>115</w:t>
        </w:r>
        <w:r w:rsidR="008875B3">
          <w:rPr>
            <w:noProof/>
            <w:webHidden/>
          </w:rPr>
          <w:fldChar w:fldCharType="end"/>
        </w:r>
      </w:hyperlink>
    </w:p>
    <w:p w:rsidR="00DA1971" w:rsidRDefault="00AA4AED" w:rsidP="00E1019B">
      <w:pPr>
        <w:pStyle w:val="Balk1"/>
      </w:pPr>
      <w:r>
        <w:fldChar w:fldCharType="end"/>
      </w:r>
      <w:r w:rsidR="00DA1971">
        <w:br w:type="page"/>
      </w:r>
      <w:bookmarkStart w:id="4" w:name="_Toc310579466"/>
      <w:bookmarkStart w:id="5" w:name="_Toc50750661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DD3CFD">
            <w:t>List of Figures</w:t>
          </w:r>
        </w:sdtContent>
      </w:sdt>
      <w:bookmarkEnd w:id="4"/>
      <w:bookmarkEnd w:id="5"/>
    </w:p>
    <w:p w:rsidR="009C4FEF" w:rsidRPr="00EE3EDB" w:rsidRDefault="009C4FEF" w:rsidP="009C4FEF">
      <w:pPr>
        <w:pStyle w:val="AralkYok"/>
      </w:pPr>
    </w:p>
    <w:p w:rsidR="008875B3" w:rsidRDefault="00AA4AED">
      <w:pPr>
        <w:pStyle w:val="ekillerTablosu"/>
        <w:tabs>
          <w:tab w:val="right" w:leader="dot" w:pos="8486"/>
        </w:tabs>
        <w:rPr>
          <w:rFonts w:eastAsiaTheme="minorEastAsia" w:cstheme="minorBidi"/>
          <w:noProof/>
          <w:sz w:val="22"/>
          <w:szCs w:val="22"/>
          <w:lang w:val="tr-TR" w:eastAsia="tr-TR" w:bidi="ar-SA"/>
        </w:rPr>
      </w:pPr>
      <w:r>
        <w:fldChar w:fldCharType="begin"/>
      </w:r>
      <w:r w:rsidR="00BB2DDE">
        <w:instrText xml:space="preserve"> TOC \h \z \c "Figure" </w:instrText>
      </w:r>
      <w:r>
        <w:fldChar w:fldCharType="separate"/>
      </w:r>
      <w:hyperlink w:anchor="_Toc507509049" w:history="1">
        <w:r w:rsidR="008875B3" w:rsidRPr="002D77F1">
          <w:rPr>
            <w:rStyle w:val="Kpr"/>
            <w:noProof/>
          </w:rPr>
          <w:t xml:space="preserve">Figure 1. </w:t>
        </w:r>
        <w:r w:rsidR="008875B3" w:rsidRPr="008875B3">
          <w:rPr>
            <w:rStyle w:val="Kpr"/>
            <w:noProof/>
          </w:rPr>
          <w:t>Map Showing Distribution of Vitrinite Reflectance Values</w:t>
        </w:r>
        <w:r w:rsidR="008875B3" w:rsidRPr="002D77F1">
          <w:rPr>
            <w:rStyle w:val="Kpr"/>
            <w:noProof/>
          </w:rPr>
          <w:t>.</w:t>
        </w:r>
        <w:r w:rsidR="008875B3">
          <w:rPr>
            <w:noProof/>
            <w:webHidden/>
          </w:rPr>
          <w:tab/>
        </w:r>
        <w:r w:rsidR="008875B3">
          <w:rPr>
            <w:noProof/>
            <w:webHidden/>
          </w:rPr>
          <w:fldChar w:fldCharType="begin"/>
        </w:r>
        <w:r w:rsidR="008875B3">
          <w:rPr>
            <w:noProof/>
            <w:webHidden/>
          </w:rPr>
          <w:instrText xml:space="preserve"> PAGEREF _Toc507509049 \h </w:instrText>
        </w:r>
        <w:r w:rsidR="008875B3">
          <w:rPr>
            <w:noProof/>
            <w:webHidden/>
          </w:rPr>
        </w:r>
        <w:r w:rsidR="008875B3">
          <w:rPr>
            <w:noProof/>
            <w:webHidden/>
          </w:rPr>
          <w:fldChar w:fldCharType="separate"/>
        </w:r>
        <w:r w:rsidR="003F6459">
          <w:rPr>
            <w:noProof/>
            <w:webHidden/>
          </w:rPr>
          <w:t>2</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50" w:history="1">
        <w:r w:rsidR="008875B3" w:rsidRPr="002D77F1">
          <w:rPr>
            <w:rStyle w:val="Kpr"/>
            <w:noProof/>
          </w:rPr>
          <w:t xml:space="preserve">Figure 2. </w:t>
        </w:r>
        <w:r w:rsidR="008875B3" w:rsidRPr="008875B3">
          <w:rPr>
            <w:rStyle w:val="Kpr"/>
            <w:noProof/>
          </w:rPr>
          <w:t>Location Map of the Anadarko Basin</w:t>
        </w:r>
        <w:r w:rsidR="008875B3">
          <w:rPr>
            <w:noProof/>
            <w:webHidden/>
          </w:rPr>
          <w:tab/>
        </w:r>
        <w:r w:rsidR="008875B3">
          <w:rPr>
            <w:noProof/>
            <w:webHidden/>
          </w:rPr>
          <w:fldChar w:fldCharType="begin"/>
        </w:r>
        <w:r w:rsidR="008875B3">
          <w:rPr>
            <w:noProof/>
            <w:webHidden/>
          </w:rPr>
          <w:instrText xml:space="preserve"> PAGEREF _Toc507509050 \h </w:instrText>
        </w:r>
        <w:r w:rsidR="008875B3">
          <w:rPr>
            <w:noProof/>
            <w:webHidden/>
          </w:rPr>
        </w:r>
        <w:r w:rsidR="008875B3">
          <w:rPr>
            <w:noProof/>
            <w:webHidden/>
          </w:rPr>
          <w:fldChar w:fldCharType="separate"/>
        </w:r>
        <w:r>
          <w:rPr>
            <w:noProof/>
            <w:webHidden/>
          </w:rPr>
          <w:t>5</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51" w:history="1">
        <w:r w:rsidR="008875B3" w:rsidRPr="002D77F1">
          <w:rPr>
            <w:rStyle w:val="Kpr"/>
            <w:noProof/>
          </w:rPr>
          <w:t xml:space="preserve">Figure 3. </w:t>
        </w:r>
        <w:r w:rsidR="008875B3" w:rsidRPr="008875B3">
          <w:rPr>
            <w:rStyle w:val="Kpr"/>
            <w:noProof/>
          </w:rPr>
          <w:t xml:space="preserve">Stratigraphic Column of the Anadarko </w:t>
        </w:r>
        <w:r w:rsidR="008875B3">
          <w:rPr>
            <w:rStyle w:val="Kpr"/>
            <w:noProof/>
          </w:rPr>
          <w:t>B</w:t>
        </w:r>
        <w:r w:rsidR="008875B3" w:rsidRPr="008875B3">
          <w:rPr>
            <w:rStyle w:val="Kpr"/>
            <w:noProof/>
          </w:rPr>
          <w:t>asin</w:t>
        </w:r>
        <w:r w:rsidR="008875B3">
          <w:rPr>
            <w:noProof/>
            <w:webHidden/>
          </w:rPr>
          <w:tab/>
        </w:r>
        <w:r w:rsidR="008875B3">
          <w:rPr>
            <w:noProof/>
            <w:webHidden/>
          </w:rPr>
          <w:fldChar w:fldCharType="begin"/>
        </w:r>
        <w:r w:rsidR="008875B3">
          <w:rPr>
            <w:noProof/>
            <w:webHidden/>
          </w:rPr>
          <w:instrText xml:space="preserve"> PAGEREF _Toc507509051 \h </w:instrText>
        </w:r>
        <w:r w:rsidR="008875B3">
          <w:rPr>
            <w:noProof/>
            <w:webHidden/>
          </w:rPr>
        </w:r>
        <w:r w:rsidR="008875B3">
          <w:rPr>
            <w:noProof/>
            <w:webHidden/>
          </w:rPr>
          <w:fldChar w:fldCharType="separate"/>
        </w:r>
        <w:r>
          <w:rPr>
            <w:noProof/>
            <w:webHidden/>
          </w:rPr>
          <w:t>7</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r:id="rId10" w:anchor="_Toc507509052" w:history="1">
        <w:r w:rsidR="008875B3" w:rsidRPr="002D77F1">
          <w:rPr>
            <w:rStyle w:val="Kpr"/>
            <w:noProof/>
          </w:rPr>
          <w:t>Figure 4. Diagrammatic North-South Cross Section of the Deep Anadarko Basin</w:t>
        </w:r>
        <w:r w:rsidR="008875B3">
          <w:rPr>
            <w:noProof/>
            <w:webHidden/>
          </w:rPr>
          <w:tab/>
        </w:r>
        <w:r w:rsidR="008875B3">
          <w:rPr>
            <w:noProof/>
            <w:webHidden/>
          </w:rPr>
          <w:fldChar w:fldCharType="begin"/>
        </w:r>
        <w:r w:rsidR="008875B3">
          <w:rPr>
            <w:noProof/>
            <w:webHidden/>
          </w:rPr>
          <w:instrText xml:space="preserve"> PAGEREF _Toc507509052 \h </w:instrText>
        </w:r>
        <w:r w:rsidR="008875B3">
          <w:rPr>
            <w:noProof/>
            <w:webHidden/>
          </w:rPr>
        </w:r>
        <w:r w:rsidR="008875B3">
          <w:rPr>
            <w:noProof/>
            <w:webHidden/>
          </w:rPr>
          <w:fldChar w:fldCharType="separate"/>
        </w:r>
        <w:r>
          <w:rPr>
            <w:noProof/>
            <w:webHidden/>
          </w:rPr>
          <w:t>8</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53" w:history="1">
        <w:r w:rsidR="008875B3" w:rsidRPr="002D77F1">
          <w:rPr>
            <w:rStyle w:val="Kpr"/>
            <w:noProof/>
          </w:rPr>
          <w:t xml:space="preserve">Figure 5. </w:t>
        </w:r>
        <w:r w:rsidR="00072D7C" w:rsidRPr="00072D7C">
          <w:rPr>
            <w:rStyle w:val="Kpr"/>
            <w:noProof/>
          </w:rPr>
          <w:t>Paleogeographic Maps of the Early Pennsylvanian Time</w:t>
        </w:r>
        <w:r w:rsidR="008875B3">
          <w:rPr>
            <w:noProof/>
            <w:webHidden/>
          </w:rPr>
          <w:tab/>
        </w:r>
        <w:r w:rsidR="008875B3">
          <w:rPr>
            <w:noProof/>
            <w:webHidden/>
          </w:rPr>
          <w:fldChar w:fldCharType="begin"/>
        </w:r>
        <w:r w:rsidR="008875B3">
          <w:rPr>
            <w:noProof/>
            <w:webHidden/>
          </w:rPr>
          <w:instrText xml:space="preserve"> PAGEREF _Toc507509053 \h </w:instrText>
        </w:r>
        <w:r w:rsidR="008875B3">
          <w:rPr>
            <w:noProof/>
            <w:webHidden/>
          </w:rPr>
        </w:r>
        <w:r w:rsidR="008875B3">
          <w:rPr>
            <w:noProof/>
            <w:webHidden/>
          </w:rPr>
          <w:fldChar w:fldCharType="separate"/>
        </w:r>
        <w:r>
          <w:rPr>
            <w:noProof/>
            <w:webHidden/>
          </w:rPr>
          <w:t>14</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54" w:history="1">
        <w:r w:rsidR="008875B3" w:rsidRPr="002D77F1">
          <w:rPr>
            <w:rStyle w:val="Kpr"/>
            <w:noProof/>
          </w:rPr>
          <w:t>Figure 6. F</w:t>
        </w:r>
        <w:r w:rsidR="00072D7C" w:rsidRPr="00072D7C">
          <w:rPr>
            <w:rStyle w:val="Kpr"/>
            <w:noProof/>
          </w:rPr>
          <w:t>ormal and Informal Stratigraphic Nomenclature Chart of the Morrow</w:t>
        </w:r>
        <w:r w:rsidR="008875B3">
          <w:rPr>
            <w:noProof/>
            <w:webHidden/>
          </w:rPr>
          <w:tab/>
        </w:r>
        <w:r w:rsidR="008875B3">
          <w:rPr>
            <w:noProof/>
            <w:webHidden/>
          </w:rPr>
          <w:fldChar w:fldCharType="begin"/>
        </w:r>
        <w:r w:rsidR="008875B3">
          <w:rPr>
            <w:noProof/>
            <w:webHidden/>
          </w:rPr>
          <w:instrText xml:space="preserve"> PAGEREF _Toc507509054 \h </w:instrText>
        </w:r>
        <w:r w:rsidR="008875B3">
          <w:rPr>
            <w:noProof/>
            <w:webHidden/>
          </w:rPr>
        </w:r>
        <w:r w:rsidR="008875B3">
          <w:rPr>
            <w:noProof/>
            <w:webHidden/>
          </w:rPr>
          <w:fldChar w:fldCharType="separate"/>
        </w:r>
        <w:r>
          <w:rPr>
            <w:noProof/>
            <w:webHidden/>
          </w:rPr>
          <w:t>17</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r:id="rId11" w:anchor="_Toc507509055" w:history="1">
        <w:r w:rsidR="008875B3" w:rsidRPr="002D77F1">
          <w:rPr>
            <w:rStyle w:val="Kpr"/>
            <w:noProof/>
          </w:rPr>
          <w:t xml:space="preserve">Figure 7. </w:t>
        </w:r>
        <w:r w:rsidR="00072D7C" w:rsidRPr="00072D7C">
          <w:rPr>
            <w:rStyle w:val="Kpr"/>
            <w:noProof/>
          </w:rPr>
          <w:t>Paleogeographic Map Showi</w:t>
        </w:r>
        <w:r w:rsidR="00072D7C">
          <w:rPr>
            <w:rStyle w:val="Kpr"/>
            <w:noProof/>
          </w:rPr>
          <w:t>ng Reconstruction of the Morrow</w:t>
        </w:r>
        <w:r w:rsidR="008875B3">
          <w:rPr>
            <w:noProof/>
            <w:webHidden/>
          </w:rPr>
          <w:tab/>
        </w:r>
        <w:r w:rsidR="008875B3">
          <w:rPr>
            <w:noProof/>
            <w:webHidden/>
          </w:rPr>
          <w:fldChar w:fldCharType="begin"/>
        </w:r>
        <w:r w:rsidR="008875B3">
          <w:rPr>
            <w:noProof/>
            <w:webHidden/>
          </w:rPr>
          <w:instrText xml:space="preserve"> PAGEREF _Toc507509055 \h </w:instrText>
        </w:r>
        <w:r w:rsidR="008875B3">
          <w:rPr>
            <w:noProof/>
            <w:webHidden/>
          </w:rPr>
        </w:r>
        <w:r w:rsidR="008875B3">
          <w:rPr>
            <w:noProof/>
            <w:webHidden/>
          </w:rPr>
          <w:fldChar w:fldCharType="separate"/>
        </w:r>
        <w:r>
          <w:rPr>
            <w:noProof/>
            <w:webHidden/>
          </w:rPr>
          <w:t>19</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56" w:history="1">
        <w:r w:rsidR="008875B3" w:rsidRPr="002D77F1">
          <w:rPr>
            <w:rStyle w:val="Kpr"/>
            <w:noProof/>
          </w:rPr>
          <w:t xml:space="preserve">Figure 8. </w:t>
        </w:r>
        <w:r w:rsidR="00072D7C" w:rsidRPr="00072D7C">
          <w:rPr>
            <w:rStyle w:val="Kpr"/>
            <w:noProof/>
          </w:rPr>
          <w:t>Depositional Model for the Lower Morrow in the Southwest Kansas</w:t>
        </w:r>
        <w:r w:rsidR="008875B3">
          <w:rPr>
            <w:noProof/>
            <w:webHidden/>
          </w:rPr>
          <w:tab/>
        </w:r>
        <w:r w:rsidR="008875B3">
          <w:rPr>
            <w:noProof/>
            <w:webHidden/>
          </w:rPr>
          <w:fldChar w:fldCharType="begin"/>
        </w:r>
        <w:r w:rsidR="008875B3">
          <w:rPr>
            <w:noProof/>
            <w:webHidden/>
          </w:rPr>
          <w:instrText xml:space="preserve"> PAGEREF _Toc507509056 \h </w:instrText>
        </w:r>
        <w:r w:rsidR="008875B3">
          <w:rPr>
            <w:noProof/>
            <w:webHidden/>
          </w:rPr>
        </w:r>
        <w:r w:rsidR="008875B3">
          <w:rPr>
            <w:noProof/>
            <w:webHidden/>
          </w:rPr>
          <w:fldChar w:fldCharType="separate"/>
        </w:r>
        <w:r>
          <w:rPr>
            <w:noProof/>
            <w:webHidden/>
          </w:rPr>
          <w:t>21</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57" w:history="1">
        <w:r w:rsidR="008875B3" w:rsidRPr="002D77F1">
          <w:rPr>
            <w:rStyle w:val="Kpr"/>
            <w:noProof/>
          </w:rPr>
          <w:t xml:space="preserve">Figure 9. </w:t>
        </w:r>
        <w:r w:rsidR="00072D7C" w:rsidRPr="00072D7C">
          <w:rPr>
            <w:rStyle w:val="Kpr"/>
            <w:noProof/>
          </w:rPr>
          <w:t>Block Diagram Showing Hypothetical Clastic Deposition at the Morrow</w:t>
        </w:r>
        <w:r w:rsidR="008875B3">
          <w:rPr>
            <w:noProof/>
            <w:webHidden/>
          </w:rPr>
          <w:tab/>
        </w:r>
        <w:r w:rsidR="008875B3">
          <w:rPr>
            <w:noProof/>
            <w:webHidden/>
          </w:rPr>
          <w:fldChar w:fldCharType="begin"/>
        </w:r>
        <w:r w:rsidR="008875B3">
          <w:rPr>
            <w:noProof/>
            <w:webHidden/>
          </w:rPr>
          <w:instrText xml:space="preserve"> PAGEREF _Toc507509057 \h </w:instrText>
        </w:r>
        <w:r w:rsidR="008875B3">
          <w:rPr>
            <w:noProof/>
            <w:webHidden/>
          </w:rPr>
        </w:r>
        <w:r w:rsidR="008875B3">
          <w:rPr>
            <w:noProof/>
            <w:webHidden/>
          </w:rPr>
          <w:fldChar w:fldCharType="separate"/>
        </w:r>
        <w:r>
          <w:rPr>
            <w:noProof/>
            <w:webHidden/>
          </w:rPr>
          <w:t>22</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58" w:history="1">
        <w:r w:rsidR="00072D7C">
          <w:rPr>
            <w:rStyle w:val="Kpr"/>
            <w:noProof/>
          </w:rPr>
          <w:t>Figure 10. S</w:t>
        </w:r>
        <w:r w:rsidR="00072D7C" w:rsidRPr="00072D7C">
          <w:rPr>
            <w:rStyle w:val="Kpr"/>
            <w:noProof/>
          </w:rPr>
          <w:t>chematic Block Diagram Illustrating Depositional Style of the Morrow</w:t>
        </w:r>
        <w:r w:rsidR="008875B3">
          <w:rPr>
            <w:noProof/>
            <w:webHidden/>
          </w:rPr>
          <w:tab/>
        </w:r>
        <w:r w:rsidR="008875B3">
          <w:rPr>
            <w:noProof/>
            <w:webHidden/>
          </w:rPr>
          <w:fldChar w:fldCharType="begin"/>
        </w:r>
        <w:r w:rsidR="008875B3">
          <w:rPr>
            <w:noProof/>
            <w:webHidden/>
          </w:rPr>
          <w:instrText xml:space="preserve"> PAGEREF _Toc507509058 \h </w:instrText>
        </w:r>
        <w:r w:rsidR="008875B3">
          <w:rPr>
            <w:noProof/>
            <w:webHidden/>
          </w:rPr>
        </w:r>
        <w:r w:rsidR="008875B3">
          <w:rPr>
            <w:noProof/>
            <w:webHidden/>
          </w:rPr>
          <w:fldChar w:fldCharType="separate"/>
        </w:r>
        <w:r>
          <w:rPr>
            <w:noProof/>
            <w:webHidden/>
          </w:rPr>
          <w:t>23</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59" w:history="1">
        <w:r w:rsidR="008875B3" w:rsidRPr="002D77F1">
          <w:rPr>
            <w:rStyle w:val="Kpr"/>
            <w:noProof/>
          </w:rPr>
          <w:t xml:space="preserve">Figure 11. </w:t>
        </w:r>
        <w:r w:rsidR="00072D7C" w:rsidRPr="00072D7C">
          <w:rPr>
            <w:rStyle w:val="Kpr"/>
            <w:noProof/>
          </w:rPr>
          <w:t>Schematic Diagrams Showing the Distribution of Depositional Systems</w:t>
        </w:r>
        <w:r w:rsidR="008875B3">
          <w:rPr>
            <w:noProof/>
            <w:webHidden/>
          </w:rPr>
          <w:tab/>
        </w:r>
        <w:r w:rsidR="008875B3">
          <w:rPr>
            <w:noProof/>
            <w:webHidden/>
          </w:rPr>
          <w:fldChar w:fldCharType="begin"/>
        </w:r>
        <w:r w:rsidR="008875B3">
          <w:rPr>
            <w:noProof/>
            <w:webHidden/>
          </w:rPr>
          <w:instrText xml:space="preserve"> PAGEREF _Toc507509059 \h </w:instrText>
        </w:r>
        <w:r w:rsidR="008875B3">
          <w:rPr>
            <w:noProof/>
            <w:webHidden/>
          </w:rPr>
        </w:r>
        <w:r w:rsidR="008875B3">
          <w:rPr>
            <w:noProof/>
            <w:webHidden/>
          </w:rPr>
          <w:fldChar w:fldCharType="separate"/>
        </w:r>
        <w:r>
          <w:rPr>
            <w:noProof/>
            <w:webHidden/>
          </w:rPr>
          <w:t>24</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r:id="rId12" w:anchor="_Toc507509060" w:history="1">
        <w:r w:rsidR="008875B3" w:rsidRPr="002D77F1">
          <w:rPr>
            <w:rStyle w:val="Kpr"/>
            <w:noProof/>
          </w:rPr>
          <w:t xml:space="preserve">Figure 12. </w:t>
        </w:r>
        <w:r w:rsidR="00072D7C" w:rsidRPr="00072D7C">
          <w:rPr>
            <w:rStyle w:val="Kpr"/>
            <w:noProof/>
          </w:rPr>
          <w:t>Location Map of the Studied Samples</w:t>
        </w:r>
        <w:r w:rsidR="008875B3">
          <w:rPr>
            <w:noProof/>
            <w:webHidden/>
          </w:rPr>
          <w:tab/>
        </w:r>
        <w:r w:rsidR="008875B3">
          <w:rPr>
            <w:noProof/>
            <w:webHidden/>
          </w:rPr>
          <w:fldChar w:fldCharType="begin"/>
        </w:r>
        <w:r w:rsidR="008875B3">
          <w:rPr>
            <w:noProof/>
            <w:webHidden/>
          </w:rPr>
          <w:instrText xml:space="preserve"> PAGEREF _Toc507509060 \h </w:instrText>
        </w:r>
        <w:r w:rsidR="008875B3">
          <w:rPr>
            <w:noProof/>
            <w:webHidden/>
          </w:rPr>
        </w:r>
        <w:r w:rsidR="008875B3">
          <w:rPr>
            <w:noProof/>
            <w:webHidden/>
          </w:rPr>
          <w:fldChar w:fldCharType="separate"/>
        </w:r>
        <w:r>
          <w:rPr>
            <w:noProof/>
            <w:webHidden/>
          </w:rPr>
          <w:t>26</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61" w:history="1">
        <w:r w:rsidR="008875B3" w:rsidRPr="002D77F1">
          <w:rPr>
            <w:rStyle w:val="Kpr"/>
            <w:noProof/>
          </w:rPr>
          <w:t>Figure 13. Laboratory Equipments Used for Rock Crushing</w:t>
        </w:r>
        <w:r w:rsidR="008875B3">
          <w:rPr>
            <w:noProof/>
            <w:webHidden/>
          </w:rPr>
          <w:tab/>
        </w:r>
        <w:r w:rsidR="008875B3">
          <w:rPr>
            <w:noProof/>
            <w:webHidden/>
          </w:rPr>
          <w:fldChar w:fldCharType="begin"/>
        </w:r>
        <w:r w:rsidR="008875B3">
          <w:rPr>
            <w:noProof/>
            <w:webHidden/>
          </w:rPr>
          <w:instrText xml:space="preserve"> PAGEREF _Toc507509061 \h </w:instrText>
        </w:r>
        <w:r w:rsidR="008875B3">
          <w:rPr>
            <w:noProof/>
            <w:webHidden/>
          </w:rPr>
        </w:r>
        <w:r w:rsidR="008875B3">
          <w:rPr>
            <w:noProof/>
            <w:webHidden/>
          </w:rPr>
          <w:fldChar w:fldCharType="separate"/>
        </w:r>
        <w:r>
          <w:rPr>
            <w:noProof/>
            <w:webHidden/>
          </w:rPr>
          <w:t>28</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r:id="rId13" w:anchor="_Toc507509062" w:history="1">
        <w:r w:rsidR="008875B3" w:rsidRPr="002D77F1">
          <w:rPr>
            <w:rStyle w:val="Kpr"/>
            <w:noProof/>
          </w:rPr>
          <w:t>Figure 14. Sample Preparation Flowchart</w:t>
        </w:r>
        <w:r w:rsidR="008875B3">
          <w:rPr>
            <w:noProof/>
            <w:webHidden/>
          </w:rPr>
          <w:tab/>
        </w:r>
        <w:r w:rsidR="008875B3">
          <w:rPr>
            <w:noProof/>
            <w:webHidden/>
          </w:rPr>
          <w:fldChar w:fldCharType="begin"/>
        </w:r>
        <w:r w:rsidR="008875B3">
          <w:rPr>
            <w:noProof/>
            <w:webHidden/>
          </w:rPr>
          <w:instrText xml:space="preserve"> PAGEREF _Toc507509062 \h </w:instrText>
        </w:r>
        <w:r w:rsidR="008875B3">
          <w:rPr>
            <w:noProof/>
            <w:webHidden/>
          </w:rPr>
        </w:r>
        <w:r w:rsidR="008875B3">
          <w:rPr>
            <w:noProof/>
            <w:webHidden/>
          </w:rPr>
          <w:fldChar w:fldCharType="separate"/>
        </w:r>
        <w:r>
          <w:rPr>
            <w:noProof/>
            <w:webHidden/>
          </w:rPr>
          <w:t>29</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63" w:history="1">
        <w:r w:rsidR="008875B3" w:rsidRPr="002D77F1">
          <w:rPr>
            <w:rStyle w:val="Kpr"/>
            <w:noProof/>
          </w:rPr>
          <w:t xml:space="preserve">Figure 15. </w:t>
        </w:r>
        <w:r w:rsidR="00072D7C" w:rsidRPr="00072D7C">
          <w:rPr>
            <w:rStyle w:val="Kpr"/>
            <w:noProof/>
          </w:rPr>
          <w:t>Simplified Pyrogram Profile of a Traditional Rock-Eval Method</w:t>
        </w:r>
        <w:r w:rsidR="008875B3">
          <w:rPr>
            <w:noProof/>
            <w:webHidden/>
          </w:rPr>
          <w:tab/>
        </w:r>
        <w:r w:rsidR="008875B3">
          <w:rPr>
            <w:noProof/>
            <w:webHidden/>
          </w:rPr>
          <w:fldChar w:fldCharType="begin"/>
        </w:r>
        <w:r w:rsidR="008875B3">
          <w:rPr>
            <w:noProof/>
            <w:webHidden/>
          </w:rPr>
          <w:instrText xml:space="preserve"> PAGEREF _Toc507509063 \h </w:instrText>
        </w:r>
        <w:r w:rsidR="008875B3">
          <w:rPr>
            <w:noProof/>
            <w:webHidden/>
          </w:rPr>
        </w:r>
        <w:r w:rsidR="008875B3">
          <w:rPr>
            <w:noProof/>
            <w:webHidden/>
          </w:rPr>
          <w:fldChar w:fldCharType="separate"/>
        </w:r>
        <w:r>
          <w:rPr>
            <w:noProof/>
            <w:webHidden/>
          </w:rPr>
          <w:t>31</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64" w:history="1">
        <w:r w:rsidR="008875B3" w:rsidRPr="002D77F1">
          <w:rPr>
            <w:rStyle w:val="Kpr"/>
            <w:noProof/>
          </w:rPr>
          <w:t xml:space="preserve">Figure 16. </w:t>
        </w:r>
        <w:r w:rsidR="00072D7C" w:rsidRPr="00072D7C">
          <w:rPr>
            <w:rStyle w:val="Kpr"/>
            <w:noProof/>
          </w:rPr>
          <w:t>van Krevelen Type Diagram Showing the Distribution of Kerogen Types</w:t>
        </w:r>
        <w:r w:rsidR="008875B3">
          <w:rPr>
            <w:noProof/>
            <w:webHidden/>
          </w:rPr>
          <w:tab/>
        </w:r>
        <w:r w:rsidR="008875B3">
          <w:rPr>
            <w:noProof/>
            <w:webHidden/>
          </w:rPr>
          <w:fldChar w:fldCharType="begin"/>
        </w:r>
        <w:r w:rsidR="008875B3">
          <w:rPr>
            <w:noProof/>
            <w:webHidden/>
          </w:rPr>
          <w:instrText xml:space="preserve"> PAGEREF _Toc507509064 \h </w:instrText>
        </w:r>
        <w:r w:rsidR="008875B3">
          <w:rPr>
            <w:noProof/>
            <w:webHidden/>
          </w:rPr>
        </w:r>
        <w:r w:rsidR="008875B3">
          <w:rPr>
            <w:noProof/>
            <w:webHidden/>
          </w:rPr>
          <w:fldChar w:fldCharType="separate"/>
        </w:r>
        <w:r>
          <w:rPr>
            <w:noProof/>
            <w:webHidden/>
          </w:rPr>
          <w:t>32</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65" w:history="1">
        <w:r w:rsidR="008875B3" w:rsidRPr="002D77F1">
          <w:rPr>
            <w:rStyle w:val="Kpr"/>
            <w:noProof/>
          </w:rPr>
          <w:t xml:space="preserve">Figure 17. </w:t>
        </w:r>
        <w:r w:rsidR="00072D7C" w:rsidRPr="00072D7C">
          <w:rPr>
            <w:rStyle w:val="Kpr"/>
            <w:noProof/>
          </w:rPr>
          <w:t>TOC Map Constructed for the Study Area</w:t>
        </w:r>
        <w:r w:rsidR="008875B3">
          <w:rPr>
            <w:noProof/>
            <w:webHidden/>
          </w:rPr>
          <w:tab/>
        </w:r>
        <w:r w:rsidR="008875B3">
          <w:rPr>
            <w:noProof/>
            <w:webHidden/>
          </w:rPr>
          <w:fldChar w:fldCharType="begin"/>
        </w:r>
        <w:r w:rsidR="008875B3">
          <w:rPr>
            <w:noProof/>
            <w:webHidden/>
          </w:rPr>
          <w:instrText xml:space="preserve"> PAGEREF _Toc507509065 \h </w:instrText>
        </w:r>
        <w:r w:rsidR="008875B3">
          <w:rPr>
            <w:noProof/>
            <w:webHidden/>
          </w:rPr>
        </w:r>
        <w:r w:rsidR="008875B3">
          <w:rPr>
            <w:noProof/>
            <w:webHidden/>
          </w:rPr>
          <w:fldChar w:fldCharType="separate"/>
        </w:r>
        <w:r>
          <w:rPr>
            <w:noProof/>
            <w:webHidden/>
          </w:rPr>
          <w:t>41</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66" w:history="1">
        <w:r w:rsidR="008875B3" w:rsidRPr="002D77F1">
          <w:rPr>
            <w:rStyle w:val="Kpr"/>
            <w:noProof/>
          </w:rPr>
          <w:t>Figure 18. Hydrogen Index Map Constructed for the Study Area</w:t>
        </w:r>
        <w:r w:rsidR="008875B3">
          <w:rPr>
            <w:noProof/>
            <w:webHidden/>
          </w:rPr>
          <w:tab/>
        </w:r>
        <w:r w:rsidR="008875B3">
          <w:rPr>
            <w:noProof/>
            <w:webHidden/>
          </w:rPr>
          <w:fldChar w:fldCharType="begin"/>
        </w:r>
        <w:r w:rsidR="008875B3">
          <w:rPr>
            <w:noProof/>
            <w:webHidden/>
          </w:rPr>
          <w:instrText xml:space="preserve"> PAGEREF _Toc507509066 \h </w:instrText>
        </w:r>
        <w:r w:rsidR="008875B3">
          <w:rPr>
            <w:noProof/>
            <w:webHidden/>
          </w:rPr>
        </w:r>
        <w:r w:rsidR="008875B3">
          <w:rPr>
            <w:noProof/>
            <w:webHidden/>
          </w:rPr>
          <w:fldChar w:fldCharType="separate"/>
        </w:r>
        <w:r>
          <w:rPr>
            <w:noProof/>
            <w:webHidden/>
          </w:rPr>
          <w:t>42</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67" w:history="1">
        <w:r w:rsidR="008875B3" w:rsidRPr="002D77F1">
          <w:rPr>
            <w:rStyle w:val="Kpr"/>
            <w:noProof/>
          </w:rPr>
          <w:t xml:space="preserve">Figure 19. </w:t>
        </w:r>
        <w:r w:rsidR="00072D7C" w:rsidRPr="00072D7C">
          <w:rPr>
            <w:rStyle w:val="Kpr"/>
            <w:noProof/>
          </w:rPr>
          <w:t>Cross Plot of Hydrogen Index (HI) vs. TOC</w:t>
        </w:r>
        <w:r w:rsidR="008875B3">
          <w:rPr>
            <w:noProof/>
            <w:webHidden/>
          </w:rPr>
          <w:tab/>
        </w:r>
        <w:r w:rsidR="008875B3">
          <w:rPr>
            <w:noProof/>
            <w:webHidden/>
          </w:rPr>
          <w:fldChar w:fldCharType="begin"/>
        </w:r>
        <w:r w:rsidR="008875B3">
          <w:rPr>
            <w:noProof/>
            <w:webHidden/>
          </w:rPr>
          <w:instrText xml:space="preserve"> PAGEREF _Toc507509067 \h </w:instrText>
        </w:r>
        <w:r w:rsidR="008875B3">
          <w:rPr>
            <w:noProof/>
            <w:webHidden/>
          </w:rPr>
        </w:r>
        <w:r w:rsidR="008875B3">
          <w:rPr>
            <w:noProof/>
            <w:webHidden/>
          </w:rPr>
          <w:fldChar w:fldCharType="separate"/>
        </w:r>
        <w:r>
          <w:rPr>
            <w:noProof/>
            <w:webHidden/>
          </w:rPr>
          <w:t>44</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68" w:history="1">
        <w:r w:rsidR="008875B3" w:rsidRPr="002D77F1">
          <w:rPr>
            <w:rStyle w:val="Kpr"/>
            <w:noProof/>
          </w:rPr>
          <w:t xml:space="preserve">Figure 20. </w:t>
        </w:r>
        <w:r w:rsidR="00072D7C" w:rsidRPr="00072D7C">
          <w:rPr>
            <w:rStyle w:val="Kpr"/>
            <w:noProof/>
          </w:rPr>
          <w:t>TOC Log Plot of the Kephart-1 Core</w:t>
        </w:r>
        <w:r w:rsidR="008875B3">
          <w:rPr>
            <w:noProof/>
            <w:webHidden/>
          </w:rPr>
          <w:tab/>
        </w:r>
        <w:r w:rsidR="008875B3">
          <w:rPr>
            <w:noProof/>
            <w:webHidden/>
          </w:rPr>
          <w:fldChar w:fldCharType="begin"/>
        </w:r>
        <w:r w:rsidR="008875B3">
          <w:rPr>
            <w:noProof/>
            <w:webHidden/>
          </w:rPr>
          <w:instrText xml:space="preserve"> PAGEREF _Toc507509068 \h </w:instrText>
        </w:r>
        <w:r w:rsidR="008875B3">
          <w:rPr>
            <w:noProof/>
            <w:webHidden/>
          </w:rPr>
        </w:r>
        <w:r w:rsidR="008875B3">
          <w:rPr>
            <w:noProof/>
            <w:webHidden/>
          </w:rPr>
          <w:fldChar w:fldCharType="separate"/>
        </w:r>
        <w:r>
          <w:rPr>
            <w:noProof/>
            <w:webHidden/>
          </w:rPr>
          <w:t>46</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69" w:history="1">
        <w:r w:rsidR="008875B3" w:rsidRPr="002D77F1">
          <w:rPr>
            <w:rStyle w:val="Kpr"/>
            <w:noProof/>
          </w:rPr>
          <w:t xml:space="preserve">Figure 21. </w:t>
        </w:r>
        <w:r w:rsidR="00072D7C" w:rsidRPr="00072D7C">
          <w:rPr>
            <w:rStyle w:val="Kpr"/>
            <w:noProof/>
          </w:rPr>
          <w:t>Pseudo-van Krevelen Diagram Showing Kerogen Type of the Morrow</w:t>
        </w:r>
        <w:r w:rsidR="008875B3">
          <w:rPr>
            <w:noProof/>
            <w:webHidden/>
          </w:rPr>
          <w:tab/>
        </w:r>
        <w:r w:rsidR="008875B3">
          <w:rPr>
            <w:noProof/>
            <w:webHidden/>
          </w:rPr>
          <w:fldChar w:fldCharType="begin"/>
        </w:r>
        <w:r w:rsidR="008875B3">
          <w:rPr>
            <w:noProof/>
            <w:webHidden/>
          </w:rPr>
          <w:instrText xml:space="preserve"> PAGEREF _Toc507509069 \h </w:instrText>
        </w:r>
        <w:r w:rsidR="008875B3">
          <w:rPr>
            <w:noProof/>
            <w:webHidden/>
          </w:rPr>
        </w:r>
        <w:r w:rsidR="008875B3">
          <w:rPr>
            <w:noProof/>
            <w:webHidden/>
          </w:rPr>
          <w:fldChar w:fldCharType="separate"/>
        </w:r>
        <w:r>
          <w:rPr>
            <w:noProof/>
            <w:webHidden/>
          </w:rPr>
          <w:t>47</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70" w:history="1">
        <w:r w:rsidR="008875B3" w:rsidRPr="002D77F1">
          <w:rPr>
            <w:rStyle w:val="Kpr"/>
            <w:noProof/>
          </w:rPr>
          <w:t xml:space="preserve">Figure 22. </w:t>
        </w:r>
        <w:r w:rsidR="00072D7C" w:rsidRPr="00072D7C">
          <w:rPr>
            <w:rStyle w:val="Kpr"/>
            <w:noProof/>
          </w:rPr>
          <w:t>S</w:t>
        </w:r>
        <w:r w:rsidR="00072D7C" w:rsidRPr="00072D7C">
          <w:rPr>
            <w:rStyle w:val="Kpr"/>
            <w:noProof/>
            <w:vertAlign w:val="subscript"/>
          </w:rPr>
          <w:t>2</w:t>
        </w:r>
        <w:r w:rsidR="00072D7C" w:rsidRPr="00072D7C">
          <w:rPr>
            <w:rStyle w:val="Kpr"/>
            <w:noProof/>
          </w:rPr>
          <w:t xml:space="preserve"> vs. TOC Plot Used to Determine Kerogen Type of the Morrow</w:t>
        </w:r>
        <w:r w:rsidR="008875B3">
          <w:rPr>
            <w:noProof/>
            <w:webHidden/>
          </w:rPr>
          <w:tab/>
        </w:r>
        <w:r w:rsidR="008875B3">
          <w:rPr>
            <w:noProof/>
            <w:webHidden/>
          </w:rPr>
          <w:fldChar w:fldCharType="begin"/>
        </w:r>
        <w:r w:rsidR="008875B3">
          <w:rPr>
            <w:noProof/>
            <w:webHidden/>
          </w:rPr>
          <w:instrText xml:space="preserve"> PAGEREF _Toc507509070 \h </w:instrText>
        </w:r>
        <w:r w:rsidR="008875B3">
          <w:rPr>
            <w:noProof/>
            <w:webHidden/>
          </w:rPr>
        </w:r>
        <w:r w:rsidR="008875B3">
          <w:rPr>
            <w:noProof/>
            <w:webHidden/>
          </w:rPr>
          <w:fldChar w:fldCharType="separate"/>
        </w:r>
        <w:r>
          <w:rPr>
            <w:noProof/>
            <w:webHidden/>
          </w:rPr>
          <w:t>48</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71" w:history="1">
        <w:r w:rsidR="008875B3" w:rsidRPr="002D77F1">
          <w:rPr>
            <w:rStyle w:val="Kpr"/>
            <w:noProof/>
          </w:rPr>
          <w:t xml:space="preserve">Figure 23. </w:t>
        </w:r>
        <w:r w:rsidR="00072D7C" w:rsidRPr="00072D7C">
          <w:rPr>
            <w:rStyle w:val="Kpr"/>
            <w:noProof/>
          </w:rPr>
          <w:t>T</w:t>
        </w:r>
        <w:r w:rsidR="00072D7C" w:rsidRPr="00072D7C">
          <w:rPr>
            <w:rStyle w:val="Kpr"/>
            <w:noProof/>
            <w:vertAlign w:val="subscript"/>
          </w:rPr>
          <w:t>max</w:t>
        </w:r>
        <w:r w:rsidR="00072D7C" w:rsidRPr="00072D7C">
          <w:rPr>
            <w:rStyle w:val="Kpr"/>
            <w:noProof/>
          </w:rPr>
          <w:t xml:space="preserve"> and Calculated R</w:t>
        </w:r>
        <w:r w:rsidR="00072D7C" w:rsidRPr="00072D7C">
          <w:rPr>
            <w:rStyle w:val="Kpr"/>
            <w:noProof/>
            <w:vertAlign w:val="subscript"/>
          </w:rPr>
          <w:t>c</w:t>
        </w:r>
        <w:r w:rsidR="00072D7C" w:rsidRPr="00072D7C">
          <w:rPr>
            <w:rStyle w:val="Kpr"/>
            <w:noProof/>
          </w:rPr>
          <w:t xml:space="preserve"> % Logs of the Kephart-I Core</w:t>
        </w:r>
        <w:r w:rsidR="008875B3">
          <w:rPr>
            <w:noProof/>
            <w:webHidden/>
          </w:rPr>
          <w:tab/>
        </w:r>
        <w:r w:rsidR="008875B3">
          <w:rPr>
            <w:noProof/>
            <w:webHidden/>
          </w:rPr>
          <w:fldChar w:fldCharType="begin"/>
        </w:r>
        <w:r w:rsidR="008875B3">
          <w:rPr>
            <w:noProof/>
            <w:webHidden/>
          </w:rPr>
          <w:instrText xml:space="preserve"> PAGEREF _Toc507509071 \h </w:instrText>
        </w:r>
        <w:r w:rsidR="008875B3">
          <w:rPr>
            <w:noProof/>
            <w:webHidden/>
          </w:rPr>
        </w:r>
        <w:r w:rsidR="008875B3">
          <w:rPr>
            <w:noProof/>
            <w:webHidden/>
          </w:rPr>
          <w:fldChar w:fldCharType="separate"/>
        </w:r>
        <w:r>
          <w:rPr>
            <w:noProof/>
            <w:webHidden/>
          </w:rPr>
          <w:t>51</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72" w:history="1">
        <w:r w:rsidR="008875B3" w:rsidRPr="002D77F1">
          <w:rPr>
            <w:rStyle w:val="Kpr"/>
            <w:noProof/>
          </w:rPr>
          <w:t xml:space="preserve">Figure 24. </w:t>
        </w:r>
        <w:r w:rsidR="00072D7C" w:rsidRPr="00072D7C">
          <w:rPr>
            <w:rStyle w:val="Kpr"/>
            <w:noProof/>
          </w:rPr>
          <w:t>T</w:t>
        </w:r>
        <w:r w:rsidR="00072D7C" w:rsidRPr="00072D7C">
          <w:rPr>
            <w:rStyle w:val="Kpr"/>
            <w:noProof/>
            <w:vertAlign w:val="subscript"/>
          </w:rPr>
          <w:t>max</w:t>
        </w:r>
        <w:r w:rsidR="00072D7C" w:rsidRPr="00072D7C">
          <w:rPr>
            <w:rStyle w:val="Kpr"/>
            <w:noProof/>
          </w:rPr>
          <w:t xml:space="preserve"> vs. PI plot Showing Hydrocarbon Generation Zones</w:t>
        </w:r>
        <w:r w:rsidR="008875B3">
          <w:rPr>
            <w:noProof/>
            <w:webHidden/>
          </w:rPr>
          <w:tab/>
        </w:r>
        <w:r w:rsidR="008875B3">
          <w:rPr>
            <w:noProof/>
            <w:webHidden/>
          </w:rPr>
          <w:fldChar w:fldCharType="begin"/>
        </w:r>
        <w:r w:rsidR="008875B3">
          <w:rPr>
            <w:noProof/>
            <w:webHidden/>
          </w:rPr>
          <w:instrText xml:space="preserve"> PAGEREF _Toc507509072 \h </w:instrText>
        </w:r>
        <w:r w:rsidR="008875B3">
          <w:rPr>
            <w:noProof/>
            <w:webHidden/>
          </w:rPr>
        </w:r>
        <w:r w:rsidR="008875B3">
          <w:rPr>
            <w:noProof/>
            <w:webHidden/>
          </w:rPr>
          <w:fldChar w:fldCharType="separate"/>
        </w:r>
        <w:r>
          <w:rPr>
            <w:noProof/>
            <w:webHidden/>
          </w:rPr>
          <w:t>53</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73" w:history="1">
        <w:r w:rsidR="008875B3" w:rsidRPr="002D77F1">
          <w:rPr>
            <w:rStyle w:val="Kpr"/>
            <w:noProof/>
          </w:rPr>
          <w:t xml:space="preserve">Figure 25. </w:t>
        </w:r>
        <w:r w:rsidR="00072D7C" w:rsidRPr="00072D7C">
          <w:rPr>
            <w:rStyle w:val="Kpr"/>
            <w:noProof/>
          </w:rPr>
          <w:t>Ternary Diagram of the Fraction Yield Data</w:t>
        </w:r>
        <w:r w:rsidR="008875B3">
          <w:rPr>
            <w:noProof/>
            <w:webHidden/>
          </w:rPr>
          <w:tab/>
        </w:r>
        <w:r w:rsidR="008875B3">
          <w:rPr>
            <w:noProof/>
            <w:webHidden/>
          </w:rPr>
          <w:fldChar w:fldCharType="begin"/>
        </w:r>
        <w:r w:rsidR="008875B3">
          <w:rPr>
            <w:noProof/>
            <w:webHidden/>
          </w:rPr>
          <w:instrText xml:space="preserve"> PAGEREF _Toc507509073 \h </w:instrText>
        </w:r>
        <w:r w:rsidR="008875B3">
          <w:rPr>
            <w:noProof/>
            <w:webHidden/>
          </w:rPr>
        </w:r>
        <w:r w:rsidR="008875B3">
          <w:rPr>
            <w:noProof/>
            <w:webHidden/>
          </w:rPr>
          <w:fldChar w:fldCharType="separate"/>
        </w:r>
        <w:r>
          <w:rPr>
            <w:noProof/>
            <w:webHidden/>
          </w:rPr>
          <w:t>54</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74" w:history="1">
        <w:r w:rsidR="008875B3" w:rsidRPr="002D77F1">
          <w:rPr>
            <w:rStyle w:val="Kpr"/>
            <w:noProof/>
          </w:rPr>
          <w:t xml:space="preserve">Figure 26. </w:t>
        </w:r>
        <w:r w:rsidR="00072D7C" w:rsidRPr="00072D7C">
          <w:rPr>
            <w:rStyle w:val="Kpr"/>
            <w:noProof/>
          </w:rPr>
          <w:t>TAR, CPI and OEP Values vs. Depth for the Kephart-1</w:t>
        </w:r>
        <w:r w:rsidR="00072D7C">
          <w:rPr>
            <w:rStyle w:val="Kpr"/>
            <w:noProof/>
          </w:rPr>
          <w:t xml:space="preserve"> </w:t>
        </w:r>
        <w:r w:rsidR="00072D7C" w:rsidRPr="00072D7C">
          <w:rPr>
            <w:rStyle w:val="Kpr"/>
            <w:noProof/>
          </w:rPr>
          <w:t>Well</w:t>
        </w:r>
        <w:r w:rsidR="008875B3">
          <w:rPr>
            <w:noProof/>
            <w:webHidden/>
          </w:rPr>
          <w:tab/>
        </w:r>
        <w:r w:rsidR="008875B3">
          <w:rPr>
            <w:noProof/>
            <w:webHidden/>
          </w:rPr>
          <w:fldChar w:fldCharType="begin"/>
        </w:r>
        <w:r w:rsidR="008875B3">
          <w:rPr>
            <w:noProof/>
            <w:webHidden/>
          </w:rPr>
          <w:instrText xml:space="preserve"> PAGEREF _Toc507509074 \h </w:instrText>
        </w:r>
        <w:r w:rsidR="008875B3">
          <w:rPr>
            <w:noProof/>
            <w:webHidden/>
          </w:rPr>
        </w:r>
        <w:r w:rsidR="008875B3">
          <w:rPr>
            <w:noProof/>
            <w:webHidden/>
          </w:rPr>
          <w:fldChar w:fldCharType="separate"/>
        </w:r>
        <w:r>
          <w:rPr>
            <w:noProof/>
            <w:webHidden/>
          </w:rPr>
          <w:t>58</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75" w:history="1">
        <w:r w:rsidR="008875B3" w:rsidRPr="002D77F1">
          <w:rPr>
            <w:rStyle w:val="Kpr"/>
            <w:noProof/>
          </w:rPr>
          <w:t xml:space="preserve">Figure 27. </w:t>
        </w:r>
        <w:r w:rsidR="00072D7C" w:rsidRPr="00072D7C">
          <w:rPr>
            <w:rStyle w:val="Kpr"/>
            <w:noProof/>
          </w:rPr>
          <w:t>Gas Chromatograms Showing the n-Alkane Distributions</w:t>
        </w:r>
        <w:r w:rsidR="008875B3">
          <w:rPr>
            <w:noProof/>
            <w:webHidden/>
          </w:rPr>
          <w:tab/>
        </w:r>
        <w:r w:rsidR="008875B3">
          <w:rPr>
            <w:noProof/>
            <w:webHidden/>
          </w:rPr>
          <w:fldChar w:fldCharType="begin"/>
        </w:r>
        <w:r w:rsidR="008875B3">
          <w:rPr>
            <w:noProof/>
            <w:webHidden/>
          </w:rPr>
          <w:instrText xml:space="preserve"> PAGEREF _Toc507509075 \h </w:instrText>
        </w:r>
        <w:r w:rsidR="008875B3">
          <w:rPr>
            <w:noProof/>
            <w:webHidden/>
          </w:rPr>
        </w:r>
        <w:r w:rsidR="008875B3">
          <w:rPr>
            <w:noProof/>
            <w:webHidden/>
          </w:rPr>
          <w:fldChar w:fldCharType="separate"/>
        </w:r>
        <w:r>
          <w:rPr>
            <w:noProof/>
            <w:webHidden/>
          </w:rPr>
          <w:t>59</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76" w:history="1">
        <w:r w:rsidR="008875B3" w:rsidRPr="002D77F1">
          <w:rPr>
            <w:rStyle w:val="Kpr"/>
            <w:noProof/>
          </w:rPr>
          <w:t>Figure 28. Pr/Ph ratio plotted against depth for the Kephart-I Well.</w:t>
        </w:r>
        <w:r w:rsidR="008875B3">
          <w:rPr>
            <w:noProof/>
            <w:webHidden/>
          </w:rPr>
          <w:tab/>
        </w:r>
        <w:r w:rsidR="008875B3">
          <w:rPr>
            <w:noProof/>
            <w:webHidden/>
          </w:rPr>
          <w:fldChar w:fldCharType="begin"/>
        </w:r>
        <w:r w:rsidR="008875B3">
          <w:rPr>
            <w:noProof/>
            <w:webHidden/>
          </w:rPr>
          <w:instrText xml:space="preserve"> PAGEREF _Toc507509076 \h </w:instrText>
        </w:r>
        <w:r w:rsidR="008875B3">
          <w:rPr>
            <w:noProof/>
            <w:webHidden/>
          </w:rPr>
        </w:r>
        <w:r w:rsidR="008875B3">
          <w:rPr>
            <w:noProof/>
            <w:webHidden/>
          </w:rPr>
          <w:fldChar w:fldCharType="separate"/>
        </w:r>
        <w:r>
          <w:rPr>
            <w:noProof/>
            <w:webHidden/>
          </w:rPr>
          <w:t>63</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77" w:history="1">
        <w:r w:rsidR="008875B3" w:rsidRPr="002D77F1">
          <w:rPr>
            <w:rStyle w:val="Kpr"/>
            <w:noProof/>
          </w:rPr>
          <w:t xml:space="preserve">Figure 29. </w:t>
        </w:r>
        <w:r w:rsidR="00072D7C" w:rsidRPr="00072D7C">
          <w:rPr>
            <w:rStyle w:val="Kpr"/>
            <w:noProof/>
          </w:rPr>
          <w:t>Cross Plot of Pr/n-C</w:t>
        </w:r>
        <w:r w:rsidR="00072D7C" w:rsidRPr="00072D7C">
          <w:rPr>
            <w:rStyle w:val="Kpr"/>
            <w:noProof/>
            <w:vertAlign w:val="subscript"/>
          </w:rPr>
          <w:t>17</w:t>
        </w:r>
        <w:r w:rsidR="00072D7C" w:rsidRPr="00072D7C">
          <w:rPr>
            <w:rStyle w:val="Kpr"/>
            <w:noProof/>
          </w:rPr>
          <w:t xml:space="preserve"> vs. Ph/n-C</w:t>
        </w:r>
        <w:r w:rsidR="00072D7C" w:rsidRPr="00072D7C">
          <w:rPr>
            <w:rStyle w:val="Kpr"/>
            <w:noProof/>
            <w:vertAlign w:val="subscript"/>
          </w:rPr>
          <w:t>18</w:t>
        </w:r>
        <w:r w:rsidR="008875B3">
          <w:rPr>
            <w:noProof/>
            <w:webHidden/>
          </w:rPr>
          <w:tab/>
        </w:r>
        <w:r w:rsidR="008875B3">
          <w:rPr>
            <w:noProof/>
            <w:webHidden/>
          </w:rPr>
          <w:fldChar w:fldCharType="begin"/>
        </w:r>
        <w:r w:rsidR="008875B3">
          <w:rPr>
            <w:noProof/>
            <w:webHidden/>
          </w:rPr>
          <w:instrText xml:space="preserve"> PAGEREF _Toc507509077 \h </w:instrText>
        </w:r>
        <w:r w:rsidR="008875B3">
          <w:rPr>
            <w:noProof/>
            <w:webHidden/>
          </w:rPr>
        </w:r>
        <w:r w:rsidR="008875B3">
          <w:rPr>
            <w:noProof/>
            <w:webHidden/>
          </w:rPr>
          <w:fldChar w:fldCharType="separate"/>
        </w:r>
        <w:r>
          <w:rPr>
            <w:noProof/>
            <w:webHidden/>
          </w:rPr>
          <w:t>64</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78" w:history="1">
        <w:r w:rsidR="008875B3" w:rsidRPr="002D77F1">
          <w:rPr>
            <w:rStyle w:val="Kpr"/>
            <w:noProof/>
          </w:rPr>
          <w:t xml:space="preserve">Figure 30. </w:t>
        </w:r>
        <w:r w:rsidR="00072D7C" w:rsidRPr="00072D7C">
          <w:rPr>
            <w:rStyle w:val="Kpr"/>
            <w:noProof/>
          </w:rPr>
          <w:t>Partial Fragmentogram of the m/z 123 ion</w:t>
        </w:r>
        <w:r w:rsidR="008875B3">
          <w:rPr>
            <w:noProof/>
            <w:webHidden/>
          </w:rPr>
          <w:tab/>
        </w:r>
        <w:r w:rsidR="008875B3">
          <w:rPr>
            <w:noProof/>
            <w:webHidden/>
          </w:rPr>
          <w:fldChar w:fldCharType="begin"/>
        </w:r>
        <w:r w:rsidR="008875B3">
          <w:rPr>
            <w:noProof/>
            <w:webHidden/>
          </w:rPr>
          <w:instrText xml:space="preserve"> PAGEREF _Toc507509078 \h </w:instrText>
        </w:r>
        <w:r w:rsidR="008875B3">
          <w:rPr>
            <w:noProof/>
            <w:webHidden/>
          </w:rPr>
        </w:r>
        <w:r w:rsidR="008875B3">
          <w:rPr>
            <w:noProof/>
            <w:webHidden/>
          </w:rPr>
          <w:fldChar w:fldCharType="separate"/>
        </w:r>
        <w:r>
          <w:rPr>
            <w:noProof/>
            <w:webHidden/>
          </w:rPr>
          <w:t>65</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79" w:history="1">
        <w:r w:rsidR="008875B3" w:rsidRPr="002D77F1">
          <w:rPr>
            <w:rStyle w:val="Kpr"/>
            <w:noProof/>
          </w:rPr>
          <w:t xml:space="preserve">Figure 31. </w:t>
        </w:r>
        <w:r w:rsidR="00072D7C" w:rsidRPr="00072D7C">
          <w:rPr>
            <w:rStyle w:val="Kpr"/>
            <w:noProof/>
          </w:rPr>
          <w:t>Tricyclic Terpane Ratios of the Kephart-I Well</w:t>
        </w:r>
        <w:r w:rsidR="008875B3">
          <w:rPr>
            <w:noProof/>
            <w:webHidden/>
          </w:rPr>
          <w:tab/>
        </w:r>
        <w:r w:rsidR="008875B3">
          <w:rPr>
            <w:noProof/>
            <w:webHidden/>
          </w:rPr>
          <w:fldChar w:fldCharType="begin"/>
        </w:r>
        <w:r w:rsidR="008875B3">
          <w:rPr>
            <w:noProof/>
            <w:webHidden/>
          </w:rPr>
          <w:instrText xml:space="preserve"> PAGEREF _Toc507509079 \h </w:instrText>
        </w:r>
        <w:r w:rsidR="008875B3">
          <w:rPr>
            <w:noProof/>
            <w:webHidden/>
          </w:rPr>
        </w:r>
        <w:r w:rsidR="008875B3">
          <w:rPr>
            <w:noProof/>
            <w:webHidden/>
          </w:rPr>
          <w:fldChar w:fldCharType="separate"/>
        </w:r>
        <w:r>
          <w:rPr>
            <w:noProof/>
            <w:webHidden/>
          </w:rPr>
          <w:t>69</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80" w:history="1">
        <w:r w:rsidR="008875B3" w:rsidRPr="002D77F1">
          <w:rPr>
            <w:rStyle w:val="Kpr"/>
            <w:noProof/>
          </w:rPr>
          <w:t xml:space="preserve">Figure 32. </w:t>
        </w:r>
        <w:r w:rsidR="003540A6">
          <w:rPr>
            <w:rStyle w:val="Kpr"/>
            <w:noProof/>
          </w:rPr>
          <w:t>Terpanes Identification (m</w:t>
        </w:r>
        <w:r w:rsidR="00072D7C" w:rsidRPr="00072D7C">
          <w:rPr>
            <w:rStyle w:val="Kpr"/>
            <w:noProof/>
          </w:rPr>
          <w:t>/z 191</w:t>
        </w:r>
        <w:r w:rsidR="003540A6">
          <w:rPr>
            <w:rStyle w:val="Kpr"/>
            <w:noProof/>
          </w:rPr>
          <w:t>)</w:t>
        </w:r>
        <w:r w:rsidR="008875B3">
          <w:rPr>
            <w:noProof/>
            <w:webHidden/>
          </w:rPr>
          <w:tab/>
        </w:r>
        <w:r w:rsidR="008875B3">
          <w:rPr>
            <w:noProof/>
            <w:webHidden/>
          </w:rPr>
          <w:fldChar w:fldCharType="begin"/>
        </w:r>
        <w:r w:rsidR="008875B3">
          <w:rPr>
            <w:noProof/>
            <w:webHidden/>
          </w:rPr>
          <w:instrText xml:space="preserve"> PAGEREF _Toc507509080 \h </w:instrText>
        </w:r>
        <w:r w:rsidR="008875B3">
          <w:rPr>
            <w:noProof/>
            <w:webHidden/>
          </w:rPr>
        </w:r>
        <w:r w:rsidR="008875B3">
          <w:rPr>
            <w:noProof/>
            <w:webHidden/>
          </w:rPr>
          <w:fldChar w:fldCharType="separate"/>
        </w:r>
        <w:r>
          <w:rPr>
            <w:noProof/>
            <w:webHidden/>
          </w:rPr>
          <w:t>72</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81" w:history="1">
        <w:r w:rsidR="008875B3" w:rsidRPr="002D77F1">
          <w:rPr>
            <w:rStyle w:val="Kpr"/>
            <w:noProof/>
          </w:rPr>
          <w:t xml:space="preserve">Figure 33. </w:t>
        </w:r>
        <w:r w:rsidR="00072D7C" w:rsidRPr="00072D7C">
          <w:rPr>
            <w:rStyle w:val="Kpr"/>
            <w:noProof/>
          </w:rPr>
          <w:t>C</w:t>
        </w:r>
        <w:r w:rsidR="00072D7C" w:rsidRPr="00072D7C">
          <w:rPr>
            <w:rStyle w:val="Kpr"/>
            <w:noProof/>
            <w:vertAlign w:val="subscript"/>
          </w:rPr>
          <w:t>31</w:t>
        </w:r>
        <w:r w:rsidR="00072D7C" w:rsidRPr="00072D7C">
          <w:rPr>
            <w:rStyle w:val="Kpr"/>
            <w:noProof/>
          </w:rPr>
          <w:t>22S/C</w:t>
        </w:r>
        <w:r w:rsidR="00072D7C" w:rsidRPr="00072D7C">
          <w:rPr>
            <w:rStyle w:val="Kpr"/>
            <w:noProof/>
            <w:vertAlign w:val="subscript"/>
          </w:rPr>
          <w:t>31</w:t>
        </w:r>
        <w:r w:rsidR="00072D7C" w:rsidRPr="00072D7C">
          <w:rPr>
            <w:rStyle w:val="Kpr"/>
            <w:noProof/>
          </w:rPr>
          <w:t>(22S+22R) and T</w:t>
        </w:r>
        <w:r w:rsidR="00072D7C" w:rsidRPr="00072D7C">
          <w:rPr>
            <w:rStyle w:val="Kpr"/>
            <w:noProof/>
            <w:vertAlign w:val="subscript"/>
          </w:rPr>
          <w:t>s</w:t>
        </w:r>
        <w:r w:rsidR="00072D7C" w:rsidRPr="00072D7C">
          <w:rPr>
            <w:rStyle w:val="Kpr"/>
            <w:noProof/>
          </w:rPr>
          <w:t>/ T</w:t>
        </w:r>
        <w:r w:rsidR="00072D7C" w:rsidRPr="00072D7C">
          <w:rPr>
            <w:rStyle w:val="Kpr"/>
            <w:noProof/>
            <w:vertAlign w:val="subscript"/>
          </w:rPr>
          <w:t>s</w:t>
        </w:r>
        <w:r w:rsidR="00072D7C" w:rsidRPr="00072D7C">
          <w:rPr>
            <w:rStyle w:val="Kpr"/>
            <w:noProof/>
          </w:rPr>
          <w:t>+ T</w:t>
        </w:r>
        <w:r w:rsidR="00072D7C" w:rsidRPr="00072D7C">
          <w:rPr>
            <w:rStyle w:val="Kpr"/>
            <w:noProof/>
            <w:vertAlign w:val="subscript"/>
          </w:rPr>
          <w:t>m</w:t>
        </w:r>
        <w:r w:rsidR="00072D7C" w:rsidRPr="00072D7C">
          <w:rPr>
            <w:rStyle w:val="Kpr"/>
            <w:noProof/>
          </w:rPr>
          <w:t xml:space="preserve"> Logs vs. Depth</w:t>
        </w:r>
        <w:r w:rsidR="008875B3">
          <w:rPr>
            <w:noProof/>
            <w:webHidden/>
          </w:rPr>
          <w:tab/>
        </w:r>
        <w:r w:rsidR="008875B3">
          <w:rPr>
            <w:noProof/>
            <w:webHidden/>
          </w:rPr>
          <w:fldChar w:fldCharType="begin"/>
        </w:r>
        <w:r w:rsidR="008875B3">
          <w:rPr>
            <w:noProof/>
            <w:webHidden/>
          </w:rPr>
          <w:instrText xml:space="preserve"> PAGEREF _Toc507509081 \h </w:instrText>
        </w:r>
        <w:r w:rsidR="008875B3">
          <w:rPr>
            <w:noProof/>
            <w:webHidden/>
          </w:rPr>
        </w:r>
        <w:r w:rsidR="008875B3">
          <w:rPr>
            <w:noProof/>
            <w:webHidden/>
          </w:rPr>
          <w:fldChar w:fldCharType="separate"/>
        </w:r>
        <w:r>
          <w:rPr>
            <w:noProof/>
            <w:webHidden/>
          </w:rPr>
          <w:t>74</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82" w:history="1">
        <w:r w:rsidR="008875B3" w:rsidRPr="002D77F1">
          <w:rPr>
            <w:rStyle w:val="Kpr"/>
            <w:noProof/>
          </w:rPr>
          <w:t xml:space="preserve">Figure 34. </w:t>
        </w:r>
        <w:r w:rsidR="00072D7C" w:rsidRPr="00072D7C">
          <w:rPr>
            <w:rStyle w:val="Kpr"/>
            <w:noProof/>
          </w:rPr>
          <w:t>Representative m/z 191 Pentacyclic Terpane Distribution</w:t>
        </w:r>
        <w:r w:rsidR="008875B3">
          <w:rPr>
            <w:noProof/>
            <w:webHidden/>
          </w:rPr>
          <w:tab/>
        </w:r>
        <w:r w:rsidR="008875B3">
          <w:rPr>
            <w:noProof/>
            <w:webHidden/>
          </w:rPr>
          <w:fldChar w:fldCharType="begin"/>
        </w:r>
        <w:r w:rsidR="008875B3">
          <w:rPr>
            <w:noProof/>
            <w:webHidden/>
          </w:rPr>
          <w:instrText xml:space="preserve"> PAGEREF _Toc507509082 \h </w:instrText>
        </w:r>
        <w:r w:rsidR="008875B3">
          <w:rPr>
            <w:noProof/>
            <w:webHidden/>
          </w:rPr>
        </w:r>
        <w:r w:rsidR="008875B3">
          <w:rPr>
            <w:noProof/>
            <w:webHidden/>
          </w:rPr>
          <w:fldChar w:fldCharType="separate"/>
        </w:r>
        <w:r>
          <w:rPr>
            <w:noProof/>
            <w:webHidden/>
          </w:rPr>
          <w:t>77</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83" w:history="1">
        <w:r w:rsidR="008875B3" w:rsidRPr="002D77F1">
          <w:rPr>
            <w:rStyle w:val="Kpr"/>
            <w:noProof/>
          </w:rPr>
          <w:t xml:space="preserve">Figure 35. </w:t>
        </w:r>
        <w:r w:rsidR="00072D7C" w:rsidRPr="00072D7C">
          <w:rPr>
            <w:rStyle w:val="Kpr"/>
            <w:noProof/>
          </w:rPr>
          <w:t>Scheme Showing the Alteration Pathway of Oleanane</w:t>
        </w:r>
        <w:r w:rsidR="008875B3">
          <w:rPr>
            <w:noProof/>
            <w:webHidden/>
          </w:rPr>
          <w:tab/>
        </w:r>
        <w:r w:rsidR="008875B3">
          <w:rPr>
            <w:noProof/>
            <w:webHidden/>
          </w:rPr>
          <w:fldChar w:fldCharType="begin"/>
        </w:r>
        <w:r w:rsidR="008875B3">
          <w:rPr>
            <w:noProof/>
            <w:webHidden/>
          </w:rPr>
          <w:instrText xml:space="preserve"> PAGEREF _Toc507509083 \h </w:instrText>
        </w:r>
        <w:r w:rsidR="008875B3">
          <w:rPr>
            <w:noProof/>
            <w:webHidden/>
          </w:rPr>
        </w:r>
        <w:r w:rsidR="008875B3">
          <w:rPr>
            <w:noProof/>
            <w:webHidden/>
          </w:rPr>
          <w:fldChar w:fldCharType="separate"/>
        </w:r>
        <w:r>
          <w:rPr>
            <w:noProof/>
            <w:webHidden/>
          </w:rPr>
          <w:t>80</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84" w:history="1">
        <w:r w:rsidR="008875B3" w:rsidRPr="002D77F1">
          <w:rPr>
            <w:rStyle w:val="Kpr"/>
            <w:noProof/>
          </w:rPr>
          <w:t xml:space="preserve">Figure 36. </w:t>
        </w:r>
        <w:r w:rsidR="00072D7C" w:rsidRPr="00072D7C">
          <w:rPr>
            <w:rStyle w:val="Kpr"/>
            <w:noProof/>
          </w:rPr>
          <w:t>Mass Spectra of Lupane and Oleanane Compounds</w:t>
        </w:r>
        <w:r w:rsidR="008875B3">
          <w:rPr>
            <w:noProof/>
            <w:webHidden/>
          </w:rPr>
          <w:tab/>
        </w:r>
        <w:r w:rsidR="008875B3">
          <w:rPr>
            <w:noProof/>
            <w:webHidden/>
          </w:rPr>
          <w:fldChar w:fldCharType="begin"/>
        </w:r>
        <w:r w:rsidR="008875B3">
          <w:rPr>
            <w:noProof/>
            <w:webHidden/>
          </w:rPr>
          <w:instrText xml:space="preserve"> PAGEREF _Toc507509084 \h </w:instrText>
        </w:r>
        <w:r w:rsidR="008875B3">
          <w:rPr>
            <w:noProof/>
            <w:webHidden/>
          </w:rPr>
        </w:r>
        <w:r w:rsidR="008875B3">
          <w:rPr>
            <w:noProof/>
            <w:webHidden/>
          </w:rPr>
          <w:fldChar w:fldCharType="separate"/>
        </w:r>
        <w:r>
          <w:rPr>
            <w:noProof/>
            <w:webHidden/>
          </w:rPr>
          <w:t>81</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85" w:history="1">
        <w:r w:rsidR="008875B3" w:rsidRPr="002D77F1">
          <w:rPr>
            <w:rStyle w:val="Kpr"/>
            <w:noProof/>
          </w:rPr>
          <w:t xml:space="preserve">Figure 37. </w:t>
        </w:r>
        <w:r w:rsidR="001A52E3" w:rsidRPr="001A52E3">
          <w:rPr>
            <w:rStyle w:val="Kpr"/>
            <w:noProof/>
          </w:rPr>
          <w:t>GCMS-MS Transitions of m/z 412 to 369 and m/z 412 to 191</w:t>
        </w:r>
        <w:r w:rsidR="008875B3">
          <w:rPr>
            <w:noProof/>
            <w:webHidden/>
          </w:rPr>
          <w:tab/>
        </w:r>
        <w:r w:rsidR="008875B3">
          <w:rPr>
            <w:noProof/>
            <w:webHidden/>
          </w:rPr>
          <w:fldChar w:fldCharType="begin"/>
        </w:r>
        <w:r w:rsidR="008875B3">
          <w:rPr>
            <w:noProof/>
            <w:webHidden/>
          </w:rPr>
          <w:instrText xml:space="preserve"> PAGEREF _Toc507509085 \h </w:instrText>
        </w:r>
        <w:r w:rsidR="008875B3">
          <w:rPr>
            <w:noProof/>
            <w:webHidden/>
          </w:rPr>
        </w:r>
        <w:r w:rsidR="008875B3">
          <w:rPr>
            <w:noProof/>
            <w:webHidden/>
          </w:rPr>
          <w:fldChar w:fldCharType="separate"/>
        </w:r>
        <w:r>
          <w:rPr>
            <w:noProof/>
            <w:webHidden/>
          </w:rPr>
          <w:t>82</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86" w:history="1">
        <w:r w:rsidR="008875B3" w:rsidRPr="002D77F1">
          <w:rPr>
            <w:rStyle w:val="Kpr"/>
            <w:noProof/>
          </w:rPr>
          <w:t xml:space="preserve">Figure 38. </w:t>
        </w:r>
        <w:r w:rsidR="003540A6">
          <w:rPr>
            <w:rStyle w:val="Kpr"/>
            <w:noProof/>
          </w:rPr>
          <w:t>Identification of Demethylated Hopanes (m</w:t>
        </w:r>
        <w:r w:rsidR="001A52E3" w:rsidRPr="001A52E3">
          <w:rPr>
            <w:rStyle w:val="Kpr"/>
            <w:noProof/>
          </w:rPr>
          <w:t>/z 191 and m/z 177</w:t>
        </w:r>
        <w:r w:rsidR="003540A6">
          <w:rPr>
            <w:rStyle w:val="Kpr"/>
            <w:noProof/>
          </w:rPr>
          <w:t>)</w:t>
        </w:r>
        <w:r w:rsidR="008875B3">
          <w:rPr>
            <w:noProof/>
            <w:webHidden/>
          </w:rPr>
          <w:tab/>
        </w:r>
        <w:r w:rsidR="008875B3">
          <w:rPr>
            <w:noProof/>
            <w:webHidden/>
          </w:rPr>
          <w:fldChar w:fldCharType="begin"/>
        </w:r>
        <w:r w:rsidR="008875B3">
          <w:rPr>
            <w:noProof/>
            <w:webHidden/>
          </w:rPr>
          <w:instrText xml:space="preserve"> PAGEREF _Toc507509086 \h </w:instrText>
        </w:r>
        <w:r w:rsidR="008875B3">
          <w:rPr>
            <w:noProof/>
            <w:webHidden/>
          </w:rPr>
        </w:r>
        <w:r w:rsidR="008875B3">
          <w:rPr>
            <w:noProof/>
            <w:webHidden/>
          </w:rPr>
          <w:fldChar w:fldCharType="separate"/>
        </w:r>
        <w:r>
          <w:rPr>
            <w:noProof/>
            <w:webHidden/>
          </w:rPr>
          <w:t>86</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87" w:history="1">
        <w:r w:rsidR="008875B3" w:rsidRPr="002D77F1">
          <w:rPr>
            <w:rStyle w:val="Kpr"/>
            <w:noProof/>
          </w:rPr>
          <w:t xml:space="preserve">Figure 39. </w:t>
        </w:r>
        <w:r w:rsidR="001A52E3" w:rsidRPr="001A52E3">
          <w:rPr>
            <w:rStyle w:val="Kpr"/>
            <w:noProof/>
          </w:rPr>
          <w:t>Demethylated Hopanes vs. Depth Plot in the Kephart-1 Well</w:t>
        </w:r>
        <w:r w:rsidR="008875B3">
          <w:rPr>
            <w:noProof/>
            <w:webHidden/>
          </w:rPr>
          <w:tab/>
        </w:r>
        <w:r w:rsidR="008875B3">
          <w:rPr>
            <w:noProof/>
            <w:webHidden/>
          </w:rPr>
          <w:fldChar w:fldCharType="begin"/>
        </w:r>
        <w:r w:rsidR="008875B3">
          <w:rPr>
            <w:noProof/>
            <w:webHidden/>
          </w:rPr>
          <w:instrText xml:space="preserve"> PAGEREF _Toc507509087 \h </w:instrText>
        </w:r>
        <w:r w:rsidR="008875B3">
          <w:rPr>
            <w:noProof/>
            <w:webHidden/>
          </w:rPr>
        </w:r>
        <w:r w:rsidR="008875B3">
          <w:rPr>
            <w:noProof/>
            <w:webHidden/>
          </w:rPr>
          <w:fldChar w:fldCharType="separate"/>
        </w:r>
        <w:r>
          <w:rPr>
            <w:noProof/>
            <w:webHidden/>
          </w:rPr>
          <w:t>88</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r:id="rId14" w:anchor="_Toc507509088" w:history="1">
        <w:r w:rsidR="008875B3" w:rsidRPr="002D77F1">
          <w:rPr>
            <w:rStyle w:val="Kpr"/>
            <w:noProof/>
          </w:rPr>
          <w:t xml:space="preserve">Figure 40. </w:t>
        </w:r>
        <w:r w:rsidR="001A52E3" w:rsidRPr="001A52E3">
          <w:rPr>
            <w:rStyle w:val="Kpr"/>
            <w:noProof/>
          </w:rPr>
          <w:t>Partial Fragmentogram of the m/z 217 Showing Sterane Distribution</w:t>
        </w:r>
        <w:r w:rsidR="008875B3">
          <w:rPr>
            <w:noProof/>
            <w:webHidden/>
          </w:rPr>
          <w:tab/>
        </w:r>
        <w:r w:rsidR="008875B3">
          <w:rPr>
            <w:noProof/>
            <w:webHidden/>
          </w:rPr>
          <w:fldChar w:fldCharType="begin"/>
        </w:r>
        <w:r w:rsidR="008875B3">
          <w:rPr>
            <w:noProof/>
            <w:webHidden/>
          </w:rPr>
          <w:instrText xml:space="preserve"> PAGEREF _Toc507509088 \h </w:instrText>
        </w:r>
        <w:r w:rsidR="008875B3">
          <w:rPr>
            <w:noProof/>
            <w:webHidden/>
          </w:rPr>
        </w:r>
        <w:r w:rsidR="008875B3">
          <w:rPr>
            <w:noProof/>
            <w:webHidden/>
          </w:rPr>
          <w:fldChar w:fldCharType="separate"/>
        </w:r>
        <w:r>
          <w:rPr>
            <w:noProof/>
            <w:webHidden/>
          </w:rPr>
          <w:t>89</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89" w:history="1">
        <w:r w:rsidR="008875B3" w:rsidRPr="002D77F1">
          <w:rPr>
            <w:rStyle w:val="Kpr"/>
            <w:noProof/>
          </w:rPr>
          <w:t xml:space="preserve">Figure 41. </w:t>
        </w:r>
        <w:r w:rsidR="001A52E3" w:rsidRPr="001A52E3">
          <w:rPr>
            <w:rStyle w:val="Kpr"/>
            <w:noProof/>
          </w:rPr>
          <w:t>Steranes Ternary Diagram of the Morrow Shale</w:t>
        </w:r>
        <w:r w:rsidR="008875B3">
          <w:rPr>
            <w:noProof/>
            <w:webHidden/>
          </w:rPr>
          <w:tab/>
        </w:r>
        <w:r w:rsidR="008875B3">
          <w:rPr>
            <w:noProof/>
            <w:webHidden/>
          </w:rPr>
          <w:fldChar w:fldCharType="begin"/>
        </w:r>
        <w:r w:rsidR="008875B3">
          <w:rPr>
            <w:noProof/>
            <w:webHidden/>
          </w:rPr>
          <w:instrText xml:space="preserve"> PAGEREF _Toc507509089 \h </w:instrText>
        </w:r>
        <w:r w:rsidR="008875B3">
          <w:rPr>
            <w:noProof/>
            <w:webHidden/>
          </w:rPr>
        </w:r>
        <w:r w:rsidR="008875B3">
          <w:rPr>
            <w:noProof/>
            <w:webHidden/>
          </w:rPr>
          <w:fldChar w:fldCharType="separate"/>
        </w:r>
        <w:r>
          <w:rPr>
            <w:noProof/>
            <w:webHidden/>
          </w:rPr>
          <w:t>92</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90" w:history="1">
        <w:r w:rsidR="008875B3" w:rsidRPr="002D77F1">
          <w:rPr>
            <w:rStyle w:val="Kpr"/>
            <w:noProof/>
          </w:rPr>
          <w:t xml:space="preserve">Figure 42. </w:t>
        </w:r>
        <w:r w:rsidR="001A52E3" w:rsidRPr="001A52E3">
          <w:rPr>
            <w:rStyle w:val="Kpr"/>
            <w:noProof/>
          </w:rPr>
          <w:t>C</w:t>
        </w:r>
        <w:r w:rsidR="001A52E3" w:rsidRPr="001A52E3">
          <w:rPr>
            <w:rStyle w:val="Kpr"/>
            <w:noProof/>
            <w:vertAlign w:val="subscript"/>
          </w:rPr>
          <w:t xml:space="preserve">29 </w:t>
        </w:r>
        <w:r w:rsidR="001A52E3" w:rsidRPr="001A52E3">
          <w:rPr>
            <w:rStyle w:val="Kpr"/>
            <w:noProof/>
          </w:rPr>
          <w:t xml:space="preserve"> Steranes(20αααS/20αααS+20αααR) vs. Depth</w:t>
        </w:r>
        <w:r w:rsidR="008875B3">
          <w:rPr>
            <w:noProof/>
            <w:webHidden/>
          </w:rPr>
          <w:tab/>
        </w:r>
        <w:r w:rsidR="008875B3">
          <w:rPr>
            <w:noProof/>
            <w:webHidden/>
          </w:rPr>
          <w:fldChar w:fldCharType="begin"/>
        </w:r>
        <w:r w:rsidR="008875B3">
          <w:rPr>
            <w:noProof/>
            <w:webHidden/>
          </w:rPr>
          <w:instrText xml:space="preserve"> PAGEREF _Toc507509090 \h </w:instrText>
        </w:r>
        <w:r w:rsidR="008875B3">
          <w:rPr>
            <w:noProof/>
            <w:webHidden/>
          </w:rPr>
        </w:r>
        <w:r w:rsidR="008875B3">
          <w:rPr>
            <w:noProof/>
            <w:webHidden/>
          </w:rPr>
          <w:fldChar w:fldCharType="separate"/>
        </w:r>
        <w:r>
          <w:rPr>
            <w:noProof/>
            <w:webHidden/>
          </w:rPr>
          <w:t>95</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91" w:history="1">
        <w:r w:rsidR="008875B3" w:rsidRPr="002D77F1">
          <w:rPr>
            <w:rStyle w:val="Kpr"/>
            <w:noProof/>
          </w:rPr>
          <w:t xml:space="preserve">Figure 43. </w:t>
        </w:r>
        <w:r w:rsidR="001A52E3" w:rsidRPr="001A52E3">
          <w:rPr>
            <w:rStyle w:val="Kpr"/>
            <w:noProof/>
          </w:rPr>
          <w:t>∑C</w:t>
        </w:r>
        <w:r w:rsidR="001A52E3" w:rsidRPr="001A52E3">
          <w:rPr>
            <w:rStyle w:val="Kpr"/>
            <w:noProof/>
            <w:vertAlign w:val="subscript"/>
          </w:rPr>
          <w:t>21-22</w:t>
        </w:r>
        <w:r w:rsidR="001A52E3" w:rsidRPr="001A52E3">
          <w:rPr>
            <w:rStyle w:val="Kpr"/>
            <w:noProof/>
          </w:rPr>
          <w:t>/∑C</w:t>
        </w:r>
        <w:r w:rsidR="001A52E3" w:rsidRPr="001A52E3">
          <w:rPr>
            <w:rStyle w:val="Kpr"/>
            <w:noProof/>
            <w:vertAlign w:val="subscript"/>
          </w:rPr>
          <w:t>27-29</w:t>
        </w:r>
        <w:r w:rsidR="001A52E3" w:rsidRPr="001A52E3">
          <w:rPr>
            <w:rStyle w:val="Kpr"/>
            <w:noProof/>
          </w:rPr>
          <w:t>Steranes vs.∑C</w:t>
        </w:r>
        <w:r w:rsidR="001A52E3" w:rsidRPr="001A52E3">
          <w:rPr>
            <w:rStyle w:val="Kpr"/>
            <w:noProof/>
            <w:vertAlign w:val="subscript"/>
          </w:rPr>
          <w:t>27</w:t>
        </w:r>
        <w:r w:rsidR="001A52E3" w:rsidRPr="001A52E3">
          <w:rPr>
            <w:rStyle w:val="Kpr"/>
            <w:noProof/>
          </w:rPr>
          <w:t>D</w:t>
        </w:r>
        <w:r w:rsidR="001A52E3">
          <w:rPr>
            <w:rStyle w:val="Kpr"/>
            <w:noProof/>
          </w:rPr>
          <w:t>iasteranes</w:t>
        </w:r>
        <w:r w:rsidR="001A52E3" w:rsidRPr="001A52E3">
          <w:rPr>
            <w:rStyle w:val="Kpr"/>
            <w:noProof/>
          </w:rPr>
          <w:t>/∑R</w:t>
        </w:r>
        <w:r w:rsidR="001A52E3">
          <w:rPr>
            <w:rStyle w:val="Kpr"/>
            <w:noProof/>
          </w:rPr>
          <w:t xml:space="preserve">egular </w:t>
        </w:r>
        <w:r w:rsidR="001A52E3" w:rsidRPr="001A52E3">
          <w:rPr>
            <w:rStyle w:val="Kpr"/>
            <w:noProof/>
          </w:rPr>
          <w:t>C</w:t>
        </w:r>
        <w:r w:rsidR="001A52E3" w:rsidRPr="001A52E3">
          <w:rPr>
            <w:rStyle w:val="Kpr"/>
            <w:noProof/>
            <w:vertAlign w:val="subscript"/>
          </w:rPr>
          <w:t>27</w:t>
        </w:r>
        <w:r w:rsidR="001A52E3" w:rsidRPr="001A52E3">
          <w:rPr>
            <w:rStyle w:val="Kpr"/>
            <w:noProof/>
          </w:rPr>
          <w:t>Steranes Plot</w:t>
        </w:r>
        <w:r w:rsidR="008875B3">
          <w:rPr>
            <w:noProof/>
            <w:webHidden/>
          </w:rPr>
          <w:tab/>
        </w:r>
        <w:r w:rsidR="008875B3">
          <w:rPr>
            <w:noProof/>
            <w:webHidden/>
          </w:rPr>
          <w:fldChar w:fldCharType="begin"/>
        </w:r>
        <w:r w:rsidR="008875B3">
          <w:rPr>
            <w:noProof/>
            <w:webHidden/>
          </w:rPr>
          <w:instrText xml:space="preserve"> PAGEREF _Toc507509091 \h </w:instrText>
        </w:r>
        <w:r w:rsidR="008875B3">
          <w:rPr>
            <w:noProof/>
            <w:webHidden/>
          </w:rPr>
        </w:r>
        <w:r w:rsidR="008875B3">
          <w:rPr>
            <w:noProof/>
            <w:webHidden/>
          </w:rPr>
          <w:fldChar w:fldCharType="separate"/>
        </w:r>
        <w:r>
          <w:rPr>
            <w:noProof/>
            <w:webHidden/>
          </w:rPr>
          <w:t>96</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92" w:history="1">
        <w:r w:rsidR="008875B3" w:rsidRPr="002D77F1">
          <w:rPr>
            <w:rStyle w:val="Kpr"/>
            <w:noProof/>
          </w:rPr>
          <w:t>Figure 44. Identification of DBT, MDBT and DMDBT</w:t>
        </w:r>
        <w:r w:rsidR="008875B3">
          <w:rPr>
            <w:noProof/>
            <w:webHidden/>
          </w:rPr>
          <w:tab/>
        </w:r>
        <w:r w:rsidR="008875B3">
          <w:rPr>
            <w:noProof/>
            <w:webHidden/>
          </w:rPr>
          <w:fldChar w:fldCharType="begin"/>
        </w:r>
        <w:r w:rsidR="008875B3">
          <w:rPr>
            <w:noProof/>
            <w:webHidden/>
          </w:rPr>
          <w:instrText xml:space="preserve"> PAGEREF _Toc507509092 \h </w:instrText>
        </w:r>
        <w:r w:rsidR="008875B3">
          <w:rPr>
            <w:noProof/>
            <w:webHidden/>
          </w:rPr>
        </w:r>
        <w:r w:rsidR="008875B3">
          <w:rPr>
            <w:noProof/>
            <w:webHidden/>
          </w:rPr>
          <w:fldChar w:fldCharType="separate"/>
        </w:r>
        <w:r>
          <w:rPr>
            <w:noProof/>
            <w:webHidden/>
          </w:rPr>
          <w:t>101</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93" w:history="1">
        <w:r w:rsidR="008875B3" w:rsidRPr="002D77F1">
          <w:rPr>
            <w:rStyle w:val="Kpr"/>
            <w:noProof/>
          </w:rPr>
          <w:t>Figure 45. Cr</w:t>
        </w:r>
        <w:r w:rsidR="001A52E3">
          <w:rPr>
            <w:rStyle w:val="Kpr"/>
            <w:noProof/>
          </w:rPr>
          <w:t xml:space="preserve">oss </w:t>
        </w:r>
        <w:r w:rsidR="008875B3" w:rsidRPr="002D77F1">
          <w:rPr>
            <w:rStyle w:val="Kpr"/>
            <w:noProof/>
          </w:rPr>
          <w:t>plot of the DBT/P vs. Pr/Ph</w:t>
        </w:r>
        <w:r w:rsidR="008875B3">
          <w:rPr>
            <w:noProof/>
            <w:webHidden/>
          </w:rPr>
          <w:tab/>
        </w:r>
        <w:r w:rsidR="008875B3">
          <w:rPr>
            <w:noProof/>
            <w:webHidden/>
          </w:rPr>
          <w:fldChar w:fldCharType="begin"/>
        </w:r>
        <w:r w:rsidR="008875B3">
          <w:rPr>
            <w:noProof/>
            <w:webHidden/>
          </w:rPr>
          <w:instrText xml:space="preserve"> PAGEREF _Toc507509093 \h </w:instrText>
        </w:r>
        <w:r w:rsidR="008875B3">
          <w:rPr>
            <w:noProof/>
            <w:webHidden/>
          </w:rPr>
        </w:r>
        <w:r w:rsidR="008875B3">
          <w:rPr>
            <w:noProof/>
            <w:webHidden/>
          </w:rPr>
          <w:fldChar w:fldCharType="separate"/>
        </w:r>
        <w:r>
          <w:rPr>
            <w:noProof/>
            <w:webHidden/>
          </w:rPr>
          <w:t>103</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94" w:history="1">
        <w:r w:rsidR="008875B3" w:rsidRPr="002D77F1">
          <w:rPr>
            <w:rStyle w:val="Kpr"/>
            <w:noProof/>
          </w:rPr>
          <w:t xml:space="preserve">Figure 46. </w:t>
        </w:r>
        <w:r w:rsidR="001A52E3" w:rsidRPr="001A52E3">
          <w:rPr>
            <w:rStyle w:val="Kpr"/>
            <w:noProof/>
          </w:rPr>
          <w:t>Naphthalene Identification (m/z 142+156+170+184+198+212)</w:t>
        </w:r>
        <w:r w:rsidR="008875B3">
          <w:rPr>
            <w:noProof/>
            <w:webHidden/>
          </w:rPr>
          <w:tab/>
        </w:r>
        <w:r w:rsidR="008875B3">
          <w:rPr>
            <w:noProof/>
            <w:webHidden/>
          </w:rPr>
          <w:fldChar w:fldCharType="begin"/>
        </w:r>
        <w:r w:rsidR="008875B3">
          <w:rPr>
            <w:noProof/>
            <w:webHidden/>
          </w:rPr>
          <w:instrText xml:space="preserve"> PAGEREF _Toc507509094 \h </w:instrText>
        </w:r>
        <w:r w:rsidR="008875B3">
          <w:rPr>
            <w:noProof/>
            <w:webHidden/>
          </w:rPr>
        </w:r>
        <w:r w:rsidR="008875B3">
          <w:rPr>
            <w:noProof/>
            <w:webHidden/>
          </w:rPr>
          <w:fldChar w:fldCharType="separate"/>
        </w:r>
        <w:r>
          <w:rPr>
            <w:noProof/>
            <w:webHidden/>
          </w:rPr>
          <w:t>104</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95" w:history="1">
        <w:r w:rsidR="008875B3" w:rsidRPr="002D77F1">
          <w:rPr>
            <w:rStyle w:val="Kpr"/>
            <w:noProof/>
          </w:rPr>
          <w:t xml:space="preserve">Figure 47. </w:t>
        </w:r>
        <w:r w:rsidR="001A52E3" w:rsidRPr="001A52E3">
          <w:rPr>
            <w:rStyle w:val="Kpr"/>
            <w:noProof/>
          </w:rPr>
          <w:t>Possible Biological Precursors of 1,2,5-TMN and 1,2,7-TMN</w:t>
        </w:r>
        <w:r w:rsidR="008875B3">
          <w:rPr>
            <w:noProof/>
            <w:webHidden/>
          </w:rPr>
          <w:tab/>
        </w:r>
        <w:r w:rsidR="008875B3">
          <w:rPr>
            <w:noProof/>
            <w:webHidden/>
          </w:rPr>
          <w:fldChar w:fldCharType="begin"/>
        </w:r>
        <w:r w:rsidR="008875B3">
          <w:rPr>
            <w:noProof/>
            <w:webHidden/>
          </w:rPr>
          <w:instrText xml:space="preserve"> PAGEREF _Toc507509095 \h </w:instrText>
        </w:r>
        <w:r w:rsidR="008875B3">
          <w:rPr>
            <w:noProof/>
            <w:webHidden/>
          </w:rPr>
        </w:r>
        <w:r w:rsidR="008875B3">
          <w:rPr>
            <w:noProof/>
            <w:webHidden/>
          </w:rPr>
          <w:fldChar w:fldCharType="separate"/>
        </w:r>
        <w:r>
          <w:rPr>
            <w:noProof/>
            <w:webHidden/>
          </w:rPr>
          <w:t>106</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96" w:history="1">
        <w:r w:rsidR="008875B3" w:rsidRPr="002D77F1">
          <w:rPr>
            <w:rStyle w:val="Kpr"/>
            <w:noProof/>
          </w:rPr>
          <w:t xml:space="preserve">Figure 48. </w:t>
        </w:r>
        <w:r w:rsidR="001A52E3" w:rsidRPr="001A52E3">
          <w:rPr>
            <w:rStyle w:val="Kpr"/>
            <w:noProof/>
          </w:rPr>
          <w:t>18α(H)–Oleanane and 1,2,7-TMN Concentrations in</w:t>
        </w:r>
        <w:r w:rsidR="001A52E3">
          <w:rPr>
            <w:rStyle w:val="Kpr"/>
            <w:noProof/>
          </w:rPr>
          <w:t xml:space="preserve"> the Kephart-I W</w:t>
        </w:r>
        <w:r w:rsidR="001A52E3" w:rsidRPr="001A52E3">
          <w:rPr>
            <w:rStyle w:val="Kpr"/>
            <w:noProof/>
          </w:rPr>
          <w:t>ell</w:t>
        </w:r>
        <w:r w:rsidR="008875B3">
          <w:rPr>
            <w:noProof/>
            <w:webHidden/>
          </w:rPr>
          <w:tab/>
        </w:r>
        <w:r w:rsidR="008875B3">
          <w:rPr>
            <w:noProof/>
            <w:webHidden/>
          </w:rPr>
          <w:fldChar w:fldCharType="begin"/>
        </w:r>
        <w:r w:rsidR="008875B3">
          <w:rPr>
            <w:noProof/>
            <w:webHidden/>
          </w:rPr>
          <w:instrText xml:space="preserve"> PAGEREF _Toc507509096 \h </w:instrText>
        </w:r>
        <w:r w:rsidR="008875B3">
          <w:rPr>
            <w:noProof/>
            <w:webHidden/>
          </w:rPr>
        </w:r>
        <w:r w:rsidR="008875B3">
          <w:rPr>
            <w:noProof/>
            <w:webHidden/>
          </w:rPr>
          <w:fldChar w:fldCharType="separate"/>
        </w:r>
        <w:r>
          <w:rPr>
            <w:noProof/>
            <w:webHidden/>
          </w:rPr>
          <w:t>108</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97" w:history="1">
        <w:r w:rsidR="008875B3" w:rsidRPr="002D77F1">
          <w:rPr>
            <w:rStyle w:val="Kpr"/>
            <w:noProof/>
          </w:rPr>
          <w:t xml:space="preserve">Figure 49. </w:t>
        </w:r>
        <w:r w:rsidR="001A52E3" w:rsidRPr="001A52E3">
          <w:rPr>
            <w:rStyle w:val="Kpr"/>
            <w:noProof/>
          </w:rPr>
          <w:t>Log plot of the (1,2,7-TMN/1,3,7-TMN) vs.(1,2,5- TMN/1,3,6-TMN)</w:t>
        </w:r>
        <w:r w:rsidR="008875B3">
          <w:rPr>
            <w:noProof/>
            <w:webHidden/>
          </w:rPr>
          <w:tab/>
        </w:r>
        <w:r w:rsidR="008875B3">
          <w:rPr>
            <w:noProof/>
            <w:webHidden/>
          </w:rPr>
          <w:fldChar w:fldCharType="begin"/>
        </w:r>
        <w:r w:rsidR="008875B3">
          <w:rPr>
            <w:noProof/>
            <w:webHidden/>
          </w:rPr>
          <w:instrText xml:space="preserve"> PAGEREF _Toc507509097 \h </w:instrText>
        </w:r>
        <w:r w:rsidR="008875B3">
          <w:rPr>
            <w:noProof/>
            <w:webHidden/>
          </w:rPr>
        </w:r>
        <w:r w:rsidR="008875B3">
          <w:rPr>
            <w:noProof/>
            <w:webHidden/>
          </w:rPr>
          <w:fldChar w:fldCharType="separate"/>
        </w:r>
        <w:r>
          <w:rPr>
            <w:noProof/>
            <w:webHidden/>
          </w:rPr>
          <w:t>109</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98" w:history="1">
        <w:r w:rsidR="008875B3" w:rsidRPr="002D77F1">
          <w:rPr>
            <w:rStyle w:val="Kpr"/>
            <w:noProof/>
          </w:rPr>
          <w:t>Figure 50.</w:t>
        </w:r>
        <w:r w:rsidR="001A52E3" w:rsidRPr="001A52E3">
          <w:t xml:space="preserve"> </w:t>
        </w:r>
        <w:r w:rsidR="001A52E3" w:rsidRPr="001A52E3">
          <w:rPr>
            <w:rStyle w:val="Kpr"/>
            <w:noProof/>
          </w:rPr>
          <w:t>Cadalene Identification</w:t>
        </w:r>
        <w:r w:rsidR="001A52E3">
          <w:rPr>
            <w:rStyle w:val="Kpr"/>
            <w:noProof/>
          </w:rPr>
          <w:t xml:space="preserve"> (m/z 184)</w:t>
        </w:r>
        <w:r w:rsidR="008875B3">
          <w:rPr>
            <w:noProof/>
            <w:webHidden/>
          </w:rPr>
          <w:tab/>
        </w:r>
        <w:r w:rsidR="008875B3">
          <w:rPr>
            <w:noProof/>
            <w:webHidden/>
          </w:rPr>
          <w:fldChar w:fldCharType="begin"/>
        </w:r>
        <w:r w:rsidR="008875B3">
          <w:rPr>
            <w:noProof/>
            <w:webHidden/>
          </w:rPr>
          <w:instrText xml:space="preserve"> PAGEREF _Toc507509098 \h </w:instrText>
        </w:r>
        <w:r w:rsidR="008875B3">
          <w:rPr>
            <w:noProof/>
            <w:webHidden/>
          </w:rPr>
        </w:r>
        <w:r w:rsidR="008875B3">
          <w:rPr>
            <w:noProof/>
            <w:webHidden/>
          </w:rPr>
          <w:fldChar w:fldCharType="separate"/>
        </w:r>
        <w:r>
          <w:rPr>
            <w:noProof/>
            <w:webHidden/>
          </w:rPr>
          <w:t>111</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099" w:history="1">
        <w:r w:rsidR="008875B3" w:rsidRPr="002D77F1">
          <w:rPr>
            <w:rStyle w:val="Kpr"/>
            <w:noProof/>
          </w:rPr>
          <w:t xml:space="preserve">Figure 51. </w:t>
        </w:r>
        <w:r w:rsidR="001A52E3">
          <w:rPr>
            <w:rStyle w:val="Kpr"/>
            <w:noProof/>
          </w:rPr>
          <w:t>GC</w:t>
        </w:r>
        <w:r w:rsidR="001A52E3" w:rsidRPr="001A52E3">
          <w:rPr>
            <w:rStyle w:val="Kpr"/>
            <w:noProof/>
          </w:rPr>
          <w:t>MS Identification of DBF, Fl and MDBF</w:t>
        </w:r>
        <w:r w:rsidR="008875B3">
          <w:rPr>
            <w:noProof/>
            <w:webHidden/>
          </w:rPr>
          <w:tab/>
        </w:r>
        <w:r w:rsidR="008875B3">
          <w:rPr>
            <w:noProof/>
            <w:webHidden/>
          </w:rPr>
          <w:fldChar w:fldCharType="begin"/>
        </w:r>
        <w:r w:rsidR="008875B3">
          <w:rPr>
            <w:noProof/>
            <w:webHidden/>
          </w:rPr>
          <w:instrText xml:space="preserve"> PAGEREF _Toc507509099 \h </w:instrText>
        </w:r>
        <w:r w:rsidR="008875B3">
          <w:rPr>
            <w:noProof/>
            <w:webHidden/>
          </w:rPr>
        </w:r>
        <w:r w:rsidR="008875B3">
          <w:rPr>
            <w:noProof/>
            <w:webHidden/>
          </w:rPr>
          <w:fldChar w:fldCharType="separate"/>
        </w:r>
        <w:r>
          <w:rPr>
            <w:noProof/>
            <w:webHidden/>
          </w:rPr>
          <w:t>112</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100" w:history="1">
        <w:r w:rsidR="008875B3" w:rsidRPr="002D77F1">
          <w:rPr>
            <w:rStyle w:val="Kpr"/>
            <w:noProof/>
          </w:rPr>
          <w:t xml:space="preserve">Figure 52. </w:t>
        </w:r>
        <w:r w:rsidR="001A52E3" w:rsidRPr="001A52E3">
          <w:rPr>
            <w:rStyle w:val="Kpr"/>
            <w:noProof/>
          </w:rPr>
          <w:t>The Calibration Between MPI-1 and Vitrinite Reflectance</w:t>
        </w:r>
        <w:r w:rsidR="008875B3">
          <w:rPr>
            <w:noProof/>
            <w:webHidden/>
          </w:rPr>
          <w:tab/>
        </w:r>
        <w:r w:rsidR="008875B3">
          <w:rPr>
            <w:noProof/>
            <w:webHidden/>
          </w:rPr>
          <w:fldChar w:fldCharType="begin"/>
        </w:r>
        <w:r w:rsidR="008875B3">
          <w:rPr>
            <w:noProof/>
            <w:webHidden/>
          </w:rPr>
          <w:instrText xml:space="preserve"> PAGEREF _Toc507509100 \h </w:instrText>
        </w:r>
        <w:r w:rsidR="008875B3">
          <w:rPr>
            <w:noProof/>
            <w:webHidden/>
          </w:rPr>
        </w:r>
        <w:r w:rsidR="008875B3">
          <w:rPr>
            <w:noProof/>
            <w:webHidden/>
          </w:rPr>
          <w:fldChar w:fldCharType="separate"/>
        </w:r>
        <w:r>
          <w:rPr>
            <w:noProof/>
            <w:webHidden/>
          </w:rPr>
          <w:t>113</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101" w:history="1">
        <w:r w:rsidR="008875B3" w:rsidRPr="002D77F1">
          <w:rPr>
            <w:rStyle w:val="Kpr"/>
            <w:noProof/>
          </w:rPr>
          <w:t xml:space="preserve">Figure 53. </w:t>
        </w:r>
        <w:r w:rsidR="001A52E3" w:rsidRPr="001A52E3">
          <w:rPr>
            <w:rStyle w:val="Kpr"/>
            <w:noProof/>
          </w:rPr>
          <w:t>Phenanthrene Identification (m/z 178+192+206+220)</w:t>
        </w:r>
        <w:r w:rsidR="008875B3">
          <w:rPr>
            <w:noProof/>
            <w:webHidden/>
          </w:rPr>
          <w:tab/>
        </w:r>
        <w:r w:rsidR="008875B3">
          <w:rPr>
            <w:noProof/>
            <w:webHidden/>
          </w:rPr>
          <w:fldChar w:fldCharType="begin"/>
        </w:r>
        <w:r w:rsidR="008875B3">
          <w:rPr>
            <w:noProof/>
            <w:webHidden/>
          </w:rPr>
          <w:instrText xml:space="preserve"> PAGEREF _Toc507509101 \h </w:instrText>
        </w:r>
        <w:r w:rsidR="008875B3">
          <w:rPr>
            <w:noProof/>
            <w:webHidden/>
          </w:rPr>
        </w:r>
        <w:r w:rsidR="008875B3">
          <w:rPr>
            <w:noProof/>
            <w:webHidden/>
          </w:rPr>
          <w:fldChar w:fldCharType="separate"/>
        </w:r>
        <w:r>
          <w:rPr>
            <w:noProof/>
            <w:webHidden/>
          </w:rPr>
          <w:t>115</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102" w:history="1">
        <w:r w:rsidR="008875B3" w:rsidRPr="002D77F1">
          <w:rPr>
            <w:rStyle w:val="Kpr"/>
            <w:noProof/>
          </w:rPr>
          <w:t>Figure 54.</w:t>
        </w:r>
        <w:r w:rsidR="001A52E3" w:rsidRPr="001A52E3">
          <w:t xml:space="preserve"> </w:t>
        </w:r>
        <w:r w:rsidR="001A52E3" w:rsidRPr="001A52E3">
          <w:rPr>
            <w:rStyle w:val="Kpr"/>
            <w:noProof/>
          </w:rPr>
          <w:t>Identification of the Benzoanthracene, Chrysene and Triphenylene</w:t>
        </w:r>
        <w:r w:rsidR="008875B3">
          <w:rPr>
            <w:noProof/>
            <w:webHidden/>
          </w:rPr>
          <w:tab/>
        </w:r>
        <w:r w:rsidR="008875B3">
          <w:rPr>
            <w:noProof/>
            <w:webHidden/>
          </w:rPr>
          <w:fldChar w:fldCharType="begin"/>
        </w:r>
        <w:r w:rsidR="008875B3">
          <w:rPr>
            <w:noProof/>
            <w:webHidden/>
          </w:rPr>
          <w:instrText xml:space="preserve"> PAGEREF _Toc507509102 \h </w:instrText>
        </w:r>
        <w:r w:rsidR="008875B3">
          <w:rPr>
            <w:noProof/>
            <w:webHidden/>
          </w:rPr>
        </w:r>
        <w:r w:rsidR="008875B3">
          <w:rPr>
            <w:noProof/>
            <w:webHidden/>
          </w:rPr>
          <w:fldChar w:fldCharType="separate"/>
        </w:r>
        <w:r>
          <w:rPr>
            <w:noProof/>
            <w:webHidden/>
          </w:rPr>
          <w:t>118</w:t>
        </w:r>
        <w:r w:rsidR="008875B3">
          <w:rPr>
            <w:noProof/>
            <w:webHidden/>
          </w:rPr>
          <w:fldChar w:fldCharType="end"/>
        </w:r>
      </w:hyperlink>
    </w:p>
    <w:p w:rsidR="008875B3" w:rsidRDefault="003F6459">
      <w:pPr>
        <w:pStyle w:val="ekillerTablosu"/>
        <w:tabs>
          <w:tab w:val="right" w:leader="dot" w:pos="8486"/>
        </w:tabs>
        <w:rPr>
          <w:rFonts w:eastAsiaTheme="minorEastAsia" w:cstheme="minorBidi"/>
          <w:noProof/>
          <w:sz w:val="22"/>
          <w:szCs w:val="22"/>
          <w:lang w:val="tr-TR" w:eastAsia="tr-TR" w:bidi="ar-SA"/>
        </w:rPr>
      </w:pPr>
      <w:hyperlink w:anchor="_Toc507509103" w:history="1">
        <w:r w:rsidR="008875B3" w:rsidRPr="002D77F1">
          <w:rPr>
            <w:rStyle w:val="Kpr"/>
            <w:noProof/>
          </w:rPr>
          <w:t xml:space="preserve">Figure 55. </w:t>
        </w:r>
        <w:r w:rsidR="001A52E3" w:rsidRPr="001A52E3">
          <w:rPr>
            <w:rStyle w:val="Kpr"/>
            <w:noProof/>
          </w:rPr>
          <w:t>Identification of Pyrene, Fluoranthene, Benzopyrenes and…………………... Benzofluoranthenes</w:t>
        </w:r>
        <w:r w:rsidR="008875B3">
          <w:rPr>
            <w:noProof/>
            <w:webHidden/>
          </w:rPr>
          <w:tab/>
        </w:r>
        <w:r w:rsidR="008875B3">
          <w:rPr>
            <w:noProof/>
            <w:webHidden/>
          </w:rPr>
          <w:fldChar w:fldCharType="begin"/>
        </w:r>
        <w:r w:rsidR="008875B3">
          <w:rPr>
            <w:noProof/>
            <w:webHidden/>
          </w:rPr>
          <w:instrText xml:space="preserve"> PAGEREF _Toc507509103 \h </w:instrText>
        </w:r>
        <w:r w:rsidR="008875B3">
          <w:rPr>
            <w:noProof/>
            <w:webHidden/>
          </w:rPr>
        </w:r>
        <w:r w:rsidR="008875B3">
          <w:rPr>
            <w:noProof/>
            <w:webHidden/>
          </w:rPr>
          <w:fldChar w:fldCharType="separate"/>
        </w:r>
        <w:r>
          <w:rPr>
            <w:noProof/>
            <w:webHidden/>
          </w:rPr>
          <w:t>119</w:t>
        </w:r>
        <w:r w:rsidR="008875B3">
          <w:rPr>
            <w:noProof/>
            <w:webHidden/>
          </w:rPr>
          <w:fldChar w:fldCharType="end"/>
        </w:r>
      </w:hyperlink>
    </w:p>
    <w:p w:rsidR="0099286C" w:rsidRDefault="00AA4AED" w:rsidP="00E1019B">
      <w:pPr>
        <w:pStyle w:val="Balk1"/>
      </w:pPr>
      <w:r>
        <w:fldChar w:fldCharType="end"/>
      </w:r>
      <w:r w:rsidR="00DA1971">
        <w:br w:type="page"/>
      </w:r>
      <w:bookmarkStart w:id="6" w:name="_Toc310579467"/>
      <w:bookmarkStart w:id="7" w:name="_Toc507506620"/>
      <w:bookmarkStart w:id="8" w:name="_Toc310579474"/>
      <w:r w:rsidR="0099286C">
        <w:lastRenderedPageBreak/>
        <w:t>Abstract</w:t>
      </w:r>
      <w:bookmarkEnd w:id="6"/>
      <w:bookmarkEnd w:id="7"/>
    </w:p>
    <w:p w:rsidR="0099286C" w:rsidRDefault="0099286C" w:rsidP="0099286C">
      <w:pPr>
        <w:ind w:firstLine="720"/>
        <w:jc w:val="both"/>
      </w:pPr>
      <w:bookmarkStart w:id="9" w:name="_Toc310579468"/>
      <w:r w:rsidRPr="00F85ACE">
        <w:t>The Morrow Formation is one of the most widespread unit</w:t>
      </w:r>
      <w:r>
        <w:t>s</w:t>
      </w:r>
      <w:r w:rsidRPr="00F85ACE">
        <w:t xml:space="preserve"> of Early Pennsylvanian </w:t>
      </w:r>
      <w:r>
        <w:t xml:space="preserve">time in the </w:t>
      </w:r>
      <w:r w:rsidRPr="00F85ACE">
        <w:t xml:space="preserve">Anadarko Basin. </w:t>
      </w:r>
      <w:r w:rsidR="00DA5D0A">
        <w:t>While the Morrow Sandstone</w:t>
      </w:r>
      <w:r>
        <w:t xml:space="preserve"> has been </w:t>
      </w:r>
      <w:r w:rsidR="00DA5D0A">
        <w:t xml:space="preserve">one </w:t>
      </w:r>
      <w:r>
        <w:t>of the</w:t>
      </w:r>
      <w:r w:rsidRPr="00F85ACE">
        <w:t xml:space="preserve"> most produ</w:t>
      </w:r>
      <w:r w:rsidRPr="002D748F">
        <w:t>c</w:t>
      </w:r>
      <w:r w:rsidRPr="00F85ACE">
        <w:t>tive oil and gas reservoir</w:t>
      </w:r>
      <w:r w:rsidR="002D748F">
        <w:t>s</w:t>
      </w:r>
      <w:r w:rsidRPr="00F85ACE">
        <w:t xml:space="preserve"> since</w:t>
      </w:r>
      <w:r>
        <w:t xml:space="preserve"> the 1950s, the Morrow Shale has become important recently due to developments in the unconventional shale sector. The </w:t>
      </w:r>
      <w:r w:rsidRPr="00F85ACE">
        <w:t xml:space="preserve">publicly available geochemical information about this formation is very limited. </w:t>
      </w:r>
      <w:r>
        <w:t>Therefore</w:t>
      </w:r>
      <w:r w:rsidRPr="00F85ACE">
        <w:t xml:space="preserve">, </w:t>
      </w:r>
      <w:r>
        <w:t xml:space="preserve">this study investigates the </w:t>
      </w:r>
      <w:r w:rsidRPr="00F85ACE">
        <w:t>geochemical characte</w:t>
      </w:r>
      <w:r>
        <w:t xml:space="preserve">ristics of the Morrow Shale in the Anadarko Basin and </w:t>
      </w:r>
      <w:r w:rsidRPr="00F85ACE">
        <w:t xml:space="preserve">will help to fill the gap in the literature on geochemical characteristics of </w:t>
      </w:r>
      <w:r w:rsidR="002D748F">
        <w:t xml:space="preserve">the </w:t>
      </w:r>
      <w:r w:rsidRPr="00F85ACE">
        <w:t>M</w:t>
      </w:r>
      <w:r>
        <w:t>orrow Formation.</w:t>
      </w:r>
    </w:p>
    <w:p w:rsidR="0099286C" w:rsidRPr="00B3528D" w:rsidRDefault="0099286C" w:rsidP="0099286C">
      <w:pPr>
        <w:ind w:firstLine="720"/>
        <w:jc w:val="both"/>
      </w:pPr>
      <w:r>
        <w:t xml:space="preserve">Fifteen Morrow source rock samples from different parts of the Anadarko Basin and source rock samples from two different wells in the area were geochemically </w:t>
      </w:r>
      <w:r w:rsidR="00DA5D0A">
        <w:t>characterized</w:t>
      </w:r>
      <w:r>
        <w:t xml:space="preserve"> by means of </w:t>
      </w:r>
      <w:r w:rsidRPr="00F85ACE">
        <w:t xml:space="preserve">bulk geochemical and biomarker </w:t>
      </w:r>
      <w:r>
        <w:t xml:space="preserve">data. </w:t>
      </w:r>
      <w:r w:rsidRPr="00F85ACE">
        <w:t xml:space="preserve"> </w:t>
      </w:r>
      <w:r>
        <w:t>The Rock-Eval Pyrolysis data including Total Organic Carbon (TOC), S</w:t>
      </w:r>
      <w:r>
        <w:rPr>
          <w:vertAlign w:val="subscript"/>
        </w:rPr>
        <w:t xml:space="preserve">1 </w:t>
      </w:r>
      <w:r>
        <w:t>(</w:t>
      </w:r>
      <w:r>
        <w:rPr>
          <w:szCs w:val="28"/>
        </w:rPr>
        <w:t>free hydrocarbons already present in the source rock), S</w:t>
      </w:r>
      <w:r>
        <w:rPr>
          <w:szCs w:val="28"/>
          <w:vertAlign w:val="subscript"/>
        </w:rPr>
        <w:t xml:space="preserve">2 </w:t>
      </w:r>
      <w:r>
        <w:rPr>
          <w:szCs w:val="28"/>
        </w:rPr>
        <w:t>(</w:t>
      </w:r>
      <w:r w:rsidRPr="00FB3C0B">
        <w:rPr>
          <w:szCs w:val="28"/>
        </w:rPr>
        <w:t>potential generative capacity</w:t>
      </w:r>
      <w:r>
        <w:rPr>
          <w:szCs w:val="28"/>
        </w:rPr>
        <w:t>), T</w:t>
      </w:r>
      <w:r>
        <w:rPr>
          <w:szCs w:val="28"/>
          <w:vertAlign w:val="subscript"/>
        </w:rPr>
        <w:t xml:space="preserve">max </w:t>
      </w:r>
      <w:r>
        <w:rPr>
          <w:szCs w:val="28"/>
        </w:rPr>
        <w:t xml:space="preserve">(maturity level of the sample) and hydrogen and oxygen indexes (HI and OI) indicate that the Morrow source rocks are fair to good source rocks, characterized by the Type-III kerogen that has gas generating capacity and is thermally mature. </w:t>
      </w:r>
    </w:p>
    <w:p w:rsidR="0099286C" w:rsidRDefault="0099286C" w:rsidP="0099286C">
      <w:pPr>
        <w:ind w:firstLine="720"/>
        <w:jc w:val="both"/>
      </w:pPr>
      <w:r>
        <w:t xml:space="preserve">Biomarker analyses of the source rocks extracts were conducted by gas chromatography (GC) and gas chromatography-mass spectrometry (GC-MS). The aliphatic and aromatic biomarker results demonstrated that the Morrow Shale is composed of mixed organic matter with more pronounced terrestrial input than marine. Depositional conditions were interpreted as </w:t>
      </w:r>
      <w:r w:rsidR="00DA5D0A">
        <w:t>a</w:t>
      </w:r>
      <w:r>
        <w:t xml:space="preserve"> near-shore/transitional depositional environment which was subjected to periodic terrigenous influx by fluvial activities. </w:t>
      </w:r>
    </w:p>
    <w:p w:rsidR="0099286C" w:rsidRDefault="0099286C" w:rsidP="0099286C">
      <w:pPr>
        <w:ind w:firstLine="720"/>
        <w:jc w:val="both"/>
      </w:pPr>
      <w:r>
        <w:lastRenderedPageBreak/>
        <w:t xml:space="preserve">The abundance of the </w:t>
      </w:r>
      <w:r w:rsidRPr="0055052F">
        <w:t>C</w:t>
      </w:r>
      <w:r w:rsidRPr="0055052F">
        <w:rPr>
          <w:vertAlign w:val="subscript"/>
        </w:rPr>
        <w:t xml:space="preserve">29 </w:t>
      </w:r>
      <w:r w:rsidRPr="0055052F">
        <w:t>17(</w:t>
      </w:r>
      <w:r w:rsidRPr="0055052F">
        <w:rPr>
          <w:rFonts w:cstheme="minorHAnsi"/>
        </w:rPr>
        <w:t>α</w:t>
      </w:r>
      <w:r w:rsidRPr="0055052F">
        <w:t>)-hopane</w:t>
      </w:r>
      <w:r>
        <w:t xml:space="preserve"> in some of the rock extracts was interpreted as increasing carbonate content or evaporitic conditions i</w:t>
      </w:r>
      <w:r w:rsidR="00874C3B">
        <w:t>n the depositional environment.</w:t>
      </w:r>
      <w:r>
        <w:t xml:space="preserve"> </w:t>
      </w:r>
      <w:r w:rsidR="002D748F">
        <w:t>Alternatively</w:t>
      </w:r>
      <w:r w:rsidR="00874C3B">
        <w:t>,</w:t>
      </w:r>
      <w:r>
        <w:t xml:space="preserve"> relatively high concentrations of rearranged hopanes (18(</w:t>
      </w:r>
      <w:r>
        <w:rPr>
          <w:rFonts w:cstheme="minorHAnsi"/>
        </w:rPr>
        <w:t>α</w:t>
      </w:r>
      <w:r>
        <w:t>)-30-norneohopane</w:t>
      </w:r>
      <w:r w:rsidRPr="00896AAA">
        <w:t xml:space="preserve"> and </w:t>
      </w:r>
      <w:r>
        <w:t>17(</w:t>
      </w:r>
      <w:r>
        <w:rPr>
          <w:rFonts w:cstheme="minorHAnsi"/>
        </w:rPr>
        <w:t>α</w:t>
      </w:r>
      <w:r>
        <w:t xml:space="preserve">)-diahopane) reveals that the Morrow was deposited under clay-rich, brackish/freshwater conditions of a suboxic depositional environment. </w:t>
      </w:r>
    </w:p>
    <w:p w:rsidR="0099286C" w:rsidRDefault="0099286C" w:rsidP="0099286C">
      <w:pPr>
        <w:ind w:firstLine="720"/>
        <w:jc w:val="both"/>
        <w:rPr>
          <w:rFonts w:cstheme="minorHAnsi"/>
        </w:rPr>
      </w:pPr>
      <w:r>
        <w:t>The tentative presence of 18</w:t>
      </w:r>
      <w:r>
        <w:rPr>
          <w:rFonts w:cstheme="minorHAnsi"/>
        </w:rPr>
        <w:t>α</w:t>
      </w:r>
      <w:r>
        <w:t>(H)-oleanane was confirmed in the Morrow source rock samples. 18</w:t>
      </w:r>
      <w:r>
        <w:rPr>
          <w:rFonts w:cstheme="minorHAnsi"/>
        </w:rPr>
        <w:t>α</w:t>
      </w:r>
      <w:r>
        <w:t xml:space="preserve">(H)-Oleanane is a biomarker derived from </w:t>
      </w:r>
      <w:r>
        <w:rPr>
          <w:rFonts w:cstheme="minorHAnsi"/>
        </w:rPr>
        <w:t>angiosperm plants</w:t>
      </w:r>
      <w:r>
        <w:t xml:space="preserve"> and commonly used as an age-specific biomarker for Cretaceous and younger rocks. </w:t>
      </w:r>
      <w:r w:rsidR="001A4D74">
        <w:t>Its presence in pre-Cretaceous r</w:t>
      </w:r>
      <w:r>
        <w:t xml:space="preserve">ocks is uncommon but has been confirmed by </w:t>
      </w:r>
      <w:r>
        <w:rPr>
          <w:rFonts w:cstheme="minorHAnsi"/>
        </w:rPr>
        <w:t xml:space="preserve">Moldowan et al. (1994), Peters et al. (1999) and Taylor et al. (2006). Moreover, 1,2,7-trimethylnaphthalene (1,2,7-TMN), a proposed alteration product of </w:t>
      </w:r>
      <w:r>
        <w:t>18</w:t>
      </w:r>
      <w:r>
        <w:rPr>
          <w:rFonts w:cstheme="minorHAnsi"/>
        </w:rPr>
        <w:t>α</w:t>
      </w:r>
      <w:r>
        <w:t>(H)-oleanane, or oleanane type marker, was identified in all of the studied samples. The presence of 18</w:t>
      </w:r>
      <w:r>
        <w:rPr>
          <w:rFonts w:cstheme="minorHAnsi"/>
        </w:rPr>
        <w:t>α</w:t>
      </w:r>
      <w:r>
        <w:t xml:space="preserve">(H)-oleanane and 1,2,7-TMN in the Morrow source rocks suggests that they are either derived from angiosperms that evolved long before the Cretaceous or were derived from a sister-group of angiosperms that share </w:t>
      </w:r>
      <w:r w:rsidRPr="009B2E34">
        <w:rPr>
          <w:rFonts w:cstheme="minorHAnsi"/>
        </w:rPr>
        <w:t>common characteristics with the angiosperms</w:t>
      </w:r>
      <w:r>
        <w:rPr>
          <w:rFonts w:cstheme="minorHAnsi"/>
        </w:rPr>
        <w:t xml:space="preserve"> and were capable of synthesizing β-amyrin or other related compounds. </w:t>
      </w:r>
    </w:p>
    <w:p w:rsidR="0099286C" w:rsidRPr="00C82DBC" w:rsidRDefault="0099286C" w:rsidP="0099286C">
      <w:pPr>
        <w:shd w:val="clear" w:color="auto" w:fill="FFFFFF" w:themeFill="background1"/>
        <w:ind w:firstLine="720"/>
        <w:jc w:val="both"/>
      </w:pPr>
      <w:r w:rsidRPr="00C82DBC">
        <w:t xml:space="preserve">Demethylated hopanes </w:t>
      </w:r>
      <w:r w:rsidR="00DA5D0A">
        <w:t>such as</w:t>
      </w:r>
      <w:r w:rsidRPr="00C82DBC">
        <w:t xml:space="preserve"> 25-norhopanes (NHP), 25,28,30-trisnorhopane (TNH), 25,30-bisno</w:t>
      </w:r>
      <w:r w:rsidR="002D748F">
        <w:t xml:space="preserve">rhopane are commonly found in </w:t>
      </w:r>
      <w:r w:rsidRPr="00C82DBC">
        <w:t xml:space="preserve">biodegraded oils and their presence in the rock extracts is unusual as they are not found in the pyrolysis products of the kerogen and therefore they should be </w:t>
      </w:r>
      <w:r w:rsidRPr="00C82DBC">
        <w:rPr>
          <w:szCs w:val="28"/>
        </w:rPr>
        <w:t xml:space="preserve">present in the sediments as free hydrocarbon. This </w:t>
      </w:r>
      <w:r w:rsidRPr="00D01D17">
        <w:rPr>
          <w:szCs w:val="28"/>
        </w:rPr>
        <w:t xml:space="preserve">study confirms the tentative presence of demethylated hopanes in multiple source rock samples </w:t>
      </w:r>
      <w:r w:rsidR="00DA5D0A" w:rsidRPr="00D01D17">
        <w:rPr>
          <w:szCs w:val="28"/>
        </w:rPr>
        <w:t>and</w:t>
      </w:r>
      <w:r w:rsidRPr="00D01D17">
        <w:rPr>
          <w:szCs w:val="28"/>
        </w:rPr>
        <w:t xml:space="preserve"> is interpreted</w:t>
      </w:r>
      <w:r w:rsidRPr="00D01D17">
        <w:t xml:space="preserve"> as paleo-seepage from an ancient heavily</w:t>
      </w:r>
      <w:r w:rsidR="00D01D17" w:rsidRPr="00D01D17">
        <w:t xml:space="preserve"> biodegraded</w:t>
      </w:r>
      <w:r w:rsidRPr="00D01D17">
        <w:t xml:space="preserve"> </w:t>
      </w:r>
      <w:r w:rsidRPr="00D01D17">
        <w:lastRenderedPageBreak/>
        <w:t xml:space="preserve">reservoir or </w:t>
      </w:r>
      <w:r w:rsidRPr="00D01D17">
        <w:rPr>
          <w:i/>
        </w:rPr>
        <w:t>in-situ</w:t>
      </w:r>
      <w:r w:rsidRPr="00D01D17">
        <w:t xml:space="preserve"> biodegradation of the oil at the fissures and fractures of the Morrow</w:t>
      </w:r>
      <w:r w:rsidRPr="00C82DBC">
        <w:t xml:space="preserve"> Shale. </w:t>
      </w:r>
    </w:p>
    <w:p w:rsidR="0099286C" w:rsidRDefault="0099286C" w:rsidP="0099286C">
      <w:pPr>
        <w:ind w:firstLine="720"/>
        <w:jc w:val="both"/>
        <w:rPr>
          <w:rFonts w:cstheme="minorHAnsi"/>
        </w:rPr>
      </w:pPr>
      <w:r>
        <w:t>Finally,</w:t>
      </w:r>
      <w:r w:rsidR="002D748F">
        <w:t xml:space="preserve"> the</w:t>
      </w:r>
      <w:r>
        <w:t xml:space="preserve"> presence of pyrolytic polycyclic aromatic hydrocarbons (PAHs) in the Morrow source rocks revealed that paleo-wildfires were part of the terrestrial ecosystem during Early Pennsylvanian time reveal</w:t>
      </w:r>
      <w:r w:rsidR="00DA5D0A">
        <w:t>ed</w:t>
      </w:r>
      <w:r>
        <w:t xml:space="preserve"> </w:t>
      </w:r>
      <w:r w:rsidR="00DA5D0A">
        <w:t>by</w:t>
      </w:r>
      <w:r>
        <w:t xml:space="preserve"> high concentrations of pyrene, fluoranthene, benzopyrenes, benzofluoranthenes, benzo(a)anthracene, triphenylene, and chrysene in the source rock extracts. </w:t>
      </w:r>
      <w:r w:rsidR="002D748F">
        <w:t>T</w:t>
      </w:r>
      <w:r>
        <w:t xml:space="preserve">he presence of cadalene, </w:t>
      </w:r>
      <w:r>
        <w:rPr>
          <w:rFonts w:cstheme="minorHAnsi"/>
        </w:rPr>
        <w:t>fl</w:t>
      </w:r>
      <w:r w:rsidR="00DA5D0A">
        <w:rPr>
          <w:rFonts w:cstheme="minorHAnsi"/>
        </w:rPr>
        <w:t>uorene and dibenzofuran provide</w:t>
      </w:r>
      <w:r>
        <w:rPr>
          <w:rFonts w:cstheme="minorHAnsi"/>
        </w:rPr>
        <w:t xml:space="preserve"> supporting evidence for the Morrow being a freshwater/brackish water shale deposited under fluvio-deltaic conditions. </w:t>
      </w:r>
    </w:p>
    <w:p w:rsidR="0099286C" w:rsidRDefault="0099286C" w:rsidP="0099286C">
      <w:pPr>
        <w:ind w:firstLine="720"/>
        <w:jc w:val="both"/>
        <w:rPr>
          <w:rFonts w:cstheme="minorHAnsi"/>
        </w:rPr>
      </w:pPr>
    </w:p>
    <w:p w:rsidR="0099286C" w:rsidRDefault="0099286C" w:rsidP="0099286C">
      <w:pPr>
        <w:ind w:firstLine="720"/>
        <w:jc w:val="both"/>
        <w:rPr>
          <w:rFonts w:cstheme="minorHAnsi"/>
        </w:rPr>
      </w:pPr>
    </w:p>
    <w:p w:rsidR="0099286C" w:rsidRDefault="0099286C" w:rsidP="0099286C">
      <w:pPr>
        <w:ind w:firstLine="720"/>
        <w:jc w:val="both"/>
        <w:rPr>
          <w:rFonts w:cstheme="minorHAnsi"/>
        </w:rPr>
      </w:pPr>
    </w:p>
    <w:p w:rsidR="0099286C" w:rsidRDefault="0099286C" w:rsidP="0099286C">
      <w:pPr>
        <w:ind w:firstLine="720"/>
        <w:jc w:val="both"/>
        <w:rPr>
          <w:rFonts w:cstheme="minorHAnsi"/>
        </w:rPr>
      </w:pPr>
    </w:p>
    <w:p w:rsidR="0099286C" w:rsidRDefault="0099286C" w:rsidP="0099286C">
      <w:pPr>
        <w:ind w:firstLine="720"/>
        <w:jc w:val="both"/>
        <w:rPr>
          <w:rFonts w:cstheme="minorHAnsi"/>
        </w:rPr>
      </w:pPr>
    </w:p>
    <w:p w:rsidR="0099286C" w:rsidRDefault="0099286C" w:rsidP="0099286C">
      <w:pPr>
        <w:ind w:firstLine="720"/>
        <w:jc w:val="both"/>
        <w:rPr>
          <w:rFonts w:cstheme="minorHAnsi"/>
        </w:rPr>
      </w:pPr>
    </w:p>
    <w:p w:rsidR="0099286C" w:rsidRDefault="0099286C" w:rsidP="0099286C">
      <w:pPr>
        <w:ind w:firstLine="720"/>
        <w:jc w:val="both"/>
        <w:rPr>
          <w:rFonts w:cstheme="minorHAnsi"/>
        </w:rPr>
      </w:pPr>
    </w:p>
    <w:p w:rsidR="0099286C" w:rsidRDefault="0099286C" w:rsidP="0099286C">
      <w:pPr>
        <w:ind w:firstLine="720"/>
        <w:jc w:val="both"/>
        <w:rPr>
          <w:rFonts w:cstheme="minorHAnsi"/>
        </w:rPr>
      </w:pPr>
    </w:p>
    <w:p w:rsidR="0099286C" w:rsidRDefault="0099286C" w:rsidP="0099286C">
      <w:pPr>
        <w:ind w:firstLine="720"/>
        <w:jc w:val="both"/>
        <w:rPr>
          <w:rFonts w:cstheme="minorHAnsi"/>
        </w:rPr>
      </w:pPr>
    </w:p>
    <w:p w:rsidR="0099286C" w:rsidRDefault="0099286C" w:rsidP="0099286C">
      <w:pPr>
        <w:ind w:firstLine="720"/>
        <w:jc w:val="both"/>
      </w:pPr>
    </w:p>
    <w:p w:rsidR="00C036E5" w:rsidRDefault="00C036E5" w:rsidP="00E1019B">
      <w:pPr>
        <w:pStyle w:val="Balk1"/>
        <w:sectPr w:rsidR="00C036E5" w:rsidSect="009C1DDC">
          <w:footerReference w:type="default" r:id="rId15"/>
          <w:pgSz w:w="12240" w:h="15840" w:code="1"/>
          <w:pgMar w:top="1440" w:right="1440" w:bottom="1440" w:left="2304" w:header="720" w:footer="720" w:gutter="0"/>
          <w:pgNumType w:fmt="lowerRoman" w:start="6"/>
          <w:cols w:space="720"/>
          <w:docGrid w:linePitch="360"/>
        </w:sectPr>
      </w:pPr>
    </w:p>
    <w:p w:rsidR="0099286C" w:rsidRPr="00E0639C" w:rsidRDefault="0099286C" w:rsidP="00E1019B">
      <w:pPr>
        <w:pStyle w:val="Balk1"/>
      </w:pPr>
      <w:bookmarkStart w:id="10" w:name="_Toc507506621"/>
      <w:r w:rsidRPr="00E0639C">
        <w:lastRenderedPageBreak/>
        <w:t>Chapter 1: Introduction</w:t>
      </w:r>
      <w:bookmarkEnd w:id="9"/>
      <w:bookmarkEnd w:id="10"/>
    </w:p>
    <w:p w:rsidR="0099286C" w:rsidRDefault="0099286C" w:rsidP="0099286C">
      <w:pPr>
        <w:ind w:firstLine="720"/>
        <w:jc w:val="both"/>
        <w:rPr>
          <w:szCs w:val="28"/>
        </w:rPr>
      </w:pPr>
      <w:r w:rsidRPr="00FB3C0B">
        <w:rPr>
          <w:szCs w:val="28"/>
        </w:rPr>
        <w:t xml:space="preserve">The Morrow </w:t>
      </w:r>
      <w:r>
        <w:rPr>
          <w:szCs w:val="28"/>
        </w:rPr>
        <w:t>Shale</w:t>
      </w:r>
      <w:r w:rsidRPr="00FB3C0B">
        <w:rPr>
          <w:szCs w:val="28"/>
        </w:rPr>
        <w:t xml:space="preserve"> is a Lower Pennsylvanian shale with discontinuous sandstone reservoirs and thin limestone units. It </w:t>
      </w:r>
      <w:r>
        <w:rPr>
          <w:szCs w:val="28"/>
        </w:rPr>
        <w:t>is a widely distributed</w:t>
      </w:r>
      <w:r w:rsidRPr="00FB3C0B">
        <w:rPr>
          <w:szCs w:val="28"/>
        </w:rPr>
        <w:t xml:space="preserve"> formation</w:t>
      </w:r>
      <w:r>
        <w:rPr>
          <w:szCs w:val="28"/>
        </w:rPr>
        <w:t xml:space="preserve"> deposited within the states </w:t>
      </w:r>
      <w:r w:rsidRPr="00FB3C0B">
        <w:rPr>
          <w:szCs w:val="28"/>
        </w:rPr>
        <w:t xml:space="preserve">of </w:t>
      </w:r>
      <w:r>
        <w:rPr>
          <w:szCs w:val="28"/>
        </w:rPr>
        <w:t xml:space="preserve">Arkansas, Oklahoma, </w:t>
      </w:r>
      <w:r w:rsidRPr="00FB3C0B">
        <w:rPr>
          <w:szCs w:val="28"/>
        </w:rPr>
        <w:t>Texas, Kansas,</w:t>
      </w:r>
      <w:r>
        <w:rPr>
          <w:szCs w:val="28"/>
        </w:rPr>
        <w:t xml:space="preserve"> Colorado, Nebraska, Wyoming and South Dakota (Andrews, 2008). The Morrow Formation has an asymmetric character with over 4000 ft thick sediments in the deep trough of the Anadarko Basin and progressively thinning through the Panhandle with around 300 ft thick sediments (Adler et al., 1971). </w:t>
      </w:r>
      <w:r w:rsidRPr="00FB3C0B">
        <w:rPr>
          <w:szCs w:val="28"/>
        </w:rPr>
        <w:t xml:space="preserve">The Morrow Formation is a basal transgressive genetic sequence of Lower </w:t>
      </w:r>
      <w:r w:rsidRPr="002F3F0A">
        <w:rPr>
          <w:szCs w:val="28"/>
        </w:rPr>
        <w:t>Pennsylvanian time (</w:t>
      </w:r>
      <w:r w:rsidR="00AF691E">
        <w:rPr>
          <w:szCs w:val="28"/>
        </w:rPr>
        <w:t>Higley et al., 2014</w:t>
      </w:r>
      <w:r w:rsidRPr="002F3F0A">
        <w:rPr>
          <w:szCs w:val="28"/>
        </w:rPr>
        <w:t>). It is almost always overlain by the “Thirteen</w:t>
      </w:r>
      <w:r w:rsidRPr="00FB3C0B">
        <w:rPr>
          <w:szCs w:val="28"/>
        </w:rPr>
        <w:t xml:space="preserve"> Finger Limestone” of the Atoka Formation and underlain by</w:t>
      </w:r>
      <w:r>
        <w:rPr>
          <w:szCs w:val="28"/>
        </w:rPr>
        <w:t xml:space="preserve"> the</w:t>
      </w:r>
      <w:r w:rsidRPr="00FB3C0B">
        <w:rPr>
          <w:szCs w:val="28"/>
        </w:rPr>
        <w:t xml:space="preserve"> Springer Formation (Andrews, 1999). However, </w:t>
      </w:r>
      <w:r>
        <w:rPr>
          <w:szCs w:val="28"/>
        </w:rPr>
        <w:t xml:space="preserve">the </w:t>
      </w:r>
      <w:r w:rsidRPr="00FB3C0B">
        <w:rPr>
          <w:szCs w:val="28"/>
        </w:rPr>
        <w:t>Morrow-Springer boundary has always been a controversial issue as it is also considered to be a regional unconformity surface.</w:t>
      </w:r>
    </w:p>
    <w:p w:rsidR="0099286C" w:rsidRDefault="0099286C" w:rsidP="0099286C">
      <w:pPr>
        <w:ind w:firstLine="720"/>
        <w:jc w:val="both"/>
      </w:pPr>
      <w:r>
        <w:rPr>
          <w:szCs w:val="28"/>
        </w:rPr>
        <w:t>The Morrow</w:t>
      </w:r>
      <w:r w:rsidRPr="00FB3C0B">
        <w:rPr>
          <w:szCs w:val="28"/>
        </w:rPr>
        <w:t xml:space="preserve"> </w:t>
      </w:r>
      <w:r>
        <w:rPr>
          <w:szCs w:val="28"/>
        </w:rPr>
        <w:t>Shale is</w:t>
      </w:r>
      <w:r w:rsidRPr="00FB3C0B">
        <w:rPr>
          <w:szCs w:val="28"/>
        </w:rPr>
        <w:t xml:space="preserve"> one of the important source rock units in the Anadarko Basin (Hatch </w:t>
      </w:r>
      <w:r>
        <w:rPr>
          <w:szCs w:val="28"/>
        </w:rPr>
        <w:t>et al.</w:t>
      </w:r>
      <w:r w:rsidRPr="00FB3C0B">
        <w:rPr>
          <w:szCs w:val="28"/>
        </w:rPr>
        <w:t xml:space="preserve">, 1987). Average thickness of </w:t>
      </w:r>
      <w:r w:rsidR="002D748F">
        <w:rPr>
          <w:szCs w:val="28"/>
        </w:rPr>
        <w:t xml:space="preserve">the </w:t>
      </w:r>
      <w:r w:rsidRPr="00FB3C0B">
        <w:rPr>
          <w:szCs w:val="28"/>
        </w:rPr>
        <w:t>Morrow Formation in Oklahoma is about 1500 ft and more than 60 percent of it is composed of shale and mudstone (Wang and Philp, 1997)</w:t>
      </w:r>
      <w:r>
        <w:rPr>
          <w:szCs w:val="28"/>
        </w:rPr>
        <w:t>. The Morrow Shale is mainly characterized with type-III kerogen indicating that it is primarily gas-prone. Higley</w:t>
      </w:r>
      <w:r w:rsidR="00446AB6">
        <w:rPr>
          <w:szCs w:val="28"/>
        </w:rPr>
        <w:t xml:space="preserve"> et al.</w:t>
      </w:r>
      <w:r w:rsidR="002D748F">
        <w:rPr>
          <w:szCs w:val="28"/>
        </w:rPr>
        <w:t xml:space="preserve"> (2014)</w:t>
      </w:r>
      <w:r>
        <w:rPr>
          <w:szCs w:val="28"/>
        </w:rPr>
        <w:t xml:space="preserve"> mentioned </w:t>
      </w:r>
      <w:r w:rsidR="00DA5D0A">
        <w:rPr>
          <w:szCs w:val="28"/>
        </w:rPr>
        <w:t>that, based on an</w:t>
      </w:r>
      <w:r>
        <w:rPr>
          <w:szCs w:val="28"/>
        </w:rPr>
        <w:t xml:space="preserve"> oral communication with Joseph Hatch in 2010, total organic carbon (TOC) values of Morrowan Shales from 14 wells in</w:t>
      </w:r>
      <w:r w:rsidR="002D748F">
        <w:rPr>
          <w:szCs w:val="28"/>
        </w:rPr>
        <w:t xml:space="preserve"> the</w:t>
      </w:r>
      <w:r>
        <w:rPr>
          <w:szCs w:val="28"/>
        </w:rPr>
        <w:t xml:space="preserve"> Anadarko Basin ranged from 0.48 to 10.71 wt. % with average of 1.72 wt. %. Moreover, hydrogen index (HI) values range from 15 to 179 with an average of </w:t>
      </w:r>
      <w:r w:rsidR="00B71DA5">
        <w:rPr>
          <w:szCs w:val="28"/>
        </w:rPr>
        <w:t>46. According to Andrews (1999),</w:t>
      </w:r>
      <w:r>
        <w:rPr>
          <w:szCs w:val="28"/>
        </w:rPr>
        <w:t xml:space="preserve"> the degree of maturation of the Morrow Formation varies with the depth. For instance, vitrinite reflectance value of the samples from</w:t>
      </w:r>
      <w:r w:rsidR="00443370">
        <w:rPr>
          <w:szCs w:val="28"/>
        </w:rPr>
        <w:t xml:space="preserve"> the</w:t>
      </w:r>
      <w:r>
        <w:rPr>
          <w:szCs w:val="28"/>
        </w:rPr>
        <w:t xml:space="preserve"> deeper Anadarko Basin exceeds 2.5% R</w:t>
      </w:r>
      <w:r>
        <w:rPr>
          <w:szCs w:val="28"/>
          <w:vertAlign w:val="subscript"/>
        </w:rPr>
        <w:t xml:space="preserve">0 </w:t>
      </w:r>
      <w:r>
        <w:rPr>
          <w:szCs w:val="28"/>
        </w:rPr>
        <w:t xml:space="preserve">while through northwestern </w:t>
      </w:r>
      <w:r>
        <w:rPr>
          <w:szCs w:val="28"/>
        </w:rPr>
        <w:lastRenderedPageBreak/>
        <w:t>Oklahoma, where the thickness significantly decreases, this value drops to 0.5% R</w:t>
      </w:r>
      <w:r>
        <w:rPr>
          <w:szCs w:val="28"/>
          <w:vertAlign w:val="subscript"/>
        </w:rPr>
        <w:t xml:space="preserve">0 </w:t>
      </w:r>
      <w:r w:rsidRPr="0068013D">
        <w:rPr>
          <w:szCs w:val="28"/>
        </w:rPr>
        <w:t>(Figure</w:t>
      </w:r>
      <w:r>
        <w:rPr>
          <w:szCs w:val="28"/>
        </w:rPr>
        <w:t xml:space="preserve"> 1</w:t>
      </w:r>
      <w:r w:rsidRPr="0068013D">
        <w:rPr>
          <w:szCs w:val="28"/>
        </w:rPr>
        <w:t>)</w:t>
      </w:r>
      <w:r w:rsidRPr="0068013D">
        <w:rPr>
          <w:szCs w:val="28"/>
          <w:vertAlign w:val="subscript"/>
        </w:rPr>
        <w:t>.</w:t>
      </w:r>
    </w:p>
    <w:p w:rsidR="0099286C" w:rsidRDefault="0099286C" w:rsidP="0099286C">
      <w:pPr>
        <w:keepNext/>
        <w:jc w:val="center"/>
      </w:pPr>
      <w:r>
        <w:rPr>
          <w:noProof/>
          <w:szCs w:val="28"/>
          <w:vertAlign w:val="subscript"/>
          <w:lang w:val="tr-TR" w:eastAsia="tr-TR" w:bidi="ar-SA"/>
        </w:rPr>
        <w:drawing>
          <wp:inline distT="0" distB="0" distL="0" distR="0" wp14:anchorId="2FDF1AB4" wp14:editId="1D1039D8">
            <wp:extent cx="5486400" cy="4822622"/>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838" r="2262"/>
                    <a:stretch/>
                  </pic:blipFill>
                  <pic:spPr bwMode="auto">
                    <a:xfrm>
                      <a:off x="0" y="0"/>
                      <a:ext cx="5552963" cy="4881132"/>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9286C" w:rsidRDefault="0099286C" w:rsidP="0099286C">
      <w:pPr>
        <w:pStyle w:val="ResimYazs"/>
        <w:jc w:val="both"/>
      </w:pPr>
      <w:bookmarkStart w:id="11" w:name="_Toc507509049"/>
      <w:r>
        <w:t xml:space="preserve">Figure </w:t>
      </w:r>
      <w:fldSimple w:instr=" SEQ Figure \* ARABIC ">
        <w:r w:rsidR="003F6459">
          <w:rPr>
            <w:noProof/>
          </w:rPr>
          <w:t>1</w:t>
        </w:r>
      </w:fldSimple>
      <w:r>
        <w:t xml:space="preserve">. </w:t>
      </w:r>
      <w:r w:rsidRPr="0068013D">
        <w:rPr>
          <w:b w:val="0"/>
        </w:rPr>
        <w:t>Map showing distribution of v</w:t>
      </w:r>
      <w:r w:rsidR="00AF691E">
        <w:rPr>
          <w:b w:val="0"/>
        </w:rPr>
        <w:t>itrinite reflectance of the Morrow s</w:t>
      </w:r>
      <w:r w:rsidRPr="0068013D">
        <w:rPr>
          <w:b w:val="0"/>
        </w:rPr>
        <w:t>ediments in the Anadarko</w:t>
      </w:r>
      <w:r>
        <w:rPr>
          <w:b w:val="0"/>
        </w:rPr>
        <w:t xml:space="preserve"> Basin. Contour interval is 0.5</w:t>
      </w:r>
      <w:r w:rsidRPr="0068013D">
        <w:rPr>
          <w:b w:val="0"/>
        </w:rPr>
        <w:t>% R</w:t>
      </w:r>
      <w:r>
        <w:rPr>
          <w:b w:val="0"/>
          <w:vertAlign w:val="subscript"/>
        </w:rPr>
        <w:t>0</w:t>
      </w:r>
      <w:r>
        <w:rPr>
          <w:b w:val="0"/>
        </w:rPr>
        <w:t xml:space="preserve"> </w:t>
      </w:r>
      <w:r w:rsidRPr="0068013D">
        <w:rPr>
          <w:b w:val="0"/>
        </w:rPr>
        <w:t>(Modified from Andrews, 1999)</w:t>
      </w:r>
      <w:r>
        <w:rPr>
          <w:b w:val="0"/>
        </w:rPr>
        <w:t>.</w:t>
      </w:r>
      <w:bookmarkEnd w:id="11"/>
    </w:p>
    <w:p w:rsidR="0099286C" w:rsidRDefault="0099286C" w:rsidP="00AF691E">
      <w:pPr>
        <w:spacing w:line="276" w:lineRule="auto"/>
      </w:pPr>
    </w:p>
    <w:p w:rsidR="0099286C" w:rsidRDefault="00AF691E" w:rsidP="0099286C">
      <w:pPr>
        <w:ind w:firstLine="720"/>
        <w:jc w:val="both"/>
        <w:rPr>
          <w:szCs w:val="28"/>
        </w:rPr>
      </w:pPr>
      <w:r>
        <w:rPr>
          <w:szCs w:val="28"/>
        </w:rPr>
        <w:t xml:space="preserve">The </w:t>
      </w:r>
      <w:r w:rsidR="0099286C" w:rsidRPr="00FB3C0B">
        <w:rPr>
          <w:szCs w:val="28"/>
        </w:rPr>
        <w:t>Morrow Sandstones</w:t>
      </w:r>
      <w:r w:rsidR="0099286C">
        <w:rPr>
          <w:szCs w:val="28"/>
        </w:rPr>
        <w:t xml:space="preserve">, </w:t>
      </w:r>
      <w:r w:rsidR="00874C3B">
        <w:rPr>
          <w:szCs w:val="28"/>
        </w:rPr>
        <w:t>alternatively</w:t>
      </w:r>
      <w:r w:rsidR="0099286C">
        <w:rPr>
          <w:szCs w:val="28"/>
        </w:rPr>
        <w:t>,</w:t>
      </w:r>
      <w:r w:rsidR="0099286C" w:rsidRPr="00FB3C0B">
        <w:rPr>
          <w:szCs w:val="28"/>
        </w:rPr>
        <w:t xml:space="preserve"> have been one of the best </w:t>
      </w:r>
      <w:r w:rsidR="0099286C">
        <w:rPr>
          <w:szCs w:val="28"/>
        </w:rPr>
        <w:t xml:space="preserve">conventional </w:t>
      </w:r>
      <w:r w:rsidR="0099286C" w:rsidRPr="00FB3C0B">
        <w:rPr>
          <w:szCs w:val="28"/>
        </w:rPr>
        <w:t>oil and gas reservoirs in the Anadarko Basin since</w:t>
      </w:r>
      <w:r w:rsidR="0099286C">
        <w:rPr>
          <w:szCs w:val="28"/>
        </w:rPr>
        <w:t xml:space="preserve"> the</w:t>
      </w:r>
      <w:r w:rsidR="0099286C" w:rsidRPr="00FB3C0B">
        <w:rPr>
          <w:szCs w:val="28"/>
        </w:rPr>
        <w:t xml:space="preserve"> 1950s. </w:t>
      </w:r>
      <w:r w:rsidR="0099286C">
        <w:rPr>
          <w:szCs w:val="28"/>
        </w:rPr>
        <w:t xml:space="preserve">These sandstones produce the highest </w:t>
      </w:r>
      <w:r w:rsidR="00DA5D0A">
        <w:rPr>
          <w:szCs w:val="28"/>
        </w:rPr>
        <w:t xml:space="preserve">amount of </w:t>
      </w:r>
      <w:r w:rsidR="0099286C">
        <w:rPr>
          <w:szCs w:val="28"/>
        </w:rPr>
        <w:t xml:space="preserve">oil and gas among the Chesterian through Atokan Series (Mitchell, 2012). Hydrocarbon production is commonly sustained from numerous sandstone bodies within the formation. Cumulative oil and gas production from 14,000 Morrow wells in </w:t>
      </w:r>
      <w:r w:rsidR="002D748F">
        <w:rPr>
          <w:szCs w:val="28"/>
        </w:rPr>
        <w:t xml:space="preserve">the </w:t>
      </w:r>
      <w:r w:rsidR="0099286C" w:rsidRPr="00B85D46">
        <w:rPr>
          <w:szCs w:val="28"/>
        </w:rPr>
        <w:t xml:space="preserve">Oklahoma and </w:t>
      </w:r>
      <w:r w:rsidR="002D748F">
        <w:rPr>
          <w:szCs w:val="28"/>
        </w:rPr>
        <w:t xml:space="preserve">the </w:t>
      </w:r>
      <w:r w:rsidR="0099286C" w:rsidRPr="00B85D46">
        <w:rPr>
          <w:szCs w:val="28"/>
        </w:rPr>
        <w:t xml:space="preserve">Texas Panhandle is 550 million barrels of oil (MMBO) and 23 </w:t>
      </w:r>
      <w:r w:rsidR="0099286C" w:rsidRPr="00B85D46">
        <w:rPr>
          <w:szCs w:val="28"/>
        </w:rPr>
        <w:lastRenderedPageBreak/>
        <w:t xml:space="preserve">trillion cubic feet of gas (TCFG), respectively (Andrews, 2008). Moreover, </w:t>
      </w:r>
      <w:r w:rsidR="0099286C">
        <w:rPr>
          <w:szCs w:val="28"/>
        </w:rPr>
        <w:t>Andrews, (2008) mentioned that</w:t>
      </w:r>
      <w:r w:rsidR="002D748F">
        <w:rPr>
          <w:szCs w:val="28"/>
        </w:rPr>
        <w:t xml:space="preserve"> the</w:t>
      </w:r>
      <w:r w:rsidR="0099286C">
        <w:rPr>
          <w:szCs w:val="28"/>
        </w:rPr>
        <w:t xml:space="preserve"> lower </w:t>
      </w:r>
      <w:r w:rsidR="0099286C" w:rsidRPr="00B85D46">
        <w:rPr>
          <w:szCs w:val="28"/>
        </w:rPr>
        <w:t xml:space="preserve">Morrow Sandstones has exceptional </w:t>
      </w:r>
      <w:r w:rsidR="0099286C">
        <w:rPr>
          <w:szCs w:val="28"/>
        </w:rPr>
        <w:t>per-</w:t>
      </w:r>
      <w:r w:rsidR="0099286C" w:rsidRPr="00B85D46">
        <w:rPr>
          <w:szCs w:val="28"/>
        </w:rPr>
        <w:t xml:space="preserve">well </w:t>
      </w:r>
      <w:r w:rsidR="0099286C">
        <w:rPr>
          <w:szCs w:val="28"/>
        </w:rPr>
        <w:t xml:space="preserve">basis </w:t>
      </w:r>
      <w:r w:rsidR="0099286C" w:rsidRPr="00B85D46">
        <w:rPr>
          <w:szCs w:val="28"/>
        </w:rPr>
        <w:t>performance numbers of oil and gas production with 39 thousand barrels of oil (MBO) and 1,643 million cubic feet of gas (MMCFG),</w:t>
      </w:r>
      <w:r w:rsidR="0099286C">
        <w:rPr>
          <w:szCs w:val="28"/>
        </w:rPr>
        <w:t xml:space="preserve"> respective</w:t>
      </w:r>
      <w:r w:rsidR="007D216C">
        <w:rPr>
          <w:szCs w:val="28"/>
        </w:rPr>
        <w:t xml:space="preserve">ly in the deeper Anadarko Basin. </w:t>
      </w:r>
      <w:r w:rsidR="0099286C">
        <w:rPr>
          <w:szCs w:val="28"/>
        </w:rPr>
        <w:t xml:space="preserve">According to Information </w:t>
      </w:r>
      <w:r w:rsidR="0099286C" w:rsidRPr="004A5C0A">
        <w:rPr>
          <w:szCs w:val="28"/>
        </w:rPr>
        <w:t xml:space="preserve">Handling Services (IHS) production data files for </w:t>
      </w:r>
      <w:r w:rsidR="0099286C">
        <w:rPr>
          <w:szCs w:val="28"/>
        </w:rPr>
        <w:t>the Anadarko Basin,</w:t>
      </w:r>
      <w:r w:rsidR="0099286C" w:rsidRPr="004A5C0A">
        <w:rPr>
          <w:szCs w:val="28"/>
        </w:rPr>
        <w:t xml:space="preserve"> </w:t>
      </w:r>
      <w:r w:rsidR="002D748F">
        <w:rPr>
          <w:szCs w:val="28"/>
        </w:rPr>
        <w:t xml:space="preserve">the </w:t>
      </w:r>
      <w:r w:rsidR="0099286C" w:rsidRPr="004A5C0A">
        <w:rPr>
          <w:szCs w:val="28"/>
        </w:rPr>
        <w:t>percentage</w:t>
      </w:r>
      <w:r w:rsidR="002D748F">
        <w:rPr>
          <w:szCs w:val="28"/>
        </w:rPr>
        <w:t xml:space="preserve"> of</w:t>
      </w:r>
      <w:r w:rsidR="0099286C">
        <w:rPr>
          <w:szCs w:val="28"/>
        </w:rPr>
        <w:t xml:space="preserve"> </w:t>
      </w:r>
      <w:r w:rsidR="0099286C" w:rsidRPr="00FB3C0B">
        <w:rPr>
          <w:szCs w:val="28"/>
        </w:rPr>
        <w:t xml:space="preserve">cumulative </w:t>
      </w:r>
      <w:r w:rsidR="0099286C">
        <w:rPr>
          <w:szCs w:val="28"/>
        </w:rPr>
        <w:t xml:space="preserve">gas and oil productions are 21% </w:t>
      </w:r>
      <w:r w:rsidR="0099286C" w:rsidRPr="00FB3C0B">
        <w:rPr>
          <w:szCs w:val="28"/>
        </w:rPr>
        <w:t xml:space="preserve">and </w:t>
      </w:r>
      <w:r w:rsidR="0099286C">
        <w:rPr>
          <w:szCs w:val="28"/>
        </w:rPr>
        <w:t>17</w:t>
      </w:r>
      <w:r w:rsidR="0099286C" w:rsidRPr="001E2839">
        <w:rPr>
          <w:szCs w:val="28"/>
        </w:rPr>
        <w:t>% among the other formations in the Anadarko</w:t>
      </w:r>
      <w:r w:rsidR="0099286C">
        <w:rPr>
          <w:szCs w:val="28"/>
        </w:rPr>
        <w:t xml:space="preserve"> Basin</w:t>
      </w:r>
      <w:r w:rsidR="0099286C" w:rsidRPr="00FB3C0B">
        <w:rPr>
          <w:szCs w:val="28"/>
        </w:rPr>
        <w:t xml:space="preserve"> (Mitchell, 2012)</w:t>
      </w:r>
      <w:r w:rsidR="0099286C">
        <w:rPr>
          <w:szCs w:val="28"/>
        </w:rPr>
        <w:t xml:space="preserve"> which makes it a very important conventional hydrocarbon reservoir</w:t>
      </w:r>
      <w:r w:rsidR="0099286C" w:rsidRPr="00FB3C0B">
        <w:rPr>
          <w:szCs w:val="28"/>
        </w:rPr>
        <w:t xml:space="preserve">. </w:t>
      </w:r>
    </w:p>
    <w:p w:rsidR="00AF691E" w:rsidRDefault="0099286C" w:rsidP="00AF691E">
      <w:pPr>
        <w:ind w:firstLine="720"/>
        <w:jc w:val="both"/>
        <w:rPr>
          <w:bCs/>
          <w:szCs w:val="32"/>
        </w:rPr>
      </w:pPr>
      <w:r>
        <w:rPr>
          <w:szCs w:val="28"/>
        </w:rPr>
        <w:t>There is very</w:t>
      </w:r>
      <w:r w:rsidRPr="00FB3C0B">
        <w:rPr>
          <w:szCs w:val="28"/>
        </w:rPr>
        <w:t xml:space="preserve"> limited </w:t>
      </w:r>
      <w:r>
        <w:rPr>
          <w:szCs w:val="28"/>
        </w:rPr>
        <w:t xml:space="preserve">organic </w:t>
      </w:r>
      <w:r w:rsidRPr="00FB3C0B">
        <w:rPr>
          <w:szCs w:val="28"/>
        </w:rPr>
        <w:t xml:space="preserve">geochemical information </w:t>
      </w:r>
      <w:r>
        <w:rPr>
          <w:szCs w:val="28"/>
        </w:rPr>
        <w:t xml:space="preserve">in publicly available literature </w:t>
      </w:r>
      <w:r w:rsidRPr="00FB3C0B">
        <w:rPr>
          <w:szCs w:val="28"/>
        </w:rPr>
        <w:t>about</w:t>
      </w:r>
      <w:r>
        <w:rPr>
          <w:szCs w:val="28"/>
        </w:rPr>
        <w:t xml:space="preserve"> the</w:t>
      </w:r>
      <w:r w:rsidRPr="00FB3C0B">
        <w:rPr>
          <w:szCs w:val="28"/>
        </w:rPr>
        <w:t xml:space="preserve"> Morrow Formation</w:t>
      </w:r>
      <w:r>
        <w:rPr>
          <w:szCs w:val="28"/>
        </w:rPr>
        <w:t xml:space="preserve"> </w:t>
      </w:r>
      <w:r w:rsidRPr="00FB3C0B">
        <w:rPr>
          <w:szCs w:val="28"/>
        </w:rPr>
        <w:t xml:space="preserve">in </w:t>
      </w:r>
      <w:r w:rsidR="002D748F">
        <w:rPr>
          <w:szCs w:val="28"/>
        </w:rPr>
        <w:t xml:space="preserve">the </w:t>
      </w:r>
      <w:r>
        <w:rPr>
          <w:szCs w:val="28"/>
        </w:rPr>
        <w:t xml:space="preserve">Anadarko Basin. </w:t>
      </w:r>
      <w:r w:rsidRPr="00FB3C0B">
        <w:rPr>
          <w:szCs w:val="28"/>
        </w:rPr>
        <w:t xml:space="preserve">One of the main reasons </w:t>
      </w:r>
      <w:r>
        <w:rPr>
          <w:szCs w:val="28"/>
        </w:rPr>
        <w:t>for this</w:t>
      </w:r>
      <w:r w:rsidRPr="00FB3C0B">
        <w:rPr>
          <w:szCs w:val="28"/>
        </w:rPr>
        <w:t xml:space="preserve"> is the formation in the study area does not </w:t>
      </w:r>
      <w:r>
        <w:rPr>
          <w:szCs w:val="28"/>
        </w:rPr>
        <w:t>outcrop</w:t>
      </w:r>
      <w:r w:rsidRPr="00FB3C0B">
        <w:rPr>
          <w:szCs w:val="28"/>
        </w:rPr>
        <w:t xml:space="preserve"> (Andrews, 1999)</w:t>
      </w:r>
      <w:r>
        <w:rPr>
          <w:szCs w:val="28"/>
        </w:rPr>
        <w:t>. Most of the drilling activity has been carried out</w:t>
      </w:r>
      <w:r w:rsidRPr="00FB3C0B">
        <w:rPr>
          <w:szCs w:val="28"/>
        </w:rPr>
        <w:t xml:space="preserve"> by private oil companies </w:t>
      </w:r>
      <w:r>
        <w:rPr>
          <w:szCs w:val="28"/>
        </w:rPr>
        <w:t>who are unlikely to supply their results and interpretations</w:t>
      </w:r>
      <w:r w:rsidRPr="00FB3C0B">
        <w:rPr>
          <w:szCs w:val="28"/>
        </w:rPr>
        <w:t xml:space="preserve"> </w:t>
      </w:r>
      <w:r>
        <w:rPr>
          <w:szCs w:val="28"/>
        </w:rPr>
        <w:t>with</w:t>
      </w:r>
      <w:r w:rsidRPr="00FB3C0B">
        <w:rPr>
          <w:szCs w:val="28"/>
        </w:rPr>
        <w:t xml:space="preserve"> </w:t>
      </w:r>
      <w:r>
        <w:rPr>
          <w:szCs w:val="28"/>
        </w:rPr>
        <w:t>others. The present study provides a detailed</w:t>
      </w:r>
      <w:r w:rsidRPr="00FB3C0B">
        <w:rPr>
          <w:szCs w:val="28"/>
        </w:rPr>
        <w:t xml:space="preserve"> geochemical analysis of the Morrow </w:t>
      </w:r>
      <w:r>
        <w:rPr>
          <w:szCs w:val="28"/>
        </w:rPr>
        <w:t>Shale</w:t>
      </w:r>
      <w:r w:rsidRPr="00FB3C0B">
        <w:rPr>
          <w:szCs w:val="28"/>
        </w:rPr>
        <w:t xml:space="preserve"> within the Anadarko Basin</w:t>
      </w:r>
      <w:r>
        <w:rPr>
          <w:szCs w:val="28"/>
        </w:rPr>
        <w:t xml:space="preserve">. </w:t>
      </w:r>
      <w:r w:rsidRPr="00FB3C0B">
        <w:rPr>
          <w:szCs w:val="28"/>
        </w:rPr>
        <w:t xml:space="preserve">The characterization </w:t>
      </w:r>
      <w:r>
        <w:rPr>
          <w:szCs w:val="28"/>
        </w:rPr>
        <w:t xml:space="preserve">is carried out by using </w:t>
      </w:r>
      <w:r w:rsidRPr="00FB3C0B">
        <w:rPr>
          <w:szCs w:val="28"/>
        </w:rPr>
        <w:t xml:space="preserve">bulk geochemical </w:t>
      </w:r>
      <w:r>
        <w:rPr>
          <w:szCs w:val="28"/>
        </w:rPr>
        <w:t xml:space="preserve">data and biomarker information produced from the Morrow source rocks. The core samples used in this study were gathered from different locations of the Anadarko Basin and analyzed by using GC, GC-MS, GCMS-MS and Rock-Eval pyrolysis. </w:t>
      </w:r>
      <w:r w:rsidRPr="00FB3C0B">
        <w:rPr>
          <w:szCs w:val="28"/>
        </w:rPr>
        <w:t>The purpose of this study</w:t>
      </w:r>
      <w:r w:rsidR="00E1019B">
        <w:rPr>
          <w:szCs w:val="28"/>
        </w:rPr>
        <w:t xml:space="preserve"> i</w:t>
      </w:r>
      <w:r>
        <w:rPr>
          <w:szCs w:val="28"/>
        </w:rPr>
        <w:t>s</w:t>
      </w:r>
      <w:r w:rsidRPr="00FB3C0B">
        <w:rPr>
          <w:szCs w:val="28"/>
        </w:rPr>
        <w:t xml:space="preserve"> to carry out </w:t>
      </w:r>
      <w:r>
        <w:rPr>
          <w:szCs w:val="28"/>
        </w:rPr>
        <w:t xml:space="preserve">a </w:t>
      </w:r>
      <w:r w:rsidRPr="00FB3C0B">
        <w:rPr>
          <w:szCs w:val="28"/>
        </w:rPr>
        <w:t xml:space="preserve">comprehensive geochemical analysis of the Morrow Formation within the Anadarko Basin and to </w:t>
      </w:r>
      <w:r w:rsidR="00DA5D0A">
        <w:rPr>
          <w:szCs w:val="28"/>
        </w:rPr>
        <w:t>undertake a</w:t>
      </w:r>
      <w:r w:rsidRPr="00FB3C0B">
        <w:rPr>
          <w:szCs w:val="28"/>
        </w:rPr>
        <w:t xml:space="preserve"> regional geochemical ch</w:t>
      </w:r>
      <w:r>
        <w:rPr>
          <w:szCs w:val="28"/>
        </w:rPr>
        <w:t>aracterization of the formation</w:t>
      </w:r>
      <w:r w:rsidR="00C036E5">
        <w:rPr>
          <w:szCs w:val="28"/>
        </w:rPr>
        <w:t xml:space="preserve"> by use of bulk geochemical parameters, such as TOC and Rock Eval pyrolysis, and biomarker data.</w:t>
      </w:r>
      <w:r>
        <w:rPr>
          <w:szCs w:val="28"/>
        </w:rPr>
        <w:t xml:space="preserve"> </w:t>
      </w:r>
      <w:r>
        <w:rPr>
          <w:bCs/>
          <w:szCs w:val="32"/>
        </w:rPr>
        <w:t>A s</w:t>
      </w:r>
      <w:r w:rsidRPr="00FB3C0B">
        <w:rPr>
          <w:bCs/>
          <w:szCs w:val="32"/>
        </w:rPr>
        <w:t xml:space="preserve">econdary objective of this study is to </w:t>
      </w:r>
      <w:r>
        <w:rPr>
          <w:bCs/>
          <w:szCs w:val="32"/>
        </w:rPr>
        <w:t xml:space="preserve">discuss the possible origin </w:t>
      </w:r>
      <w:r w:rsidRPr="00FB3C0B">
        <w:rPr>
          <w:bCs/>
          <w:szCs w:val="32"/>
        </w:rPr>
        <w:t>of oleanane</w:t>
      </w:r>
      <w:r>
        <w:rPr>
          <w:bCs/>
          <w:szCs w:val="32"/>
        </w:rPr>
        <w:t xml:space="preserve"> and some </w:t>
      </w:r>
      <w:r w:rsidRPr="00CB0BB7">
        <w:rPr>
          <w:bCs/>
          <w:szCs w:val="32"/>
        </w:rPr>
        <w:t>of the demethylated hopane derivatives in the Morrow Shale.</w:t>
      </w:r>
    </w:p>
    <w:p w:rsidR="0099286C" w:rsidRDefault="0099286C" w:rsidP="00E1019B">
      <w:pPr>
        <w:pStyle w:val="Balk1"/>
      </w:pPr>
      <w:bookmarkStart w:id="12" w:name="_Toc507506622"/>
      <w:r>
        <w:lastRenderedPageBreak/>
        <w:t>Chapter 2: Geological Background</w:t>
      </w:r>
      <w:bookmarkEnd w:id="12"/>
    </w:p>
    <w:p w:rsidR="0099286C" w:rsidRDefault="0099286C" w:rsidP="000776CE">
      <w:pPr>
        <w:pStyle w:val="Balk2"/>
      </w:pPr>
      <w:bookmarkStart w:id="13" w:name="_Toc507506623"/>
      <w:r>
        <w:t>2.1 Geologic History of the Anadarko Basin</w:t>
      </w:r>
      <w:bookmarkEnd w:id="13"/>
    </w:p>
    <w:p w:rsidR="0099286C" w:rsidRDefault="0099286C" w:rsidP="0099286C">
      <w:pPr>
        <w:ind w:firstLine="720"/>
        <w:jc w:val="both"/>
        <w:rPr>
          <w:szCs w:val="28"/>
        </w:rPr>
      </w:pPr>
      <w:r w:rsidRPr="00FB3C0B">
        <w:rPr>
          <w:szCs w:val="28"/>
        </w:rPr>
        <w:t xml:space="preserve">The asymmetric </w:t>
      </w:r>
      <w:r>
        <w:rPr>
          <w:szCs w:val="28"/>
        </w:rPr>
        <w:t xml:space="preserve">shaped </w:t>
      </w:r>
      <w:r w:rsidRPr="00FB3C0B">
        <w:rPr>
          <w:szCs w:val="28"/>
        </w:rPr>
        <w:t>Anadarko Basin</w:t>
      </w:r>
      <w:r w:rsidR="00CF57F1">
        <w:rPr>
          <w:szCs w:val="28"/>
        </w:rPr>
        <w:t xml:space="preserve">, </w:t>
      </w:r>
      <w:r w:rsidRPr="00FB3C0B">
        <w:rPr>
          <w:szCs w:val="28"/>
        </w:rPr>
        <w:t xml:space="preserve">located </w:t>
      </w:r>
      <w:r>
        <w:rPr>
          <w:szCs w:val="28"/>
        </w:rPr>
        <w:t>in</w:t>
      </w:r>
      <w:r w:rsidRPr="00FB3C0B">
        <w:rPr>
          <w:szCs w:val="28"/>
        </w:rPr>
        <w:t xml:space="preserve"> the southern M</w:t>
      </w:r>
      <w:r>
        <w:rPr>
          <w:szCs w:val="28"/>
        </w:rPr>
        <w:t>idcontinent</w:t>
      </w:r>
      <w:r w:rsidR="00CF57F1">
        <w:rPr>
          <w:szCs w:val="28"/>
        </w:rPr>
        <w:t>,</w:t>
      </w:r>
      <w:r w:rsidR="00E1019B">
        <w:rPr>
          <w:szCs w:val="28"/>
        </w:rPr>
        <w:t xml:space="preserve"> </w:t>
      </w:r>
      <w:r w:rsidRPr="00FB3C0B">
        <w:rPr>
          <w:szCs w:val="28"/>
        </w:rPr>
        <w:t>is the deepest interior cratonic basin within North America</w:t>
      </w:r>
      <w:r w:rsidR="002D748F">
        <w:rPr>
          <w:szCs w:val="28"/>
        </w:rPr>
        <w:t>,</w:t>
      </w:r>
      <w:r w:rsidRPr="00FB3C0B">
        <w:rPr>
          <w:szCs w:val="28"/>
        </w:rPr>
        <w:t xml:space="preserve"> with almost 40</w:t>
      </w:r>
      <w:r>
        <w:rPr>
          <w:szCs w:val="28"/>
        </w:rPr>
        <w:t>,</w:t>
      </w:r>
      <w:r w:rsidRPr="00FB3C0B">
        <w:rPr>
          <w:szCs w:val="28"/>
        </w:rPr>
        <w:t xml:space="preserve">000 ft </w:t>
      </w:r>
      <w:r>
        <w:rPr>
          <w:szCs w:val="28"/>
        </w:rPr>
        <w:t>thick</w:t>
      </w:r>
      <w:r w:rsidRPr="00FB3C0B">
        <w:rPr>
          <w:szCs w:val="28"/>
        </w:rPr>
        <w:t xml:space="preserve"> Paleozoic sedimentary rocks</w:t>
      </w:r>
      <w:r>
        <w:rPr>
          <w:szCs w:val="28"/>
        </w:rPr>
        <w:t xml:space="preserve"> overlying </w:t>
      </w:r>
      <w:r w:rsidRPr="00FB3C0B">
        <w:rPr>
          <w:szCs w:val="28"/>
        </w:rPr>
        <w:t>20</w:t>
      </w:r>
      <w:r>
        <w:rPr>
          <w:szCs w:val="28"/>
        </w:rPr>
        <w:t>,</w:t>
      </w:r>
      <w:r w:rsidRPr="00FB3C0B">
        <w:rPr>
          <w:szCs w:val="28"/>
        </w:rPr>
        <w:t xml:space="preserve">000 ft thick Cambrian igneous rocks </w:t>
      </w:r>
      <w:r>
        <w:rPr>
          <w:szCs w:val="28"/>
        </w:rPr>
        <w:t xml:space="preserve">at the southern margin of the basin </w:t>
      </w:r>
      <w:r w:rsidRPr="00FB3C0B">
        <w:rPr>
          <w:szCs w:val="28"/>
        </w:rPr>
        <w:t xml:space="preserve">(Johnson, 1989). </w:t>
      </w:r>
      <w:r>
        <w:rPr>
          <w:szCs w:val="28"/>
        </w:rPr>
        <w:t xml:space="preserve">The </w:t>
      </w:r>
      <w:r w:rsidRPr="00FB3C0B">
        <w:rPr>
          <w:szCs w:val="28"/>
        </w:rPr>
        <w:t>Anadarko Basin is bounded by major uplifts such as Wichita and Amarillo Uplift on the South, Arbuckle Uplift on the Southeast, Nemaha Uplift on the East, Central Kansas Uplift on the North and Cimarron and Las Animas Arch to the West (Ball et al., 1991</w:t>
      </w:r>
      <w:r>
        <w:rPr>
          <w:szCs w:val="28"/>
        </w:rPr>
        <w:t xml:space="preserve">; </w:t>
      </w:r>
      <w:r w:rsidRPr="006C4B27">
        <w:rPr>
          <w:szCs w:val="28"/>
        </w:rPr>
        <w:t>Figure</w:t>
      </w:r>
      <w:r>
        <w:rPr>
          <w:szCs w:val="28"/>
        </w:rPr>
        <w:t xml:space="preserve"> 2</w:t>
      </w:r>
      <w:r w:rsidRPr="00FB3C0B">
        <w:rPr>
          <w:szCs w:val="28"/>
        </w:rPr>
        <w:t xml:space="preserve">). The basin strikes Northwest-Southeast and is structurally deepest at its southern margin (Garner and Turcotte, 1984). Moderately dipping reverse faults truncate the basin at the South and </w:t>
      </w:r>
      <w:r w:rsidR="00E1019B">
        <w:rPr>
          <w:szCs w:val="28"/>
        </w:rPr>
        <w:t>shifted</w:t>
      </w:r>
      <w:r w:rsidRPr="00FB3C0B">
        <w:rPr>
          <w:szCs w:val="28"/>
        </w:rPr>
        <w:t xml:space="preserve"> crystalline igneous rocks of the Wichita Mountains over Paleozoic sedimentary rocks (Garner and Turcotte, 1984)</w:t>
      </w:r>
      <w:r>
        <w:rPr>
          <w:szCs w:val="28"/>
        </w:rPr>
        <w:t xml:space="preserve">. </w:t>
      </w:r>
    </w:p>
    <w:p w:rsidR="0099286C" w:rsidRPr="00910CFA" w:rsidRDefault="0099286C" w:rsidP="0099286C">
      <w:pPr>
        <w:ind w:firstLine="720"/>
        <w:jc w:val="both"/>
        <w:rPr>
          <w:szCs w:val="28"/>
        </w:rPr>
      </w:pPr>
      <w:r>
        <w:rPr>
          <w:szCs w:val="28"/>
        </w:rPr>
        <w:t xml:space="preserve">The </w:t>
      </w:r>
      <w:r w:rsidRPr="00FB3C0B">
        <w:rPr>
          <w:szCs w:val="28"/>
        </w:rPr>
        <w:t>Anadarko Basin has a complex depositional history. The evolution of the Anadarko Basin has been divided into four main phases by most people studying tectonic and structural events of the basin through</w:t>
      </w:r>
      <w:r>
        <w:rPr>
          <w:szCs w:val="28"/>
        </w:rPr>
        <w:t xml:space="preserve"> its</w:t>
      </w:r>
      <w:r w:rsidRPr="00FB3C0B">
        <w:rPr>
          <w:szCs w:val="28"/>
        </w:rPr>
        <w:t xml:space="preserve"> geological history. Johnson (1989), summarized these four stages as follows: (1) </w:t>
      </w:r>
      <w:r>
        <w:rPr>
          <w:szCs w:val="28"/>
        </w:rPr>
        <w:t xml:space="preserve">The </w:t>
      </w:r>
      <w:r w:rsidRPr="00FB3C0B">
        <w:rPr>
          <w:szCs w:val="28"/>
        </w:rPr>
        <w:t xml:space="preserve">Precambrian to Middle Cambrian crustal consolidation during which </w:t>
      </w:r>
      <w:r>
        <w:rPr>
          <w:szCs w:val="28"/>
        </w:rPr>
        <w:t xml:space="preserve">excessive igneous activity took place in the region. During this period, </w:t>
      </w:r>
      <w:r w:rsidRPr="00FB3C0B">
        <w:rPr>
          <w:szCs w:val="28"/>
        </w:rPr>
        <w:t xml:space="preserve">igneous rocks </w:t>
      </w:r>
      <w:r>
        <w:rPr>
          <w:szCs w:val="28"/>
        </w:rPr>
        <w:t>intruded</w:t>
      </w:r>
      <w:r w:rsidRPr="00FB3C0B">
        <w:rPr>
          <w:szCs w:val="28"/>
        </w:rPr>
        <w:t xml:space="preserve"> </w:t>
      </w:r>
      <w:r>
        <w:rPr>
          <w:szCs w:val="28"/>
        </w:rPr>
        <w:t>in the</w:t>
      </w:r>
      <w:r w:rsidRPr="00FB3C0B">
        <w:rPr>
          <w:szCs w:val="28"/>
        </w:rPr>
        <w:t xml:space="preserve"> Wichita Uplift area, and </w:t>
      </w:r>
      <w:r>
        <w:rPr>
          <w:szCs w:val="28"/>
        </w:rPr>
        <w:t>formed the</w:t>
      </w:r>
      <w:r w:rsidRPr="00FB3C0B">
        <w:rPr>
          <w:szCs w:val="28"/>
        </w:rPr>
        <w:t xml:space="preserve"> basement rocks of </w:t>
      </w:r>
      <w:r>
        <w:rPr>
          <w:szCs w:val="28"/>
        </w:rPr>
        <w:t>today’s southern margin of the</w:t>
      </w:r>
      <w:r w:rsidRPr="00FB3C0B">
        <w:rPr>
          <w:szCs w:val="28"/>
        </w:rPr>
        <w:t xml:space="preserve"> Anadarko Basin. (2) </w:t>
      </w:r>
      <w:r>
        <w:rPr>
          <w:szCs w:val="28"/>
        </w:rPr>
        <w:t xml:space="preserve">The </w:t>
      </w:r>
      <w:r w:rsidRPr="00FB3C0B">
        <w:rPr>
          <w:szCs w:val="28"/>
        </w:rPr>
        <w:t xml:space="preserve">Late Cambrian to Mississippian early epeirogenic </w:t>
      </w:r>
      <w:r>
        <w:rPr>
          <w:szCs w:val="28"/>
        </w:rPr>
        <w:t xml:space="preserve">uplift </w:t>
      </w:r>
      <w:r w:rsidRPr="00FB3C0B">
        <w:rPr>
          <w:szCs w:val="28"/>
        </w:rPr>
        <w:t xml:space="preserve">phase </w:t>
      </w:r>
      <w:r>
        <w:rPr>
          <w:szCs w:val="28"/>
        </w:rPr>
        <w:t>during which</w:t>
      </w:r>
      <w:r w:rsidRPr="00FB3C0B">
        <w:rPr>
          <w:szCs w:val="28"/>
        </w:rPr>
        <w:t xml:space="preserve"> thick, shallow marine sedimentary deposition </w:t>
      </w:r>
      <w:r>
        <w:rPr>
          <w:szCs w:val="28"/>
        </w:rPr>
        <w:t xml:space="preserve">occurred in a broad epicontinental sea </w:t>
      </w:r>
      <w:r w:rsidRPr="00FB3C0B">
        <w:rPr>
          <w:szCs w:val="28"/>
        </w:rPr>
        <w:t xml:space="preserve">in the Oklahoma Basin. (3) </w:t>
      </w:r>
      <w:r>
        <w:rPr>
          <w:szCs w:val="28"/>
        </w:rPr>
        <w:t xml:space="preserve">The </w:t>
      </w:r>
      <w:r w:rsidRPr="00FB3C0B">
        <w:rPr>
          <w:szCs w:val="28"/>
        </w:rPr>
        <w:t>Pennsylvanian</w:t>
      </w:r>
      <w:r>
        <w:rPr>
          <w:szCs w:val="28"/>
        </w:rPr>
        <w:t xml:space="preserve"> period is the third stage during which breakthrough changes occurred </w:t>
      </w:r>
      <w:r>
        <w:rPr>
          <w:szCs w:val="28"/>
        </w:rPr>
        <w:lastRenderedPageBreak/>
        <w:t>in the Anadarko Basin.</w:t>
      </w:r>
      <w:r w:rsidRPr="00FB3C0B">
        <w:rPr>
          <w:szCs w:val="28"/>
        </w:rPr>
        <w:t xml:space="preserve"> </w:t>
      </w:r>
      <w:r>
        <w:rPr>
          <w:szCs w:val="28"/>
        </w:rPr>
        <w:t>During the Pennsylvanian epei</w:t>
      </w:r>
      <w:r w:rsidRPr="00FB3C0B">
        <w:rPr>
          <w:szCs w:val="28"/>
        </w:rPr>
        <w:t>rogeny</w:t>
      </w:r>
      <w:r>
        <w:rPr>
          <w:szCs w:val="28"/>
        </w:rPr>
        <w:t>,</w:t>
      </w:r>
      <w:r w:rsidRPr="00FB3C0B">
        <w:rPr>
          <w:szCs w:val="28"/>
        </w:rPr>
        <w:t xml:space="preserve"> </w:t>
      </w:r>
      <w:r>
        <w:rPr>
          <w:szCs w:val="28"/>
        </w:rPr>
        <w:t xml:space="preserve">a </w:t>
      </w:r>
      <w:r w:rsidRPr="00FB3C0B">
        <w:rPr>
          <w:szCs w:val="28"/>
        </w:rPr>
        <w:t xml:space="preserve">series of major uplifts </w:t>
      </w:r>
      <w:r w:rsidRPr="004A5C0A">
        <w:rPr>
          <w:szCs w:val="28"/>
        </w:rPr>
        <w:t>created smaller basins that were formed as a result of breakup of the Oklahoma Basin.</w:t>
      </w:r>
      <w:r w:rsidRPr="00FB3C0B">
        <w:rPr>
          <w:szCs w:val="28"/>
        </w:rPr>
        <w:t xml:space="preserve"> </w:t>
      </w:r>
      <w:r>
        <w:rPr>
          <w:szCs w:val="28"/>
        </w:rPr>
        <w:t xml:space="preserve">The </w:t>
      </w:r>
      <w:r w:rsidRPr="00FB3C0B">
        <w:rPr>
          <w:szCs w:val="28"/>
        </w:rPr>
        <w:t>Anadarko Basin</w:t>
      </w:r>
      <w:r>
        <w:rPr>
          <w:szCs w:val="28"/>
        </w:rPr>
        <w:t xml:space="preserve"> was formed during this episode. </w:t>
      </w:r>
      <w:r w:rsidRPr="00FB3C0B">
        <w:rPr>
          <w:szCs w:val="28"/>
        </w:rPr>
        <w:t>(4)</w:t>
      </w:r>
      <w:r>
        <w:rPr>
          <w:szCs w:val="28"/>
        </w:rPr>
        <w:t xml:space="preserve"> The</w:t>
      </w:r>
      <w:r w:rsidRPr="00FB3C0B">
        <w:rPr>
          <w:szCs w:val="28"/>
        </w:rPr>
        <w:t xml:space="preserve"> Permian through Holocene includes</w:t>
      </w:r>
      <w:r>
        <w:rPr>
          <w:szCs w:val="28"/>
        </w:rPr>
        <w:t xml:space="preserve"> a</w:t>
      </w:r>
      <w:r w:rsidRPr="00FB3C0B">
        <w:rPr>
          <w:szCs w:val="28"/>
        </w:rPr>
        <w:t xml:space="preserve"> late epeirogenic stage during which</w:t>
      </w:r>
      <w:r>
        <w:rPr>
          <w:szCs w:val="28"/>
        </w:rPr>
        <w:t xml:space="preserve"> the</w:t>
      </w:r>
      <w:r w:rsidRPr="00FB3C0B">
        <w:rPr>
          <w:szCs w:val="28"/>
        </w:rPr>
        <w:t xml:space="preserve"> basin </w:t>
      </w:r>
      <w:r>
        <w:rPr>
          <w:szCs w:val="28"/>
        </w:rPr>
        <w:t>was</w:t>
      </w:r>
      <w:r w:rsidRPr="00FB3C0B">
        <w:rPr>
          <w:szCs w:val="28"/>
        </w:rPr>
        <w:t xml:space="preserve"> filled with Permian red beds, evaporites and carbonates and it </w:t>
      </w:r>
      <w:r>
        <w:rPr>
          <w:szCs w:val="28"/>
        </w:rPr>
        <w:t>wa</w:t>
      </w:r>
      <w:r w:rsidRPr="00FB3C0B">
        <w:rPr>
          <w:szCs w:val="28"/>
        </w:rPr>
        <w:t>s subsequently followed by deposition of thin Post-Permian strata across the Anadarko Basin.</w:t>
      </w:r>
    </w:p>
    <w:p w:rsidR="0099286C" w:rsidRDefault="0099286C" w:rsidP="0099286C">
      <w:pPr>
        <w:keepNext/>
        <w:jc w:val="center"/>
      </w:pPr>
      <w:r w:rsidRPr="00FB3C0B">
        <w:rPr>
          <w:noProof/>
          <w:szCs w:val="28"/>
          <w:lang w:val="tr-TR" w:eastAsia="tr-TR" w:bidi="ar-SA"/>
        </w:rPr>
        <w:drawing>
          <wp:inline distT="0" distB="0" distL="0" distR="0" wp14:anchorId="1287CDC4" wp14:editId="7EED97D0">
            <wp:extent cx="3730752" cy="2866127"/>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76574" cy="2901330"/>
                    </a:xfrm>
                    <a:prstGeom prst="rect">
                      <a:avLst/>
                    </a:prstGeom>
                  </pic:spPr>
                </pic:pic>
              </a:graphicData>
            </a:graphic>
          </wp:inline>
        </w:drawing>
      </w:r>
    </w:p>
    <w:p w:rsidR="0099286C" w:rsidRDefault="0099286C" w:rsidP="0084487F">
      <w:pPr>
        <w:pStyle w:val="ResimYazs"/>
        <w:jc w:val="center"/>
        <w:rPr>
          <w:b w:val="0"/>
        </w:rPr>
      </w:pPr>
      <w:bookmarkStart w:id="14" w:name="_Toc507509050"/>
      <w:r>
        <w:t xml:space="preserve">Figure </w:t>
      </w:r>
      <w:fldSimple w:instr=" SEQ Figure \* ARABIC ">
        <w:r w:rsidR="003F6459">
          <w:rPr>
            <w:noProof/>
          </w:rPr>
          <w:t>2</w:t>
        </w:r>
      </w:fldSimple>
      <w:r>
        <w:t xml:space="preserve">. </w:t>
      </w:r>
      <w:r w:rsidRPr="0068013D">
        <w:rPr>
          <w:b w:val="0"/>
        </w:rPr>
        <w:t xml:space="preserve">Location Map of </w:t>
      </w:r>
      <w:r w:rsidR="00443370">
        <w:rPr>
          <w:b w:val="0"/>
        </w:rPr>
        <w:t xml:space="preserve">the </w:t>
      </w:r>
      <w:r w:rsidRPr="0068013D">
        <w:rPr>
          <w:b w:val="0"/>
        </w:rPr>
        <w:t>Anadarko Basin (Modified after Johnson 1989)</w:t>
      </w:r>
      <w:bookmarkEnd w:id="14"/>
    </w:p>
    <w:p w:rsidR="0099286C" w:rsidRDefault="0099286C" w:rsidP="00347CAD">
      <w:pPr>
        <w:spacing w:line="276" w:lineRule="auto"/>
      </w:pPr>
    </w:p>
    <w:p w:rsidR="0099286C" w:rsidRDefault="0099286C" w:rsidP="0099286C">
      <w:pPr>
        <w:ind w:firstLine="720"/>
        <w:jc w:val="both"/>
        <w:rPr>
          <w:szCs w:val="28"/>
        </w:rPr>
      </w:pPr>
      <w:r>
        <w:rPr>
          <w:szCs w:val="28"/>
        </w:rPr>
        <w:t xml:space="preserve">The </w:t>
      </w:r>
      <w:r w:rsidRPr="00FB3C0B">
        <w:rPr>
          <w:szCs w:val="28"/>
        </w:rPr>
        <w:t>Anadarko Basin is located within</w:t>
      </w:r>
      <w:r>
        <w:rPr>
          <w:szCs w:val="28"/>
        </w:rPr>
        <w:t xml:space="preserve"> the</w:t>
      </w:r>
      <w:r w:rsidRPr="00FB3C0B">
        <w:rPr>
          <w:szCs w:val="28"/>
        </w:rPr>
        <w:t xml:space="preserve"> southwestern part of</w:t>
      </w:r>
      <w:r w:rsidR="002D748F">
        <w:rPr>
          <w:szCs w:val="28"/>
        </w:rPr>
        <w:t xml:space="preserve"> the</w:t>
      </w:r>
      <w:r w:rsidRPr="00FB3C0B">
        <w:rPr>
          <w:szCs w:val="28"/>
        </w:rPr>
        <w:t xml:space="preserve"> Southern Oklahoma Aulacogen (SOA) which is a Northwest-trending failed rift arm of a Cambrian triple junction (Buckey, 2012). Major structures associated with SOA are</w:t>
      </w:r>
      <w:r>
        <w:rPr>
          <w:szCs w:val="28"/>
        </w:rPr>
        <w:t xml:space="preserve"> the</w:t>
      </w:r>
      <w:r w:rsidRPr="00FB3C0B">
        <w:rPr>
          <w:szCs w:val="28"/>
        </w:rPr>
        <w:t xml:space="preserve"> Wichita-Amarillo Uplift, </w:t>
      </w:r>
      <w:r>
        <w:rPr>
          <w:szCs w:val="28"/>
        </w:rPr>
        <w:t xml:space="preserve">the </w:t>
      </w:r>
      <w:r w:rsidRPr="00FB3C0B">
        <w:rPr>
          <w:szCs w:val="28"/>
        </w:rPr>
        <w:t xml:space="preserve">Arbuckle Uplift and </w:t>
      </w:r>
      <w:r>
        <w:rPr>
          <w:szCs w:val="28"/>
        </w:rPr>
        <w:t xml:space="preserve">the </w:t>
      </w:r>
      <w:r w:rsidRPr="00FB3C0B">
        <w:rPr>
          <w:szCs w:val="28"/>
        </w:rPr>
        <w:t>Anadarko Basin (Buckey, 2012). The SOA was initiated in</w:t>
      </w:r>
      <w:r>
        <w:rPr>
          <w:szCs w:val="28"/>
        </w:rPr>
        <w:t xml:space="preserve"> the</w:t>
      </w:r>
      <w:r w:rsidRPr="00FB3C0B">
        <w:rPr>
          <w:szCs w:val="28"/>
        </w:rPr>
        <w:t xml:space="preserve"> latest Precambrian to earliest Cambrian time as a result of the opening of the an</w:t>
      </w:r>
      <w:r>
        <w:rPr>
          <w:szCs w:val="28"/>
        </w:rPr>
        <w:t>cestral Atlantic. This period was</w:t>
      </w:r>
      <w:r w:rsidRPr="00FB3C0B">
        <w:rPr>
          <w:szCs w:val="28"/>
        </w:rPr>
        <w:t xml:space="preserve"> marked by </w:t>
      </w:r>
      <w:r>
        <w:rPr>
          <w:szCs w:val="28"/>
        </w:rPr>
        <w:t xml:space="preserve">extensive </w:t>
      </w:r>
      <w:r w:rsidRPr="00FB3C0B">
        <w:rPr>
          <w:szCs w:val="28"/>
        </w:rPr>
        <w:t xml:space="preserve">igneous </w:t>
      </w:r>
      <w:r>
        <w:rPr>
          <w:szCs w:val="28"/>
        </w:rPr>
        <w:t>emplacement</w:t>
      </w:r>
      <w:r w:rsidRPr="00FB3C0B">
        <w:rPr>
          <w:szCs w:val="28"/>
        </w:rPr>
        <w:t xml:space="preserve"> and deposition of thousands of feet </w:t>
      </w:r>
      <w:r>
        <w:rPr>
          <w:szCs w:val="28"/>
        </w:rPr>
        <w:t>thick volcanic and metamorphic</w:t>
      </w:r>
      <w:r w:rsidRPr="00FB3C0B">
        <w:rPr>
          <w:szCs w:val="28"/>
        </w:rPr>
        <w:t xml:space="preserve"> rocks </w:t>
      </w:r>
      <w:r w:rsidRPr="00EF652F">
        <w:rPr>
          <w:szCs w:val="28"/>
        </w:rPr>
        <w:t>about 1.4 billion years ago (Feinstein, 1981; Johnson, 1989). These rocks form the</w:t>
      </w:r>
      <w:r>
        <w:rPr>
          <w:szCs w:val="28"/>
        </w:rPr>
        <w:t xml:space="preserve"> basement of the </w:t>
      </w:r>
      <w:r>
        <w:rPr>
          <w:szCs w:val="28"/>
        </w:rPr>
        <w:lastRenderedPageBreak/>
        <w:t xml:space="preserve">Anadarko Basin and underlie a thick sedimentary succession of Paleozoic </w:t>
      </w:r>
      <w:r w:rsidR="00E1019B">
        <w:rPr>
          <w:szCs w:val="28"/>
        </w:rPr>
        <w:t>strata</w:t>
      </w:r>
      <w:r>
        <w:rPr>
          <w:szCs w:val="28"/>
        </w:rPr>
        <w:t>. The Reagan sandstone, which is composed of gravel and sand grains that were eroded from the igneous basement</w:t>
      </w:r>
      <w:r w:rsidRPr="00993481">
        <w:rPr>
          <w:szCs w:val="28"/>
        </w:rPr>
        <w:t>, overlies the igneous basement</w:t>
      </w:r>
      <w:r>
        <w:rPr>
          <w:szCs w:val="28"/>
        </w:rPr>
        <w:t xml:space="preserve"> in the Anadarko Basin </w:t>
      </w:r>
      <w:r w:rsidRPr="00FB3C0B">
        <w:rPr>
          <w:szCs w:val="28"/>
        </w:rPr>
        <w:t xml:space="preserve">(Feinstein, </w:t>
      </w:r>
      <w:r w:rsidRPr="004A5C0A">
        <w:rPr>
          <w:szCs w:val="28"/>
        </w:rPr>
        <w:t xml:space="preserve">1981). </w:t>
      </w:r>
      <w:r>
        <w:rPr>
          <w:szCs w:val="28"/>
        </w:rPr>
        <w:t xml:space="preserve">The </w:t>
      </w:r>
      <w:r w:rsidRPr="004A5C0A">
        <w:rPr>
          <w:szCs w:val="28"/>
        </w:rPr>
        <w:t xml:space="preserve">Reagan sandstone is overlain by </w:t>
      </w:r>
      <w:r w:rsidR="002D748F">
        <w:rPr>
          <w:szCs w:val="28"/>
        </w:rPr>
        <w:t xml:space="preserve">the </w:t>
      </w:r>
      <w:r w:rsidRPr="004A5C0A">
        <w:rPr>
          <w:szCs w:val="28"/>
        </w:rPr>
        <w:t>Arbuckle group which is predominantly a</w:t>
      </w:r>
      <w:r>
        <w:rPr>
          <w:szCs w:val="28"/>
        </w:rPr>
        <w:t xml:space="preserve"> </w:t>
      </w:r>
      <w:r w:rsidRPr="00FB3C0B">
        <w:rPr>
          <w:szCs w:val="28"/>
        </w:rPr>
        <w:t xml:space="preserve">carbonate </w:t>
      </w:r>
      <w:r>
        <w:rPr>
          <w:szCs w:val="28"/>
        </w:rPr>
        <w:t xml:space="preserve">and dolomite </w:t>
      </w:r>
      <w:r w:rsidRPr="00FB3C0B">
        <w:rPr>
          <w:szCs w:val="28"/>
        </w:rPr>
        <w:t>section</w:t>
      </w:r>
      <w:r>
        <w:rPr>
          <w:szCs w:val="28"/>
        </w:rPr>
        <w:t xml:space="preserve"> deposited in a shallow marine depositional environment</w:t>
      </w:r>
      <w:r w:rsidRPr="00FB3C0B">
        <w:rPr>
          <w:szCs w:val="28"/>
        </w:rPr>
        <w:t xml:space="preserve"> (Tsiris, 1983).</w:t>
      </w:r>
      <w:r>
        <w:rPr>
          <w:szCs w:val="28"/>
        </w:rPr>
        <w:t xml:space="preserve"> The d</w:t>
      </w:r>
      <w:r w:rsidRPr="00FB3C0B">
        <w:rPr>
          <w:szCs w:val="28"/>
        </w:rPr>
        <w:t xml:space="preserve">epositional environment drastically changed </w:t>
      </w:r>
      <w:r>
        <w:rPr>
          <w:szCs w:val="28"/>
        </w:rPr>
        <w:t>during the middle to upper Ordovician which resulted in excessive clastic sedimentary rock deposition</w:t>
      </w:r>
      <w:r w:rsidRPr="00FB3C0B">
        <w:rPr>
          <w:szCs w:val="28"/>
        </w:rPr>
        <w:t xml:space="preserve"> </w:t>
      </w:r>
      <w:r>
        <w:rPr>
          <w:szCs w:val="28"/>
        </w:rPr>
        <w:t xml:space="preserve">in the trough. These clastics are </w:t>
      </w:r>
      <w:r w:rsidRPr="00FB3C0B">
        <w:rPr>
          <w:szCs w:val="28"/>
        </w:rPr>
        <w:t xml:space="preserve">represented </w:t>
      </w:r>
      <w:r>
        <w:rPr>
          <w:szCs w:val="28"/>
        </w:rPr>
        <w:t>as the</w:t>
      </w:r>
      <w:r w:rsidRPr="00FB3C0B">
        <w:rPr>
          <w:szCs w:val="28"/>
        </w:rPr>
        <w:t xml:space="preserve"> Simpson Group (Tsiris, 1983).  Formation of </w:t>
      </w:r>
      <w:r w:rsidR="002D748F">
        <w:rPr>
          <w:szCs w:val="28"/>
        </w:rPr>
        <w:t xml:space="preserve">the </w:t>
      </w:r>
      <w:r w:rsidRPr="00FB3C0B">
        <w:rPr>
          <w:szCs w:val="28"/>
        </w:rPr>
        <w:t xml:space="preserve">Simpson Group was followed by </w:t>
      </w:r>
      <w:r w:rsidR="00E1019B">
        <w:rPr>
          <w:szCs w:val="28"/>
        </w:rPr>
        <w:t xml:space="preserve">deposition of the </w:t>
      </w:r>
      <w:r w:rsidRPr="00FB3C0B">
        <w:rPr>
          <w:szCs w:val="28"/>
        </w:rPr>
        <w:t>Viola Limestone, Sylvan Shale, Hunton Group and Woodford Shale (Johnson, 1989). During Mississippian time, the Oklahoma trough was reactivated and as a result, more than 5500 ft thick</w:t>
      </w:r>
      <w:r>
        <w:rPr>
          <w:szCs w:val="28"/>
        </w:rPr>
        <w:t xml:space="preserve"> of</w:t>
      </w:r>
      <w:r w:rsidRPr="00FB3C0B">
        <w:rPr>
          <w:szCs w:val="28"/>
        </w:rPr>
        <w:t xml:space="preserve"> black shale was deposited in the deeper parts of the aulacogen (Tsiris, 1983).  </w:t>
      </w:r>
      <w:r>
        <w:rPr>
          <w:szCs w:val="28"/>
        </w:rPr>
        <w:t xml:space="preserve">The stratigraphic column of the Anadarko Basin is shown in </w:t>
      </w:r>
      <w:r w:rsidRPr="006C4B27">
        <w:rPr>
          <w:szCs w:val="28"/>
        </w:rPr>
        <w:t xml:space="preserve">Figure </w:t>
      </w:r>
      <w:r>
        <w:rPr>
          <w:szCs w:val="28"/>
        </w:rPr>
        <w:t>3</w:t>
      </w:r>
      <w:r w:rsidRPr="006C4B27">
        <w:rPr>
          <w:szCs w:val="28"/>
        </w:rPr>
        <w:t>.</w:t>
      </w:r>
    </w:p>
    <w:p w:rsidR="0099286C" w:rsidRDefault="0099286C" w:rsidP="0099286C">
      <w:pPr>
        <w:ind w:firstLine="720"/>
        <w:jc w:val="both"/>
        <w:rPr>
          <w:szCs w:val="28"/>
        </w:rPr>
      </w:pPr>
      <w:r>
        <w:rPr>
          <w:szCs w:val="28"/>
        </w:rPr>
        <w:t xml:space="preserve">The </w:t>
      </w:r>
      <w:r w:rsidRPr="00FB3C0B">
        <w:rPr>
          <w:szCs w:val="28"/>
        </w:rPr>
        <w:t>Pennsylvanian period was marked by major changes in the Anadarko Basin (Johnson, 1989). The North American Plate collided with</w:t>
      </w:r>
      <w:r>
        <w:rPr>
          <w:szCs w:val="28"/>
        </w:rPr>
        <w:t xml:space="preserve"> the</w:t>
      </w:r>
      <w:r w:rsidRPr="00FB3C0B">
        <w:rPr>
          <w:szCs w:val="28"/>
        </w:rPr>
        <w:t xml:space="preserve"> Gondwana Plate along </w:t>
      </w:r>
      <w:r>
        <w:rPr>
          <w:szCs w:val="28"/>
        </w:rPr>
        <w:t xml:space="preserve">the </w:t>
      </w:r>
      <w:r w:rsidRPr="00FB3C0B">
        <w:rPr>
          <w:szCs w:val="28"/>
        </w:rPr>
        <w:t>Ouachita trough</w:t>
      </w:r>
      <w:r>
        <w:rPr>
          <w:szCs w:val="28"/>
        </w:rPr>
        <w:t xml:space="preserve"> and</w:t>
      </w:r>
      <w:r w:rsidRPr="00FB3C0B">
        <w:rPr>
          <w:szCs w:val="28"/>
        </w:rPr>
        <w:t xml:space="preserve"> resulted in </w:t>
      </w:r>
      <w:r>
        <w:rPr>
          <w:szCs w:val="28"/>
        </w:rPr>
        <w:t>a change of</w:t>
      </w:r>
      <w:r w:rsidRPr="00FB3C0B">
        <w:rPr>
          <w:szCs w:val="28"/>
        </w:rPr>
        <w:t xml:space="preserve"> the tectonic style of the basin from extension to compression (Wang and Philp, 1997). Intense tectonism resulted in</w:t>
      </w:r>
      <w:r w:rsidR="00E1019B">
        <w:rPr>
          <w:szCs w:val="28"/>
        </w:rPr>
        <w:t xml:space="preserve"> the</w:t>
      </w:r>
      <w:r w:rsidRPr="00FB3C0B">
        <w:rPr>
          <w:szCs w:val="28"/>
        </w:rPr>
        <w:t xml:space="preserve"> formation of </w:t>
      </w:r>
      <w:r w:rsidR="00E1019B">
        <w:rPr>
          <w:szCs w:val="28"/>
        </w:rPr>
        <w:t xml:space="preserve">a </w:t>
      </w:r>
      <w:r w:rsidRPr="00FB3C0B">
        <w:rPr>
          <w:szCs w:val="28"/>
        </w:rPr>
        <w:t>series of</w:t>
      </w:r>
      <w:r>
        <w:rPr>
          <w:szCs w:val="28"/>
        </w:rPr>
        <w:t xml:space="preserve"> </w:t>
      </w:r>
      <w:r w:rsidRPr="00FB3C0B">
        <w:rPr>
          <w:szCs w:val="28"/>
        </w:rPr>
        <w:t>horsts and grabens in the region and they divided</w:t>
      </w:r>
      <w:r>
        <w:rPr>
          <w:szCs w:val="28"/>
        </w:rPr>
        <w:t xml:space="preserve"> the</w:t>
      </w:r>
      <w:r w:rsidRPr="00FB3C0B">
        <w:rPr>
          <w:szCs w:val="28"/>
        </w:rPr>
        <w:t xml:space="preserve"> Anadarko Basin into several</w:t>
      </w:r>
      <w:r>
        <w:rPr>
          <w:szCs w:val="28"/>
        </w:rPr>
        <w:t xml:space="preserve"> smaller basins. The </w:t>
      </w:r>
      <w:r w:rsidRPr="00FB3C0B">
        <w:rPr>
          <w:szCs w:val="28"/>
        </w:rPr>
        <w:t>Amarillo-Wichita Mountain</w:t>
      </w:r>
      <w:r>
        <w:rPr>
          <w:szCs w:val="28"/>
        </w:rPr>
        <w:t>s</w:t>
      </w:r>
      <w:r w:rsidRPr="00FB3C0B">
        <w:rPr>
          <w:szCs w:val="28"/>
        </w:rPr>
        <w:t xml:space="preserve"> </w:t>
      </w:r>
      <w:r>
        <w:rPr>
          <w:szCs w:val="28"/>
        </w:rPr>
        <w:t xml:space="preserve">were uplifted during this period, </w:t>
      </w:r>
      <w:r w:rsidRPr="00FB3C0B">
        <w:rPr>
          <w:szCs w:val="28"/>
        </w:rPr>
        <w:t>and at the North of this uplift, thick Pennsylvanian sediments were deposited as a re</w:t>
      </w:r>
      <w:r w:rsidR="00DA5D0A">
        <w:rPr>
          <w:szCs w:val="28"/>
        </w:rPr>
        <w:t>sult of the high subsidence and</w:t>
      </w:r>
      <w:r>
        <w:rPr>
          <w:szCs w:val="28"/>
        </w:rPr>
        <w:t xml:space="preserve"> </w:t>
      </w:r>
      <w:r w:rsidRPr="00FB3C0B">
        <w:rPr>
          <w:szCs w:val="28"/>
        </w:rPr>
        <w:t>sedimentation rate (Wang and Philp, 1997</w:t>
      </w:r>
      <w:r>
        <w:rPr>
          <w:szCs w:val="28"/>
        </w:rPr>
        <w:t>; Figure 4)</w:t>
      </w:r>
      <w:r w:rsidRPr="00FB3C0B">
        <w:rPr>
          <w:szCs w:val="28"/>
        </w:rPr>
        <w:t>. Donovan et al.</w:t>
      </w:r>
      <w:r w:rsidR="00347CAD" w:rsidRPr="00347CAD">
        <w:rPr>
          <w:szCs w:val="28"/>
        </w:rPr>
        <w:t xml:space="preserve"> </w:t>
      </w:r>
      <w:r w:rsidR="00347CAD" w:rsidRPr="00FB3C0B">
        <w:rPr>
          <w:szCs w:val="28"/>
        </w:rPr>
        <w:t>(1983)</w:t>
      </w:r>
      <w:r w:rsidR="00347CAD" w:rsidRPr="00D82358">
        <w:rPr>
          <w:szCs w:val="28"/>
        </w:rPr>
        <w:t xml:space="preserve"> </w:t>
      </w:r>
      <w:r w:rsidR="00347CAD" w:rsidRPr="00FB3C0B">
        <w:rPr>
          <w:szCs w:val="28"/>
        </w:rPr>
        <w:t xml:space="preserve">proposed that </w:t>
      </w:r>
      <w:r w:rsidR="00347CAD">
        <w:rPr>
          <w:szCs w:val="28"/>
        </w:rPr>
        <w:t xml:space="preserve">the </w:t>
      </w:r>
      <w:r w:rsidR="00347CAD" w:rsidRPr="00FB3C0B">
        <w:rPr>
          <w:szCs w:val="28"/>
        </w:rPr>
        <w:t>sedimentation rate during Pennsylvanian was as high as 3000 ft</w:t>
      </w:r>
      <w:r>
        <w:rPr>
          <w:szCs w:val="28"/>
        </w:rPr>
        <w:t>.</w:t>
      </w:r>
      <w:r w:rsidRPr="00FB3C0B">
        <w:rPr>
          <w:szCs w:val="28"/>
        </w:rPr>
        <w:t xml:space="preserve"> per million years in the Ouachita Mountain area. </w:t>
      </w:r>
    </w:p>
    <w:p w:rsidR="0099286C" w:rsidRDefault="0099286C" w:rsidP="0099286C">
      <w:pPr>
        <w:keepNext/>
        <w:jc w:val="center"/>
      </w:pPr>
      <w:r>
        <w:rPr>
          <w:noProof/>
          <w:szCs w:val="28"/>
          <w:lang w:val="tr-TR" w:eastAsia="tr-TR" w:bidi="ar-SA"/>
        </w:rPr>
        <w:lastRenderedPageBreak/>
        <w:drawing>
          <wp:inline distT="0" distB="0" distL="0" distR="0" wp14:anchorId="7BE60EEE" wp14:editId="43D7B0C7">
            <wp:extent cx="2887320" cy="5353972"/>
            <wp:effectExtent l="0" t="0" r="889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4485" cy="5422887"/>
                    </a:xfrm>
                    <a:prstGeom prst="rect">
                      <a:avLst/>
                    </a:prstGeom>
                    <a:noFill/>
                    <a:ln>
                      <a:noFill/>
                    </a:ln>
                  </pic:spPr>
                </pic:pic>
              </a:graphicData>
            </a:graphic>
          </wp:inline>
        </w:drawing>
      </w:r>
    </w:p>
    <w:p w:rsidR="0099286C" w:rsidRPr="00EF652F" w:rsidRDefault="0099286C" w:rsidP="0099286C">
      <w:pPr>
        <w:pStyle w:val="ResimYazs"/>
        <w:jc w:val="both"/>
      </w:pPr>
      <w:bookmarkStart w:id="15" w:name="_Toc507509051"/>
      <w:r>
        <w:t xml:space="preserve">Figure </w:t>
      </w:r>
      <w:fldSimple w:instr=" SEQ Figure \* ARABIC ">
        <w:r w:rsidR="003F6459">
          <w:rPr>
            <w:noProof/>
          </w:rPr>
          <w:t>3</w:t>
        </w:r>
      </w:fldSimple>
      <w:r>
        <w:t xml:space="preserve">. </w:t>
      </w:r>
      <w:r w:rsidRPr="004717BD">
        <w:rPr>
          <w:b w:val="0"/>
        </w:rPr>
        <w:t>Stratigraphic column of the Anadarko basin (Thicknesses of formations are not to scale</w:t>
      </w:r>
      <w:r>
        <w:rPr>
          <w:b w:val="0"/>
        </w:rPr>
        <w:t>;</w:t>
      </w:r>
      <w:r w:rsidR="00B71DA5">
        <w:rPr>
          <w:b w:val="0"/>
        </w:rPr>
        <w:t xml:space="preserve"> </w:t>
      </w:r>
      <w:r w:rsidRPr="004717BD">
        <w:rPr>
          <w:b w:val="0"/>
        </w:rPr>
        <w:t>Wang and Philp, 1997)</w:t>
      </w:r>
      <w:bookmarkEnd w:id="15"/>
    </w:p>
    <w:p w:rsidR="0099286C" w:rsidRDefault="0099286C" w:rsidP="00347CAD">
      <w:pPr>
        <w:spacing w:line="276" w:lineRule="auto"/>
        <w:jc w:val="both"/>
      </w:pPr>
    </w:p>
    <w:p w:rsidR="000145F0" w:rsidRDefault="0099286C" w:rsidP="000145F0">
      <w:pPr>
        <w:ind w:firstLine="720"/>
        <w:jc w:val="both"/>
        <w:rPr>
          <w:szCs w:val="28"/>
        </w:rPr>
      </w:pPr>
      <w:r>
        <w:rPr>
          <w:szCs w:val="28"/>
        </w:rPr>
        <w:t xml:space="preserve">Epirogenic movement in the basin continued during the Permian through Holocene. </w:t>
      </w:r>
      <w:r w:rsidRPr="00FB3C0B">
        <w:rPr>
          <w:szCs w:val="28"/>
        </w:rPr>
        <w:t xml:space="preserve"> During this period, red beds, </w:t>
      </w:r>
      <w:r>
        <w:rPr>
          <w:szCs w:val="28"/>
        </w:rPr>
        <w:t>carbonates and evaporites</w:t>
      </w:r>
      <w:r w:rsidRPr="00FB3C0B">
        <w:rPr>
          <w:szCs w:val="28"/>
        </w:rPr>
        <w:t xml:space="preserve"> were depo</w:t>
      </w:r>
      <w:r w:rsidR="00347CAD">
        <w:rPr>
          <w:szCs w:val="28"/>
        </w:rPr>
        <w:t xml:space="preserve">sited in the </w:t>
      </w:r>
      <w:r>
        <w:rPr>
          <w:szCs w:val="28"/>
        </w:rPr>
        <w:t>Anadarko Basin. M</w:t>
      </w:r>
      <w:r w:rsidRPr="00FB3C0B">
        <w:rPr>
          <w:szCs w:val="28"/>
        </w:rPr>
        <w:t xml:space="preserve">ost of the post-Permian deposits were eroded </w:t>
      </w:r>
      <w:r>
        <w:rPr>
          <w:szCs w:val="28"/>
        </w:rPr>
        <w:t xml:space="preserve">from the Rocky Mountains Uplift and deposited </w:t>
      </w:r>
      <w:r w:rsidRPr="00FB3C0B">
        <w:rPr>
          <w:szCs w:val="28"/>
        </w:rPr>
        <w:t xml:space="preserve">in the </w:t>
      </w:r>
      <w:r>
        <w:rPr>
          <w:szCs w:val="28"/>
        </w:rPr>
        <w:t>basin</w:t>
      </w:r>
      <w:r w:rsidRPr="00FB3C0B">
        <w:rPr>
          <w:szCs w:val="28"/>
        </w:rPr>
        <w:t xml:space="preserve"> (</w:t>
      </w:r>
      <w:r>
        <w:rPr>
          <w:szCs w:val="28"/>
        </w:rPr>
        <w:t xml:space="preserve">Johnson, 1989; </w:t>
      </w:r>
      <w:r w:rsidRPr="00FB3C0B">
        <w:rPr>
          <w:szCs w:val="28"/>
        </w:rPr>
        <w:t>Wang and Philp, 1997).</w:t>
      </w:r>
      <w:r>
        <w:rPr>
          <w:szCs w:val="28"/>
        </w:rPr>
        <w:t xml:space="preserve"> The Anadarko Basin became tectonically inactive by the end of </w:t>
      </w:r>
      <w:r w:rsidR="002D748F">
        <w:rPr>
          <w:szCs w:val="28"/>
        </w:rPr>
        <w:t xml:space="preserve">the </w:t>
      </w:r>
      <w:r>
        <w:rPr>
          <w:szCs w:val="28"/>
        </w:rPr>
        <w:t>Permian</w:t>
      </w:r>
      <w:r w:rsidR="00E1019B">
        <w:rPr>
          <w:szCs w:val="28"/>
        </w:rPr>
        <w:t xml:space="preserve"> time</w:t>
      </w:r>
      <w:r>
        <w:rPr>
          <w:szCs w:val="28"/>
        </w:rPr>
        <w:t xml:space="preserve"> and preserved its configuration since that time (</w:t>
      </w:r>
      <w:r w:rsidRPr="00FB3C0B">
        <w:rPr>
          <w:szCs w:val="28"/>
        </w:rPr>
        <w:t>Tsiris, 1983</w:t>
      </w:r>
      <w:r>
        <w:rPr>
          <w:szCs w:val="28"/>
        </w:rPr>
        <w:t>).</w:t>
      </w:r>
    </w:p>
    <w:p w:rsidR="000145F0" w:rsidRDefault="000145F0" w:rsidP="000145F0">
      <w:pPr>
        <w:jc w:val="both"/>
        <w:rPr>
          <w:szCs w:val="28"/>
        </w:rPr>
      </w:pPr>
      <w:r w:rsidRPr="00DF0E4E">
        <w:rPr>
          <w:noProof/>
          <w:lang w:val="tr-TR" w:eastAsia="tr-TR" w:bidi="ar-SA"/>
        </w:rPr>
        <w:lastRenderedPageBreak/>
        <w:drawing>
          <wp:anchor distT="0" distB="0" distL="114300" distR="114300" simplePos="0" relativeHeight="251740160" behindDoc="1" locked="0" layoutInCell="1" allowOverlap="1" wp14:anchorId="151D81C2" wp14:editId="2807BED4">
            <wp:simplePos x="0" y="0"/>
            <wp:positionH relativeFrom="margin">
              <wp:align>left</wp:align>
            </wp:positionH>
            <wp:positionV relativeFrom="paragraph">
              <wp:posOffset>1562100</wp:posOffset>
            </wp:positionV>
            <wp:extent cx="8181340" cy="5109210"/>
            <wp:effectExtent l="12065" t="26035" r="22225" b="22225"/>
            <wp:wrapTopAndBottom/>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8181340" cy="510921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noProof/>
          <w:lang w:val="tr-TR" w:eastAsia="tr-TR" w:bidi="ar-SA"/>
        </w:rPr>
        <mc:AlternateContent>
          <mc:Choice Requires="wps">
            <w:drawing>
              <wp:anchor distT="0" distB="0" distL="114300" distR="114300" simplePos="0" relativeHeight="251742208" behindDoc="0" locked="0" layoutInCell="1" allowOverlap="1" wp14:anchorId="665DB987" wp14:editId="34A351FA">
                <wp:simplePos x="0" y="0"/>
                <wp:positionH relativeFrom="margin">
                  <wp:align>right</wp:align>
                </wp:positionH>
                <wp:positionV relativeFrom="paragraph">
                  <wp:posOffset>4010660</wp:posOffset>
                </wp:positionV>
                <wp:extent cx="8214360" cy="210820"/>
                <wp:effectExtent l="1270" t="0" r="0" b="0"/>
                <wp:wrapTopAndBottom/>
                <wp:docPr id="8" name="Metin Kutusu 8"/>
                <wp:cNvGraphicFramePr/>
                <a:graphic xmlns:a="http://schemas.openxmlformats.org/drawingml/2006/main">
                  <a:graphicData uri="http://schemas.microsoft.com/office/word/2010/wordprocessingShape">
                    <wps:wsp>
                      <wps:cNvSpPr txBox="1"/>
                      <wps:spPr>
                        <a:xfrm rot="16200000">
                          <a:off x="0" y="0"/>
                          <a:ext cx="8214360" cy="210820"/>
                        </a:xfrm>
                        <a:prstGeom prst="rect">
                          <a:avLst/>
                        </a:prstGeom>
                        <a:solidFill>
                          <a:prstClr val="white"/>
                        </a:solidFill>
                        <a:ln>
                          <a:noFill/>
                        </a:ln>
                        <a:effectLst/>
                      </wps:spPr>
                      <wps:txbx>
                        <w:txbxContent>
                          <w:p w:rsidR="008875B3" w:rsidRPr="000145F0" w:rsidRDefault="008875B3" w:rsidP="000145F0">
                            <w:pPr>
                              <w:pStyle w:val="ResimYazs"/>
                              <w:rPr>
                                <w:b w:val="0"/>
                                <w:noProof/>
                                <w:szCs w:val="24"/>
                              </w:rPr>
                            </w:pPr>
                            <w:bookmarkStart w:id="16" w:name="_Toc507509052"/>
                            <w:r>
                              <w:t xml:space="preserve">Figure </w:t>
                            </w:r>
                            <w:fldSimple w:instr=" SEQ Figure \* ARABIC ">
                              <w:r w:rsidR="003F6459">
                                <w:rPr>
                                  <w:noProof/>
                                </w:rPr>
                                <w:t>4</w:t>
                              </w:r>
                            </w:fldSimple>
                            <w:r>
                              <w:t xml:space="preserve">. </w:t>
                            </w:r>
                            <w:r w:rsidRPr="000145F0">
                              <w:rPr>
                                <w:b w:val="0"/>
                              </w:rPr>
                              <w:t>Diagrammatic North-South Cross Section of the Deep Anadarko Basin (Modified from Ball et al., 1991)</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5DB987" id="_x0000_t202" coordsize="21600,21600" o:spt="202" path="m,l,21600r21600,l21600,xe">
                <v:stroke joinstyle="miter"/>
                <v:path gradientshapeok="t" o:connecttype="rect"/>
              </v:shapetype>
              <v:shape id="Metin Kutusu 8" o:spid="_x0000_s1026" type="#_x0000_t202" style="position:absolute;left:0;text-align:left;margin-left:595.6pt;margin-top:315.8pt;width:646.8pt;height:16.6pt;rotation:-90;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" stroked="f">
                <v:textbox inset="0,0,0,0">
                  <w:txbxContent>
                    <w:p w:rsidR="008875B3" w:rsidRPr="000145F0" w:rsidRDefault="008875B3" w:rsidP="000145F0">
                      <w:pPr>
                        <w:pStyle w:val="ResimYazs"/>
                        <w:rPr>
                          <w:b w:val="0"/>
                          <w:noProof/>
                          <w:szCs w:val="24"/>
                        </w:rPr>
                      </w:pPr>
                      <w:bookmarkStart w:id="17" w:name="_Toc507509052"/>
                      <w:r>
                        <w:t xml:space="preserve">Figure </w:t>
                      </w:r>
                      <w:fldSimple w:instr=" SEQ Figure \* ARABIC ">
                        <w:r w:rsidR="003F6459">
                          <w:rPr>
                            <w:noProof/>
                          </w:rPr>
                          <w:t>4</w:t>
                        </w:r>
                      </w:fldSimple>
                      <w:r>
                        <w:t xml:space="preserve">. </w:t>
                      </w:r>
                      <w:r w:rsidRPr="000145F0">
                        <w:rPr>
                          <w:b w:val="0"/>
                        </w:rPr>
                        <w:t>Diagrammatic North-South Cross Section of the Deep Anadarko Basin (Modified from Ball et al., 1991)</w:t>
                      </w:r>
                      <w:bookmarkEnd w:id="17"/>
                    </w:p>
                  </w:txbxContent>
                </v:textbox>
                <w10:wrap type="topAndBottom" anchorx="margin"/>
              </v:shape>
            </w:pict>
          </mc:Fallback>
        </mc:AlternateContent>
      </w:r>
    </w:p>
    <w:p w:rsidR="00347CAD" w:rsidRDefault="00347CAD" w:rsidP="000145F0">
      <w:pPr>
        <w:pStyle w:val="Balk2"/>
      </w:pPr>
      <w:bookmarkStart w:id="18" w:name="_Toc507506624"/>
      <w:r>
        <w:lastRenderedPageBreak/>
        <w:t xml:space="preserve">2.2 Previous Studies on </w:t>
      </w:r>
      <w:r w:rsidR="00AF691E">
        <w:t xml:space="preserve">the </w:t>
      </w:r>
      <w:r>
        <w:t>Morrow Formation</w:t>
      </w:r>
      <w:bookmarkEnd w:id="18"/>
    </w:p>
    <w:p w:rsidR="00347CAD" w:rsidRPr="003D3CEF" w:rsidRDefault="00347CAD" w:rsidP="00347CAD">
      <w:pPr>
        <w:ind w:firstLine="720"/>
        <w:jc w:val="both"/>
      </w:pPr>
      <w:r w:rsidRPr="00D01D17">
        <w:t xml:space="preserve">The Morrow formation was first named by Adams </w:t>
      </w:r>
      <w:r w:rsidR="002D748F" w:rsidRPr="00D01D17">
        <w:t>and Ulrich</w:t>
      </w:r>
      <w:r w:rsidRPr="00D01D17">
        <w:t xml:space="preserve"> </w:t>
      </w:r>
      <w:r w:rsidR="002D748F" w:rsidRPr="00D01D17">
        <w:t>(</w:t>
      </w:r>
      <w:r w:rsidRPr="00D01D17">
        <w:t>1905</w:t>
      </w:r>
      <w:r w:rsidR="002D748F" w:rsidRPr="00D01D17">
        <w:t>)</w:t>
      </w:r>
      <w:r w:rsidRPr="00D01D17">
        <w:t xml:space="preserve"> near the village of Morrow in Washington County, Arkansas (Curtis and Ostergard, 1980). They defined the formation as shale, sandstone and limestone and the rank of the formation was r</w:t>
      </w:r>
      <w:r w:rsidR="002D748F" w:rsidRPr="00D01D17">
        <w:t>aised to group by Purdue et al. (1904)</w:t>
      </w:r>
      <w:r w:rsidRPr="00D01D17">
        <w:t>. The series rank for the Morrow was first used by Moore (1944), who also proposed that the Morrow Series marks the beginning of the Pennsylv</w:t>
      </w:r>
      <w:r w:rsidR="00D01D17" w:rsidRPr="00D01D17">
        <w:t>anian time in the Mid-Continent.</w:t>
      </w:r>
    </w:p>
    <w:p w:rsidR="0099286C" w:rsidRDefault="00347CAD" w:rsidP="002D748F">
      <w:pPr>
        <w:ind w:firstLine="720"/>
        <w:jc w:val="both"/>
        <w:rPr>
          <w:szCs w:val="28"/>
        </w:rPr>
      </w:pPr>
      <w:r w:rsidRPr="003D3CEF">
        <w:rPr>
          <w:szCs w:val="28"/>
        </w:rPr>
        <w:t>After its discovery, the first studies on</w:t>
      </w:r>
      <w:r w:rsidR="002D748F">
        <w:rPr>
          <w:szCs w:val="28"/>
        </w:rPr>
        <w:t xml:space="preserve"> the</w:t>
      </w:r>
      <w:r w:rsidRPr="003D3CEF">
        <w:rPr>
          <w:szCs w:val="28"/>
        </w:rPr>
        <w:t xml:space="preserve"> Morrow Formation were mainly for</w:t>
      </w:r>
      <w:r w:rsidRPr="00FB3C0B">
        <w:rPr>
          <w:szCs w:val="28"/>
        </w:rPr>
        <w:t xml:space="preserve"> </w:t>
      </w:r>
      <w:r w:rsidRPr="004A5C0A">
        <w:rPr>
          <w:szCs w:val="28"/>
        </w:rPr>
        <w:t>understanding its lith</w:t>
      </w:r>
      <w:r>
        <w:rPr>
          <w:szCs w:val="28"/>
        </w:rPr>
        <w:t xml:space="preserve">ological </w:t>
      </w:r>
      <w:r w:rsidRPr="004A5C0A">
        <w:rPr>
          <w:szCs w:val="28"/>
        </w:rPr>
        <w:t>characteristics.</w:t>
      </w:r>
      <w:r w:rsidR="002D748F">
        <w:rPr>
          <w:szCs w:val="28"/>
        </w:rPr>
        <w:t xml:space="preserve"> </w:t>
      </w:r>
      <w:r>
        <w:rPr>
          <w:szCs w:val="28"/>
        </w:rPr>
        <w:t>Thompson</w:t>
      </w:r>
      <w:r w:rsidR="002D748F">
        <w:rPr>
          <w:szCs w:val="28"/>
        </w:rPr>
        <w:t xml:space="preserve"> (1944)</w:t>
      </w:r>
      <w:r>
        <w:rPr>
          <w:szCs w:val="28"/>
        </w:rPr>
        <w:t xml:space="preserve"> geologically </w:t>
      </w:r>
      <w:r w:rsidRPr="004A5C0A">
        <w:rPr>
          <w:szCs w:val="28"/>
        </w:rPr>
        <w:t xml:space="preserve">described </w:t>
      </w:r>
      <w:r>
        <w:rPr>
          <w:szCs w:val="28"/>
        </w:rPr>
        <w:t xml:space="preserve">a </w:t>
      </w:r>
      <w:r w:rsidRPr="004A5C0A">
        <w:rPr>
          <w:szCs w:val="28"/>
        </w:rPr>
        <w:t xml:space="preserve">Morrowan </w:t>
      </w:r>
      <w:r>
        <w:rPr>
          <w:szCs w:val="28"/>
        </w:rPr>
        <w:t>stratigraphic section</w:t>
      </w:r>
      <w:r w:rsidRPr="00FB3C0B">
        <w:rPr>
          <w:szCs w:val="28"/>
        </w:rPr>
        <w:t xml:space="preserve"> found in Kearny County, Kansas. Maher and Collins (1953) prepared a map </w:t>
      </w:r>
      <w:r>
        <w:rPr>
          <w:szCs w:val="28"/>
        </w:rPr>
        <w:t xml:space="preserve">showing the thickness and distribution </w:t>
      </w:r>
      <w:r w:rsidRPr="00FB3C0B">
        <w:rPr>
          <w:szCs w:val="28"/>
        </w:rPr>
        <w:t xml:space="preserve">of </w:t>
      </w:r>
      <w:r>
        <w:rPr>
          <w:szCs w:val="28"/>
        </w:rPr>
        <w:t xml:space="preserve">the </w:t>
      </w:r>
      <w:r w:rsidRPr="00FB3C0B">
        <w:rPr>
          <w:szCs w:val="28"/>
        </w:rPr>
        <w:t>Morrowan age sediments in Southeast Colorado and adjacent areas.</w:t>
      </w:r>
      <w:r>
        <w:rPr>
          <w:szCs w:val="28"/>
        </w:rPr>
        <w:t xml:space="preserve"> </w:t>
      </w:r>
      <w:r w:rsidRPr="00FB3C0B">
        <w:rPr>
          <w:szCs w:val="28"/>
        </w:rPr>
        <w:t xml:space="preserve"> Barby</w:t>
      </w:r>
      <w:r w:rsidR="002D748F">
        <w:rPr>
          <w:szCs w:val="28"/>
        </w:rPr>
        <w:t xml:space="preserve"> (</w:t>
      </w:r>
      <w:r w:rsidR="002D748F" w:rsidRPr="00FB3C0B">
        <w:rPr>
          <w:szCs w:val="28"/>
        </w:rPr>
        <w:t>1956</w:t>
      </w:r>
      <w:r w:rsidR="002D748F">
        <w:rPr>
          <w:szCs w:val="28"/>
        </w:rPr>
        <w:t>)</w:t>
      </w:r>
      <w:r w:rsidRPr="00FB3C0B">
        <w:rPr>
          <w:szCs w:val="28"/>
        </w:rPr>
        <w:t xml:space="preserve"> briefly described different lithofacies of the Morrowan series in Beaver County, Oklahoma. </w:t>
      </w:r>
      <w:r>
        <w:rPr>
          <w:szCs w:val="28"/>
        </w:rPr>
        <w:t xml:space="preserve">In the </w:t>
      </w:r>
      <w:r w:rsidRPr="001A6344">
        <w:rPr>
          <w:szCs w:val="28"/>
        </w:rPr>
        <w:t>same year, Totten (1956) divided the</w:t>
      </w:r>
      <w:r w:rsidRPr="00FB3C0B">
        <w:rPr>
          <w:szCs w:val="28"/>
        </w:rPr>
        <w:t xml:space="preserve"> Morrow</w:t>
      </w:r>
      <w:r>
        <w:rPr>
          <w:szCs w:val="28"/>
        </w:rPr>
        <w:t xml:space="preserve"> Formation</w:t>
      </w:r>
      <w:r w:rsidRPr="00FB3C0B">
        <w:rPr>
          <w:szCs w:val="28"/>
        </w:rPr>
        <w:t xml:space="preserve"> into two as Upper Morrow and Lower Morrow </w:t>
      </w:r>
      <w:r>
        <w:rPr>
          <w:szCs w:val="28"/>
        </w:rPr>
        <w:t>in the</w:t>
      </w:r>
      <w:r w:rsidRPr="00FB3C0B">
        <w:rPr>
          <w:szCs w:val="28"/>
        </w:rPr>
        <w:t xml:space="preserve"> Texas and </w:t>
      </w:r>
      <w:r>
        <w:rPr>
          <w:szCs w:val="28"/>
        </w:rPr>
        <w:t>the Oklahoma P</w:t>
      </w:r>
      <w:r w:rsidRPr="00FB3C0B">
        <w:rPr>
          <w:szCs w:val="28"/>
        </w:rPr>
        <w:t xml:space="preserve">anhandles. Abels (1958) studied </w:t>
      </w:r>
      <w:r>
        <w:rPr>
          <w:szCs w:val="28"/>
        </w:rPr>
        <w:t xml:space="preserve">subsurface </w:t>
      </w:r>
      <w:r w:rsidRPr="00FB3C0B">
        <w:rPr>
          <w:szCs w:val="28"/>
        </w:rPr>
        <w:t>lithofacies of the Morrowan Series in the northern Anadarko Basin</w:t>
      </w:r>
      <w:r>
        <w:rPr>
          <w:szCs w:val="28"/>
        </w:rPr>
        <w:t xml:space="preserve"> and</w:t>
      </w:r>
      <w:r w:rsidRPr="00FB3C0B">
        <w:rPr>
          <w:szCs w:val="28"/>
        </w:rPr>
        <w:t xml:space="preserve"> </w:t>
      </w:r>
      <w:r>
        <w:rPr>
          <w:szCs w:val="28"/>
        </w:rPr>
        <w:t xml:space="preserve">discussed the stratigraphic relationship of the Morrow with the underlying and overlying formations. </w:t>
      </w:r>
      <w:r w:rsidRPr="00347CAD">
        <w:rPr>
          <w:szCs w:val="28"/>
        </w:rPr>
        <w:t>The Oklahoma City Geological Society published two volumes of production index data</w:t>
      </w:r>
      <w:r>
        <w:rPr>
          <w:szCs w:val="28"/>
        </w:rPr>
        <w:t xml:space="preserve"> that compiled</w:t>
      </w:r>
      <w:r w:rsidRPr="00FB3C0B">
        <w:rPr>
          <w:szCs w:val="28"/>
        </w:rPr>
        <w:t xml:space="preserve"> </w:t>
      </w:r>
      <w:r>
        <w:rPr>
          <w:szCs w:val="28"/>
        </w:rPr>
        <w:t xml:space="preserve">some basic </w:t>
      </w:r>
      <w:r w:rsidRPr="00FB3C0B">
        <w:rPr>
          <w:szCs w:val="28"/>
        </w:rPr>
        <w:t>hydrocarbon</w:t>
      </w:r>
      <w:r>
        <w:rPr>
          <w:szCs w:val="28"/>
        </w:rPr>
        <w:t xml:space="preserve"> </w:t>
      </w:r>
      <w:r w:rsidRPr="00FB3C0B">
        <w:rPr>
          <w:szCs w:val="28"/>
        </w:rPr>
        <w:t>production</w:t>
      </w:r>
      <w:r>
        <w:rPr>
          <w:szCs w:val="28"/>
        </w:rPr>
        <w:t xml:space="preserve"> </w:t>
      </w:r>
      <w:r w:rsidRPr="00FB3C0B">
        <w:rPr>
          <w:szCs w:val="28"/>
        </w:rPr>
        <w:t xml:space="preserve">statistics </w:t>
      </w:r>
      <w:r>
        <w:rPr>
          <w:szCs w:val="28"/>
        </w:rPr>
        <w:t>of the Morrow</w:t>
      </w:r>
      <w:r w:rsidRPr="00347CAD">
        <w:rPr>
          <w:szCs w:val="28"/>
        </w:rPr>
        <w:t xml:space="preserve"> </w:t>
      </w:r>
      <w:r>
        <w:rPr>
          <w:szCs w:val="28"/>
        </w:rPr>
        <w:t>and other</w:t>
      </w:r>
      <w:r w:rsidRPr="00347CAD">
        <w:rPr>
          <w:szCs w:val="28"/>
        </w:rPr>
        <w:t xml:space="preserve"> </w:t>
      </w:r>
      <w:r>
        <w:rPr>
          <w:szCs w:val="28"/>
        </w:rPr>
        <w:t xml:space="preserve">gas fields in </w:t>
      </w:r>
      <w:r w:rsidR="00E1019B">
        <w:rPr>
          <w:szCs w:val="28"/>
        </w:rPr>
        <w:t xml:space="preserve">the </w:t>
      </w:r>
      <w:r w:rsidRPr="00FB3C0B">
        <w:rPr>
          <w:szCs w:val="28"/>
        </w:rPr>
        <w:t>Oklahoma and</w:t>
      </w:r>
      <w:r>
        <w:rPr>
          <w:szCs w:val="28"/>
        </w:rPr>
        <w:t xml:space="preserve"> Texas</w:t>
      </w:r>
      <w:r w:rsidRPr="00347CAD">
        <w:rPr>
          <w:szCs w:val="28"/>
        </w:rPr>
        <w:t xml:space="preserve"> </w:t>
      </w:r>
      <w:r>
        <w:rPr>
          <w:szCs w:val="28"/>
        </w:rPr>
        <w:t>Panhandles.</w:t>
      </w:r>
      <w:r w:rsidRPr="00FB3C0B">
        <w:rPr>
          <w:szCs w:val="28"/>
        </w:rPr>
        <w:t xml:space="preserve"> Barrett</w:t>
      </w:r>
      <w:r w:rsidR="002D748F">
        <w:rPr>
          <w:szCs w:val="28"/>
        </w:rPr>
        <w:t xml:space="preserve"> (</w:t>
      </w:r>
      <w:r w:rsidR="002D748F" w:rsidRPr="00FB3C0B">
        <w:rPr>
          <w:szCs w:val="28"/>
        </w:rPr>
        <w:t>1964</w:t>
      </w:r>
      <w:r w:rsidR="002D748F">
        <w:rPr>
          <w:szCs w:val="28"/>
        </w:rPr>
        <w:t>)</w:t>
      </w:r>
      <w:r w:rsidRPr="00347CAD">
        <w:rPr>
          <w:szCs w:val="28"/>
        </w:rPr>
        <w:t xml:space="preserve"> </w:t>
      </w:r>
      <w:r w:rsidRPr="00FB3C0B">
        <w:rPr>
          <w:szCs w:val="28"/>
        </w:rPr>
        <w:t>studied</w:t>
      </w:r>
      <w:r>
        <w:rPr>
          <w:szCs w:val="28"/>
        </w:rPr>
        <w:t xml:space="preserve"> subsurface </w:t>
      </w:r>
      <w:r w:rsidR="0099286C" w:rsidRPr="00FB3C0B">
        <w:rPr>
          <w:szCs w:val="28"/>
        </w:rPr>
        <w:t xml:space="preserve">geology of </w:t>
      </w:r>
      <w:r w:rsidR="00AF691E">
        <w:rPr>
          <w:szCs w:val="28"/>
        </w:rPr>
        <w:t xml:space="preserve">the </w:t>
      </w:r>
      <w:r w:rsidR="0099286C" w:rsidRPr="00FB3C0B">
        <w:rPr>
          <w:szCs w:val="28"/>
        </w:rPr>
        <w:t xml:space="preserve">Morrowan </w:t>
      </w:r>
      <w:r w:rsidR="00AF691E">
        <w:rPr>
          <w:szCs w:val="28"/>
        </w:rPr>
        <w:t>r</w:t>
      </w:r>
      <w:r w:rsidR="0099286C" w:rsidRPr="00FB3C0B">
        <w:rPr>
          <w:szCs w:val="28"/>
        </w:rPr>
        <w:t>ocks in central and s</w:t>
      </w:r>
      <w:r w:rsidR="0099286C">
        <w:rPr>
          <w:szCs w:val="28"/>
        </w:rPr>
        <w:t>outhern Beaver County, Oklahoma and investigated the Morrow in detail. He prepared different cross-sections of the Morrow, correlated</w:t>
      </w:r>
      <w:r w:rsidR="002D748F">
        <w:rPr>
          <w:szCs w:val="28"/>
        </w:rPr>
        <w:t xml:space="preserve"> the</w:t>
      </w:r>
      <w:r w:rsidR="0099286C">
        <w:rPr>
          <w:szCs w:val="28"/>
        </w:rPr>
        <w:t xml:space="preserve"> Morrow Formation throughout the county and subdivided it into Zone</w:t>
      </w:r>
      <w:r w:rsidR="00E1019B">
        <w:rPr>
          <w:szCs w:val="28"/>
        </w:rPr>
        <w:t>s</w:t>
      </w:r>
      <w:r w:rsidR="0099286C">
        <w:rPr>
          <w:szCs w:val="28"/>
        </w:rPr>
        <w:t xml:space="preserve"> A, </w:t>
      </w:r>
      <w:r w:rsidR="0099286C">
        <w:rPr>
          <w:szCs w:val="28"/>
        </w:rPr>
        <w:lastRenderedPageBreak/>
        <w:t xml:space="preserve">B and C based on its lithofacies. The effects of regional and local tectonics on the Morrow Formation were studied by </w:t>
      </w:r>
      <w:r w:rsidR="0099286C" w:rsidRPr="00FB3C0B">
        <w:rPr>
          <w:szCs w:val="28"/>
        </w:rPr>
        <w:t>Forgotson et al. (1966)</w:t>
      </w:r>
      <w:r w:rsidR="0099286C">
        <w:rPr>
          <w:szCs w:val="28"/>
        </w:rPr>
        <w:t xml:space="preserve">. The authors </w:t>
      </w:r>
      <w:r w:rsidR="0099286C" w:rsidRPr="00FB3C0B">
        <w:rPr>
          <w:szCs w:val="28"/>
        </w:rPr>
        <w:t xml:space="preserve">proposed that Pennsylvanian tectonics had </w:t>
      </w:r>
      <w:r w:rsidR="0099286C">
        <w:rPr>
          <w:szCs w:val="28"/>
        </w:rPr>
        <w:t xml:space="preserve">a </w:t>
      </w:r>
      <w:r w:rsidR="0099286C" w:rsidRPr="00FB3C0B">
        <w:rPr>
          <w:szCs w:val="28"/>
        </w:rPr>
        <w:t>major impact on sedimentological characteristic</w:t>
      </w:r>
      <w:r w:rsidR="0099286C">
        <w:rPr>
          <w:szCs w:val="28"/>
        </w:rPr>
        <w:t>s</w:t>
      </w:r>
      <w:r w:rsidR="0099286C" w:rsidRPr="00FB3C0B">
        <w:rPr>
          <w:szCs w:val="28"/>
        </w:rPr>
        <w:t xml:space="preserve"> of </w:t>
      </w:r>
      <w:r w:rsidR="0099286C">
        <w:rPr>
          <w:szCs w:val="28"/>
        </w:rPr>
        <w:t xml:space="preserve">the </w:t>
      </w:r>
      <w:r w:rsidR="0099286C" w:rsidRPr="00FB3C0B">
        <w:rPr>
          <w:szCs w:val="28"/>
        </w:rPr>
        <w:t xml:space="preserve">Morrow. </w:t>
      </w:r>
      <w:r w:rsidR="0099286C">
        <w:rPr>
          <w:szCs w:val="28"/>
        </w:rPr>
        <w:t>There were several studies that discussed subsurface geology and the depositional history of the Morrow Formation. For</w:t>
      </w:r>
      <w:r w:rsidR="00A706F1">
        <w:rPr>
          <w:szCs w:val="28"/>
        </w:rPr>
        <w:t xml:space="preserve"> example</w:t>
      </w:r>
      <w:r w:rsidR="0099286C">
        <w:rPr>
          <w:szCs w:val="28"/>
        </w:rPr>
        <w:t>,</w:t>
      </w:r>
      <w:r w:rsidR="0099286C" w:rsidRPr="00FB3C0B">
        <w:rPr>
          <w:szCs w:val="28"/>
        </w:rPr>
        <w:t xml:space="preserve"> Arro (196</w:t>
      </w:r>
      <w:r w:rsidR="00A706F1">
        <w:rPr>
          <w:szCs w:val="28"/>
        </w:rPr>
        <w:t xml:space="preserve">5) interpreted </w:t>
      </w:r>
      <w:r w:rsidR="00AF691E">
        <w:rPr>
          <w:szCs w:val="28"/>
        </w:rPr>
        <w:t xml:space="preserve">the </w:t>
      </w:r>
      <w:r w:rsidR="00A706F1">
        <w:rPr>
          <w:szCs w:val="28"/>
        </w:rPr>
        <w:t>Morrow sandstone</w:t>
      </w:r>
      <w:r w:rsidR="0099286C" w:rsidRPr="00FB3C0B">
        <w:rPr>
          <w:szCs w:val="28"/>
        </w:rPr>
        <w:t xml:space="preserve"> reservoirs as beach and shallow-marine bar </w:t>
      </w:r>
      <w:r w:rsidR="0099286C">
        <w:rPr>
          <w:szCs w:val="28"/>
        </w:rPr>
        <w:t>deposits in</w:t>
      </w:r>
      <w:r w:rsidR="00A706F1">
        <w:rPr>
          <w:szCs w:val="28"/>
        </w:rPr>
        <w:t xml:space="preserve"> the</w:t>
      </w:r>
      <w:r w:rsidR="0099286C">
        <w:rPr>
          <w:szCs w:val="28"/>
        </w:rPr>
        <w:t xml:space="preserve"> Oklahoma Panhandle while </w:t>
      </w:r>
      <w:r w:rsidR="0099286C" w:rsidRPr="00FB3C0B">
        <w:rPr>
          <w:szCs w:val="28"/>
        </w:rPr>
        <w:t xml:space="preserve">Swanson (1979) </w:t>
      </w:r>
      <w:r w:rsidR="0099286C">
        <w:rPr>
          <w:szCs w:val="28"/>
        </w:rPr>
        <w:t>suggested that</w:t>
      </w:r>
      <w:r w:rsidR="0099286C" w:rsidRPr="001A6344">
        <w:rPr>
          <w:szCs w:val="28"/>
        </w:rPr>
        <w:t xml:space="preserve"> the Morrow Sandstones</w:t>
      </w:r>
      <w:r w:rsidR="00E1019B">
        <w:rPr>
          <w:szCs w:val="28"/>
        </w:rPr>
        <w:t xml:space="preserve"> were</w:t>
      </w:r>
      <w:r w:rsidR="0099286C" w:rsidRPr="001A6344">
        <w:rPr>
          <w:szCs w:val="28"/>
        </w:rPr>
        <w:t xml:space="preserve"> deposited </w:t>
      </w:r>
      <w:r w:rsidR="00A706F1">
        <w:rPr>
          <w:szCs w:val="28"/>
        </w:rPr>
        <w:t>in a</w:t>
      </w:r>
      <w:r w:rsidR="0099286C" w:rsidRPr="001A6344">
        <w:rPr>
          <w:szCs w:val="28"/>
        </w:rPr>
        <w:t xml:space="preserve"> coastal-plain f</w:t>
      </w:r>
      <w:r w:rsidR="0099286C">
        <w:rPr>
          <w:szCs w:val="28"/>
        </w:rPr>
        <w:t>luvial to deltaic environment</w:t>
      </w:r>
      <w:r w:rsidR="00E1019B">
        <w:rPr>
          <w:szCs w:val="28"/>
        </w:rPr>
        <w:t>s</w:t>
      </w:r>
      <w:r w:rsidR="0099286C">
        <w:rPr>
          <w:szCs w:val="28"/>
        </w:rPr>
        <w:t xml:space="preserve">. The author also identified deltaic sedimentation and point-bar reservoirs of the Morrow in the Anadarko Basin in order to provide help to the local exploration studies. </w:t>
      </w:r>
      <w:r w:rsidR="0099286C" w:rsidRPr="001A6344">
        <w:rPr>
          <w:szCs w:val="28"/>
        </w:rPr>
        <w:t>Rascoe and Adler</w:t>
      </w:r>
      <w:r w:rsidR="00A706F1">
        <w:rPr>
          <w:szCs w:val="28"/>
        </w:rPr>
        <w:t xml:space="preserve"> (1983)</w:t>
      </w:r>
      <w:r w:rsidR="0099286C">
        <w:rPr>
          <w:szCs w:val="28"/>
        </w:rPr>
        <w:t xml:space="preserve"> </w:t>
      </w:r>
      <w:r w:rsidR="0099286C" w:rsidRPr="001A6344">
        <w:rPr>
          <w:szCs w:val="28"/>
        </w:rPr>
        <w:t xml:space="preserve">described the regional stratigraphy and facies relationships of the Upper Morrow in the Mid-Continent. </w:t>
      </w:r>
      <w:r w:rsidR="0099286C">
        <w:rPr>
          <w:szCs w:val="28"/>
        </w:rPr>
        <w:t>One year l</w:t>
      </w:r>
      <w:r w:rsidR="0099286C" w:rsidRPr="00FB3C0B">
        <w:rPr>
          <w:szCs w:val="28"/>
        </w:rPr>
        <w:t xml:space="preserve">ater, Orchard and Kidwell (1984) </w:t>
      </w:r>
      <w:r w:rsidR="0099286C">
        <w:rPr>
          <w:szCs w:val="28"/>
        </w:rPr>
        <w:t>studied the Morrow Formation</w:t>
      </w:r>
      <w:r w:rsidR="0099286C" w:rsidRPr="00FB3C0B">
        <w:rPr>
          <w:szCs w:val="28"/>
        </w:rPr>
        <w:t xml:space="preserve"> in the Sorrento Field</w:t>
      </w:r>
      <w:r w:rsidR="0099286C">
        <w:rPr>
          <w:szCs w:val="28"/>
        </w:rPr>
        <w:t xml:space="preserve">, Colorado and </w:t>
      </w:r>
      <w:r w:rsidR="0099286C" w:rsidRPr="00FB3C0B">
        <w:rPr>
          <w:szCs w:val="28"/>
        </w:rPr>
        <w:t xml:space="preserve">made a </w:t>
      </w:r>
      <w:r w:rsidR="0099286C">
        <w:rPr>
          <w:szCs w:val="28"/>
        </w:rPr>
        <w:t xml:space="preserve">detailed description of the geological structures and reservoir facies in it. In the same field, Sonnenberg (1985) interpreted the </w:t>
      </w:r>
      <w:r w:rsidR="00AF691E">
        <w:t>productive the Morrow S</w:t>
      </w:r>
      <w:r w:rsidR="0099286C">
        <w:t xml:space="preserve">andstones as fluvial valley-fill deposits, consisting mainly of channel sandstones based on the subsurface mapping. The author added that the paleo-tectonic structures influenced the Morrow depositional patterns. </w:t>
      </w:r>
    </w:p>
    <w:p w:rsidR="0099286C" w:rsidRPr="00FB3C0B" w:rsidRDefault="0099286C" w:rsidP="0099286C">
      <w:pPr>
        <w:ind w:firstLine="720"/>
        <w:jc w:val="both"/>
        <w:rPr>
          <w:szCs w:val="28"/>
        </w:rPr>
      </w:pPr>
      <w:r>
        <w:rPr>
          <w:szCs w:val="28"/>
        </w:rPr>
        <w:t xml:space="preserve">The sequence stratigraphy of the Morrow Formation has been studied since the 1980s. For instance, </w:t>
      </w:r>
      <w:r w:rsidRPr="00FB3C0B">
        <w:rPr>
          <w:szCs w:val="28"/>
        </w:rPr>
        <w:t xml:space="preserve">Emery </w:t>
      </w:r>
      <w:r>
        <w:rPr>
          <w:szCs w:val="28"/>
        </w:rPr>
        <w:t>and Sutterlin</w:t>
      </w:r>
      <w:r w:rsidRPr="00FB3C0B">
        <w:rPr>
          <w:szCs w:val="28"/>
        </w:rPr>
        <w:t xml:space="preserve"> (1986)</w:t>
      </w:r>
      <w:r>
        <w:rPr>
          <w:szCs w:val="28"/>
        </w:rPr>
        <w:t xml:space="preserve"> conducted some reservoir analysis and delineated the </w:t>
      </w:r>
      <w:r>
        <w:t xml:space="preserve">sand-body geometry and heterogeneity of the Morrow </w:t>
      </w:r>
      <w:r w:rsidRPr="00FB3C0B">
        <w:rPr>
          <w:szCs w:val="28"/>
        </w:rPr>
        <w:t>in</w:t>
      </w:r>
      <w:r>
        <w:rPr>
          <w:szCs w:val="28"/>
        </w:rPr>
        <w:t xml:space="preserve"> the Lexington Field, Kansas with the help of some basic sequence stratigraphic principles. </w:t>
      </w:r>
      <w:r w:rsidRPr="00FB3C0B">
        <w:rPr>
          <w:szCs w:val="28"/>
        </w:rPr>
        <w:t xml:space="preserve">Krystinik et al. (1987) </w:t>
      </w:r>
      <w:r>
        <w:rPr>
          <w:szCs w:val="28"/>
        </w:rPr>
        <w:t xml:space="preserve">used some core and well-log data to differentiate coarse and fine valley-fill facies in the incised valley fills in order to improve production data in the Colorado and </w:t>
      </w:r>
      <w:r>
        <w:rPr>
          <w:szCs w:val="28"/>
        </w:rPr>
        <w:lastRenderedPageBreak/>
        <w:t xml:space="preserve">Kansas regions. Stratigraphy and depositional history of the Morrow Formation </w:t>
      </w:r>
      <w:r w:rsidR="002C102F">
        <w:rPr>
          <w:szCs w:val="28"/>
        </w:rPr>
        <w:t>in the</w:t>
      </w:r>
      <w:r>
        <w:rPr>
          <w:szCs w:val="28"/>
        </w:rPr>
        <w:t xml:space="preserve"> Colorado and Texas </w:t>
      </w:r>
      <w:r w:rsidR="00E1019B">
        <w:rPr>
          <w:szCs w:val="28"/>
        </w:rPr>
        <w:t>regions were studied in detail</w:t>
      </w:r>
      <w:r>
        <w:rPr>
          <w:szCs w:val="28"/>
        </w:rPr>
        <w:t xml:space="preserve"> by </w:t>
      </w:r>
      <w:r w:rsidRPr="00FB3C0B">
        <w:rPr>
          <w:szCs w:val="28"/>
        </w:rPr>
        <w:t>Wheeler et al. (1990)</w:t>
      </w:r>
      <w:r>
        <w:rPr>
          <w:szCs w:val="28"/>
        </w:rPr>
        <w:t xml:space="preserve">. The authors subdivided the formation in two based on the depositional environments and revealed the sequence stratigraphic relationship between the upper and lower Morrow zones. </w:t>
      </w:r>
      <w:r w:rsidRPr="00FB3C0B">
        <w:rPr>
          <w:szCs w:val="28"/>
        </w:rPr>
        <w:t>Bowen and Weimer (2003) conducted one of the most comprehensiv</w:t>
      </w:r>
      <w:r w:rsidR="00A706F1">
        <w:rPr>
          <w:szCs w:val="28"/>
        </w:rPr>
        <w:t>e sequence stratigraphic analyse</w:t>
      </w:r>
      <w:r w:rsidRPr="00FB3C0B">
        <w:rPr>
          <w:szCs w:val="28"/>
        </w:rPr>
        <w:t xml:space="preserve">s of the Morrow incised valley fills in Northwest Oklahoma. </w:t>
      </w:r>
      <w:r>
        <w:rPr>
          <w:szCs w:val="28"/>
        </w:rPr>
        <w:t xml:space="preserve">The authors </w:t>
      </w:r>
      <w:r>
        <w:t xml:space="preserve">described an entire range of lowstand depositional systems from incised-valley-fill systems to deep-water basin-floor systems in the Morrow and described the facies change in different systems tracts. Finally, Andrews (2008) revealed the importance of </w:t>
      </w:r>
      <w:r w:rsidR="00A706F1">
        <w:t xml:space="preserve">the </w:t>
      </w:r>
      <w:r>
        <w:t>Morrow</w:t>
      </w:r>
      <w:r w:rsidRPr="00FB3C0B">
        <w:rPr>
          <w:szCs w:val="28"/>
        </w:rPr>
        <w:t xml:space="preserve"> and Springer Formation</w:t>
      </w:r>
      <w:r w:rsidR="00A706F1">
        <w:rPr>
          <w:szCs w:val="28"/>
        </w:rPr>
        <w:t>s</w:t>
      </w:r>
      <w:r>
        <w:rPr>
          <w:szCs w:val="28"/>
        </w:rPr>
        <w:t xml:space="preserve"> </w:t>
      </w:r>
      <w:r w:rsidRPr="00FB3C0B">
        <w:rPr>
          <w:szCs w:val="28"/>
        </w:rPr>
        <w:t xml:space="preserve">in terms of </w:t>
      </w:r>
      <w:r>
        <w:rPr>
          <w:szCs w:val="28"/>
        </w:rPr>
        <w:t xml:space="preserve">very detailed </w:t>
      </w:r>
      <w:r w:rsidRPr="00FB3C0B">
        <w:rPr>
          <w:szCs w:val="28"/>
        </w:rPr>
        <w:t xml:space="preserve">oil and gas production </w:t>
      </w:r>
      <w:r>
        <w:rPr>
          <w:szCs w:val="28"/>
        </w:rPr>
        <w:t xml:space="preserve">data </w:t>
      </w:r>
      <w:r w:rsidRPr="00FB3C0B">
        <w:rPr>
          <w:szCs w:val="28"/>
        </w:rPr>
        <w:t>in</w:t>
      </w:r>
      <w:r w:rsidR="00E1019B">
        <w:rPr>
          <w:szCs w:val="28"/>
        </w:rPr>
        <w:t xml:space="preserve"> the</w:t>
      </w:r>
      <w:r w:rsidRPr="00FB3C0B">
        <w:rPr>
          <w:szCs w:val="28"/>
        </w:rPr>
        <w:t xml:space="preserve"> southern Midcontinent.</w:t>
      </w:r>
      <w:r>
        <w:rPr>
          <w:szCs w:val="28"/>
        </w:rPr>
        <w:t xml:space="preserve"> </w:t>
      </w:r>
    </w:p>
    <w:p w:rsidR="0099286C" w:rsidRDefault="0099286C" w:rsidP="0099286C">
      <w:pPr>
        <w:ind w:firstLine="720"/>
        <w:jc w:val="both"/>
        <w:rPr>
          <w:szCs w:val="28"/>
        </w:rPr>
      </w:pPr>
      <w:r>
        <w:rPr>
          <w:szCs w:val="28"/>
        </w:rPr>
        <w:t>Prior to the 1970s, there were no geochemical studies available</w:t>
      </w:r>
      <w:r w:rsidRPr="00FB3C0B">
        <w:rPr>
          <w:szCs w:val="28"/>
        </w:rPr>
        <w:t xml:space="preserve"> in the literature </w:t>
      </w:r>
      <w:r>
        <w:rPr>
          <w:szCs w:val="28"/>
        </w:rPr>
        <w:t>on the</w:t>
      </w:r>
      <w:r w:rsidRPr="00FB3C0B">
        <w:rPr>
          <w:szCs w:val="28"/>
        </w:rPr>
        <w:t xml:space="preserve"> Morrow Formation in the Anadarko Basin</w:t>
      </w:r>
      <w:r>
        <w:rPr>
          <w:szCs w:val="28"/>
        </w:rPr>
        <w:t xml:space="preserve"> mainly due to</w:t>
      </w:r>
      <w:r w:rsidRPr="00FB3C0B">
        <w:rPr>
          <w:szCs w:val="28"/>
        </w:rPr>
        <w:t xml:space="preserve"> the fact that </w:t>
      </w:r>
      <w:r>
        <w:rPr>
          <w:szCs w:val="28"/>
        </w:rPr>
        <w:t>before 1970</w:t>
      </w:r>
      <w:r w:rsidRPr="00FB3C0B">
        <w:rPr>
          <w:szCs w:val="28"/>
        </w:rPr>
        <w:t xml:space="preserve"> geochemistry and related m</w:t>
      </w:r>
      <w:r>
        <w:rPr>
          <w:szCs w:val="28"/>
        </w:rPr>
        <w:t>ethods were not well established</w:t>
      </w:r>
      <w:r w:rsidRPr="00FB3C0B">
        <w:rPr>
          <w:szCs w:val="28"/>
        </w:rPr>
        <w:t xml:space="preserve">. However, there were some studies including organic geochemistry of deep wells in the Anadarko Basin, Oklahoma. Pusey (1973) </w:t>
      </w:r>
      <w:r w:rsidR="00A706F1">
        <w:rPr>
          <w:szCs w:val="28"/>
        </w:rPr>
        <w:t>reported</w:t>
      </w:r>
      <w:r w:rsidRPr="00FB3C0B">
        <w:rPr>
          <w:szCs w:val="28"/>
        </w:rPr>
        <w:t xml:space="preserve"> that </w:t>
      </w:r>
      <w:r w:rsidR="00A706F1">
        <w:rPr>
          <w:szCs w:val="28"/>
        </w:rPr>
        <w:t xml:space="preserve">the </w:t>
      </w:r>
      <w:r w:rsidRPr="00FB3C0B">
        <w:rPr>
          <w:szCs w:val="28"/>
        </w:rPr>
        <w:t>average TOC content of the Morrow Shale in the Baden Well-1 in Oklahoma</w:t>
      </w:r>
      <w:r>
        <w:rPr>
          <w:szCs w:val="28"/>
        </w:rPr>
        <w:t xml:space="preserve"> was</w:t>
      </w:r>
      <w:r w:rsidRPr="00FB3C0B">
        <w:rPr>
          <w:szCs w:val="28"/>
        </w:rPr>
        <w:t xml:space="preserve"> 0.5%. Hood et al. (1975) found </w:t>
      </w:r>
      <w:r>
        <w:rPr>
          <w:szCs w:val="28"/>
        </w:rPr>
        <w:t>the level of organic m</w:t>
      </w:r>
      <w:r w:rsidRPr="00FB3C0B">
        <w:rPr>
          <w:szCs w:val="28"/>
        </w:rPr>
        <w:t>etamorphism (LOM) in the upper unit of Shell Rumberger Well-5 as 14 which</w:t>
      </w:r>
      <w:r w:rsidRPr="00C62ADB">
        <w:rPr>
          <w:szCs w:val="28"/>
        </w:rPr>
        <w:t xml:space="preserve"> </w:t>
      </w:r>
      <w:r w:rsidRPr="00FB3C0B">
        <w:rPr>
          <w:szCs w:val="28"/>
        </w:rPr>
        <w:t>corresponds to approximately 2.1% vitrinite reflectance according to Tsiris (1983). Price</w:t>
      </w:r>
      <w:r>
        <w:rPr>
          <w:szCs w:val="28"/>
        </w:rPr>
        <w:t xml:space="preserve"> et al.</w:t>
      </w:r>
      <w:r w:rsidRPr="00FB3C0B">
        <w:rPr>
          <w:szCs w:val="28"/>
        </w:rPr>
        <w:t xml:space="preserve"> (1981) investigated Bertha Rogers-I well in Washita County, Oklahoma. </w:t>
      </w:r>
      <w:r w:rsidR="00E1019B">
        <w:rPr>
          <w:szCs w:val="28"/>
        </w:rPr>
        <w:t>They</w:t>
      </w:r>
      <w:r w:rsidRPr="00FB3C0B">
        <w:rPr>
          <w:szCs w:val="28"/>
        </w:rPr>
        <w:t xml:space="preserve"> found that between 5402 and 5649 m depth, whi</w:t>
      </w:r>
      <w:r w:rsidR="001063F7">
        <w:rPr>
          <w:szCs w:val="28"/>
        </w:rPr>
        <w:t xml:space="preserve">ch corresponds to </w:t>
      </w:r>
      <w:r w:rsidR="00AF691E">
        <w:rPr>
          <w:szCs w:val="28"/>
        </w:rPr>
        <w:t xml:space="preserve">the </w:t>
      </w:r>
      <w:r w:rsidR="001063F7">
        <w:rPr>
          <w:szCs w:val="28"/>
        </w:rPr>
        <w:t>Upper Morrow S</w:t>
      </w:r>
      <w:r w:rsidRPr="00FB3C0B">
        <w:rPr>
          <w:szCs w:val="28"/>
        </w:rPr>
        <w:t xml:space="preserve">hale, organic carbon content, carbonate content, bitumen ratio and vitrinite reflectance are approximately 0.9%, 7.8%, 35, and 1.9%, respectively. In </w:t>
      </w:r>
      <w:r>
        <w:rPr>
          <w:szCs w:val="28"/>
        </w:rPr>
        <w:t xml:space="preserve">the </w:t>
      </w:r>
      <w:r w:rsidRPr="00FB3C0B">
        <w:rPr>
          <w:szCs w:val="28"/>
        </w:rPr>
        <w:t xml:space="preserve">unpublished </w:t>
      </w:r>
      <w:r>
        <w:rPr>
          <w:szCs w:val="28"/>
        </w:rPr>
        <w:t>MS</w:t>
      </w:r>
      <w:r w:rsidRPr="00FB3C0B">
        <w:rPr>
          <w:szCs w:val="28"/>
        </w:rPr>
        <w:t xml:space="preserve"> thesis of </w:t>
      </w:r>
      <w:r w:rsidRPr="00FB3C0B">
        <w:rPr>
          <w:szCs w:val="28"/>
        </w:rPr>
        <w:lastRenderedPageBreak/>
        <w:t>Tsiris (1983), source rock characteristics of the Uppermost Morrow Shale in the Anadarko Basin, Oklahoma, w</w:t>
      </w:r>
      <w:r>
        <w:rPr>
          <w:szCs w:val="28"/>
        </w:rPr>
        <w:t>ere</w:t>
      </w:r>
      <w:r w:rsidRPr="00FB3C0B">
        <w:rPr>
          <w:szCs w:val="28"/>
        </w:rPr>
        <w:t xml:space="preserve"> evaluated. Moreover, he tried to relate higher maturity levels with </w:t>
      </w:r>
      <w:r>
        <w:rPr>
          <w:szCs w:val="28"/>
        </w:rPr>
        <w:t xml:space="preserve">the amount of </w:t>
      </w:r>
      <w:r w:rsidRPr="00FB3C0B">
        <w:rPr>
          <w:szCs w:val="28"/>
        </w:rPr>
        <w:t xml:space="preserve">graphitization in this interval. Walker (1986) conducted hydrous pyrolysis experiments to study maturity </w:t>
      </w:r>
      <w:r>
        <w:rPr>
          <w:szCs w:val="28"/>
        </w:rPr>
        <w:t xml:space="preserve">of the Morrow Formation and </w:t>
      </w:r>
      <w:r w:rsidRPr="00FB3C0B">
        <w:rPr>
          <w:szCs w:val="28"/>
        </w:rPr>
        <w:t>identified diagenetic characteristics of the formation. Wenger and Baker (1986) studied variations in organic geochemistry of anoxic-oxic black shale and carbonates in the Pennsylvanian Midcontinent.</w:t>
      </w:r>
      <w:r>
        <w:rPr>
          <w:szCs w:val="28"/>
        </w:rPr>
        <w:t xml:space="preserve"> Burruss and Hatch (1988) and Rice et al. (1988</w:t>
      </w:r>
      <w:r w:rsidRPr="00FB3C0B">
        <w:rPr>
          <w:szCs w:val="28"/>
        </w:rPr>
        <w:t>) studied Paleozoic source rocks in the Oklahoma Basin in terms of kerogen type and total organic carbon. According to Burru</w:t>
      </w:r>
      <w:r>
        <w:rPr>
          <w:szCs w:val="28"/>
        </w:rPr>
        <w:t>s</w:t>
      </w:r>
      <w:r w:rsidRPr="00FB3C0B">
        <w:rPr>
          <w:szCs w:val="28"/>
        </w:rPr>
        <w:t>s and Hatch (198</w:t>
      </w:r>
      <w:r>
        <w:rPr>
          <w:szCs w:val="28"/>
        </w:rPr>
        <w:t>8</w:t>
      </w:r>
      <w:r w:rsidRPr="00FB3C0B">
        <w:rPr>
          <w:szCs w:val="28"/>
        </w:rPr>
        <w:t>), Pennsylvanian shales are one of the designated potential source rock</w:t>
      </w:r>
      <w:r>
        <w:rPr>
          <w:szCs w:val="28"/>
        </w:rPr>
        <w:t>s</w:t>
      </w:r>
      <w:r w:rsidRPr="00FB3C0B">
        <w:rPr>
          <w:szCs w:val="28"/>
        </w:rPr>
        <w:t xml:space="preserve"> in the Anadarko Basin. In </w:t>
      </w:r>
      <w:r>
        <w:rPr>
          <w:szCs w:val="28"/>
        </w:rPr>
        <w:t xml:space="preserve">the </w:t>
      </w:r>
      <w:r w:rsidRPr="00FB3C0B">
        <w:rPr>
          <w:szCs w:val="28"/>
        </w:rPr>
        <w:t xml:space="preserve">unpublished </w:t>
      </w:r>
      <w:r>
        <w:rPr>
          <w:szCs w:val="28"/>
        </w:rPr>
        <w:t>MS</w:t>
      </w:r>
      <w:r w:rsidRPr="00FB3C0B">
        <w:rPr>
          <w:szCs w:val="28"/>
        </w:rPr>
        <w:t xml:space="preserve"> thesis of Hubert (1995), pressure regime, burial history and source rock maturation of the Morrow Formation in the western Anadarko Basin was analyzed. Wang and Philp (2001) </w:t>
      </w:r>
      <w:r>
        <w:rPr>
          <w:szCs w:val="28"/>
        </w:rPr>
        <w:t xml:space="preserve">described the </w:t>
      </w:r>
      <w:r w:rsidRPr="00FB3C0B">
        <w:rPr>
          <w:szCs w:val="28"/>
        </w:rPr>
        <w:t xml:space="preserve">geochemical characterization of </w:t>
      </w:r>
      <w:r>
        <w:rPr>
          <w:szCs w:val="28"/>
        </w:rPr>
        <w:t>important oil</w:t>
      </w:r>
      <w:r w:rsidRPr="00FB3C0B">
        <w:rPr>
          <w:szCs w:val="28"/>
        </w:rPr>
        <w:t xml:space="preserve"> and source rocks </w:t>
      </w:r>
      <w:r>
        <w:rPr>
          <w:szCs w:val="28"/>
        </w:rPr>
        <w:t>in the</w:t>
      </w:r>
      <w:r>
        <w:t xml:space="preserve"> Anadarko Basin and</w:t>
      </w:r>
      <w:r w:rsidRPr="00FB3C0B">
        <w:t xml:space="preserve"> identified characteristic biomarkers </w:t>
      </w:r>
      <w:r>
        <w:t>of the</w:t>
      </w:r>
      <w:r w:rsidRPr="00FB3C0B">
        <w:t xml:space="preserve"> Morrow Formation. </w:t>
      </w:r>
      <w:r w:rsidRPr="00FB3C0B">
        <w:rPr>
          <w:szCs w:val="28"/>
        </w:rPr>
        <w:t xml:space="preserve">Higley </w:t>
      </w:r>
      <w:r w:rsidR="00446AB6">
        <w:rPr>
          <w:szCs w:val="28"/>
        </w:rPr>
        <w:t xml:space="preserve">et al. </w:t>
      </w:r>
      <w:r w:rsidRPr="00FB3C0B">
        <w:rPr>
          <w:szCs w:val="28"/>
        </w:rPr>
        <w:t>(2014) summarized thermal maturation and burial history of petroleum source rocks, in the Anadarko Basin, in Colorad</w:t>
      </w:r>
      <w:r>
        <w:rPr>
          <w:szCs w:val="28"/>
        </w:rPr>
        <w:t>o, Kansas, Oklahoma, and Texas.</w:t>
      </w:r>
    </w:p>
    <w:p w:rsidR="00347CAD" w:rsidRDefault="00347CAD" w:rsidP="0099286C">
      <w:pPr>
        <w:ind w:firstLine="720"/>
        <w:jc w:val="both"/>
        <w:rPr>
          <w:szCs w:val="28"/>
        </w:rPr>
      </w:pPr>
    </w:p>
    <w:p w:rsidR="0099286C" w:rsidRDefault="0099286C" w:rsidP="000776CE">
      <w:pPr>
        <w:pStyle w:val="Balk2"/>
      </w:pPr>
      <w:bookmarkStart w:id="19" w:name="_Toc507506625"/>
      <w:r>
        <w:t xml:space="preserve">2.3 </w:t>
      </w:r>
      <w:r w:rsidR="007346E1">
        <w:t xml:space="preserve">The </w:t>
      </w:r>
      <w:r>
        <w:t>Early Pennsylvanian World in North America</w:t>
      </w:r>
      <w:bookmarkEnd w:id="19"/>
    </w:p>
    <w:p w:rsidR="0099286C" w:rsidRDefault="0099286C" w:rsidP="0099286C">
      <w:pPr>
        <w:ind w:firstLine="720"/>
        <w:jc w:val="both"/>
      </w:pPr>
      <w:r>
        <w:t xml:space="preserve">The Carboniferous period was around 359.2 Ma-299 Ma years ago. It is mainly divided into two subsystems, the Early Carboniferous (Mississippian) and the Late Carboniferous (Pennsylvanian) in North America. The </w:t>
      </w:r>
      <w:r w:rsidRPr="00430AC4">
        <w:t>Mississippian stratigraphy</w:t>
      </w:r>
      <w:r>
        <w:t xml:space="preserve"> can be easily distinguished</w:t>
      </w:r>
      <w:r w:rsidR="00A706F1">
        <w:t xml:space="preserve"> from</w:t>
      </w:r>
      <w:r>
        <w:t xml:space="preserve"> the Pennsylvanian stratigraphy in North-Americ</w:t>
      </w:r>
      <w:r w:rsidR="002C102F">
        <w:t>a (Waggoner, 1996) in a way that</w:t>
      </w:r>
      <w:r>
        <w:t xml:space="preserve"> the Mississippian environment was marine dominated and more </w:t>
      </w:r>
      <w:r>
        <w:lastRenderedPageBreak/>
        <w:t xml:space="preserve">tropical which led to thick carbonate successions through North America. </w:t>
      </w:r>
      <w:r w:rsidR="00A706F1">
        <w:t>The</w:t>
      </w:r>
      <w:r>
        <w:t xml:space="preserve"> Pennsylvanian Period was dominated with alternating marine and terrestrial conditions </w:t>
      </w:r>
      <w:r w:rsidR="00A706F1">
        <w:t>by</w:t>
      </w:r>
      <w:r>
        <w:t xml:space="preserve"> the effect</w:t>
      </w:r>
      <w:r w:rsidR="00A706F1">
        <w:t>s</w:t>
      </w:r>
      <w:r>
        <w:t xml:space="preserve"> of South Pole Glaciation which caused the deposition of extensive coal during this period. </w:t>
      </w:r>
    </w:p>
    <w:p w:rsidR="0099286C" w:rsidRDefault="0099286C" w:rsidP="0099286C">
      <w:pPr>
        <w:jc w:val="both"/>
      </w:pPr>
      <w:r>
        <w:tab/>
        <w:t xml:space="preserve">The Late Carboniferous period is the time when the Pangea Supercontinent started to form as a result of closing of the Rheic Ocean as the Gondwana and the Laurussia continents approached and collided </w:t>
      </w:r>
      <w:r w:rsidR="005C1001">
        <w:t xml:space="preserve">with </w:t>
      </w:r>
      <w:r>
        <w:t xml:space="preserve">each other (Golonka, 2000). The collision developed the Ouachita-Appalachian Orogeny in North America and other mountain belts in different part of the world </w:t>
      </w:r>
      <w:r w:rsidR="005C1001">
        <w:t xml:space="preserve">such as Mauretinides in Africa and the </w:t>
      </w:r>
      <w:r>
        <w:t xml:space="preserve">Variscan mountains in Europe (Golonka, 2000). There was also a major transition in paleoclimate from a Mississippian </w:t>
      </w:r>
      <w:r w:rsidRPr="00F8116D">
        <w:t xml:space="preserve">tropical and humid </w:t>
      </w:r>
      <w:r w:rsidR="002C102F">
        <w:t xml:space="preserve">world into the </w:t>
      </w:r>
      <w:r>
        <w:t>Pennsylvanian</w:t>
      </w:r>
      <w:r w:rsidR="002C102F">
        <w:t xml:space="preserve"> with</w:t>
      </w:r>
      <w:r>
        <w:t xml:space="preserve"> more arid and cooler conditions with the effect of Late Paleozoic Glaciation (LPG) at the South Pole. This abrupt change in climatic conditions was associated with closing of the equatorial Rheic seaway which might have led to major disturbances in oceanic and atmospheric circulation pathways and eventually triggered extensive glaciation at the South Pole (Smith and Read, 2000; Figure 5). During the LPG period, excess sea water was trapped as ice sheets which caused sea level to drop drastically and lead to</w:t>
      </w:r>
      <w:r w:rsidR="00A706F1">
        <w:t xml:space="preserve"> an</w:t>
      </w:r>
      <w:r>
        <w:t xml:space="preserve"> increase</w:t>
      </w:r>
      <w:r w:rsidR="005C1001">
        <w:t>s</w:t>
      </w:r>
      <w:r>
        <w:t xml:space="preserve"> in terrestrial environment</w:t>
      </w:r>
      <w:r w:rsidR="00A706F1">
        <w:t>s</w:t>
      </w:r>
      <w:r w:rsidRPr="00A67828">
        <w:t xml:space="preserve"> </w:t>
      </w:r>
      <w:r>
        <w:t>and</w:t>
      </w:r>
      <w:r w:rsidRPr="00A67828">
        <w:t xml:space="preserve"> </w:t>
      </w:r>
      <w:r>
        <w:t>habitat</w:t>
      </w:r>
      <w:r w:rsidR="00A706F1">
        <w:t>s</w:t>
      </w:r>
      <w:r>
        <w:t xml:space="preserve">. Changes in the ice sheet volume in </w:t>
      </w:r>
      <w:r w:rsidR="007346E1">
        <w:t xml:space="preserve">the </w:t>
      </w:r>
      <w:r>
        <w:t>Pennsylvanian time caused periodic sea-level fluctuations which can be observed in the rock record as deposition of shallow marine and mixed depositional environment sediments in cyclothym depositional setting in North America (Smith and Read, 2000).</w:t>
      </w:r>
    </w:p>
    <w:p w:rsidR="00F35DC6" w:rsidRDefault="00F35DC6" w:rsidP="00F35DC6">
      <w:pPr>
        <w:jc w:val="both"/>
      </w:pPr>
      <w:r>
        <w:tab/>
        <w:t>DiMichele et al. (2005) stated that “The Late Carboniferous-Early Permian time interval was the first cold climate interval in Earth history where the continents were</w:t>
      </w:r>
      <w:r w:rsidRPr="00F35DC6">
        <w:t xml:space="preserve"> </w:t>
      </w:r>
    </w:p>
    <w:p w:rsidR="0099286C" w:rsidRDefault="0099286C" w:rsidP="000F4852">
      <w:pPr>
        <w:jc w:val="center"/>
      </w:pPr>
      <w:r w:rsidRPr="00874B81">
        <w:rPr>
          <w:noProof/>
          <w:lang w:val="tr-TR" w:eastAsia="tr-TR" w:bidi="ar-SA"/>
        </w:rPr>
        <w:lastRenderedPageBreak/>
        <w:drawing>
          <wp:inline distT="0" distB="0" distL="0" distR="0" wp14:anchorId="4D139997" wp14:editId="03F81B03">
            <wp:extent cx="4446128" cy="7398141"/>
            <wp:effectExtent l="0" t="0" r="0" b="0"/>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20"/>
                    <a:stretch>
                      <a:fillRect/>
                    </a:stretch>
                  </pic:blipFill>
                  <pic:spPr>
                    <a:xfrm>
                      <a:off x="0" y="0"/>
                      <a:ext cx="4488252" cy="7468233"/>
                    </a:xfrm>
                    <a:prstGeom prst="rect">
                      <a:avLst/>
                    </a:prstGeom>
                  </pic:spPr>
                </pic:pic>
              </a:graphicData>
            </a:graphic>
          </wp:inline>
        </w:drawing>
      </w:r>
    </w:p>
    <w:p w:rsidR="0099286C" w:rsidRPr="00047B80" w:rsidRDefault="0099286C" w:rsidP="0099286C">
      <w:pPr>
        <w:pStyle w:val="ResimYazs"/>
        <w:jc w:val="both"/>
        <w:rPr>
          <w:rFonts w:ascii="Times New Roman" w:hAnsi="Times New Roman"/>
          <w:b w:val="0"/>
          <w:color w:val="000000" w:themeColor="text1"/>
          <w:szCs w:val="24"/>
          <w:shd w:val="clear" w:color="auto" w:fill="FFFFFF"/>
        </w:rPr>
      </w:pPr>
      <w:bookmarkStart w:id="20" w:name="_Toc507509053"/>
      <w:r>
        <w:t xml:space="preserve">Figure </w:t>
      </w:r>
      <w:fldSimple w:instr=" SEQ Figure \* ARABIC ">
        <w:r w:rsidR="003F6459">
          <w:rPr>
            <w:noProof/>
          </w:rPr>
          <w:t>5</w:t>
        </w:r>
      </w:fldSimple>
      <w:r>
        <w:t xml:space="preserve">. </w:t>
      </w:r>
      <w:r w:rsidRPr="00047B80">
        <w:rPr>
          <w:b w:val="0"/>
          <w:color w:val="000000" w:themeColor="text1"/>
        </w:rPr>
        <w:t>Paleogeographic maps of</w:t>
      </w:r>
      <w:r w:rsidRPr="00047B80">
        <w:rPr>
          <w:color w:val="000000" w:themeColor="text1"/>
        </w:rPr>
        <w:t xml:space="preserve"> </w:t>
      </w:r>
      <w:r w:rsidRPr="00047B80">
        <w:rPr>
          <w:rFonts w:ascii="Times New Roman" w:hAnsi="Times New Roman"/>
          <w:b w:val="0"/>
          <w:color w:val="000000" w:themeColor="text1"/>
          <w:szCs w:val="24"/>
          <w:shd w:val="clear" w:color="auto" w:fill="FFFFFF"/>
        </w:rPr>
        <w:t xml:space="preserve">(a) The Late Mississippian (340 Mya) </w:t>
      </w:r>
      <w:r w:rsidR="00047B80">
        <w:rPr>
          <w:rFonts w:ascii="Times New Roman" w:hAnsi="Times New Roman"/>
          <w:b w:val="0"/>
          <w:color w:val="000000" w:themeColor="text1"/>
          <w:szCs w:val="24"/>
          <w:shd w:val="clear" w:color="auto" w:fill="FFFFFF"/>
        </w:rPr>
        <w:t>early icehouse and (b) the Late</w:t>
      </w:r>
      <w:r w:rsidRPr="00047B80">
        <w:rPr>
          <w:rFonts w:ascii="Times New Roman" w:hAnsi="Times New Roman"/>
          <w:b w:val="0"/>
          <w:color w:val="000000" w:themeColor="text1"/>
          <w:szCs w:val="24"/>
          <w:shd w:val="clear" w:color="auto" w:fill="FFFFFF"/>
        </w:rPr>
        <w:t xml:space="preserve"> Pennsylvanian (300 Mya) peak icehouse (Modified after Monta</w:t>
      </w:r>
      <w:r w:rsidR="00295F0A">
        <w:rPr>
          <w:rFonts w:ascii="Times New Roman" w:hAnsi="Times New Roman"/>
          <w:b w:val="0"/>
          <w:color w:val="000000" w:themeColor="text1"/>
          <w:szCs w:val="24"/>
          <w:shd w:val="clear" w:color="auto" w:fill="FFFFFF"/>
        </w:rPr>
        <w:t>ñ</w:t>
      </w:r>
      <w:r w:rsidRPr="00047B80">
        <w:rPr>
          <w:rFonts w:ascii="Times New Roman" w:hAnsi="Times New Roman"/>
          <w:b w:val="0"/>
          <w:color w:val="000000" w:themeColor="text1"/>
          <w:szCs w:val="24"/>
          <w:shd w:val="clear" w:color="auto" w:fill="FFFFFF"/>
        </w:rPr>
        <w:t>ez and Poulsen, 2013)</w:t>
      </w:r>
      <w:bookmarkEnd w:id="20"/>
    </w:p>
    <w:p w:rsidR="0099286C" w:rsidRDefault="00F35DC6" w:rsidP="00F35DC6">
      <w:pPr>
        <w:jc w:val="both"/>
      </w:pPr>
      <w:r>
        <w:lastRenderedPageBreak/>
        <w:t xml:space="preserve">covered by vascular plants.” During the Pennsylvanian Period, swamp </w:t>
      </w:r>
      <w:r w:rsidR="0099286C">
        <w:t xml:space="preserve">forests were widespread and vascular plants such as ferns and lycopsids in the swamp forests were the main source of organic material for coal deposition which was deposited in excessive amounts in this period. </w:t>
      </w:r>
      <w:r w:rsidR="00A706F1">
        <w:t>The</w:t>
      </w:r>
      <w:r w:rsidR="0099286C">
        <w:t xml:space="preserve"> Serpukhovian extinction event occurred concurrently with formation of the Pangea Supercontinent and the Late Paleozoic Glaciation at the end of the Mississippian time (Powell, 2008). The collision of the Gondwana and the Laurussia continents decreased the net amount of coastline which in turn affected the diversity of marine habitat</w:t>
      </w:r>
      <w:r w:rsidR="00A706F1">
        <w:t>s</w:t>
      </w:r>
      <w:r w:rsidR="0099286C">
        <w:t xml:space="preserve"> (Waggoner, 1996). McGhee et al. (2013) suggested that 39% of the marine fauna became extinct during the Serpukhovian extinction. In addition, freshwater clams and earliest ancestor</w:t>
      </w:r>
      <w:r w:rsidR="00A706F1">
        <w:t>s</w:t>
      </w:r>
      <w:r w:rsidR="0099286C">
        <w:t xml:space="preserve"> of conifers appeared for</w:t>
      </w:r>
      <w:r w:rsidR="005C1001">
        <w:t xml:space="preserve"> the</w:t>
      </w:r>
      <w:r w:rsidR="0099286C">
        <w:t xml:space="preserve"> first time in history and the number of gastropods increased.</w:t>
      </w:r>
    </w:p>
    <w:p w:rsidR="0099286C" w:rsidRPr="00910CFA" w:rsidRDefault="0099286C" w:rsidP="0099286C">
      <w:pPr>
        <w:ind w:firstLine="720"/>
        <w:jc w:val="both"/>
      </w:pPr>
    </w:p>
    <w:p w:rsidR="0099286C" w:rsidRDefault="0099286C" w:rsidP="000776CE">
      <w:pPr>
        <w:pStyle w:val="Balk2"/>
      </w:pPr>
      <w:bookmarkStart w:id="21" w:name="_Toc507506626"/>
      <w:r>
        <w:t xml:space="preserve">2.3 </w:t>
      </w:r>
      <w:r w:rsidR="00AF691E">
        <w:t xml:space="preserve">The </w:t>
      </w:r>
      <w:r>
        <w:t>Morrow Stratigraphy</w:t>
      </w:r>
      <w:bookmarkEnd w:id="21"/>
    </w:p>
    <w:p w:rsidR="0099286C" w:rsidRDefault="0099286C" w:rsidP="0099286C">
      <w:pPr>
        <w:ind w:firstLine="720"/>
        <w:jc w:val="both"/>
        <w:rPr>
          <w:szCs w:val="28"/>
        </w:rPr>
      </w:pPr>
      <w:r w:rsidRPr="00FB3C0B">
        <w:rPr>
          <w:szCs w:val="28"/>
        </w:rPr>
        <w:t xml:space="preserve">The Morrow Formation is a </w:t>
      </w:r>
      <w:r>
        <w:rPr>
          <w:szCs w:val="28"/>
        </w:rPr>
        <w:t xml:space="preserve">basal </w:t>
      </w:r>
      <w:r w:rsidRPr="00FB3C0B">
        <w:rPr>
          <w:szCs w:val="28"/>
        </w:rPr>
        <w:t xml:space="preserve">transgressive </w:t>
      </w:r>
      <w:r>
        <w:rPr>
          <w:szCs w:val="28"/>
        </w:rPr>
        <w:t xml:space="preserve">unit that was deposited during </w:t>
      </w:r>
      <w:r w:rsidR="0084487F">
        <w:rPr>
          <w:szCs w:val="28"/>
        </w:rPr>
        <w:t xml:space="preserve">the </w:t>
      </w:r>
      <w:r>
        <w:rPr>
          <w:szCs w:val="28"/>
        </w:rPr>
        <w:t>l</w:t>
      </w:r>
      <w:r w:rsidRPr="00FB3C0B">
        <w:rPr>
          <w:szCs w:val="28"/>
        </w:rPr>
        <w:t>ower Pennsylvanian time (Forgotson et al., 1966).</w:t>
      </w:r>
      <w:r>
        <w:rPr>
          <w:szCs w:val="28"/>
        </w:rPr>
        <w:t xml:space="preserve"> It is </w:t>
      </w:r>
      <w:r w:rsidR="0084487F">
        <w:rPr>
          <w:szCs w:val="28"/>
        </w:rPr>
        <w:t xml:space="preserve">conformably </w:t>
      </w:r>
      <w:r w:rsidRPr="00FB3C0B">
        <w:rPr>
          <w:szCs w:val="28"/>
        </w:rPr>
        <w:t xml:space="preserve">overlain by </w:t>
      </w:r>
      <w:r>
        <w:rPr>
          <w:szCs w:val="28"/>
        </w:rPr>
        <w:t xml:space="preserve">the </w:t>
      </w:r>
      <w:r w:rsidRPr="00FB3C0B">
        <w:rPr>
          <w:szCs w:val="28"/>
        </w:rPr>
        <w:t xml:space="preserve">“Thirteen Finger Limestone” of the Atoka Formation and </w:t>
      </w:r>
      <w:r w:rsidR="00362829">
        <w:rPr>
          <w:szCs w:val="28"/>
        </w:rPr>
        <w:t xml:space="preserve">unconformably </w:t>
      </w:r>
      <w:r w:rsidRPr="00FB3C0B">
        <w:rPr>
          <w:szCs w:val="28"/>
        </w:rPr>
        <w:t xml:space="preserve">underlain by </w:t>
      </w:r>
      <w:r>
        <w:rPr>
          <w:szCs w:val="28"/>
        </w:rPr>
        <w:t xml:space="preserve">the </w:t>
      </w:r>
      <w:r w:rsidRPr="00FB3C0B">
        <w:rPr>
          <w:szCs w:val="28"/>
        </w:rPr>
        <w:t>Springer Formation (Andrews, 1999)</w:t>
      </w:r>
      <w:r>
        <w:rPr>
          <w:szCs w:val="28"/>
        </w:rPr>
        <w:t xml:space="preserve"> in most of the Anadarko Basin. The </w:t>
      </w:r>
      <w:r w:rsidRPr="00FB3C0B">
        <w:rPr>
          <w:szCs w:val="28"/>
        </w:rPr>
        <w:t xml:space="preserve">Morrow-Springer boundary has always been a controversial issue as it is also considered to be a regional </w:t>
      </w:r>
      <w:r>
        <w:rPr>
          <w:szCs w:val="28"/>
        </w:rPr>
        <w:t xml:space="preserve">unconformity </w:t>
      </w:r>
      <w:r w:rsidRPr="00FB3C0B">
        <w:rPr>
          <w:szCs w:val="28"/>
        </w:rPr>
        <w:t>surface. Accor</w:t>
      </w:r>
      <w:r>
        <w:rPr>
          <w:szCs w:val="28"/>
        </w:rPr>
        <w:t>ding to Bowen and Weimer (2003),</w:t>
      </w:r>
      <w:r w:rsidRPr="00FB3C0B">
        <w:rPr>
          <w:szCs w:val="28"/>
        </w:rPr>
        <w:t xml:space="preserve"> Mississippian carbonates are separated from </w:t>
      </w:r>
      <w:r>
        <w:rPr>
          <w:szCs w:val="28"/>
        </w:rPr>
        <w:t xml:space="preserve">the </w:t>
      </w:r>
      <w:r w:rsidRPr="00FB3C0B">
        <w:rPr>
          <w:szCs w:val="28"/>
        </w:rPr>
        <w:t>Morrow Formation by an angular unconformity which was formed as a result of</w:t>
      </w:r>
      <w:r>
        <w:rPr>
          <w:szCs w:val="28"/>
        </w:rPr>
        <w:t xml:space="preserve"> the </w:t>
      </w:r>
      <w:r w:rsidRPr="00FB3C0B">
        <w:rPr>
          <w:szCs w:val="28"/>
        </w:rPr>
        <w:t>late Mississippian epeirogeny.</w:t>
      </w:r>
      <w:r>
        <w:rPr>
          <w:szCs w:val="28"/>
        </w:rPr>
        <w:t xml:space="preserve"> </w:t>
      </w:r>
      <w:r w:rsidR="00A706F1">
        <w:rPr>
          <w:szCs w:val="28"/>
        </w:rPr>
        <w:t>Alternatively</w:t>
      </w:r>
      <w:r>
        <w:rPr>
          <w:szCs w:val="28"/>
        </w:rPr>
        <w:t xml:space="preserve">, Andrews (1995) suggested that in the shallower parts of the Anadarko Basin this stratigraphic relation between the Morrow and the Springer is completely conformable. </w:t>
      </w:r>
      <w:r w:rsidRPr="00FB3C0B">
        <w:rPr>
          <w:szCs w:val="28"/>
        </w:rPr>
        <w:t xml:space="preserve"> Moreover, </w:t>
      </w:r>
      <w:r>
        <w:rPr>
          <w:szCs w:val="28"/>
        </w:rPr>
        <w:t xml:space="preserve">the </w:t>
      </w:r>
      <w:r w:rsidRPr="00FB3C0B">
        <w:rPr>
          <w:szCs w:val="28"/>
        </w:rPr>
        <w:lastRenderedPageBreak/>
        <w:t>Pennsylvanian-Mississippian boundary is generally associate</w:t>
      </w:r>
      <w:r>
        <w:rPr>
          <w:szCs w:val="28"/>
        </w:rPr>
        <w:t>d with the Morrow-Springer boundary although this may not be applicable elsewhere</w:t>
      </w:r>
      <w:r w:rsidRPr="00FB3C0B">
        <w:rPr>
          <w:szCs w:val="28"/>
        </w:rPr>
        <w:t xml:space="preserve"> (</w:t>
      </w:r>
      <w:r>
        <w:rPr>
          <w:szCs w:val="28"/>
        </w:rPr>
        <w:t>Peace, 1989).</w:t>
      </w:r>
    </w:p>
    <w:p w:rsidR="0099286C" w:rsidRDefault="00AF691E" w:rsidP="0099286C">
      <w:pPr>
        <w:ind w:firstLine="720"/>
        <w:jc w:val="both"/>
        <w:rPr>
          <w:szCs w:val="28"/>
        </w:rPr>
      </w:pPr>
      <w:r>
        <w:rPr>
          <w:szCs w:val="28"/>
        </w:rPr>
        <w:t xml:space="preserve">The </w:t>
      </w:r>
      <w:r w:rsidR="0099286C" w:rsidRPr="00FB3C0B">
        <w:rPr>
          <w:szCs w:val="28"/>
        </w:rPr>
        <w:t xml:space="preserve">Morrow sediments have not been formally subdivided into groups, formations or members in Oklahoma (Andrews, 1999). </w:t>
      </w:r>
      <w:r w:rsidR="0099286C">
        <w:rPr>
          <w:szCs w:val="28"/>
        </w:rPr>
        <w:t>T</w:t>
      </w:r>
      <w:r w:rsidR="0099286C" w:rsidRPr="00FB3C0B">
        <w:rPr>
          <w:szCs w:val="28"/>
        </w:rPr>
        <w:t xml:space="preserve">he formation </w:t>
      </w:r>
      <w:r w:rsidR="0099286C">
        <w:rPr>
          <w:szCs w:val="28"/>
        </w:rPr>
        <w:t>is</w:t>
      </w:r>
      <w:r w:rsidR="0099286C" w:rsidRPr="00FB3C0B">
        <w:rPr>
          <w:szCs w:val="28"/>
        </w:rPr>
        <w:t xml:space="preserve"> not expose</w:t>
      </w:r>
      <w:r w:rsidR="0099286C">
        <w:rPr>
          <w:szCs w:val="28"/>
        </w:rPr>
        <w:t>d</w:t>
      </w:r>
      <w:r w:rsidR="0099286C" w:rsidRPr="00FB3C0B">
        <w:rPr>
          <w:szCs w:val="28"/>
        </w:rPr>
        <w:t xml:space="preserve"> in the region and </w:t>
      </w:r>
      <w:r w:rsidR="0099286C">
        <w:rPr>
          <w:szCs w:val="28"/>
        </w:rPr>
        <w:t>the facies are</w:t>
      </w:r>
      <w:r w:rsidR="0099286C" w:rsidRPr="00FB3C0B">
        <w:rPr>
          <w:szCs w:val="28"/>
        </w:rPr>
        <w:t xml:space="preserve"> extremely variable within short distance</w:t>
      </w:r>
      <w:r w:rsidR="005C1001">
        <w:rPr>
          <w:szCs w:val="28"/>
        </w:rPr>
        <w:t>s</w:t>
      </w:r>
      <w:r w:rsidR="0099286C" w:rsidRPr="00FB3C0B">
        <w:rPr>
          <w:szCs w:val="28"/>
        </w:rPr>
        <w:t xml:space="preserve"> both vertically and laterally (Abels, 1958). Thus, there are various informal subsurface names</w:t>
      </w:r>
      <w:r w:rsidR="0099286C">
        <w:rPr>
          <w:szCs w:val="28"/>
        </w:rPr>
        <w:t xml:space="preserve"> proposed by</w:t>
      </w:r>
      <w:r w:rsidR="0099286C" w:rsidRPr="00FB3C0B">
        <w:rPr>
          <w:szCs w:val="28"/>
        </w:rPr>
        <w:t xml:space="preserve"> geologists (</w:t>
      </w:r>
      <w:r w:rsidR="0099286C" w:rsidRPr="00910CFA">
        <w:rPr>
          <w:szCs w:val="28"/>
        </w:rPr>
        <w:t>Figure 6</w:t>
      </w:r>
      <w:r w:rsidR="0099286C" w:rsidRPr="00FB3C0B">
        <w:rPr>
          <w:szCs w:val="28"/>
        </w:rPr>
        <w:t xml:space="preserve">). Some of the subdivisions were made based on lithology while the others were </w:t>
      </w:r>
      <w:r w:rsidR="0099286C" w:rsidRPr="00CB0BB7">
        <w:rPr>
          <w:szCs w:val="28"/>
        </w:rPr>
        <w:t xml:space="preserve">based on depositional environment, geological </w:t>
      </w:r>
      <w:r w:rsidR="00CF57F1" w:rsidRPr="00CB0BB7">
        <w:rPr>
          <w:szCs w:val="28"/>
        </w:rPr>
        <w:t>convenience</w:t>
      </w:r>
      <w:r w:rsidR="00CF57F1" w:rsidRPr="00FB3C0B">
        <w:rPr>
          <w:szCs w:val="28"/>
        </w:rPr>
        <w:t xml:space="preserve"> </w:t>
      </w:r>
      <w:r w:rsidR="0099286C" w:rsidRPr="00CB0BB7">
        <w:rPr>
          <w:szCs w:val="28"/>
        </w:rPr>
        <w:t>or economic significance. For</w:t>
      </w:r>
      <w:r w:rsidR="0099286C">
        <w:rPr>
          <w:szCs w:val="28"/>
        </w:rPr>
        <w:t xml:space="preserve"> example, </w:t>
      </w:r>
      <w:r w:rsidR="0099286C" w:rsidRPr="00FB3C0B">
        <w:rPr>
          <w:szCs w:val="28"/>
        </w:rPr>
        <w:t xml:space="preserve">Forgotson et al. (1966) subdivided the formation as </w:t>
      </w:r>
      <w:r>
        <w:rPr>
          <w:szCs w:val="28"/>
        </w:rPr>
        <w:t xml:space="preserve">the </w:t>
      </w:r>
      <w:r w:rsidR="0099286C" w:rsidRPr="00FB3C0B">
        <w:rPr>
          <w:szCs w:val="28"/>
        </w:rPr>
        <w:t>Lower, Middle and Upper Morrow based on the lithology. Accor</w:t>
      </w:r>
      <w:r w:rsidR="0099286C">
        <w:rPr>
          <w:szCs w:val="28"/>
        </w:rPr>
        <w:t>ding to Forgotson et al. (1966), the</w:t>
      </w:r>
      <w:r w:rsidR="0099286C" w:rsidRPr="00FB3C0B">
        <w:rPr>
          <w:szCs w:val="28"/>
        </w:rPr>
        <w:t xml:space="preserve"> Lower unit is composed of terrestrial clastics, </w:t>
      </w:r>
      <w:r w:rsidR="0099286C">
        <w:rPr>
          <w:szCs w:val="28"/>
        </w:rPr>
        <w:t xml:space="preserve">the </w:t>
      </w:r>
      <w:r w:rsidR="0099286C" w:rsidRPr="00FB3C0B">
        <w:rPr>
          <w:szCs w:val="28"/>
        </w:rPr>
        <w:t xml:space="preserve">Middle unit composed of marine limestone and shales and </w:t>
      </w:r>
      <w:r w:rsidR="0099286C">
        <w:rPr>
          <w:szCs w:val="28"/>
        </w:rPr>
        <w:t xml:space="preserve">the </w:t>
      </w:r>
      <w:r w:rsidR="0099286C" w:rsidRPr="00FB3C0B">
        <w:rPr>
          <w:szCs w:val="28"/>
        </w:rPr>
        <w:t xml:space="preserve">Upper unit is only composed </w:t>
      </w:r>
      <w:r w:rsidR="0099286C">
        <w:rPr>
          <w:szCs w:val="28"/>
        </w:rPr>
        <w:t>of</w:t>
      </w:r>
      <w:r w:rsidR="0099286C" w:rsidRPr="00FB3C0B">
        <w:rPr>
          <w:szCs w:val="28"/>
        </w:rPr>
        <w:t xml:space="preserve"> shale.</w:t>
      </w:r>
      <w:r w:rsidR="0099286C">
        <w:rPr>
          <w:szCs w:val="28"/>
        </w:rPr>
        <w:t xml:space="preserve"> </w:t>
      </w:r>
      <w:r w:rsidR="0099286C" w:rsidRPr="00FB3C0B">
        <w:rPr>
          <w:szCs w:val="28"/>
        </w:rPr>
        <w:t xml:space="preserve">Benton </w:t>
      </w:r>
      <w:r w:rsidR="0099286C">
        <w:rPr>
          <w:szCs w:val="28"/>
        </w:rPr>
        <w:t xml:space="preserve">(1973) studied the Morrow in </w:t>
      </w:r>
      <w:r w:rsidR="0099286C" w:rsidRPr="00FB3C0B">
        <w:rPr>
          <w:szCs w:val="28"/>
        </w:rPr>
        <w:t xml:space="preserve">Texas County, Oklahoma and subdivided the Morrow Formation </w:t>
      </w:r>
      <w:r w:rsidR="0099286C">
        <w:rPr>
          <w:szCs w:val="28"/>
        </w:rPr>
        <w:t>into</w:t>
      </w:r>
      <w:r w:rsidR="0099286C" w:rsidRPr="00FB3C0B">
        <w:rPr>
          <w:szCs w:val="28"/>
        </w:rPr>
        <w:t xml:space="preserve"> Upper and Lower zone</w:t>
      </w:r>
      <w:r w:rsidR="0099286C">
        <w:rPr>
          <w:szCs w:val="28"/>
        </w:rPr>
        <w:t>s and he</w:t>
      </w:r>
      <w:r w:rsidR="0099286C" w:rsidRPr="00FB3C0B">
        <w:rPr>
          <w:szCs w:val="28"/>
        </w:rPr>
        <w:t xml:space="preserve"> suggested that the former was deposited </w:t>
      </w:r>
      <w:r w:rsidR="0099286C">
        <w:rPr>
          <w:szCs w:val="28"/>
        </w:rPr>
        <w:t>in a</w:t>
      </w:r>
      <w:r w:rsidR="0099286C" w:rsidRPr="00FB3C0B">
        <w:rPr>
          <w:szCs w:val="28"/>
        </w:rPr>
        <w:t xml:space="preserve"> fluvial environment</w:t>
      </w:r>
      <w:r w:rsidR="0099286C">
        <w:rPr>
          <w:szCs w:val="28"/>
        </w:rPr>
        <w:t xml:space="preserve"> and</w:t>
      </w:r>
      <w:r w:rsidR="002C102F">
        <w:rPr>
          <w:szCs w:val="28"/>
        </w:rPr>
        <w:t xml:space="preserve"> the latter was deposited in a</w:t>
      </w:r>
      <w:r w:rsidR="0099286C" w:rsidRPr="00FB3C0B">
        <w:rPr>
          <w:szCs w:val="28"/>
        </w:rPr>
        <w:t xml:space="preserve"> marine environment. Shelby (1980), Curtis and Ostergard (1980) and </w:t>
      </w:r>
      <w:r w:rsidR="0099286C" w:rsidRPr="00CB0BB7">
        <w:rPr>
          <w:szCs w:val="28"/>
        </w:rPr>
        <w:t>Andrews (2008) subdivided the Morrow Formation based on the geological convenience</w:t>
      </w:r>
      <w:r w:rsidR="0099286C" w:rsidRPr="00FB3C0B">
        <w:rPr>
          <w:szCs w:val="28"/>
        </w:rPr>
        <w:t xml:space="preserve"> and economic significance. They used </w:t>
      </w:r>
      <w:r w:rsidR="0099286C">
        <w:rPr>
          <w:szCs w:val="28"/>
        </w:rPr>
        <w:t xml:space="preserve">a </w:t>
      </w:r>
      <w:r w:rsidR="0099286C" w:rsidRPr="00FB3C0B">
        <w:rPr>
          <w:szCs w:val="28"/>
        </w:rPr>
        <w:t xml:space="preserve">regionally extensive limestone unit, which is </w:t>
      </w:r>
      <w:r w:rsidR="0099286C">
        <w:rPr>
          <w:szCs w:val="28"/>
        </w:rPr>
        <w:t xml:space="preserve">informally </w:t>
      </w:r>
      <w:r w:rsidR="0099286C" w:rsidRPr="00FB3C0B">
        <w:rPr>
          <w:szCs w:val="28"/>
        </w:rPr>
        <w:t>called Squaw Belly, to subdivide the fo</w:t>
      </w:r>
      <w:r w:rsidR="0099286C">
        <w:rPr>
          <w:szCs w:val="28"/>
        </w:rPr>
        <w:t>rmation and named the strata</w:t>
      </w:r>
      <w:r w:rsidR="0099286C" w:rsidRPr="00FB3C0B">
        <w:rPr>
          <w:szCs w:val="28"/>
        </w:rPr>
        <w:t xml:space="preserve"> above the Squaw Belly as </w:t>
      </w:r>
      <w:r>
        <w:rPr>
          <w:szCs w:val="28"/>
        </w:rPr>
        <w:t xml:space="preserve">the </w:t>
      </w:r>
      <w:r w:rsidR="0099286C" w:rsidRPr="00FB3C0B">
        <w:rPr>
          <w:szCs w:val="28"/>
        </w:rPr>
        <w:t xml:space="preserve">Upper Morrow, and below it as </w:t>
      </w:r>
      <w:r w:rsidR="0099286C">
        <w:rPr>
          <w:szCs w:val="28"/>
        </w:rPr>
        <w:t xml:space="preserve">the </w:t>
      </w:r>
      <w:r w:rsidR="0099286C" w:rsidRPr="00FB3C0B">
        <w:rPr>
          <w:szCs w:val="28"/>
        </w:rPr>
        <w:t>Lower Morrow</w:t>
      </w:r>
      <w:r w:rsidR="002C102F">
        <w:rPr>
          <w:szCs w:val="28"/>
        </w:rPr>
        <w:t xml:space="preserve"> Formation. In this study the name</w:t>
      </w:r>
      <w:r w:rsidR="0099286C">
        <w:rPr>
          <w:szCs w:val="28"/>
        </w:rPr>
        <w:t xml:space="preserve"> “Morrow Formation” is used for the rock succession from</w:t>
      </w:r>
      <w:r w:rsidR="00A706F1">
        <w:rPr>
          <w:szCs w:val="28"/>
        </w:rPr>
        <w:t xml:space="preserve"> the</w:t>
      </w:r>
      <w:r w:rsidR="0099286C">
        <w:rPr>
          <w:szCs w:val="28"/>
        </w:rPr>
        <w:t xml:space="preserve"> top of the Mississippian Springer Formation to</w:t>
      </w:r>
      <w:r w:rsidR="00A706F1">
        <w:rPr>
          <w:szCs w:val="28"/>
        </w:rPr>
        <w:t xml:space="preserve"> the</w:t>
      </w:r>
      <w:r w:rsidR="0099286C">
        <w:rPr>
          <w:szCs w:val="28"/>
        </w:rPr>
        <w:t xml:space="preserve"> bottom of the Atokan Thirteen Finger Limestone.</w:t>
      </w:r>
    </w:p>
    <w:p w:rsidR="0099286C" w:rsidRDefault="0099286C" w:rsidP="000F4852">
      <w:pPr>
        <w:jc w:val="center"/>
      </w:pPr>
      <w:r>
        <w:rPr>
          <w:noProof/>
          <w:szCs w:val="28"/>
          <w:lang w:val="tr-TR" w:eastAsia="tr-TR" w:bidi="ar-SA"/>
        </w:rPr>
        <w:lastRenderedPageBreak/>
        <w:drawing>
          <wp:inline distT="0" distB="0" distL="0" distR="0" wp14:anchorId="6030FDCE" wp14:editId="5285BF1F">
            <wp:extent cx="4887310" cy="6343774"/>
            <wp:effectExtent l="0" t="0" r="889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3350" cy="6611216"/>
                    </a:xfrm>
                    <a:prstGeom prst="rect">
                      <a:avLst/>
                    </a:prstGeom>
                    <a:noFill/>
                    <a:ln>
                      <a:noFill/>
                    </a:ln>
                  </pic:spPr>
                </pic:pic>
              </a:graphicData>
            </a:graphic>
          </wp:inline>
        </w:drawing>
      </w:r>
    </w:p>
    <w:p w:rsidR="00E17784" w:rsidRDefault="0099286C" w:rsidP="00E17784">
      <w:pPr>
        <w:pStyle w:val="ResimYazs"/>
        <w:jc w:val="both"/>
        <w:rPr>
          <w:b w:val="0"/>
        </w:rPr>
      </w:pPr>
      <w:bookmarkStart w:id="22" w:name="_Toc507509054"/>
      <w:r>
        <w:t xml:space="preserve">Figure </w:t>
      </w:r>
      <w:fldSimple w:instr=" SEQ Figure \* ARABIC ">
        <w:r w:rsidR="003F6459">
          <w:rPr>
            <w:noProof/>
          </w:rPr>
          <w:t>6</w:t>
        </w:r>
      </w:fldSimple>
      <w:r>
        <w:t xml:space="preserve">. </w:t>
      </w:r>
      <w:r w:rsidRPr="00D323E8">
        <w:rPr>
          <w:b w:val="0"/>
        </w:rPr>
        <w:t xml:space="preserve">Formal and Informal Stratigraphic Nomenclature Chart of </w:t>
      </w:r>
      <w:r w:rsidR="00AF691E">
        <w:rPr>
          <w:b w:val="0"/>
        </w:rPr>
        <w:t xml:space="preserve">the </w:t>
      </w:r>
      <w:r w:rsidRPr="00D323E8">
        <w:rPr>
          <w:b w:val="0"/>
        </w:rPr>
        <w:t xml:space="preserve">Morrow formation in </w:t>
      </w:r>
      <w:r w:rsidR="00A706F1">
        <w:rPr>
          <w:b w:val="0"/>
        </w:rPr>
        <w:t xml:space="preserve">the </w:t>
      </w:r>
      <w:r w:rsidRPr="00D323E8">
        <w:rPr>
          <w:b w:val="0"/>
        </w:rPr>
        <w:t>Anadarko Basin (Andrews, 200</w:t>
      </w:r>
      <w:r w:rsidR="00E17784">
        <w:rPr>
          <w:b w:val="0"/>
        </w:rPr>
        <w:t>8).</w:t>
      </w:r>
      <w:bookmarkEnd w:id="22"/>
    </w:p>
    <w:p w:rsidR="00E17784" w:rsidRPr="00E17784" w:rsidRDefault="00E17784" w:rsidP="00E17784"/>
    <w:p w:rsidR="00E17784" w:rsidRDefault="00E17784" w:rsidP="000776CE">
      <w:pPr>
        <w:pStyle w:val="Balk2"/>
      </w:pPr>
      <w:bookmarkStart w:id="23" w:name="_Toc507506627"/>
      <w:r>
        <w:t>2.4 Depositional Environment of the Morrow Shale in Oklahoma</w:t>
      </w:r>
      <w:bookmarkEnd w:id="23"/>
    </w:p>
    <w:p w:rsidR="00E17784" w:rsidRDefault="00E17784" w:rsidP="00E17784">
      <w:pPr>
        <w:ind w:firstLine="720"/>
        <w:jc w:val="both"/>
        <w:rPr>
          <w:szCs w:val="28"/>
        </w:rPr>
      </w:pPr>
      <w:r>
        <w:rPr>
          <w:szCs w:val="28"/>
        </w:rPr>
        <w:t>Within</w:t>
      </w:r>
      <w:r w:rsidRPr="00FB3C0B">
        <w:rPr>
          <w:szCs w:val="28"/>
        </w:rPr>
        <w:t xml:space="preserve"> Oklahoma,</w:t>
      </w:r>
      <w:r>
        <w:rPr>
          <w:szCs w:val="28"/>
        </w:rPr>
        <w:t xml:space="preserve"> the</w:t>
      </w:r>
      <w:r w:rsidRPr="00FB3C0B">
        <w:rPr>
          <w:szCs w:val="28"/>
        </w:rPr>
        <w:t xml:space="preserve"> </w:t>
      </w:r>
      <w:r>
        <w:rPr>
          <w:szCs w:val="28"/>
        </w:rPr>
        <w:t>Morrow Formation was deposited under</w:t>
      </w:r>
      <w:r w:rsidRPr="00FB3C0B">
        <w:rPr>
          <w:szCs w:val="28"/>
        </w:rPr>
        <w:t xml:space="preserve"> </w:t>
      </w:r>
      <w:r>
        <w:rPr>
          <w:szCs w:val="28"/>
        </w:rPr>
        <w:t>different</w:t>
      </w:r>
      <w:r w:rsidRPr="00FB3C0B">
        <w:rPr>
          <w:szCs w:val="28"/>
        </w:rPr>
        <w:t xml:space="preserve"> </w:t>
      </w:r>
      <w:r>
        <w:rPr>
          <w:szCs w:val="28"/>
        </w:rPr>
        <w:t xml:space="preserve">depositional conditions, which caused diverse depositional facies in different basins </w:t>
      </w:r>
      <w:r>
        <w:rPr>
          <w:szCs w:val="28"/>
        </w:rPr>
        <w:lastRenderedPageBreak/>
        <w:t xml:space="preserve">(Figure 7). In the Ardmore Basin, for </w:t>
      </w:r>
      <w:r w:rsidR="00A706F1">
        <w:rPr>
          <w:szCs w:val="28"/>
        </w:rPr>
        <w:t>example</w:t>
      </w:r>
      <w:r>
        <w:rPr>
          <w:szCs w:val="28"/>
        </w:rPr>
        <w:t xml:space="preserve">, the Morrow prevailed under deeper marine conditions with very fine grained silty sandstone with abundant glauconite, sponge spicules and </w:t>
      </w:r>
      <w:r w:rsidR="00A706F1">
        <w:rPr>
          <w:szCs w:val="28"/>
        </w:rPr>
        <w:t xml:space="preserve">the </w:t>
      </w:r>
      <w:r>
        <w:rPr>
          <w:szCs w:val="28"/>
        </w:rPr>
        <w:t>absence of shallow marine fossils (Andrews, 2008). From the Arkoma Basin through the Ozark Uplift, the depositional environment transitioned from marine shelf conditions into a very shallow carbonate ramp and tidal flat. In northwestern Arkansas</w:t>
      </w:r>
      <w:r w:rsidR="00A706F1">
        <w:rPr>
          <w:szCs w:val="28"/>
        </w:rPr>
        <w:t xml:space="preserve"> </w:t>
      </w:r>
      <w:r>
        <w:rPr>
          <w:szCs w:val="28"/>
        </w:rPr>
        <w:t>a fluvial depositional environment prevailed during deposition of the Morrow.</w:t>
      </w:r>
    </w:p>
    <w:p w:rsidR="00E17784" w:rsidRDefault="00E17784" w:rsidP="00E17784">
      <w:pPr>
        <w:ind w:firstLine="720"/>
        <w:jc w:val="both"/>
        <w:rPr>
          <w:szCs w:val="28"/>
        </w:rPr>
      </w:pPr>
      <w:r>
        <w:rPr>
          <w:szCs w:val="28"/>
        </w:rPr>
        <w:t xml:space="preserve">Andrews (1995) mentioned that the Morrow in the Anadarko Basin shows a very complex character and does not fit into a simple depositional model. He defined the Morrow depositional system as </w:t>
      </w:r>
      <w:r w:rsidR="00A706F1">
        <w:rPr>
          <w:szCs w:val="28"/>
        </w:rPr>
        <w:t xml:space="preserve">a </w:t>
      </w:r>
      <w:r>
        <w:rPr>
          <w:szCs w:val="28"/>
        </w:rPr>
        <w:t>“Dynamic system containing several different, but spatially interactive environments”. The main reason for that is the frequent sea level changes that significantly influenced the position of the shoreline and caused disco</w:t>
      </w:r>
      <w:r w:rsidR="0018008D">
        <w:rPr>
          <w:szCs w:val="28"/>
        </w:rPr>
        <w:t xml:space="preserve">ntinuous sandstone bodies to be </w:t>
      </w:r>
      <w:r>
        <w:rPr>
          <w:szCs w:val="28"/>
        </w:rPr>
        <w:t>deposited under highly dynamic conditions</w:t>
      </w:r>
      <w:r w:rsidR="0084487F">
        <w:rPr>
          <w:szCs w:val="28"/>
        </w:rPr>
        <w:t xml:space="preserve"> (Bowen and Weimer, 2003)</w:t>
      </w:r>
      <w:r>
        <w:rPr>
          <w:szCs w:val="28"/>
        </w:rPr>
        <w:t>. Periodic sea level changes also caused sediments from different depositional environments to be found in very close proximity to each other due to sediment shifting in response to sea level change. Thus, sea level fluctuations combined with periodic sediment influx formed erratic sandstone bodies that vary in thickness, lateral extent and depositional origin, and are embedded in</w:t>
      </w:r>
      <w:r w:rsidRPr="00C11B6D">
        <w:rPr>
          <w:szCs w:val="28"/>
        </w:rPr>
        <w:t xml:space="preserve"> </w:t>
      </w:r>
      <w:r w:rsidR="005C1001">
        <w:rPr>
          <w:szCs w:val="28"/>
        </w:rPr>
        <w:t>fine marine clastic (Bowen and Weimer, 2003)</w:t>
      </w:r>
      <w:r>
        <w:rPr>
          <w:szCs w:val="28"/>
        </w:rPr>
        <w:t>.</w:t>
      </w:r>
    </w:p>
    <w:p w:rsidR="000145F0" w:rsidRDefault="00E17784" w:rsidP="000145F0">
      <w:pPr>
        <w:ind w:firstLine="720"/>
        <w:jc w:val="both"/>
        <w:rPr>
          <w:szCs w:val="28"/>
        </w:rPr>
      </w:pPr>
      <w:r>
        <w:rPr>
          <w:szCs w:val="28"/>
        </w:rPr>
        <w:t>The d</w:t>
      </w:r>
      <w:r w:rsidRPr="00910CFA">
        <w:rPr>
          <w:szCs w:val="28"/>
        </w:rPr>
        <w:t>epositional history of the Lower Morrow Formation in</w:t>
      </w:r>
      <w:r>
        <w:rPr>
          <w:szCs w:val="28"/>
        </w:rPr>
        <w:t xml:space="preserve"> the Western Oklahoma portion of</w:t>
      </w:r>
      <w:r w:rsidRPr="00910CFA">
        <w:rPr>
          <w:szCs w:val="28"/>
        </w:rPr>
        <w:t xml:space="preserve"> </w:t>
      </w:r>
      <w:r>
        <w:rPr>
          <w:szCs w:val="28"/>
        </w:rPr>
        <w:t xml:space="preserve">the </w:t>
      </w:r>
      <w:r w:rsidRPr="00910CFA">
        <w:rPr>
          <w:szCs w:val="28"/>
        </w:rPr>
        <w:t>Anadarko Basin is mainly associated with shallow</w:t>
      </w:r>
      <w:r>
        <w:rPr>
          <w:szCs w:val="28"/>
        </w:rPr>
        <w:t xml:space="preserve"> marine</w:t>
      </w:r>
      <w:r w:rsidR="000145F0">
        <w:rPr>
          <w:szCs w:val="28"/>
        </w:rPr>
        <w:t xml:space="preserve"> </w:t>
      </w:r>
      <w:r w:rsidR="0099286C" w:rsidRPr="00910CFA">
        <w:rPr>
          <w:szCs w:val="28"/>
        </w:rPr>
        <w:t xml:space="preserve">conditions. </w:t>
      </w:r>
      <w:r w:rsidR="0099286C">
        <w:rPr>
          <w:szCs w:val="28"/>
        </w:rPr>
        <w:t xml:space="preserve">The </w:t>
      </w:r>
      <w:r w:rsidR="0099286C" w:rsidRPr="00910CFA">
        <w:rPr>
          <w:szCs w:val="28"/>
        </w:rPr>
        <w:t xml:space="preserve">Lower Morrow is characterized </w:t>
      </w:r>
      <w:r w:rsidR="0099286C">
        <w:rPr>
          <w:szCs w:val="28"/>
        </w:rPr>
        <w:t>as a</w:t>
      </w:r>
      <w:r w:rsidR="0099286C" w:rsidRPr="00910CFA">
        <w:rPr>
          <w:szCs w:val="28"/>
        </w:rPr>
        <w:t xml:space="preserve"> marine shale with interbedded</w:t>
      </w:r>
      <w:r w:rsidR="0099286C" w:rsidRPr="006A5473">
        <w:rPr>
          <w:szCs w:val="28"/>
        </w:rPr>
        <w:t xml:space="preserve"> </w:t>
      </w:r>
      <w:r w:rsidR="0084487F" w:rsidRPr="00910CFA">
        <w:rPr>
          <w:szCs w:val="28"/>
        </w:rPr>
        <w:t>discontinuous</w:t>
      </w:r>
      <w:r w:rsidR="0084487F">
        <w:rPr>
          <w:szCs w:val="28"/>
        </w:rPr>
        <w:t xml:space="preserve"> </w:t>
      </w:r>
      <w:r w:rsidR="0084487F" w:rsidRPr="00910CFA">
        <w:rPr>
          <w:szCs w:val="28"/>
        </w:rPr>
        <w:t>sandstone bodies (Higley</w:t>
      </w:r>
      <w:r w:rsidR="0084487F">
        <w:rPr>
          <w:szCs w:val="28"/>
        </w:rPr>
        <w:t xml:space="preserve"> et al.</w:t>
      </w:r>
      <w:r w:rsidR="0084487F" w:rsidRPr="00910CFA">
        <w:rPr>
          <w:szCs w:val="28"/>
        </w:rPr>
        <w:t>, 2014).</w:t>
      </w:r>
      <w:r w:rsidR="0084487F">
        <w:rPr>
          <w:szCs w:val="28"/>
        </w:rPr>
        <w:t xml:space="preserve"> Andrews (1995) suggested that</w:t>
      </w:r>
      <w:r w:rsidR="0084487F" w:rsidRPr="0084487F">
        <w:rPr>
          <w:szCs w:val="28"/>
        </w:rPr>
        <w:t xml:space="preserve"> </w:t>
      </w:r>
      <w:r w:rsidR="0084487F">
        <w:rPr>
          <w:szCs w:val="28"/>
        </w:rPr>
        <w:t>some</w:t>
      </w:r>
      <w:r w:rsidR="0084487F" w:rsidRPr="00A9524D">
        <w:rPr>
          <w:szCs w:val="28"/>
        </w:rPr>
        <w:t xml:space="preserve"> </w:t>
      </w:r>
      <w:r w:rsidR="0084487F">
        <w:rPr>
          <w:szCs w:val="28"/>
        </w:rPr>
        <w:t>localized areas in the basin show a stratigraphic transition in depositional</w:t>
      </w:r>
    </w:p>
    <w:p w:rsidR="00CF57F1" w:rsidRDefault="000145F0" w:rsidP="007608CF">
      <w:pPr>
        <w:keepNext/>
        <w:jc w:val="both"/>
        <w:rPr>
          <w:szCs w:val="28"/>
        </w:rPr>
      </w:pPr>
      <w:r>
        <w:rPr>
          <w:noProof/>
          <w:lang w:val="tr-TR" w:eastAsia="tr-TR" w:bidi="ar-SA"/>
        </w:rPr>
        <w:lastRenderedPageBreak/>
        <mc:AlternateContent>
          <mc:Choice Requires="wps">
            <w:drawing>
              <wp:anchor distT="45720" distB="45720" distL="114300" distR="114300" simplePos="0" relativeHeight="251744256" behindDoc="0" locked="0" layoutInCell="1" allowOverlap="1">
                <wp:simplePos x="0" y="0"/>
                <wp:positionH relativeFrom="margin">
                  <wp:align>right</wp:align>
                </wp:positionH>
                <wp:positionV relativeFrom="paragraph">
                  <wp:posOffset>4021455</wp:posOffset>
                </wp:positionV>
                <wp:extent cx="7505065" cy="255905"/>
                <wp:effectExtent l="5080" t="0" r="5715" b="5715"/>
                <wp:wrapSquare wrapText="bothSides"/>
                <wp:docPr id="2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505065" cy="255905"/>
                        </a:xfrm>
                        <a:prstGeom prst="rect">
                          <a:avLst/>
                        </a:prstGeom>
                        <a:solidFill>
                          <a:srgbClr val="FFFFFF"/>
                        </a:solidFill>
                        <a:ln w="9525">
                          <a:noFill/>
                          <a:miter lim="800000"/>
                          <a:headEnd/>
                          <a:tailEnd/>
                        </a:ln>
                      </wps:spPr>
                      <wps:txbx>
                        <w:txbxContent>
                          <w:p w:rsidR="008875B3" w:rsidRPr="000145F0" w:rsidRDefault="008875B3" w:rsidP="000145F0">
                            <w:pPr>
                              <w:pStyle w:val="ResimYazs"/>
                              <w:jc w:val="both"/>
                              <w:rPr>
                                <w:szCs w:val="28"/>
                              </w:rPr>
                            </w:pPr>
                            <w:bookmarkStart w:id="24" w:name="_Toc507509055"/>
                            <w:r w:rsidRPr="000145F0">
                              <w:t xml:space="preserve">Figure </w:t>
                            </w:r>
                            <w:fldSimple w:instr=" SEQ Figure \* ARABIC ">
                              <w:r w:rsidR="003F6459">
                                <w:rPr>
                                  <w:noProof/>
                                </w:rPr>
                                <w:t>7</w:t>
                              </w:r>
                            </w:fldSimple>
                            <w:r w:rsidRPr="000145F0">
                              <w:t xml:space="preserve">. </w:t>
                            </w:r>
                            <w:r w:rsidRPr="000145F0">
                              <w:rPr>
                                <w:b w:val="0"/>
                              </w:rPr>
                              <w:t>Paleogeographic Map Showing Reconstruction of the Morrow Formation in Oklahoma (Andrews, 2008)</w:t>
                            </w:r>
                            <w:bookmarkEnd w:id="2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Metin Kutusu 2" o:spid="_x0000_s1027" type="#_x0000_t202" style="position:absolute;left:0;text-align:left;margin-left:539.75pt;margin-top:316.65pt;width:590.95pt;height:20.15pt;rotation:-90;z-index:251744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" stroked="f">
                <v:textbox>
                  <w:txbxContent>
                    <w:p w:rsidR="008875B3" w:rsidRPr="000145F0" w:rsidRDefault="008875B3" w:rsidP="000145F0">
                      <w:pPr>
                        <w:pStyle w:val="ResimYazs"/>
                        <w:jc w:val="both"/>
                        <w:rPr>
                          <w:szCs w:val="28"/>
                        </w:rPr>
                      </w:pPr>
                      <w:bookmarkStart w:id="25" w:name="_Toc507509055"/>
                      <w:r w:rsidRPr="000145F0">
                        <w:t xml:space="preserve">Figure </w:t>
                      </w:r>
                      <w:fldSimple w:instr=" SEQ Figure \* ARABIC ">
                        <w:r w:rsidR="003F6459">
                          <w:rPr>
                            <w:noProof/>
                          </w:rPr>
                          <w:t>7</w:t>
                        </w:r>
                      </w:fldSimple>
                      <w:r w:rsidRPr="000145F0">
                        <w:t xml:space="preserve">. </w:t>
                      </w:r>
                      <w:r w:rsidRPr="000145F0">
                        <w:rPr>
                          <w:b w:val="0"/>
                        </w:rPr>
                        <w:t>Paleogeographic Map Showing Reconstruction of the Morrow Formation in Oklahoma (Andrews, 2008)</w:t>
                      </w:r>
                      <w:bookmarkEnd w:id="25"/>
                    </w:p>
                  </w:txbxContent>
                </v:textbox>
                <w10:wrap type="square" anchorx="margin"/>
              </v:shape>
            </w:pict>
          </mc:Fallback>
        </mc:AlternateContent>
      </w:r>
      <w:r w:rsidRPr="00F1467E">
        <w:rPr>
          <w:noProof/>
          <w:lang w:val="tr-TR" w:eastAsia="tr-TR" w:bidi="ar-SA"/>
        </w:rPr>
        <w:drawing>
          <wp:inline distT="0" distB="0" distL="0" distR="0" wp14:anchorId="555D4139" wp14:editId="759C1B2B">
            <wp:extent cx="7853045" cy="4938950"/>
            <wp:effectExtent l="28575" t="9525" r="24130" b="24130"/>
            <wp:docPr id="49" name="Resim 4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602A6097-18A2-4DEC-B522-3810091A2B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Resim 4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602A6097-18A2-4DEC-B522-3810091A2BC2}"/>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16200000">
                      <a:off x="0" y="0"/>
                      <a:ext cx="7934498" cy="4990178"/>
                    </a:xfrm>
                    <a:prstGeom prst="rect">
                      <a:avLst/>
                    </a:prstGeom>
                    <a:ln>
                      <a:solidFill>
                        <a:schemeClr val="tx1"/>
                      </a:solidFill>
                    </a:ln>
                  </pic:spPr>
                </pic:pic>
              </a:graphicData>
            </a:graphic>
          </wp:inline>
        </w:drawing>
      </w:r>
      <w:r w:rsidR="0099286C">
        <w:rPr>
          <w:szCs w:val="28"/>
        </w:rPr>
        <w:t xml:space="preserve"> </w:t>
      </w:r>
      <w:r w:rsidR="0084487F">
        <w:rPr>
          <w:szCs w:val="28"/>
        </w:rPr>
        <w:lastRenderedPageBreak/>
        <w:t xml:space="preserve">environment </w:t>
      </w:r>
      <w:r w:rsidR="0099286C">
        <w:rPr>
          <w:szCs w:val="28"/>
        </w:rPr>
        <w:t>from marine to subaerial depositional conditions such as fluvial channels</w:t>
      </w:r>
      <w:r w:rsidR="0099286C" w:rsidRPr="00A9524D">
        <w:rPr>
          <w:szCs w:val="28"/>
        </w:rPr>
        <w:t xml:space="preserve"> </w:t>
      </w:r>
      <w:r w:rsidR="0099286C">
        <w:rPr>
          <w:szCs w:val="28"/>
        </w:rPr>
        <w:t>and marshes.</w:t>
      </w:r>
      <w:r w:rsidR="0099286C" w:rsidRPr="006A5473">
        <w:rPr>
          <w:szCs w:val="28"/>
        </w:rPr>
        <w:t xml:space="preserve"> </w:t>
      </w:r>
      <w:r w:rsidR="00365263">
        <w:rPr>
          <w:szCs w:val="28"/>
        </w:rPr>
        <w:t>Although g</w:t>
      </w:r>
      <w:r w:rsidR="0099286C" w:rsidRPr="00D01D17">
        <w:rPr>
          <w:szCs w:val="28"/>
        </w:rPr>
        <w:t>eometries of the sandstone bodies a</w:t>
      </w:r>
      <w:r w:rsidR="00362829" w:rsidRPr="00D01D17">
        <w:rPr>
          <w:szCs w:val="28"/>
        </w:rPr>
        <w:t xml:space="preserve">re related to fluvial channels, </w:t>
      </w:r>
      <w:r w:rsidR="00365263">
        <w:rPr>
          <w:szCs w:val="28"/>
        </w:rPr>
        <w:t xml:space="preserve">presence of marine </w:t>
      </w:r>
      <w:r w:rsidR="0099286C" w:rsidRPr="00D01D17">
        <w:rPr>
          <w:szCs w:val="28"/>
        </w:rPr>
        <w:t>fossil fragments and</w:t>
      </w:r>
      <w:r w:rsidR="00362829" w:rsidRPr="00D01D17">
        <w:rPr>
          <w:szCs w:val="28"/>
        </w:rPr>
        <w:t xml:space="preserve"> glauconite in the fluvial bars indicate that these channels were influenced by</w:t>
      </w:r>
      <w:r w:rsidR="0099286C" w:rsidRPr="00D01D17">
        <w:rPr>
          <w:szCs w:val="28"/>
        </w:rPr>
        <w:t xml:space="preserve"> periodic sea level fluctuations (Andrews, 1995). During relative sea level rise, fluvial</w:t>
      </w:r>
      <w:r w:rsidR="0099286C">
        <w:rPr>
          <w:szCs w:val="28"/>
        </w:rPr>
        <w:t xml:space="preserve"> systems were </w:t>
      </w:r>
      <w:r w:rsidR="00CF57C3">
        <w:rPr>
          <w:szCs w:val="28"/>
        </w:rPr>
        <w:t xml:space="preserve">flooded by shallow marine water, </w:t>
      </w:r>
      <w:r w:rsidR="0099286C">
        <w:rPr>
          <w:szCs w:val="28"/>
        </w:rPr>
        <w:t>which caused the redistribution of the fluvial sediments and deposition of discontinuous sand bodies in marine shales (Puckette et al., 1996). This observation parallels the study of Buatois et al.  (</w:t>
      </w:r>
      <w:r w:rsidR="0099286C" w:rsidRPr="003D5709">
        <w:rPr>
          <w:szCs w:val="28"/>
        </w:rPr>
        <w:t>2002</w:t>
      </w:r>
      <w:r w:rsidR="0099286C">
        <w:rPr>
          <w:szCs w:val="28"/>
        </w:rPr>
        <w:t>) who suggested that the Lower Morrow was deposited in a wave-dominated estuarine setting in Western Kansas (Figure 8</w:t>
      </w:r>
      <w:r w:rsidR="0099286C" w:rsidRPr="004C06E9">
        <w:rPr>
          <w:szCs w:val="28"/>
        </w:rPr>
        <w:t>).</w:t>
      </w:r>
      <w:r w:rsidR="0099286C">
        <w:rPr>
          <w:szCs w:val="28"/>
        </w:rPr>
        <w:t xml:space="preserve"> The Upper Morrow F</w:t>
      </w:r>
      <w:r w:rsidR="00A706F1">
        <w:rPr>
          <w:szCs w:val="28"/>
        </w:rPr>
        <w:t xml:space="preserve">ormation in the Anadarko Basin </w:t>
      </w:r>
      <w:r w:rsidR="0099286C">
        <w:rPr>
          <w:szCs w:val="28"/>
        </w:rPr>
        <w:t>is mainly characterized with shallow marine fine clastics deposited on a low gradient shelf with channel sandstones.</w:t>
      </w:r>
      <w:r w:rsidR="0099286C" w:rsidRPr="006B4923">
        <w:rPr>
          <w:szCs w:val="28"/>
        </w:rPr>
        <w:t xml:space="preserve"> </w:t>
      </w:r>
      <w:r w:rsidR="0099286C" w:rsidRPr="00FB3C0B">
        <w:rPr>
          <w:szCs w:val="28"/>
        </w:rPr>
        <w:t xml:space="preserve">There are different ideas about depositional environments of </w:t>
      </w:r>
      <w:r w:rsidR="0099286C">
        <w:rPr>
          <w:szCs w:val="28"/>
        </w:rPr>
        <w:t xml:space="preserve">the Upper </w:t>
      </w:r>
      <w:r w:rsidR="0099286C" w:rsidRPr="00FB3C0B">
        <w:rPr>
          <w:szCs w:val="28"/>
        </w:rPr>
        <w:t>Morrowan clastics.</w:t>
      </w:r>
      <w:r w:rsidR="0099286C">
        <w:rPr>
          <w:szCs w:val="28"/>
        </w:rPr>
        <w:t xml:space="preserve"> </w:t>
      </w:r>
      <w:r w:rsidR="0099286C" w:rsidRPr="00FB3C0B">
        <w:rPr>
          <w:szCs w:val="28"/>
        </w:rPr>
        <w:t xml:space="preserve">Khaiwka, </w:t>
      </w:r>
      <w:r w:rsidR="0099286C">
        <w:rPr>
          <w:szCs w:val="28"/>
        </w:rPr>
        <w:t>(</w:t>
      </w:r>
      <w:r w:rsidR="0099286C" w:rsidRPr="00FB3C0B">
        <w:rPr>
          <w:szCs w:val="28"/>
        </w:rPr>
        <w:t>1968</w:t>
      </w:r>
      <w:r w:rsidR="0099286C">
        <w:rPr>
          <w:szCs w:val="28"/>
        </w:rPr>
        <w:t xml:space="preserve">) and </w:t>
      </w:r>
      <w:r w:rsidR="0099286C" w:rsidRPr="00FB3C0B">
        <w:rPr>
          <w:szCs w:val="28"/>
        </w:rPr>
        <w:t xml:space="preserve">Shelby </w:t>
      </w:r>
      <w:r w:rsidR="0099286C">
        <w:rPr>
          <w:szCs w:val="28"/>
        </w:rPr>
        <w:t>(</w:t>
      </w:r>
      <w:r w:rsidR="0099286C" w:rsidRPr="00FB3C0B">
        <w:rPr>
          <w:szCs w:val="28"/>
        </w:rPr>
        <w:t>1980</w:t>
      </w:r>
      <w:r w:rsidR="0099286C">
        <w:rPr>
          <w:szCs w:val="28"/>
        </w:rPr>
        <w:t xml:space="preserve">) </w:t>
      </w:r>
      <w:r w:rsidR="0099286C" w:rsidRPr="00FB3C0B">
        <w:rPr>
          <w:szCs w:val="28"/>
        </w:rPr>
        <w:t>claimed that</w:t>
      </w:r>
      <w:r w:rsidR="0099286C">
        <w:rPr>
          <w:szCs w:val="28"/>
        </w:rPr>
        <w:t xml:space="preserve"> the</w:t>
      </w:r>
      <w:r w:rsidR="0099286C" w:rsidRPr="00FB3C0B">
        <w:rPr>
          <w:szCs w:val="28"/>
        </w:rPr>
        <w:t xml:space="preserve"> Upper Morrow sandstones are characterized by deltaic processes</w:t>
      </w:r>
      <w:r w:rsidR="0099286C">
        <w:rPr>
          <w:szCs w:val="28"/>
        </w:rPr>
        <w:t xml:space="preserve"> and </w:t>
      </w:r>
      <w:r w:rsidR="0099286C" w:rsidRPr="00FB3C0B">
        <w:rPr>
          <w:szCs w:val="28"/>
        </w:rPr>
        <w:t>Walker (1986) added that these deltas are tide-dominated</w:t>
      </w:r>
      <w:r w:rsidR="0099286C">
        <w:rPr>
          <w:szCs w:val="28"/>
        </w:rPr>
        <w:t>. Andrews (1999)</w:t>
      </w:r>
      <w:r w:rsidR="0099286C" w:rsidRPr="00A9524D">
        <w:rPr>
          <w:szCs w:val="28"/>
        </w:rPr>
        <w:t xml:space="preserve"> </w:t>
      </w:r>
      <w:r w:rsidR="0099286C">
        <w:rPr>
          <w:szCs w:val="28"/>
        </w:rPr>
        <w:t>agrees with the delta scenario, however, he adds that it is not the case everywhere in Oklahoma. He suggested that there are fluvial valley fill systems in the Oklahoma Panhandle different than the deltas, which incised into</w:t>
      </w:r>
      <w:r w:rsidR="00A706F1">
        <w:rPr>
          <w:szCs w:val="28"/>
        </w:rPr>
        <w:t xml:space="preserve"> the</w:t>
      </w:r>
      <w:r w:rsidR="0099286C">
        <w:rPr>
          <w:szCs w:val="28"/>
        </w:rPr>
        <w:t xml:space="preserve"> shallow marine shelf during sea level fall. In Oklahoma, sediment supply </w:t>
      </w:r>
      <w:r w:rsidR="00AA229B">
        <w:rPr>
          <w:szCs w:val="28"/>
        </w:rPr>
        <w:t>and</w:t>
      </w:r>
      <w:r w:rsidR="0099286C">
        <w:rPr>
          <w:szCs w:val="28"/>
        </w:rPr>
        <w:t xml:space="preserve"> amount of the relative sea level change were the two basic factors that controlled the </w:t>
      </w:r>
      <w:r w:rsidR="00CF57F1">
        <w:rPr>
          <w:szCs w:val="28"/>
        </w:rPr>
        <w:t>o</w:t>
      </w:r>
      <w:r w:rsidR="0099286C">
        <w:rPr>
          <w:szCs w:val="28"/>
        </w:rPr>
        <w:t>ccurrence of either fluvial or deltaic depositional environment</w:t>
      </w:r>
      <w:r w:rsidR="00A706F1">
        <w:rPr>
          <w:szCs w:val="28"/>
        </w:rPr>
        <w:t>s</w:t>
      </w:r>
      <w:r w:rsidR="0099286C">
        <w:rPr>
          <w:szCs w:val="28"/>
        </w:rPr>
        <w:t>. When relative sea level fell significantly</w:t>
      </w:r>
      <w:r w:rsidR="00A706F1">
        <w:rPr>
          <w:szCs w:val="28"/>
        </w:rPr>
        <w:t>,</w:t>
      </w:r>
      <w:r w:rsidR="0099286C">
        <w:rPr>
          <w:szCs w:val="28"/>
        </w:rPr>
        <w:t xml:space="preserve"> fluvial activity with incised valley channels was more dominant.</w:t>
      </w:r>
      <w:r w:rsidR="00CF57F1">
        <w:rPr>
          <w:szCs w:val="28"/>
        </w:rPr>
        <w:t xml:space="preserve"> </w:t>
      </w:r>
    </w:p>
    <w:p w:rsidR="00CF57F1" w:rsidRDefault="00CF57F1" w:rsidP="007608CF">
      <w:pPr>
        <w:pStyle w:val="ResimYazs"/>
        <w:jc w:val="both"/>
      </w:pPr>
    </w:p>
    <w:p w:rsidR="0084487F" w:rsidRPr="0084487F" w:rsidRDefault="0084487F" w:rsidP="0084487F">
      <w:pPr>
        <w:jc w:val="both"/>
      </w:pPr>
      <w:r>
        <w:rPr>
          <w:noProof/>
          <w:szCs w:val="28"/>
          <w:lang w:val="tr-TR" w:eastAsia="tr-TR" w:bidi="ar-SA"/>
        </w:rPr>
        <w:lastRenderedPageBreak/>
        <w:drawing>
          <wp:inline distT="0" distB="0" distL="0" distR="0" wp14:anchorId="221268E7" wp14:editId="374F2263">
            <wp:extent cx="5298596" cy="3744592"/>
            <wp:effectExtent l="19050" t="19050" r="16510" b="2794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98596" cy="3744592"/>
                    </a:xfrm>
                    <a:prstGeom prst="rect">
                      <a:avLst/>
                    </a:prstGeom>
                    <a:noFill/>
                    <a:ln>
                      <a:solidFill>
                        <a:schemeClr val="tx1"/>
                      </a:solidFill>
                    </a:ln>
                  </pic:spPr>
                </pic:pic>
              </a:graphicData>
            </a:graphic>
          </wp:inline>
        </w:drawing>
      </w:r>
    </w:p>
    <w:p w:rsidR="00362829" w:rsidRDefault="007608CF" w:rsidP="007608CF">
      <w:pPr>
        <w:pStyle w:val="ResimYazs"/>
        <w:jc w:val="both"/>
      </w:pPr>
      <w:bookmarkStart w:id="26" w:name="_Toc507509056"/>
      <w:r>
        <w:t xml:space="preserve">Figure </w:t>
      </w:r>
      <w:fldSimple w:instr=" SEQ Figure \* ARABIC ">
        <w:r w:rsidR="003F6459">
          <w:rPr>
            <w:noProof/>
          </w:rPr>
          <w:t>8</w:t>
        </w:r>
      </w:fldSimple>
      <w:r>
        <w:t xml:space="preserve">. </w:t>
      </w:r>
      <w:r w:rsidRPr="008C592E">
        <w:rPr>
          <w:b w:val="0"/>
        </w:rPr>
        <w:t>Depositional model for the Lower Morrow in southwest Kansas. Fluvio-estuarine valley is oriented NW – SE and display</w:t>
      </w:r>
      <w:r>
        <w:rPr>
          <w:b w:val="0"/>
        </w:rPr>
        <w:t>s the tripartite division (sand</w:t>
      </w:r>
      <w:r w:rsidRPr="008C592E">
        <w:rPr>
          <w:b w:val="0"/>
        </w:rPr>
        <w:t>–mud – sand) of wave-dominated estuaries</w:t>
      </w:r>
      <w:r>
        <w:rPr>
          <w:b w:val="0"/>
        </w:rPr>
        <w:t xml:space="preserve"> (Modified after Buatois et al., 2002)</w:t>
      </w:r>
      <w:bookmarkEnd w:id="26"/>
    </w:p>
    <w:p w:rsidR="00362829" w:rsidRDefault="00362829" w:rsidP="00362829"/>
    <w:p w:rsidR="00362829" w:rsidRDefault="00362829" w:rsidP="000776CE">
      <w:pPr>
        <w:pStyle w:val="Balk2"/>
      </w:pPr>
      <w:bookmarkStart w:id="27" w:name="_Toc507506628"/>
      <w:r>
        <w:t>2.5 The Morrow Formation in a Sequence Stratigraphic Framework</w:t>
      </w:r>
      <w:bookmarkEnd w:id="27"/>
    </w:p>
    <w:p w:rsidR="00F418A9" w:rsidRDefault="0099286C" w:rsidP="00A706F1">
      <w:pPr>
        <w:ind w:firstLine="720"/>
        <w:jc w:val="both"/>
      </w:pPr>
      <w:r w:rsidRPr="00FB3C0B">
        <w:rPr>
          <w:szCs w:val="28"/>
        </w:rPr>
        <w:t xml:space="preserve">The Morrow Formation </w:t>
      </w:r>
      <w:r>
        <w:rPr>
          <w:szCs w:val="28"/>
        </w:rPr>
        <w:t>was</w:t>
      </w:r>
      <w:r w:rsidRPr="00FB3C0B">
        <w:rPr>
          <w:szCs w:val="28"/>
        </w:rPr>
        <w:t xml:space="preserve"> deposited as a result of several transgressive</w:t>
      </w:r>
      <w:r>
        <w:rPr>
          <w:szCs w:val="28"/>
        </w:rPr>
        <w:t xml:space="preserve"> a</w:t>
      </w:r>
      <w:r w:rsidRPr="00FB3C0B">
        <w:rPr>
          <w:szCs w:val="28"/>
        </w:rPr>
        <w:t xml:space="preserve">nd regressive cycles </w:t>
      </w:r>
      <w:r>
        <w:rPr>
          <w:szCs w:val="28"/>
        </w:rPr>
        <w:t>caused by tectonic and glacio-eustatic effects during</w:t>
      </w:r>
      <w:r w:rsidR="00AF691E">
        <w:rPr>
          <w:szCs w:val="28"/>
        </w:rPr>
        <w:t xml:space="preserve"> the</w:t>
      </w:r>
      <w:r>
        <w:rPr>
          <w:szCs w:val="28"/>
        </w:rPr>
        <w:t xml:space="preserve"> early Morrowan time (Al-Shaieb et al., 1995). </w:t>
      </w:r>
      <w:r>
        <w:t>Depositional conditions and facies distribution were mainly controlled by sea-level changes and</w:t>
      </w:r>
      <w:r w:rsidR="00A706F1">
        <w:t xml:space="preserve"> the</w:t>
      </w:r>
      <w:r>
        <w:t xml:space="preserve"> amount of sediment supply (Puckette et al., 2008). During lowstand periods, when sea level dropped drastically, the shelf was exposed; the fluvial channels eroded the underlying strata while extending beyond the shelf (Figure 9). This erosional surface is called the sequence boundary. During subsequent sea level rise, fluvial clastics were entrapped within the channels and </w:t>
      </w:r>
      <w:r>
        <w:lastRenderedPageBreak/>
        <w:t xml:space="preserve">inundated with shallow marine </w:t>
      </w:r>
      <w:r w:rsidR="00F418A9">
        <w:t>d</w:t>
      </w:r>
      <w:r>
        <w:t xml:space="preserve">eposits dominated with mud and silt (Figure 10). When </w:t>
      </w:r>
      <w:r w:rsidR="00A706F1">
        <w:t>sea level rise continued</w:t>
      </w:r>
    </w:p>
    <w:p w:rsidR="0099286C" w:rsidRDefault="0099286C" w:rsidP="00F418A9">
      <w:pPr>
        <w:ind w:firstLine="720"/>
        <w:jc w:val="center"/>
      </w:pPr>
      <w:r>
        <w:rPr>
          <w:noProof/>
          <w:lang w:val="tr-TR" w:eastAsia="tr-TR" w:bidi="ar-SA"/>
        </w:rPr>
        <w:drawing>
          <wp:inline distT="0" distB="0" distL="0" distR="0" wp14:anchorId="37ED382E" wp14:editId="2290FF40">
            <wp:extent cx="3132773" cy="3624350"/>
            <wp:effectExtent l="12700" t="12700" r="17145" b="825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81266" cy="3796144"/>
                    </a:xfrm>
                    <a:prstGeom prst="rect">
                      <a:avLst/>
                    </a:prstGeom>
                    <a:noFill/>
                    <a:ln>
                      <a:solidFill>
                        <a:sysClr val="windowText" lastClr="000000"/>
                      </a:solidFill>
                    </a:ln>
                  </pic:spPr>
                </pic:pic>
              </a:graphicData>
            </a:graphic>
          </wp:inline>
        </w:drawing>
      </w:r>
    </w:p>
    <w:p w:rsidR="0099286C" w:rsidRDefault="0099286C" w:rsidP="0099286C">
      <w:pPr>
        <w:pStyle w:val="ResimYazs"/>
        <w:jc w:val="both"/>
      </w:pPr>
      <w:bookmarkStart w:id="28" w:name="_Toc507509057"/>
      <w:r>
        <w:t xml:space="preserve">Figure </w:t>
      </w:r>
      <w:fldSimple w:instr=" SEQ Figure \* ARABIC ">
        <w:r w:rsidR="003F6459">
          <w:rPr>
            <w:noProof/>
          </w:rPr>
          <w:t>9</w:t>
        </w:r>
      </w:fldSimple>
      <w:r>
        <w:t xml:space="preserve">. </w:t>
      </w:r>
      <w:r w:rsidRPr="00ED40E3">
        <w:rPr>
          <w:b w:val="0"/>
          <w:sz w:val="23"/>
          <w:szCs w:val="23"/>
        </w:rPr>
        <w:t xml:space="preserve">Block Diagram showing hypothetical clastic deposition at </w:t>
      </w:r>
      <w:r w:rsidR="00AF691E">
        <w:rPr>
          <w:b w:val="0"/>
          <w:sz w:val="23"/>
          <w:szCs w:val="23"/>
        </w:rPr>
        <w:t xml:space="preserve">the </w:t>
      </w:r>
      <w:r w:rsidRPr="00ED40E3">
        <w:rPr>
          <w:b w:val="0"/>
          <w:sz w:val="23"/>
          <w:szCs w:val="23"/>
        </w:rPr>
        <w:t xml:space="preserve">Morrow Formation. T1: </w:t>
      </w:r>
      <w:r w:rsidR="007673C1">
        <w:rPr>
          <w:b w:val="0"/>
          <w:sz w:val="23"/>
          <w:szCs w:val="23"/>
        </w:rPr>
        <w:t xml:space="preserve">The </w:t>
      </w:r>
      <w:r w:rsidRPr="00ED40E3">
        <w:rPr>
          <w:b w:val="0"/>
          <w:sz w:val="23"/>
          <w:szCs w:val="23"/>
        </w:rPr>
        <w:t>Morrow Shale is deposited under thin regressive Morrow Sandstone. T2: Regional erosion surface is formed due to drop in sea level. Fluvial channels incised the underlying marine shales during sea level drop. T3: During subsequent sea level rise, valleys are filled with fluvial deposits. Marine shale depositio</w:t>
      </w:r>
      <w:r w:rsidR="002C102F">
        <w:rPr>
          <w:b w:val="0"/>
          <w:sz w:val="23"/>
          <w:szCs w:val="23"/>
        </w:rPr>
        <w:t xml:space="preserve">n on the channel fill deposits </w:t>
      </w:r>
      <w:r w:rsidRPr="00ED40E3">
        <w:rPr>
          <w:b w:val="0"/>
          <w:sz w:val="23"/>
          <w:szCs w:val="23"/>
        </w:rPr>
        <w:t>(Modified from Sonnenberg, 1985)</w:t>
      </w:r>
      <w:r w:rsidR="002C102F">
        <w:rPr>
          <w:b w:val="0"/>
          <w:sz w:val="23"/>
          <w:szCs w:val="23"/>
        </w:rPr>
        <w:t>.</w:t>
      </w:r>
      <w:bookmarkEnd w:id="28"/>
    </w:p>
    <w:p w:rsidR="0099286C" w:rsidRDefault="0099286C" w:rsidP="00E17784">
      <w:pPr>
        <w:spacing w:line="276" w:lineRule="auto"/>
        <w:jc w:val="both"/>
      </w:pPr>
    </w:p>
    <w:p w:rsidR="0099286C" w:rsidRDefault="0099286C" w:rsidP="0099286C">
      <w:pPr>
        <w:jc w:val="both"/>
      </w:pPr>
      <w:r>
        <w:t>uninterrupted, meande</w:t>
      </w:r>
      <w:r w:rsidR="00AA229B">
        <w:t>ring or estuary deposits overlaid</w:t>
      </w:r>
      <w:r>
        <w:t xml:space="preserve"> coarser braided river deposits which caused heterogeneity in the isolated sand bodies (Puckette et al., 2008). The maximum flooding surface was formed during the maximum flooding of the shelf and it was composed </w:t>
      </w:r>
      <w:r w:rsidRPr="009B59F4">
        <w:t xml:space="preserve">of marine organically rich </w:t>
      </w:r>
      <w:r>
        <w:t>fine grained sediments</w:t>
      </w:r>
      <w:r w:rsidRPr="009B59F4">
        <w:t xml:space="preserve">. </w:t>
      </w:r>
      <w:r>
        <w:t>This surface separ</w:t>
      </w:r>
      <w:r w:rsidR="00F15B4A">
        <w:t>ated the transgressive and high</w:t>
      </w:r>
      <w:r>
        <w:t xml:space="preserve">stand system tracts and after its formation, the rate of sea level rise decreased with subsequent increasing sediment supply from the continent. During </w:t>
      </w:r>
      <w:r w:rsidR="00F418A9">
        <w:lastRenderedPageBreak/>
        <w:t xml:space="preserve">the </w:t>
      </w:r>
      <w:r w:rsidR="00F15B4A">
        <w:t>high</w:t>
      </w:r>
      <w:r>
        <w:t xml:space="preserve">stand period, shallow marine clastics prograded and aggraded on the marine flooding </w:t>
      </w:r>
      <w:r w:rsidR="00362829">
        <w:t>surface, which</w:t>
      </w:r>
      <w:r w:rsidR="00F15B4A">
        <w:t xml:space="preserve"> was followed by another low</w:t>
      </w:r>
      <w:r>
        <w:t xml:space="preserve">stand period. </w:t>
      </w:r>
    </w:p>
    <w:p w:rsidR="0099286C" w:rsidRDefault="0099286C" w:rsidP="0099286C">
      <w:pPr>
        <w:jc w:val="center"/>
        <w:rPr>
          <w:szCs w:val="28"/>
        </w:rPr>
      </w:pPr>
      <w:r>
        <w:rPr>
          <w:noProof/>
          <w:szCs w:val="28"/>
          <w:lang w:val="tr-TR" w:eastAsia="tr-TR" w:bidi="ar-SA"/>
        </w:rPr>
        <w:drawing>
          <wp:inline distT="0" distB="0" distL="0" distR="0" wp14:anchorId="2F9CF91E" wp14:editId="340DB696">
            <wp:extent cx="3819217" cy="3124200"/>
            <wp:effectExtent l="19050" t="1905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53114" cy="3151928"/>
                    </a:xfrm>
                    <a:prstGeom prst="rect">
                      <a:avLst/>
                    </a:prstGeom>
                    <a:noFill/>
                    <a:ln>
                      <a:solidFill>
                        <a:schemeClr val="tx1"/>
                      </a:solidFill>
                    </a:ln>
                  </pic:spPr>
                </pic:pic>
              </a:graphicData>
            </a:graphic>
          </wp:inline>
        </w:drawing>
      </w:r>
    </w:p>
    <w:p w:rsidR="0099286C" w:rsidRDefault="0099286C" w:rsidP="0099286C">
      <w:pPr>
        <w:pStyle w:val="ResimYazs"/>
        <w:jc w:val="both"/>
        <w:rPr>
          <w:b w:val="0"/>
        </w:rPr>
      </w:pPr>
      <w:bookmarkStart w:id="29" w:name="_Toc507509058"/>
      <w:r>
        <w:t xml:space="preserve">Figure </w:t>
      </w:r>
      <w:fldSimple w:instr=" SEQ Figure \* ARABIC ">
        <w:r w:rsidR="003F6459">
          <w:rPr>
            <w:noProof/>
          </w:rPr>
          <w:t>10</w:t>
        </w:r>
      </w:fldSimple>
      <w:r>
        <w:t xml:space="preserve">. </w:t>
      </w:r>
      <w:r w:rsidRPr="00901520">
        <w:rPr>
          <w:b w:val="0"/>
        </w:rPr>
        <w:t>Schematic block diagram illustrating depositional style and vertical sequence of clastic rock facies that characterize Morrow-channel fill deposits. These channels may represent fluvial and/or distributary deposits that were affected by marine processes such as those in e</w:t>
      </w:r>
      <w:r w:rsidR="002C102F">
        <w:rPr>
          <w:b w:val="0"/>
        </w:rPr>
        <w:t xml:space="preserve">stuarine or tidal environments </w:t>
      </w:r>
      <w:r w:rsidR="000D6DBB">
        <w:rPr>
          <w:b w:val="0"/>
        </w:rPr>
        <w:t>(Modified from Weimer</w:t>
      </w:r>
      <w:r w:rsidR="00FB5409">
        <w:rPr>
          <w:b w:val="0"/>
        </w:rPr>
        <w:t xml:space="preserve"> et al., 1988</w:t>
      </w:r>
      <w:r w:rsidRPr="00901520">
        <w:rPr>
          <w:b w:val="0"/>
        </w:rPr>
        <w:t>)</w:t>
      </w:r>
      <w:r w:rsidR="002C102F">
        <w:rPr>
          <w:b w:val="0"/>
        </w:rPr>
        <w:t>.</w:t>
      </w:r>
      <w:bookmarkEnd w:id="29"/>
    </w:p>
    <w:p w:rsidR="0099286C" w:rsidRPr="007E4CA5" w:rsidRDefault="0099286C" w:rsidP="0099286C">
      <w:pPr>
        <w:spacing w:line="276" w:lineRule="auto"/>
      </w:pPr>
    </w:p>
    <w:p w:rsidR="0099286C" w:rsidRDefault="0099286C" w:rsidP="00362829">
      <w:pPr>
        <w:ind w:firstLine="720"/>
        <w:jc w:val="both"/>
        <w:rPr>
          <w:szCs w:val="28"/>
        </w:rPr>
      </w:pPr>
      <w:r w:rsidRPr="00FB3C0B">
        <w:rPr>
          <w:szCs w:val="28"/>
        </w:rPr>
        <w:t xml:space="preserve">Deposition of </w:t>
      </w:r>
      <w:r>
        <w:rPr>
          <w:szCs w:val="28"/>
        </w:rPr>
        <w:t xml:space="preserve">the Lower </w:t>
      </w:r>
      <w:r w:rsidRPr="00FB3C0B">
        <w:rPr>
          <w:szCs w:val="28"/>
        </w:rPr>
        <w:t>Morrowan sediments on</w:t>
      </w:r>
      <w:r>
        <w:rPr>
          <w:szCs w:val="28"/>
        </w:rPr>
        <w:t xml:space="preserve"> the</w:t>
      </w:r>
      <w:r w:rsidRPr="00FB3C0B">
        <w:rPr>
          <w:szCs w:val="28"/>
        </w:rPr>
        <w:t xml:space="preserve"> Mississippian unconformity surface started with </w:t>
      </w:r>
      <w:r>
        <w:rPr>
          <w:szCs w:val="28"/>
        </w:rPr>
        <w:t xml:space="preserve">the </w:t>
      </w:r>
      <w:r w:rsidRPr="00FB3C0B">
        <w:rPr>
          <w:szCs w:val="28"/>
        </w:rPr>
        <w:t xml:space="preserve">Pennsylvanian transgression during which various clastic sediments were deposited on </w:t>
      </w:r>
      <w:r>
        <w:rPr>
          <w:szCs w:val="28"/>
        </w:rPr>
        <w:t xml:space="preserve">the </w:t>
      </w:r>
      <w:r w:rsidRPr="00FB3C0B">
        <w:rPr>
          <w:szCs w:val="28"/>
        </w:rPr>
        <w:t xml:space="preserve">Mississippian surface </w:t>
      </w:r>
      <w:r>
        <w:rPr>
          <w:szCs w:val="28"/>
        </w:rPr>
        <w:t xml:space="preserve">under shallow marine conditions </w:t>
      </w:r>
      <w:r w:rsidRPr="00FB3C0B">
        <w:rPr>
          <w:szCs w:val="28"/>
        </w:rPr>
        <w:t xml:space="preserve">(Forgotson et al., 1966). </w:t>
      </w:r>
      <w:r>
        <w:rPr>
          <w:szCs w:val="28"/>
        </w:rPr>
        <w:t xml:space="preserve">The </w:t>
      </w:r>
      <w:r w:rsidRPr="00B749FC">
        <w:rPr>
          <w:szCs w:val="28"/>
        </w:rPr>
        <w:t xml:space="preserve">Lower Morrow is composed of fine grained marine clastic sediments intercalated with fluvial channel sandstones. Relative sea level continued to rise </w:t>
      </w:r>
      <w:r>
        <w:rPr>
          <w:szCs w:val="28"/>
        </w:rPr>
        <w:t>until</w:t>
      </w:r>
      <w:r w:rsidRPr="00B749FC">
        <w:rPr>
          <w:szCs w:val="28"/>
        </w:rPr>
        <w:t xml:space="preserve"> the end of </w:t>
      </w:r>
      <w:r>
        <w:rPr>
          <w:szCs w:val="28"/>
        </w:rPr>
        <w:t xml:space="preserve">the </w:t>
      </w:r>
      <w:r w:rsidRPr="00B749FC">
        <w:rPr>
          <w:szCs w:val="28"/>
        </w:rPr>
        <w:t>Middle Morrowan time. During</w:t>
      </w:r>
      <w:r>
        <w:rPr>
          <w:szCs w:val="28"/>
        </w:rPr>
        <w:t xml:space="preserve"> the </w:t>
      </w:r>
      <w:r w:rsidRPr="00B749FC">
        <w:rPr>
          <w:szCs w:val="28"/>
        </w:rPr>
        <w:t xml:space="preserve">Middle Morrowan time, </w:t>
      </w:r>
      <w:r>
        <w:rPr>
          <w:szCs w:val="28"/>
        </w:rPr>
        <w:t xml:space="preserve">the </w:t>
      </w:r>
      <w:r w:rsidRPr="00B749FC">
        <w:rPr>
          <w:szCs w:val="28"/>
        </w:rPr>
        <w:t>marine envi</w:t>
      </w:r>
      <w:r>
        <w:rPr>
          <w:szCs w:val="28"/>
        </w:rPr>
        <w:t>ronment became more predominant but t</w:t>
      </w:r>
      <w:r w:rsidRPr="00B749FC">
        <w:rPr>
          <w:szCs w:val="28"/>
        </w:rPr>
        <w:t>here was very low sediment supply and sea water temperature was suitable enough for carbonate deposition. Squaw Belly</w:t>
      </w:r>
      <w:r w:rsidRPr="00ED40E3">
        <w:rPr>
          <w:szCs w:val="28"/>
        </w:rPr>
        <w:t xml:space="preserve"> </w:t>
      </w:r>
      <w:r w:rsidRPr="0009744C">
        <w:rPr>
          <w:szCs w:val="28"/>
        </w:rPr>
        <w:t xml:space="preserve">formation, which is composed of </w:t>
      </w:r>
      <w:r>
        <w:rPr>
          <w:szCs w:val="28"/>
        </w:rPr>
        <w:t>limestone and calcareous shale</w:t>
      </w:r>
      <w:r w:rsidRPr="0009744C">
        <w:rPr>
          <w:szCs w:val="28"/>
        </w:rPr>
        <w:t xml:space="preserve">, has been proposed </w:t>
      </w:r>
      <w:r>
        <w:rPr>
          <w:szCs w:val="28"/>
        </w:rPr>
        <w:t>to</w:t>
      </w:r>
      <w:r w:rsidRPr="00ED40E3">
        <w:rPr>
          <w:szCs w:val="28"/>
        </w:rPr>
        <w:t xml:space="preserve"> </w:t>
      </w:r>
      <w:r>
        <w:rPr>
          <w:szCs w:val="28"/>
        </w:rPr>
        <w:lastRenderedPageBreak/>
        <w:t>form the</w:t>
      </w:r>
      <w:r w:rsidRPr="0009744C">
        <w:rPr>
          <w:szCs w:val="28"/>
        </w:rPr>
        <w:t xml:space="preserve"> boundary between the Lower and the Upper Morrow by </w:t>
      </w:r>
      <w:r>
        <w:rPr>
          <w:szCs w:val="28"/>
        </w:rPr>
        <w:t>Be</w:t>
      </w:r>
      <w:r w:rsidR="00497FDD">
        <w:rPr>
          <w:szCs w:val="28"/>
        </w:rPr>
        <w:t>nton (1973</w:t>
      </w:r>
      <w:r>
        <w:rPr>
          <w:szCs w:val="28"/>
        </w:rPr>
        <w:t>),</w:t>
      </w:r>
      <w:r w:rsidRPr="00ED40E3">
        <w:rPr>
          <w:szCs w:val="28"/>
        </w:rPr>
        <w:t xml:space="preserve"> </w:t>
      </w:r>
      <w:r>
        <w:rPr>
          <w:szCs w:val="28"/>
        </w:rPr>
        <w:t xml:space="preserve">Swanson (1979) and Shelby (1980), </w:t>
      </w:r>
      <w:r w:rsidRPr="0009744C">
        <w:rPr>
          <w:szCs w:val="28"/>
        </w:rPr>
        <w:t xml:space="preserve">while </w:t>
      </w:r>
      <w:r>
        <w:rPr>
          <w:szCs w:val="28"/>
        </w:rPr>
        <w:t>the other authors</w:t>
      </w:r>
      <w:r w:rsidRPr="00A67828">
        <w:rPr>
          <w:szCs w:val="28"/>
        </w:rPr>
        <w:t xml:space="preserve"> </w:t>
      </w:r>
      <w:r w:rsidRPr="0009744C">
        <w:rPr>
          <w:szCs w:val="28"/>
        </w:rPr>
        <w:t>named</w:t>
      </w:r>
      <w:r w:rsidRPr="00A67828">
        <w:rPr>
          <w:szCs w:val="28"/>
        </w:rPr>
        <w:t xml:space="preserve"> </w:t>
      </w:r>
      <w:r w:rsidRPr="0009744C">
        <w:rPr>
          <w:szCs w:val="28"/>
        </w:rPr>
        <w:t>this</w:t>
      </w:r>
      <w:r w:rsidRPr="00A67828">
        <w:rPr>
          <w:szCs w:val="28"/>
        </w:rPr>
        <w:t xml:space="preserve"> </w:t>
      </w:r>
      <w:r w:rsidRPr="0009744C">
        <w:rPr>
          <w:szCs w:val="28"/>
        </w:rPr>
        <w:t>unit</w:t>
      </w:r>
      <w:r w:rsidRPr="00A67828">
        <w:rPr>
          <w:szCs w:val="28"/>
        </w:rPr>
        <w:t xml:space="preserve"> </w:t>
      </w:r>
      <w:r w:rsidRPr="0009744C">
        <w:rPr>
          <w:szCs w:val="28"/>
        </w:rPr>
        <w:t>as the</w:t>
      </w:r>
      <w:r w:rsidRPr="00A67828">
        <w:rPr>
          <w:szCs w:val="28"/>
        </w:rPr>
        <w:t xml:space="preserve"> </w:t>
      </w:r>
      <w:r w:rsidRPr="0009744C">
        <w:rPr>
          <w:szCs w:val="28"/>
        </w:rPr>
        <w:t>Middle</w:t>
      </w:r>
      <w:r w:rsidRPr="00A67828">
        <w:rPr>
          <w:szCs w:val="28"/>
        </w:rPr>
        <w:t xml:space="preserve"> </w:t>
      </w:r>
      <w:r w:rsidRPr="0009744C">
        <w:rPr>
          <w:szCs w:val="28"/>
        </w:rPr>
        <w:t>Morrow</w:t>
      </w:r>
      <w:r w:rsidRPr="00A67828">
        <w:rPr>
          <w:szCs w:val="28"/>
        </w:rPr>
        <w:t xml:space="preserve"> </w:t>
      </w:r>
      <w:r w:rsidRPr="0009744C">
        <w:rPr>
          <w:szCs w:val="28"/>
        </w:rPr>
        <w:t>Formation</w:t>
      </w:r>
      <w:r>
        <w:rPr>
          <w:szCs w:val="28"/>
        </w:rPr>
        <w:t xml:space="preserve"> (Forgotson et al., 1966; Nolte, 1990; </w:t>
      </w:r>
      <w:r>
        <w:t>Puckette et al., 1996).</w:t>
      </w:r>
      <w:r w:rsidRPr="00A67828">
        <w:rPr>
          <w:szCs w:val="28"/>
        </w:rPr>
        <w:t xml:space="preserve"> </w:t>
      </w:r>
      <w:r w:rsidRPr="0009744C">
        <w:rPr>
          <w:szCs w:val="28"/>
        </w:rPr>
        <w:t xml:space="preserve">During </w:t>
      </w:r>
      <w:r w:rsidR="007673C1">
        <w:rPr>
          <w:szCs w:val="28"/>
        </w:rPr>
        <w:t xml:space="preserve">the </w:t>
      </w:r>
      <w:r w:rsidRPr="0009744C">
        <w:rPr>
          <w:szCs w:val="28"/>
        </w:rPr>
        <w:t>Late Morrowan time, relative</w:t>
      </w:r>
      <w:r w:rsidRPr="00B749FC">
        <w:rPr>
          <w:szCs w:val="28"/>
        </w:rPr>
        <w:t xml:space="preserve"> sea level fall and tectonic uplifts supplied coarse clastics which were distributed by distributary channels through the basin (Figure 11). During this period, shale was deposited in prodeltas.  Fluctuations</w:t>
      </w:r>
      <w:r>
        <w:rPr>
          <w:szCs w:val="28"/>
        </w:rPr>
        <w:t xml:space="preserve"> in</w:t>
      </w:r>
      <w:r w:rsidRPr="00B749FC">
        <w:rPr>
          <w:szCs w:val="28"/>
        </w:rPr>
        <w:t xml:space="preserve"> relative sea level during </w:t>
      </w:r>
      <w:r>
        <w:rPr>
          <w:szCs w:val="28"/>
        </w:rPr>
        <w:t xml:space="preserve">the </w:t>
      </w:r>
      <w:r w:rsidRPr="00B749FC">
        <w:rPr>
          <w:szCs w:val="28"/>
        </w:rPr>
        <w:t>Late Morrowan time resulted in repe</w:t>
      </w:r>
      <w:r w:rsidR="00FB5409">
        <w:rPr>
          <w:szCs w:val="28"/>
        </w:rPr>
        <w:t>titive sequences of interbedded</w:t>
      </w:r>
      <w:r w:rsidRPr="00B749FC">
        <w:rPr>
          <w:szCs w:val="28"/>
        </w:rPr>
        <w:t xml:space="preserve"> terrestrial and marine sediments of</w:t>
      </w:r>
      <w:r>
        <w:rPr>
          <w:szCs w:val="28"/>
        </w:rPr>
        <w:t xml:space="preserve"> the</w:t>
      </w:r>
      <w:r w:rsidRPr="00B749FC">
        <w:rPr>
          <w:szCs w:val="28"/>
        </w:rPr>
        <w:t xml:space="preserve"> Upper Morrow (Tsiris, 1983).</w:t>
      </w:r>
      <w:r w:rsidRPr="00FB3C0B">
        <w:rPr>
          <w:szCs w:val="28"/>
        </w:rPr>
        <w:t xml:space="preserve"> </w:t>
      </w:r>
      <w:r>
        <w:rPr>
          <w:szCs w:val="28"/>
        </w:rPr>
        <w:t xml:space="preserve">The </w:t>
      </w:r>
      <w:r w:rsidRPr="00FB3C0B">
        <w:rPr>
          <w:szCs w:val="28"/>
        </w:rPr>
        <w:t xml:space="preserve">Morrowan period was followed by Atokan transgression during which </w:t>
      </w:r>
      <w:r>
        <w:rPr>
          <w:szCs w:val="28"/>
        </w:rPr>
        <w:t xml:space="preserve">the </w:t>
      </w:r>
      <w:r w:rsidRPr="00FB3C0B">
        <w:rPr>
          <w:szCs w:val="28"/>
        </w:rPr>
        <w:t>Thirteen Finger Limestone was</w:t>
      </w:r>
      <w:r>
        <w:rPr>
          <w:szCs w:val="28"/>
        </w:rPr>
        <w:t xml:space="preserve"> deposited (Wheeler et al., 1990).</w:t>
      </w:r>
    </w:p>
    <w:p w:rsidR="0099286C" w:rsidRDefault="0099286C" w:rsidP="0099286C">
      <w:pPr>
        <w:keepNext/>
        <w:jc w:val="center"/>
      </w:pPr>
      <w:r>
        <w:rPr>
          <w:noProof/>
          <w:szCs w:val="28"/>
          <w:lang w:val="tr-TR" w:eastAsia="tr-TR" w:bidi="ar-SA"/>
        </w:rPr>
        <w:drawing>
          <wp:inline distT="0" distB="0" distL="0" distR="0" wp14:anchorId="0D22654C" wp14:editId="7B94CF0D">
            <wp:extent cx="5082363" cy="3471833"/>
            <wp:effectExtent l="0" t="0" r="444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5882" cy="3515224"/>
                    </a:xfrm>
                    <a:prstGeom prst="rect">
                      <a:avLst/>
                    </a:prstGeom>
                    <a:noFill/>
                    <a:ln>
                      <a:noFill/>
                    </a:ln>
                  </pic:spPr>
                </pic:pic>
              </a:graphicData>
            </a:graphic>
          </wp:inline>
        </w:drawing>
      </w:r>
    </w:p>
    <w:p w:rsidR="0099286C" w:rsidRPr="00362829" w:rsidRDefault="0099286C" w:rsidP="00362829">
      <w:pPr>
        <w:pStyle w:val="ResimYazs"/>
        <w:jc w:val="both"/>
        <w:rPr>
          <w:b w:val="0"/>
        </w:rPr>
      </w:pPr>
      <w:bookmarkStart w:id="30" w:name="_Toc507509059"/>
      <w:r>
        <w:t xml:space="preserve">Figure </w:t>
      </w:r>
      <w:fldSimple w:instr=" SEQ Figure \* ARABIC ">
        <w:r w:rsidR="003F6459">
          <w:rPr>
            <w:noProof/>
          </w:rPr>
          <w:t>11</w:t>
        </w:r>
      </w:fldSimple>
      <w:r>
        <w:t xml:space="preserve">. </w:t>
      </w:r>
      <w:r w:rsidRPr="005050AB">
        <w:rPr>
          <w:b w:val="0"/>
        </w:rPr>
        <w:t xml:space="preserve">Schematic diagrams showing the distribution of depositional systems during deposition of the Morrow Formation. (A) During relative highstand of sea level, shorelines rimmed the basin, and black muds were deposited on a shallow widespread shelf. (B) During relative lowstand of sea level, an extensive series of drainages developed in </w:t>
      </w:r>
      <w:r>
        <w:rPr>
          <w:b w:val="0"/>
        </w:rPr>
        <w:t xml:space="preserve">the </w:t>
      </w:r>
      <w:r w:rsidRPr="005050AB">
        <w:rPr>
          <w:b w:val="0"/>
        </w:rPr>
        <w:t xml:space="preserve">eastern Colorado and </w:t>
      </w:r>
      <w:r>
        <w:rPr>
          <w:b w:val="0"/>
        </w:rPr>
        <w:t xml:space="preserve">the </w:t>
      </w:r>
      <w:r w:rsidRPr="005050AB">
        <w:rPr>
          <w:b w:val="0"/>
        </w:rPr>
        <w:t xml:space="preserve">western Kansas that flowed </w:t>
      </w:r>
      <w:r>
        <w:rPr>
          <w:b w:val="0"/>
        </w:rPr>
        <w:t>into the Anadarko basin (Modified after Bowen and Weimer, 2003)</w:t>
      </w:r>
      <w:bookmarkEnd w:id="30"/>
    </w:p>
    <w:p w:rsidR="0099286C" w:rsidRDefault="0099286C" w:rsidP="00E1019B">
      <w:pPr>
        <w:pStyle w:val="Balk1"/>
      </w:pPr>
      <w:bookmarkStart w:id="31" w:name="_Toc507506629"/>
      <w:r>
        <w:lastRenderedPageBreak/>
        <w:t>Chapter 3: Methodology</w:t>
      </w:r>
      <w:bookmarkEnd w:id="31"/>
    </w:p>
    <w:p w:rsidR="0099286C" w:rsidRDefault="0099286C" w:rsidP="000776CE">
      <w:pPr>
        <w:pStyle w:val="Balk2"/>
      </w:pPr>
      <w:bookmarkStart w:id="32" w:name="_Toc507506630"/>
      <w:r>
        <w:t>3.1 Study Area and Sample Locations</w:t>
      </w:r>
      <w:bookmarkEnd w:id="32"/>
    </w:p>
    <w:p w:rsidR="0099286C" w:rsidRDefault="0099286C" w:rsidP="00C036E5">
      <w:pPr>
        <w:ind w:firstLine="720"/>
        <w:jc w:val="both"/>
      </w:pPr>
      <w:r>
        <w:t>The main purpose of this study was to define geochemical characteristics of the Morrow Shale within the Anadarko Basin.</w:t>
      </w:r>
      <w:r>
        <w:rPr>
          <w:lang w:val="tr-TR"/>
        </w:rPr>
        <w:t xml:space="preserve"> </w:t>
      </w:r>
      <w:r>
        <w:t xml:space="preserve">For this purpose, three sets of samples have been analyzed. The first set of 15 source rock samples were from the PhD thesis of Huai da Wang and were re-analyzed in this study (Wang, 1993). These source rock samples were collected from various depths of different wells in the Anadarko Basin, Oklahoma so that they reflect the geochemical trends in the Anadarko Basin as comprehensively as </w:t>
      </w:r>
      <w:r w:rsidRPr="00963787">
        <w:t>possible. These samples are referred with</w:t>
      </w:r>
      <w:r w:rsidR="002C102F">
        <w:t xml:space="preserve"> the</w:t>
      </w:r>
      <w:r w:rsidRPr="00963787">
        <w:t xml:space="preserve"> “MOR” abbreviation in this study. The second set of sample</w:t>
      </w:r>
      <w:r>
        <w:t>s</w:t>
      </w:r>
      <w:r w:rsidRPr="00963787">
        <w:t xml:space="preserve"> used in this study belongs to the Kephart-1 Well which was drilled by Humble Oil in Blaine County, Oklahoma. The latitude and the longitude of the core is 36.0285672 and -98.4765914, respectively which corresponds to section, township and range of 20-18N-12W. In order to have high-resolution results, a total of 30 samples were collected as chips at 1 ft. intervals. The core is comprised of the Morrow Formation and was mainly black shale with alternating carbonate and siltstone layers. The Kephart-I core samples are referred with the “A” abbreviation (such as A-1, A-2 and A-3 e</w:t>
      </w:r>
      <w:r>
        <w:t>tc.). The third set of samples wa</w:t>
      </w:r>
      <w:r w:rsidRPr="00963787">
        <w:t>s composed of two source rock samples taken from the Laverne-State-1 Well which was drilled by Gulf Oil Company in Harper County, Oklahoma. These source rock samples were gathered from two different depths of the core and collected as chips and referred with the “H” letter such as H-2 and H-3.  Both core samples were</w:t>
      </w:r>
      <w:r>
        <w:t xml:space="preserve"> </w:t>
      </w:r>
      <w:r w:rsidR="00F418A9">
        <w:t>obtained</w:t>
      </w:r>
      <w:r>
        <w:t xml:space="preserve"> from </w:t>
      </w:r>
      <w:r w:rsidR="00F418A9">
        <w:t xml:space="preserve">the </w:t>
      </w:r>
      <w:r>
        <w:t xml:space="preserve">Oklahoma Petroleum Information Center (OPIC). Depth and </w:t>
      </w:r>
      <w:r w:rsidRPr="004F10B0">
        <w:t>location of the samples are given in Table 1 and shown in Figure 12.</w:t>
      </w:r>
      <w:r>
        <w:t xml:space="preserve"> </w:t>
      </w:r>
    </w:p>
    <w:p w:rsidR="00C036E5" w:rsidRDefault="00C036E5" w:rsidP="00C036E5">
      <w:pPr>
        <w:ind w:firstLine="720"/>
        <w:jc w:val="both"/>
      </w:pPr>
    </w:p>
    <w:p w:rsidR="00C036E5" w:rsidRDefault="00C036E5" w:rsidP="00C036E5">
      <w:pPr>
        <w:keepNext/>
        <w:jc w:val="both"/>
      </w:pPr>
      <w:r>
        <w:rPr>
          <w:noProof/>
          <w:lang w:val="tr-TR" w:eastAsia="tr-TR" w:bidi="ar-SA"/>
        </w:rPr>
        <w:lastRenderedPageBreak/>
        <mc:AlternateContent>
          <mc:Choice Requires="wps">
            <w:drawing>
              <wp:anchor distT="45720" distB="45720" distL="114300" distR="114300" simplePos="0" relativeHeight="251746304" behindDoc="0" locked="0" layoutInCell="1" allowOverlap="1">
                <wp:simplePos x="0" y="0"/>
                <wp:positionH relativeFrom="margin">
                  <wp:align>right</wp:align>
                </wp:positionH>
                <wp:positionV relativeFrom="paragraph">
                  <wp:posOffset>3950970</wp:posOffset>
                </wp:positionV>
                <wp:extent cx="8147050" cy="299720"/>
                <wp:effectExtent l="0" t="635" r="5715" b="5715"/>
                <wp:wrapSquare wrapText="bothSides"/>
                <wp:docPr id="4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47050" cy="299720"/>
                        </a:xfrm>
                        <a:prstGeom prst="rect">
                          <a:avLst/>
                        </a:prstGeom>
                        <a:solidFill>
                          <a:srgbClr val="FFFFFF"/>
                        </a:solidFill>
                        <a:ln w="9525">
                          <a:noFill/>
                          <a:miter lim="800000"/>
                          <a:headEnd/>
                          <a:tailEnd/>
                        </a:ln>
                      </wps:spPr>
                      <wps:txbx>
                        <w:txbxContent>
                          <w:p w:rsidR="008875B3" w:rsidRDefault="008875B3" w:rsidP="00C036E5">
                            <w:pPr>
                              <w:pStyle w:val="ResimYazs"/>
                              <w:jc w:val="both"/>
                              <w:rPr>
                                <w:b w:val="0"/>
                              </w:rPr>
                            </w:pPr>
                            <w:bookmarkStart w:id="33" w:name="_Toc507509060"/>
                            <w:r>
                              <w:t xml:space="preserve">Figure </w:t>
                            </w:r>
                            <w:fldSimple w:instr=" SEQ Figure \* ARABIC ">
                              <w:r w:rsidR="003F6459">
                                <w:rPr>
                                  <w:noProof/>
                                </w:rPr>
                                <w:t>12</w:t>
                              </w:r>
                            </w:fldSimple>
                            <w:r>
                              <w:t xml:space="preserve">. </w:t>
                            </w:r>
                            <w:r w:rsidRPr="00FC5EFD">
                              <w:rPr>
                                <w:b w:val="0"/>
                              </w:rPr>
                              <w:t>Location Map of the Studied Samples (Modi</w:t>
                            </w:r>
                            <w:r>
                              <w:rPr>
                                <w:b w:val="0"/>
                              </w:rPr>
                              <w:t>fied from Cardott, 2012)</w:t>
                            </w:r>
                            <w:bookmarkEnd w:id="33"/>
                          </w:p>
                          <w:p w:rsidR="008875B3" w:rsidRDefault="008875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90.3pt;margin-top:311.1pt;width:641.5pt;height:23.6pt;rotation:-90;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" stroked="f">
                <v:textbox>
                  <w:txbxContent>
                    <w:p w:rsidR="008875B3" w:rsidRDefault="008875B3" w:rsidP="00C036E5">
                      <w:pPr>
                        <w:pStyle w:val="ResimYazs"/>
                        <w:jc w:val="both"/>
                        <w:rPr>
                          <w:b w:val="0"/>
                        </w:rPr>
                      </w:pPr>
                      <w:bookmarkStart w:id="34" w:name="_Toc507509060"/>
                      <w:r>
                        <w:t xml:space="preserve">Figure </w:t>
                      </w:r>
                      <w:fldSimple w:instr=" SEQ Figure \* ARABIC ">
                        <w:r w:rsidR="003F6459">
                          <w:rPr>
                            <w:noProof/>
                          </w:rPr>
                          <w:t>12</w:t>
                        </w:r>
                      </w:fldSimple>
                      <w:r>
                        <w:t xml:space="preserve">. </w:t>
                      </w:r>
                      <w:r w:rsidRPr="00FC5EFD">
                        <w:rPr>
                          <w:b w:val="0"/>
                        </w:rPr>
                        <w:t>Location Map of the Studied Samples (Modi</w:t>
                      </w:r>
                      <w:r>
                        <w:rPr>
                          <w:b w:val="0"/>
                        </w:rPr>
                        <w:t>fied from Cardott, 2012)</w:t>
                      </w:r>
                      <w:bookmarkEnd w:id="34"/>
                    </w:p>
                    <w:p w:rsidR="008875B3" w:rsidRDefault="008875B3"/>
                  </w:txbxContent>
                </v:textbox>
                <w10:wrap type="square" anchorx="margin"/>
              </v:shape>
            </w:pict>
          </mc:Fallback>
        </mc:AlternateContent>
      </w:r>
      <w:r w:rsidRPr="00FA7537">
        <w:rPr>
          <w:noProof/>
          <w:lang w:val="tr-TR" w:eastAsia="tr-TR" w:bidi="ar-SA"/>
        </w:rPr>
        <w:drawing>
          <wp:inline distT="0" distB="0" distL="0" distR="0" wp14:anchorId="1894BC82" wp14:editId="1D108D49">
            <wp:extent cx="8137205" cy="4952287"/>
            <wp:effectExtent l="0" t="7620" r="8890" b="8890"/>
            <wp:docPr id="19" name="İçerik Yer Tutucusu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İçerik Yer Tutucusu 5"/>
                    <pic:cNvPicPr>
                      <a:picLocks noGrp="1" noChangeAspect="1"/>
                    </pic:cNvPicPr>
                  </pic:nvPicPr>
                  <pic:blipFill>
                    <a:blip r:embed="rId27"/>
                    <a:stretch>
                      <a:fillRect/>
                    </a:stretch>
                  </pic:blipFill>
                  <pic:spPr>
                    <a:xfrm rot="16200000">
                      <a:off x="0" y="0"/>
                      <a:ext cx="8185130" cy="4981454"/>
                    </a:xfrm>
                    <a:prstGeom prst="rect">
                      <a:avLst/>
                    </a:prstGeom>
                  </pic:spPr>
                </pic:pic>
              </a:graphicData>
            </a:graphic>
          </wp:inline>
        </w:drawing>
      </w:r>
    </w:p>
    <w:p w:rsidR="0099286C" w:rsidRDefault="0099286C" w:rsidP="00C036E5">
      <w:pPr>
        <w:pStyle w:val="ResimYazs"/>
        <w:rPr>
          <w:b w:val="0"/>
        </w:rPr>
      </w:pPr>
      <w:r>
        <w:rPr>
          <w:b w:val="0"/>
          <w:bCs w:val="0"/>
          <w:szCs w:val="24"/>
        </w:rPr>
        <w:lastRenderedPageBreak/>
        <w:t xml:space="preserve">     </w:t>
      </w:r>
      <w:bookmarkStart w:id="35" w:name="_Toc507508791"/>
      <w:r>
        <w:t xml:space="preserve">Table </w:t>
      </w:r>
      <w:fldSimple w:instr=" SEQ Table \* ARABIC ">
        <w:r w:rsidR="003F6459">
          <w:rPr>
            <w:noProof/>
          </w:rPr>
          <w:t>1</w:t>
        </w:r>
      </w:fldSimple>
      <w:r>
        <w:t xml:space="preserve">. </w:t>
      </w:r>
      <w:r w:rsidR="00E17784">
        <w:rPr>
          <w:b w:val="0"/>
        </w:rPr>
        <w:t>Sample names, depths and l</w:t>
      </w:r>
      <w:r w:rsidRPr="00151D9A">
        <w:rPr>
          <w:b w:val="0"/>
        </w:rPr>
        <w:t>ocations of</w:t>
      </w:r>
      <w:r w:rsidR="00E17784">
        <w:rPr>
          <w:b w:val="0"/>
        </w:rPr>
        <w:t xml:space="preserve"> the Morrow source rock s</w:t>
      </w:r>
      <w:r>
        <w:rPr>
          <w:b w:val="0"/>
        </w:rPr>
        <w:t>amples</w:t>
      </w:r>
      <w:bookmarkEnd w:id="35"/>
    </w:p>
    <w:p w:rsidR="00B06FD5" w:rsidRPr="00B06FD5" w:rsidRDefault="00B06FD5" w:rsidP="00B06FD5">
      <w:pPr>
        <w:jc w:val="center"/>
      </w:pPr>
      <w:r w:rsidRPr="00B06FD5">
        <w:rPr>
          <w:noProof/>
          <w:lang w:val="tr-TR" w:eastAsia="tr-TR" w:bidi="ar-SA"/>
        </w:rPr>
        <w:drawing>
          <wp:inline distT="0" distB="0" distL="0" distR="0">
            <wp:extent cx="5013325" cy="7895694"/>
            <wp:effectExtent l="0" t="0" r="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0353" cy="7922511"/>
                    </a:xfrm>
                    <a:prstGeom prst="rect">
                      <a:avLst/>
                    </a:prstGeom>
                    <a:noFill/>
                    <a:ln>
                      <a:noFill/>
                    </a:ln>
                  </pic:spPr>
                </pic:pic>
              </a:graphicData>
            </a:graphic>
          </wp:inline>
        </w:drawing>
      </w:r>
    </w:p>
    <w:p w:rsidR="0099286C" w:rsidRDefault="0099286C" w:rsidP="000776CE">
      <w:pPr>
        <w:pStyle w:val="Balk2"/>
      </w:pPr>
      <w:bookmarkStart w:id="36" w:name="_Toc507506631"/>
      <w:r>
        <w:lastRenderedPageBreak/>
        <w:t>3.2 Experimental Procedure</w:t>
      </w:r>
      <w:bookmarkEnd w:id="36"/>
    </w:p>
    <w:p w:rsidR="0099286C" w:rsidRPr="00100A94" w:rsidRDefault="0099286C" w:rsidP="0099286C">
      <w:pPr>
        <w:pStyle w:val="Balk3"/>
      </w:pPr>
      <w:bookmarkStart w:id="37" w:name="_Toc504658442"/>
      <w:bookmarkStart w:id="38" w:name="_Toc507506632"/>
      <w:r w:rsidRPr="00100A94">
        <w:t>3.2.1 Preliminary Sample Treatment</w:t>
      </w:r>
      <w:bookmarkEnd w:id="37"/>
      <w:bookmarkEnd w:id="38"/>
    </w:p>
    <w:p w:rsidR="0099286C" w:rsidRDefault="0099286C" w:rsidP="0099286C">
      <w:pPr>
        <w:ind w:firstLine="720"/>
        <w:jc w:val="both"/>
      </w:pPr>
      <w:r>
        <w:t xml:space="preserve">Both of the cores were drilled many years ago and they </w:t>
      </w:r>
      <w:r w:rsidR="00F418A9">
        <w:t>consist</w:t>
      </w:r>
      <w:r>
        <w:t xml:space="preserve"> of rock chips rather than a whole core or slab. The chips were rinsed thoroughly with the mixture of methanol and dichloromethane (MeOH: DCM; 1:1) in order to eliminate potential organic contaminants that might have penetrated the core. Then, they were left to air dry for about 24 hours prior to crushing.  </w:t>
      </w:r>
    </w:p>
    <w:p w:rsidR="0099286C" w:rsidRDefault="0099286C" w:rsidP="0099286C">
      <w:pPr>
        <w:ind w:firstLine="720"/>
        <w:jc w:val="both"/>
      </w:pPr>
      <w:r>
        <w:t xml:space="preserve">After eliminating potential surficial contamination, each sample was crushed into small pieces with a porcelain mortar and pestle (Figure 13). Then a maximum of 8 grams of sample and several steel balls were introduced into a cylindrical vessel and sealed with a cap. Then the sealed vessel was fixed into a </w:t>
      </w:r>
      <w:r w:rsidRPr="00D25C47">
        <w:t>Spex 8000 Mixer/Mill</w:t>
      </w:r>
      <w:r>
        <w:t xml:space="preserve"> and crushed into a fine powder for about 4 </w:t>
      </w:r>
      <w:r w:rsidRPr="00C26CB2">
        <w:t>minutes depending on its clay/ca</w:t>
      </w:r>
      <w:r w:rsidR="00FF3B84">
        <w:t xml:space="preserve">rbonate content. </w:t>
      </w:r>
      <w:r w:rsidRPr="00C26CB2">
        <w:t>This process was run</w:t>
      </w:r>
      <w:r>
        <w:t xml:space="preserve"> through several times until the desired amount of 50 grams of fine powder with grain size smaller than 0.425 mm (US Standard mesh No. 40) were collected.</w:t>
      </w:r>
    </w:p>
    <w:p w:rsidR="0099286C" w:rsidRDefault="0099286C" w:rsidP="0099286C">
      <w:pPr>
        <w:keepNext/>
        <w:jc w:val="center"/>
      </w:pPr>
      <w:r>
        <w:rPr>
          <w:noProof/>
          <w:lang w:val="tr-TR" w:eastAsia="tr-TR" w:bidi="ar-SA"/>
        </w:rPr>
        <w:drawing>
          <wp:inline distT="0" distB="0" distL="0" distR="0" wp14:anchorId="6E75B79D" wp14:editId="3511EBE9">
            <wp:extent cx="4284921" cy="2738092"/>
            <wp:effectExtent l="0" t="0" r="0" b="571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2-03 at 10.10.17 AM.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94599" cy="2744276"/>
                    </a:xfrm>
                    <a:prstGeom prst="rect">
                      <a:avLst/>
                    </a:prstGeom>
                  </pic:spPr>
                </pic:pic>
              </a:graphicData>
            </a:graphic>
          </wp:inline>
        </w:drawing>
      </w:r>
    </w:p>
    <w:p w:rsidR="0099286C" w:rsidRPr="004841C3" w:rsidRDefault="0099286C" w:rsidP="0099286C">
      <w:pPr>
        <w:pStyle w:val="ResimYazs"/>
        <w:jc w:val="center"/>
        <w:rPr>
          <w:b w:val="0"/>
        </w:rPr>
        <w:sectPr w:rsidR="0099286C" w:rsidRPr="004841C3" w:rsidSect="007215CE">
          <w:footerReference w:type="default" r:id="rId30"/>
          <w:pgSz w:w="12240" w:h="15840" w:code="1"/>
          <w:pgMar w:top="1440" w:right="1440" w:bottom="1440" w:left="2304" w:header="720" w:footer="720" w:gutter="0"/>
          <w:pgNumType w:start="1"/>
          <w:cols w:space="720"/>
          <w:docGrid w:linePitch="360"/>
        </w:sectPr>
      </w:pPr>
      <w:bookmarkStart w:id="39" w:name="_Toc507509061"/>
      <w:r>
        <w:t xml:space="preserve">Figure </w:t>
      </w:r>
      <w:fldSimple w:instr=" SEQ Figure \* ARABIC ">
        <w:r w:rsidR="003F6459">
          <w:rPr>
            <w:noProof/>
          </w:rPr>
          <w:t>13</w:t>
        </w:r>
      </w:fldSimple>
      <w:r>
        <w:t xml:space="preserve">. </w:t>
      </w:r>
      <w:r w:rsidRPr="002F2FE8">
        <w:rPr>
          <w:b w:val="0"/>
        </w:rPr>
        <w:t xml:space="preserve">Laboratory </w:t>
      </w:r>
      <w:r>
        <w:rPr>
          <w:b w:val="0"/>
        </w:rPr>
        <w:t>Equipment</w:t>
      </w:r>
      <w:r w:rsidR="007346E1">
        <w:rPr>
          <w:b w:val="0"/>
        </w:rPr>
        <w:t>s</w:t>
      </w:r>
      <w:r>
        <w:rPr>
          <w:b w:val="0"/>
        </w:rPr>
        <w:t xml:space="preserve"> Used for Rock Crushing</w:t>
      </w:r>
      <w:bookmarkEnd w:id="39"/>
    </w:p>
    <w:p w:rsidR="00CF57F1" w:rsidRDefault="00AE18CC" w:rsidP="00CF57F1">
      <w:bookmarkStart w:id="40" w:name="_Toc504658443"/>
      <w:r>
        <w:rPr>
          <w:noProof/>
          <w:lang w:val="tr-TR" w:eastAsia="tr-TR" w:bidi="ar-SA"/>
        </w:rPr>
        <w:lastRenderedPageBreak/>
        <w:drawing>
          <wp:anchor distT="0" distB="0" distL="114300" distR="114300" simplePos="0" relativeHeight="251748352" behindDoc="0" locked="0" layoutInCell="1" allowOverlap="1" wp14:anchorId="1E3196F4" wp14:editId="6F78C39D">
            <wp:simplePos x="0" y="0"/>
            <wp:positionH relativeFrom="column">
              <wp:posOffset>-1440180</wp:posOffset>
            </wp:positionH>
            <wp:positionV relativeFrom="paragraph">
              <wp:posOffset>1638300</wp:posOffset>
            </wp:positionV>
            <wp:extent cx="8220075" cy="4986655"/>
            <wp:effectExtent l="16510" t="21590" r="26035" b="26035"/>
            <wp:wrapTopAndBottom/>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16200000">
                      <a:off x="0" y="0"/>
                      <a:ext cx="8220075" cy="4986655"/>
                    </a:xfrm>
                    <a:prstGeom prst="rect">
                      <a:avLst/>
                    </a:prstGeom>
                    <a:noFill/>
                    <a:ln>
                      <a:solidFill>
                        <a:schemeClr val="tx1"/>
                      </a:solidFill>
                    </a:ln>
                  </pic:spPr>
                </pic:pic>
              </a:graphicData>
            </a:graphic>
            <wp14:sizeRelV relativeFrom="margin">
              <wp14:pctHeight>0</wp14:pctHeight>
            </wp14:sizeRelV>
          </wp:anchor>
        </w:drawing>
      </w:r>
      <w:r>
        <w:rPr>
          <w:noProof/>
          <w:lang w:val="tr-TR" w:eastAsia="tr-TR" w:bidi="ar-SA"/>
        </w:rPr>
        <mc:AlternateContent>
          <mc:Choice Requires="wps">
            <w:drawing>
              <wp:anchor distT="0" distB="0" distL="114300" distR="114300" simplePos="0" relativeHeight="251750400" behindDoc="0" locked="0" layoutInCell="1" allowOverlap="1" wp14:anchorId="4CE3B26B" wp14:editId="56408C2F">
                <wp:simplePos x="0" y="0"/>
                <wp:positionH relativeFrom="margin">
                  <wp:align>right</wp:align>
                </wp:positionH>
                <wp:positionV relativeFrom="paragraph">
                  <wp:posOffset>5837555</wp:posOffset>
                </wp:positionV>
                <wp:extent cx="4774565" cy="635"/>
                <wp:effectExtent l="0" t="5397" r="1587" b="1588"/>
                <wp:wrapTopAndBottom/>
                <wp:docPr id="45" name="Metin Kutusu 45"/>
                <wp:cNvGraphicFramePr/>
                <a:graphic xmlns:a="http://schemas.openxmlformats.org/drawingml/2006/main">
                  <a:graphicData uri="http://schemas.microsoft.com/office/word/2010/wordprocessingShape">
                    <wps:wsp>
                      <wps:cNvSpPr txBox="1"/>
                      <wps:spPr>
                        <a:xfrm rot="16200000">
                          <a:off x="0" y="0"/>
                          <a:ext cx="4774565" cy="635"/>
                        </a:xfrm>
                        <a:prstGeom prst="rect">
                          <a:avLst/>
                        </a:prstGeom>
                        <a:solidFill>
                          <a:prstClr val="white"/>
                        </a:solidFill>
                        <a:ln>
                          <a:noFill/>
                        </a:ln>
                        <a:effectLst/>
                      </wps:spPr>
                      <wps:txbx>
                        <w:txbxContent>
                          <w:p w:rsidR="008875B3" w:rsidRPr="00AE18CC" w:rsidRDefault="008875B3" w:rsidP="00AE18CC">
                            <w:pPr>
                              <w:pStyle w:val="ResimYazs"/>
                              <w:rPr>
                                <w:b w:val="0"/>
                                <w:noProof/>
                                <w:szCs w:val="24"/>
                              </w:rPr>
                            </w:pPr>
                            <w:bookmarkStart w:id="41" w:name="_Toc507509062"/>
                            <w:r>
                              <w:t xml:space="preserve">Figure </w:t>
                            </w:r>
                            <w:fldSimple w:instr=" SEQ Figure \* ARABIC ">
                              <w:r w:rsidR="003F6459">
                                <w:rPr>
                                  <w:noProof/>
                                </w:rPr>
                                <w:t>14</w:t>
                              </w:r>
                            </w:fldSimple>
                            <w:r>
                              <w:t xml:space="preserve">. </w:t>
                            </w:r>
                            <w:r>
                              <w:rPr>
                                <w:b w:val="0"/>
                              </w:rPr>
                              <w:t>Sample Preparation Flowchart</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E3B26B" id="Metin Kutusu 45" o:spid="_x0000_s1029" type="#_x0000_t202" style="position:absolute;margin-left:324.75pt;margin-top:459.65pt;width:375.95pt;height:.05pt;rotation:-90;z-index:2517504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" stroked="f">
                <v:textbox style="mso-fit-shape-to-text:t" inset="0,0,0,0">
                  <w:txbxContent>
                    <w:p w:rsidR="008875B3" w:rsidRPr="00AE18CC" w:rsidRDefault="008875B3" w:rsidP="00AE18CC">
                      <w:pPr>
                        <w:pStyle w:val="ResimYazs"/>
                        <w:rPr>
                          <w:b w:val="0"/>
                          <w:noProof/>
                          <w:szCs w:val="24"/>
                        </w:rPr>
                      </w:pPr>
                      <w:bookmarkStart w:id="42" w:name="_Toc507509062"/>
                      <w:r>
                        <w:t xml:space="preserve">Figure </w:t>
                      </w:r>
                      <w:fldSimple w:instr=" SEQ Figure \* ARABIC ">
                        <w:r w:rsidR="003F6459">
                          <w:rPr>
                            <w:noProof/>
                          </w:rPr>
                          <w:t>14</w:t>
                        </w:r>
                      </w:fldSimple>
                      <w:r>
                        <w:t xml:space="preserve">. </w:t>
                      </w:r>
                      <w:r>
                        <w:rPr>
                          <w:b w:val="0"/>
                        </w:rPr>
                        <w:t>Sample Preparation Flowchart</w:t>
                      </w:r>
                      <w:bookmarkEnd w:id="42"/>
                    </w:p>
                  </w:txbxContent>
                </v:textbox>
                <w10:wrap type="topAndBottom" anchorx="margin"/>
              </v:shape>
            </w:pict>
          </mc:Fallback>
        </mc:AlternateContent>
      </w:r>
    </w:p>
    <w:p w:rsidR="0099286C" w:rsidRDefault="0099286C" w:rsidP="0099286C">
      <w:pPr>
        <w:pStyle w:val="Balk3"/>
      </w:pPr>
      <w:bookmarkStart w:id="43" w:name="_Toc507506633"/>
      <w:r>
        <w:lastRenderedPageBreak/>
        <w:t>3.2.2 Rock Eval Pyrolysis</w:t>
      </w:r>
      <w:bookmarkEnd w:id="40"/>
      <w:bookmarkEnd w:id="43"/>
      <w:r>
        <w:t xml:space="preserve"> </w:t>
      </w:r>
    </w:p>
    <w:p w:rsidR="0099286C" w:rsidRDefault="0099286C" w:rsidP="0099286C">
      <w:pPr>
        <w:ind w:firstLine="720"/>
        <w:jc w:val="both"/>
        <w:rPr>
          <w:szCs w:val="28"/>
        </w:rPr>
      </w:pPr>
      <w:r>
        <w:rPr>
          <w:szCs w:val="28"/>
        </w:rPr>
        <w:t xml:space="preserve">Organic matter characterization is crucial for interpreting the </w:t>
      </w:r>
      <w:r w:rsidR="00F418A9">
        <w:rPr>
          <w:szCs w:val="28"/>
        </w:rPr>
        <w:t>geology and petroleum generation</w:t>
      </w:r>
      <w:r>
        <w:rPr>
          <w:szCs w:val="28"/>
        </w:rPr>
        <w:t xml:space="preserve"> potential of any source rock (Langford and Blanc-Valleron, 1990). Rock-Eval p</w:t>
      </w:r>
      <w:r w:rsidRPr="00FB3C0B">
        <w:rPr>
          <w:szCs w:val="28"/>
        </w:rPr>
        <w:t>yrolysis is a source rock screening technique that provides valuable information about quantity, type and thermal maturity of the organic matter (OM) within the source rock (Peters, 1986; Peters and Cassa, 1994). It is a commonly used method as it is practical, inexpensive and requires only small amounts of samples</w:t>
      </w:r>
      <w:r>
        <w:rPr>
          <w:szCs w:val="28"/>
        </w:rPr>
        <w:t xml:space="preserve"> </w:t>
      </w:r>
      <w:r w:rsidRPr="00FB3C0B">
        <w:rPr>
          <w:szCs w:val="28"/>
        </w:rPr>
        <w:t xml:space="preserve">(100 mg) to provide geochemical data  (Sykes and Snowdon, 2002). </w:t>
      </w:r>
    </w:p>
    <w:p w:rsidR="0099286C" w:rsidRDefault="0099286C" w:rsidP="0099286C">
      <w:pPr>
        <w:ind w:firstLine="720"/>
        <w:jc w:val="both"/>
        <w:rPr>
          <w:szCs w:val="28"/>
        </w:rPr>
      </w:pPr>
      <w:r w:rsidRPr="00A874BA">
        <w:rPr>
          <w:szCs w:val="28"/>
        </w:rPr>
        <w:t>The Rock-Eval instrument basically heats finely crushed rock samples at a</w:t>
      </w:r>
      <w:r>
        <w:rPr>
          <w:szCs w:val="28"/>
        </w:rPr>
        <w:t xml:space="preserve"> </w:t>
      </w:r>
      <w:r w:rsidRPr="00FB3C0B">
        <w:rPr>
          <w:szCs w:val="28"/>
        </w:rPr>
        <w:t>programmed temperature</w:t>
      </w:r>
      <w:r>
        <w:rPr>
          <w:szCs w:val="28"/>
        </w:rPr>
        <w:t xml:space="preserve"> rate</w:t>
      </w:r>
      <w:r w:rsidRPr="00FB3C0B">
        <w:rPr>
          <w:szCs w:val="28"/>
        </w:rPr>
        <w:t xml:space="preserve"> in the absence of oxygen (Peters,</w:t>
      </w:r>
      <w:r>
        <w:rPr>
          <w:szCs w:val="28"/>
        </w:rPr>
        <w:t xml:space="preserve"> 1986; Sykes and Snowdon, 2002)</w:t>
      </w:r>
      <w:r w:rsidRPr="00FB3C0B">
        <w:rPr>
          <w:szCs w:val="28"/>
        </w:rPr>
        <w:t xml:space="preserve">. During the </w:t>
      </w:r>
      <w:r>
        <w:rPr>
          <w:szCs w:val="28"/>
        </w:rPr>
        <w:t>pyrolysis</w:t>
      </w:r>
      <w:r w:rsidRPr="00FB3C0B">
        <w:rPr>
          <w:szCs w:val="28"/>
        </w:rPr>
        <w:t>, the temperature of the oven is</w:t>
      </w:r>
      <w:r w:rsidR="006C6B88">
        <w:rPr>
          <w:szCs w:val="28"/>
        </w:rPr>
        <w:t xml:space="preserve"> kept at 300</w:t>
      </w:r>
      <w:r w:rsidR="005D14EA">
        <w:rPr>
          <w:szCs w:val="28"/>
        </w:rPr>
        <w:t>°C</w:t>
      </w:r>
      <w:r w:rsidRPr="00FB3C0B">
        <w:rPr>
          <w:szCs w:val="28"/>
        </w:rPr>
        <w:t xml:space="preserve"> for 3 minutes.</w:t>
      </w:r>
      <w:r>
        <w:rPr>
          <w:szCs w:val="28"/>
        </w:rPr>
        <w:t xml:space="preserve"> Organic compounds produced during pyrolysis are detected by a flame ionization detector (FID). </w:t>
      </w:r>
      <w:r w:rsidRPr="00FB3C0B">
        <w:rPr>
          <w:szCs w:val="28"/>
        </w:rPr>
        <w:t xml:space="preserve">Free hydrocarbons already present in the sample, </w:t>
      </w:r>
      <w:r>
        <w:rPr>
          <w:szCs w:val="28"/>
        </w:rPr>
        <w:t>both free and occluded</w:t>
      </w:r>
      <w:r w:rsidRPr="00FB3C0B">
        <w:rPr>
          <w:szCs w:val="28"/>
        </w:rPr>
        <w:t xml:space="preserve">, </w:t>
      </w:r>
      <w:r>
        <w:rPr>
          <w:szCs w:val="28"/>
        </w:rPr>
        <w:t>are</w:t>
      </w:r>
      <w:r w:rsidRPr="00FB3C0B">
        <w:rPr>
          <w:szCs w:val="28"/>
        </w:rPr>
        <w:t xml:space="preserve"> first volatilized and then detected by </w:t>
      </w:r>
      <w:r>
        <w:rPr>
          <w:szCs w:val="28"/>
        </w:rPr>
        <w:t>the FID as the S</w:t>
      </w:r>
      <w:r>
        <w:rPr>
          <w:szCs w:val="28"/>
          <w:vertAlign w:val="subscript"/>
        </w:rPr>
        <w:t xml:space="preserve">1 </w:t>
      </w:r>
      <w:r>
        <w:rPr>
          <w:szCs w:val="28"/>
        </w:rPr>
        <w:t>peak</w:t>
      </w:r>
      <w:r w:rsidRPr="00FB3C0B">
        <w:rPr>
          <w:szCs w:val="28"/>
        </w:rPr>
        <w:t>.</w:t>
      </w:r>
      <w:r>
        <w:rPr>
          <w:szCs w:val="28"/>
        </w:rPr>
        <w:t xml:space="preserve"> The S</w:t>
      </w:r>
      <w:r>
        <w:rPr>
          <w:szCs w:val="28"/>
          <w:vertAlign w:val="subscript"/>
        </w:rPr>
        <w:t>1</w:t>
      </w:r>
      <w:r>
        <w:rPr>
          <w:szCs w:val="28"/>
        </w:rPr>
        <w:t xml:space="preserve"> peak represents the free hydrocarbons already present in the source rock. </w:t>
      </w:r>
      <w:r w:rsidRPr="00FB3C0B">
        <w:rPr>
          <w:szCs w:val="28"/>
        </w:rPr>
        <w:t>The temperature is the</w:t>
      </w:r>
      <w:r>
        <w:rPr>
          <w:szCs w:val="28"/>
        </w:rPr>
        <w:t>n increased from 300</w:t>
      </w:r>
      <w:r w:rsidR="005D14EA">
        <w:rPr>
          <w:szCs w:val="28"/>
        </w:rPr>
        <w:t>°C</w:t>
      </w:r>
      <w:r>
        <w:rPr>
          <w:szCs w:val="28"/>
        </w:rPr>
        <w:t xml:space="preserve"> </w:t>
      </w:r>
      <w:r w:rsidR="005F53A2">
        <w:rPr>
          <w:szCs w:val="28"/>
        </w:rPr>
        <w:t>to 550°C at 25</w:t>
      </w:r>
      <w:r w:rsidR="005D14EA">
        <w:rPr>
          <w:szCs w:val="28"/>
        </w:rPr>
        <w:t>°C</w:t>
      </w:r>
      <w:r w:rsidRPr="00FB3C0B">
        <w:rPr>
          <w:szCs w:val="28"/>
        </w:rPr>
        <w:t>/min.</w:t>
      </w:r>
      <w:r>
        <w:rPr>
          <w:szCs w:val="28"/>
        </w:rPr>
        <w:t xml:space="preserve"> Thermal degradation of the kerogen produce</w:t>
      </w:r>
      <w:r w:rsidR="00FB5409">
        <w:rPr>
          <w:szCs w:val="28"/>
        </w:rPr>
        <w:t>s</w:t>
      </w:r>
      <w:r>
        <w:rPr>
          <w:szCs w:val="28"/>
        </w:rPr>
        <w:t xml:space="preserve"> hydrocarbons</w:t>
      </w:r>
      <w:r w:rsidRPr="00FB3C0B">
        <w:rPr>
          <w:szCs w:val="28"/>
        </w:rPr>
        <w:t xml:space="preserve"> which </w:t>
      </w:r>
      <w:r>
        <w:rPr>
          <w:szCs w:val="28"/>
        </w:rPr>
        <w:t>are</w:t>
      </w:r>
      <w:r w:rsidRPr="00FB3C0B">
        <w:rPr>
          <w:szCs w:val="28"/>
        </w:rPr>
        <w:t xml:space="preserve"> represented by </w:t>
      </w:r>
      <w:r>
        <w:rPr>
          <w:szCs w:val="28"/>
        </w:rPr>
        <w:t xml:space="preserve">the </w:t>
      </w:r>
      <w:r w:rsidRPr="00FB3C0B">
        <w:rPr>
          <w:szCs w:val="28"/>
        </w:rPr>
        <w:t>S</w:t>
      </w:r>
      <w:r w:rsidRPr="00FB3C0B">
        <w:rPr>
          <w:szCs w:val="28"/>
          <w:vertAlign w:val="subscript"/>
        </w:rPr>
        <w:t xml:space="preserve">2 </w:t>
      </w:r>
      <w:r w:rsidRPr="00FB3C0B">
        <w:rPr>
          <w:szCs w:val="28"/>
        </w:rPr>
        <w:t xml:space="preserve">peak, and </w:t>
      </w:r>
      <w:r>
        <w:rPr>
          <w:szCs w:val="28"/>
        </w:rPr>
        <w:t xml:space="preserve">organic </w:t>
      </w:r>
      <w:r w:rsidRPr="00FB3C0B">
        <w:rPr>
          <w:szCs w:val="28"/>
        </w:rPr>
        <w:t xml:space="preserve">oxygen </w:t>
      </w:r>
      <w:r>
        <w:rPr>
          <w:szCs w:val="28"/>
        </w:rPr>
        <w:t>as CO</w:t>
      </w:r>
      <w:r w:rsidRPr="00C5595B">
        <w:rPr>
          <w:szCs w:val="28"/>
          <w:vertAlign w:val="subscript"/>
        </w:rPr>
        <w:t>2</w:t>
      </w:r>
      <w:r>
        <w:rPr>
          <w:szCs w:val="28"/>
        </w:rPr>
        <w:t xml:space="preserve"> derived from kerogen decomposition </w:t>
      </w:r>
      <w:r w:rsidRPr="00FB3C0B">
        <w:rPr>
          <w:szCs w:val="28"/>
        </w:rPr>
        <w:t xml:space="preserve">represented by </w:t>
      </w:r>
      <w:r>
        <w:rPr>
          <w:szCs w:val="28"/>
        </w:rPr>
        <w:t xml:space="preserve">the </w:t>
      </w:r>
      <w:r w:rsidRPr="00FB3C0B">
        <w:rPr>
          <w:szCs w:val="28"/>
        </w:rPr>
        <w:t>S</w:t>
      </w:r>
      <w:r w:rsidRPr="00FB3C0B">
        <w:rPr>
          <w:szCs w:val="28"/>
          <w:vertAlign w:val="subscript"/>
        </w:rPr>
        <w:t>3</w:t>
      </w:r>
      <w:r>
        <w:rPr>
          <w:szCs w:val="28"/>
          <w:vertAlign w:val="subscript"/>
        </w:rPr>
        <w:t xml:space="preserve"> </w:t>
      </w:r>
      <w:r>
        <w:rPr>
          <w:szCs w:val="28"/>
        </w:rPr>
        <w:t>(Figure 15)</w:t>
      </w:r>
      <w:r w:rsidRPr="00FB3C0B">
        <w:rPr>
          <w:szCs w:val="28"/>
        </w:rPr>
        <w:t>. The S</w:t>
      </w:r>
      <w:r w:rsidRPr="00FB3C0B">
        <w:rPr>
          <w:szCs w:val="28"/>
          <w:vertAlign w:val="subscript"/>
        </w:rPr>
        <w:t xml:space="preserve">2 </w:t>
      </w:r>
      <w:r w:rsidRPr="00FB3C0B">
        <w:rPr>
          <w:szCs w:val="28"/>
        </w:rPr>
        <w:t>peak illustrates the potential generative capacity of a source rock</w:t>
      </w:r>
      <w:r>
        <w:rPr>
          <w:szCs w:val="28"/>
        </w:rPr>
        <w:t xml:space="preserve"> and</w:t>
      </w:r>
      <w:r w:rsidR="00FB5409">
        <w:rPr>
          <w:szCs w:val="28"/>
        </w:rPr>
        <w:t xml:space="preserve"> is</w:t>
      </w:r>
      <w:r>
        <w:rPr>
          <w:szCs w:val="28"/>
        </w:rPr>
        <w:t xml:space="preserve"> measured in milligrams of hydrocarbon </w:t>
      </w:r>
      <w:r w:rsidR="00CD03DD">
        <w:rPr>
          <w:szCs w:val="28"/>
        </w:rPr>
        <w:t xml:space="preserve">per gram of rock (mg HC/ g rock; </w:t>
      </w:r>
      <w:r>
        <w:rPr>
          <w:szCs w:val="28"/>
        </w:rPr>
        <w:t>Tissot and Welte, 1984</w:t>
      </w:r>
      <w:r w:rsidR="00F418A9">
        <w:rPr>
          <w:szCs w:val="28"/>
        </w:rPr>
        <w:t>. T</w:t>
      </w:r>
      <w:r>
        <w:rPr>
          <w:szCs w:val="28"/>
        </w:rPr>
        <w:t>he</w:t>
      </w:r>
      <w:r w:rsidRPr="00FB3C0B">
        <w:rPr>
          <w:szCs w:val="28"/>
        </w:rPr>
        <w:t xml:space="preserve"> S</w:t>
      </w:r>
      <w:r w:rsidRPr="00FB3C0B">
        <w:rPr>
          <w:szCs w:val="28"/>
          <w:vertAlign w:val="subscript"/>
        </w:rPr>
        <w:t xml:space="preserve">3 </w:t>
      </w:r>
      <w:r>
        <w:rPr>
          <w:szCs w:val="28"/>
        </w:rPr>
        <w:t>peak is used to calculate organic oxygen in the kerogen</w:t>
      </w:r>
      <w:r w:rsidRPr="00FB3C0B">
        <w:rPr>
          <w:szCs w:val="28"/>
        </w:rPr>
        <w:t xml:space="preserve"> fraction of the sample</w:t>
      </w:r>
      <w:r>
        <w:rPr>
          <w:szCs w:val="28"/>
        </w:rPr>
        <w:t xml:space="preserve"> and </w:t>
      </w:r>
      <w:r w:rsidR="00F418A9">
        <w:rPr>
          <w:szCs w:val="28"/>
        </w:rPr>
        <w:t xml:space="preserve">is </w:t>
      </w:r>
      <w:r>
        <w:rPr>
          <w:szCs w:val="28"/>
        </w:rPr>
        <w:t>represented as mg of carbon dioxide</w:t>
      </w:r>
      <w:r>
        <w:rPr>
          <w:szCs w:val="28"/>
          <w:vertAlign w:val="subscript"/>
        </w:rPr>
        <w:t xml:space="preserve"> </w:t>
      </w:r>
      <w:r w:rsidR="005D14EA">
        <w:rPr>
          <w:szCs w:val="28"/>
        </w:rPr>
        <w:t xml:space="preserve">per gram of rock (mg </w:t>
      </w:r>
      <w:r>
        <w:rPr>
          <w:szCs w:val="28"/>
        </w:rPr>
        <w:t>CO</w:t>
      </w:r>
      <w:r>
        <w:rPr>
          <w:szCs w:val="28"/>
          <w:vertAlign w:val="subscript"/>
        </w:rPr>
        <w:t xml:space="preserve">2 </w:t>
      </w:r>
      <w:r>
        <w:rPr>
          <w:szCs w:val="28"/>
        </w:rPr>
        <w:t>/ g</w:t>
      </w:r>
      <w:r w:rsidR="00CD03DD">
        <w:rPr>
          <w:szCs w:val="28"/>
        </w:rPr>
        <w:t xml:space="preserve"> rock; </w:t>
      </w:r>
      <w:r>
        <w:rPr>
          <w:szCs w:val="28"/>
        </w:rPr>
        <w:t>Peters, 1986)</w:t>
      </w:r>
      <w:r w:rsidRPr="00FB3C0B">
        <w:rPr>
          <w:szCs w:val="28"/>
        </w:rPr>
        <w:t>. The S</w:t>
      </w:r>
      <w:r w:rsidRPr="00FB3C0B">
        <w:rPr>
          <w:szCs w:val="28"/>
          <w:vertAlign w:val="subscript"/>
        </w:rPr>
        <w:t xml:space="preserve">4 </w:t>
      </w:r>
      <w:r w:rsidRPr="00FB3C0B">
        <w:rPr>
          <w:szCs w:val="28"/>
        </w:rPr>
        <w:t xml:space="preserve">peak corresponds to the residual organic carbon after </w:t>
      </w:r>
      <w:r w:rsidR="006551DD" w:rsidRPr="00FB3C0B">
        <w:rPr>
          <w:szCs w:val="28"/>
        </w:rPr>
        <w:t>pyrolysis, which</w:t>
      </w:r>
      <w:r w:rsidRPr="00FB3C0B">
        <w:rPr>
          <w:szCs w:val="28"/>
        </w:rPr>
        <w:t xml:space="preserve"> is unable to generate additional hydrocarbons. As maturity of the source rock increases,</w:t>
      </w:r>
      <w:r>
        <w:rPr>
          <w:szCs w:val="28"/>
        </w:rPr>
        <w:t xml:space="preserve"> the</w:t>
      </w:r>
      <w:r w:rsidRPr="00FB3C0B">
        <w:rPr>
          <w:szCs w:val="28"/>
        </w:rPr>
        <w:t xml:space="preserve"> S</w:t>
      </w:r>
      <w:r w:rsidRPr="00FB3C0B">
        <w:rPr>
          <w:szCs w:val="28"/>
          <w:vertAlign w:val="subscript"/>
        </w:rPr>
        <w:t xml:space="preserve">1 </w:t>
      </w:r>
      <w:r w:rsidRPr="00FB3C0B">
        <w:rPr>
          <w:szCs w:val="28"/>
        </w:rPr>
        <w:t xml:space="preserve">peak and </w:t>
      </w:r>
      <w:r>
        <w:rPr>
          <w:szCs w:val="28"/>
        </w:rPr>
        <w:t xml:space="preserve">the </w:t>
      </w:r>
      <w:r w:rsidRPr="00FB3C0B">
        <w:rPr>
          <w:szCs w:val="28"/>
        </w:rPr>
        <w:t>S</w:t>
      </w:r>
      <w:r w:rsidRPr="00FB3C0B">
        <w:rPr>
          <w:szCs w:val="28"/>
          <w:vertAlign w:val="subscript"/>
        </w:rPr>
        <w:t xml:space="preserve">4 </w:t>
      </w:r>
      <w:r w:rsidRPr="00FB3C0B">
        <w:rPr>
          <w:szCs w:val="28"/>
        </w:rPr>
        <w:lastRenderedPageBreak/>
        <w:t>peak increases</w:t>
      </w:r>
      <w:r>
        <w:rPr>
          <w:szCs w:val="28"/>
        </w:rPr>
        <w:t xml:space="preserve"> but</w:t>
      </w:r>
      <w:r w:rsidRPr="00FB3C0B">
        <w:rPr>
          <w:szCs w:val="28"/>
        </w:rPr>
        <w:t xml:space="preserve"> intensity of the S</w:t>
      </w:r>
      <w:r w:rsidRPr="00FB3C0B">
        <w:rPr>
          <w:szCs w:val="28"/>
          <w:vertAlign w:val="subscript"/>
        </w:rPr>
        <w:t>2</w:t>
      </w:r>
      <w:r w:rsidRPr="00FB3C0B">
        <w:rPr>
          <w:szCs w:val="28"/>
        </w:rPr>
        <w:t xml:space="preserve"> peak decreases due to remaining generative</w:t>
      </w:r>
      <w:r>
        <w:rPr>
          <w:szCs w:val="28"/>
        </w:rPr>
        <w:t xml:space="preserve"> capacity of the rock diminishing</w:t>
      </w:r>
      <w:r w:rsidRPr="00FB3C0B">
        <w:rPr>
          <w:szCs w:val="28"/>
        </w:rPr>
        <w:t xml:space="preserve"> (Peters, 1986). T</w:t>
      </w:r>
      <w:r>
        <w:rPr>
          <w:szCs w:val="28"/>
        </w:rPr>
        <w:t>he total organic carbon (TOC) of the rock is determined as weight percent (wt</w:t>
      </w:r>
      <w:r w:rsidR="005D14EA">
        <w:rPr>
          <w:szCs w:val="28"/>
        </w:rPr>
        <w:t>.</w:t>
      </w:r>
      <w:r>
        <w:rPr>
          <w:szCs w:val="28"/>
        </w:rPr>
        <w:t xml:space="preserve"> %) of the whole rock and</w:t>
      </w:r>
      <w:r w:rsidRPr="00FB3C0B">
        <w:rPr>
          <w:szCs w:val="28"/>
        </w:rPr>
        <w:t xml:space="preserve"> calculated by adding the pyrolyzed and residual carbon amounts to each other.</w:t>
      </w:r>
      <w:r>
        <w:rPr>
          <w:szCs w:val="28"/>
        </w:rPr>
        <w:t xml:space="preserve"> The</w:t>
      </w:r>
      <w:r w:rsidRPr="00FB3C0B">
        <w:rPr>
          <w:szCs w:val="28"/>
        </w:rPr>
        <w:t xml:space="preserve"> T</w:t>
      </w:r>
      <w:r w:rsidRPr="00FB3C0B">
        <w:rPr>
          <w:szCs w:val="28"/>
          <w:vertAlign w:val="subscript"/>
        </w:rPr>
        <w:t xml:space="preserve">max </w:t>
      </w:r>
      <w:r w:rsidRPr="00FB3C0B">
        <w:rPr>
          <w:szCs w:val="28"/>
        </w:rPr>
        <w:t xml:space="preserve">value corresponds to </w:t>
      </w:r>
      <w:r w:rsidR="00FB5409">
        <w:rPr>
          <w:szCs w:val="28"/>
        </w:rPr>
        <w:t xml:space="preserve">the </w:t>
      </w:r>
      <w:r w:rsidRPr="00FB3C0B">
        <w:rPr>
          <w:szCs w:val="28"/>
        </w:rPr>
        <w:t>highest point of</w:t>
      </w:r>
      <w:r>
        <w:rPr>
          <w:szCs w:val="28"/>
        </w:rPr>
        <w:t xml:space="preserve"> the</w:t>
      </w:r>
      <w:r w:rsidRPr="00FB3C0B">
        <w:rPr>
          <w:szCs w:val="28"/>
        </w:rPr>
        <w:t xml:space="preserve"> S</w:t>
      </w:r>
      <w:r w:rsidRPr="00FB3C0B">
        <w:rPr>
          <w:szCs w:val="28"/>
          <w:vertAlign w:val="subscript"/>
        </w:rPr>
        <w:t xml:space="preserve">2 </w:t>
      </w:r>
      <w:r w:rsidRPr="00FB3C0B">
        <w:rPr>
          <w:szCs w:val="28"/>
        </w:rPr>
        <w:t xml:space="preserve">peak and </w:t>
      </w:r>
      <w:r w:rsidR="00F418A9">
        <w:rPr>
          <w:szCs w:val="28"/>
        </w:rPr>
        <w:t xml:space="preserve">is </w:t>
      </w:r>
      <w:r w:rsidRPr="00FB3C0B">
        <w:rPr>
          <w:szCs w:val="28"/>
        </w:rPr>
        <w:t>used to evaluate</w:t>
      </w:r>
      <w:r w:rsidR="00FB5409">
        <w:rPr>
          <w:szCs w:val="28"/>
        </w:rPr>
        <w:t xml:space="preserve"> the</w:t>
      </w:r>
      <w:r w:rsidRPr="00FB3C0B">
        <w:rPr>
          <w:szCs w:val="28"/>
        </w:rPr>
        <w:t xml:space="preserve"> maturity level of the sample. The hydrogen index (HI) is calculated by S</w:t>
      </w:r>
      <w:r w:rsidRPr="00FB3C0B">
        <w:rPr>
          <w:szCs w:val="28"/>
          <w:vertAlign w:val="subscript"/>
        </w:rPr>
        <w:t>2</w:t>
      </w:r>
      <w:r>
        <w:rPr>
          <w:szCs w:val="28"/>
          <w:vertAlign w:val="subscript"/>
        </w:rPr>
        <w:t xml:space="preserve"> </w:t>
      </w:r>
      <w:r w:rsidR="006C6B88">
        <w:rPr>
          <w:szCs w:val="28"/>
        </w:rPr>
        <w:t>(mg HC/</w:t>
      </w:r>
      <w:r>
        <w:rPr>
          <w:szCs w:val="28"/>
        </w:rPr>
        <w:t xml:space="preserve">g rock) </w:t>
      </w:r>
      <w:r w:rsidRPr="00FB3C0B">
        <w:rPr>
          <w:szCs w:val="28"/>
        </w:rPr>
        <w:t>/</w:t>
      </w:r>
      <w:r>
        <w:rPr>
          <w:szCs w:val="28"/>
        </w:rPr>
        <w:t xml:space="preserve"> </w:t>
      </w:r>
      <w:r w:rsidRPr="00FB3C0B">
        <w:rPr>
          <w:szCs w:val="28"/>
        </w:rPr>
        <w:t>TOC</w:t>
      </w:r>
      <w:r w:rsidR="006C6B88">
        <w:rPr>
          <w:szCs w:val="28"/>
        </w:rPr>
        <w:t xml:space="preserve"> (wt. </w:t>
      </w:r>
      <w:r>
        <w:rPr>
          <w:szCs w:val="28"/>
        </w:rPr>
        <w:t>%)</w:t>
      </w:r>
      <w:r w:rsidRPr="00FB3C0B">
        <w:rPr>
          <w:szCs w:val="28"/>
        </w:rPr>
        <w:t xml:space="preserve">, </w:t>
      </w:r>
      <w:r>
        <w:rPr>
          <w:szCs w:val="28"/>
        </w:rPr>
        <w:t xml:space="preserve">the oxygen index (OI) is calculated as </w:t>
      </w:r>
      <w:r w:rsidRPr="00FB3C0B">
        <w:rPr>
          <w:szCs w:val="28"/>
        </w:rPr>
        <w:t>S</w:t>
      </w:r>
      <w:r>
        <w:rPr>
          <w:szCs w:val="28"/>
          <w:vertAlign w:val="subscript"/>
        </w:rPr>
        <w:t>3</w:t>
      </w:r>
      <w:r w:rsidR="006C6B88">
        <w:rPr>
          <w:szCs w:val="28"/>
        </w:rPr>
        <w:t xml:space="preserve"> (mg </w:t>
      </w:r>
      <w:r>
        <w:rPr>
          <w:szCs w:val="28"/>
        </w:rPr>
        <w:t>CO</w:t>
      </w:r>
      <w:r w:rsidR="006C6B88">
        <w:rPr>
          <w:szCs w:val="28"/>
          <w:vertAlign w:val="subscript"/>
        </w:rPr>
        <w:t>2</w:t>
      </w:r>
      <w:r w:rsidR="006C6B88" w:rsidRPr="006C6B88">
        <w:rPr>
          <w:szCs w:val="28"/>
        </w:rPr>
        <w:t>/</w:t>
      </w:r>
      <w:r w:rsidR="006C6B88">
        <w:rPr>
          <w:szCs w:val="28"/>
        </w:rPr>
        <w:t>g rock)</w:t>
      </w:r>
      <w:r w:rsidRPr="00FB3C0B">
        <w:rPr>
          <w:szCs w:val="28"/>
        </w:rPr>
        <w:t>/TOC</w:t>
      </w:r>
      <w:r>
        <w:rPr>
          <w:szCs w:val="28"/>
        </w:rPr>
        <w:t xml:space="preserve"> (wt. %) </w:t>
      </w:r>
      <w:r w:rsidRPr="00FB3C0B">
        <w:rPr>
          <w:szCs w:val="28"/>
        </w:rPr>
        <w:t>while the production index (PI) is calculated by S</w:t>
      </w:r>
      <w:r w:rsidRPr="00FB3C0B">
        <w:rPr>
          <w:szCs w:val="28"/>
          <w:vertAlign w:val="subscript"/>
        </w:rPr>
        <w:t xml:space="preserve">1 </w:t>
      </w:r>
      <w:r>
        <w:rPr>
          <w:szCs w:val="28"/>
        </w:rPr>
        <w:t xml:space="preserve">/ </w:t>
      </w:r>
      <w:r w:rsidRPr="00FB3C0B">
        <w:rPr>
          <w:szCs w:val="28"/>
        </w:rPr>
        <w:t>(S</w:t>
      </w:r>
      <w:r w:rsidRPr="00FB3C0B">
        <w:rPr>
          <w:szCs w:val="28"/>
          <w:vertAlign w:val="subscript"/>
        </w:rPr>
        <w:t xml:space="preserve">1 </w:t>
      </w:r>
      <w:r w:rsidRPr="00FB3C0B">
        <w:rPr>
          <w:szCs w:val="28"/>
        </w:rPr>
        <w:t>+ S</w:t>
      </w:r>
      <w:r w:rsidRPr="00FB3C0B">
        <w:rPr>
          <w:szCs w:val="28"/>
          <w:vertAlign w:val="subscript"/>
        </w:rPr>
        <w:t>2</w:t>
      </w:r>
      <w:r>
        <w:rPr>
          <w:szCs w:val="28"/>
        </w:rPr>
        <w:t xml:space="preserve">). </w:t>
      </w:r>
    </w:p>
    <w:p w:rsidR="0099286C" w:rsidRDefault="0099286C" w:rsidP="0099286C">
      <w:pPr>
        <w:jc w:val="center"/>
        <w:rPr>
          <w:szCs w:val="28"/>
        </w:rPr>
      </w:pPr>
      <w:r w:rsidRPr="00CE7A5E">
        <w:rPr>
          <w:noProof/>
          <w:lang w:val="tr-TR" w:eastAsia="tr-TR" w:bidi="ar-SA"/>
        </w:rPr>
        <w:drawing>
          <wp:inline distT="0" distB="0" distL="0" distR="0" wp14:anchorId="7AB9C8B9" wp14:editId="44566515">
            <wp:extent cx="4239491" cy="3511520"/>
            <wp:effectExtent l="19050" t="19050" r="27940" b="1333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12-08 at 12.04.35 PM.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00042" cy="3561674"/>
                    </a:xfrm>
                    <a:prstGeom prst="rect">
                      <a:avLst/>
                    </a:prstGeom>
                    <a:ln w="3175">
                      <a:solidFill>
                        <a:schemeClr val="tx1"/>
                      </a:solidFill>
                    </a:ln>
                  </pic:spPr>
                </pic:pic>
              </a:graphicData>
            </a:graphic>
          </wp:inline>
        </w:drawing>
      </w:r>
    </w:p>
    <w:p w:rsidR="0099286C" w:rsidRDefault="0099286C" w:rsidP="00F35DC6">
      <w:pPr>
        <w:pStyle w:val="ResimYazs"/>
        <w:jc w:val="both"/>
        <w:rPr>
          <w:b w:val="0"/>
        </w:rPr>
      </w:pPr>
      <w:bookmarkStart w:id="44" w:name="_Toc507509063"/>
      <w:r>
        <w:t xml:space="preserve">Figure </w:t>
      </w:r>
      <w:fldSimple w:instr=" SEQ Figure \* ARABIC ">
        <w:r w:rsidR="003F6459">
          <w:rPr>
            <w:noProof/>
          </w:rPr>
          <w:t>15</w:t>
        </w:r>
      </w:fldSimple>
      <w:r>
        <w:t xml:space="preserve">. </w:t>
      </w:r>
      <w:r w:rsidRPr="00151D9A">
        <w:rPr>
          <w:b w:val="0"/>
        </w:rPr>
        <w:t>Simplified pyrogram profile of a traditional Rock-Eval Method (Hart and Steen, 2015)</w:t>
      </w:r>
      <w:bookmarkEnd w:id="44"/>
    </w:p>
    <w:p w:rsidR="00F35DC6" w:rsidRPr="00F35DC6" w:rsidRDefault="00F35DC6" w:rsidP="00F35DC6">
      <w:pPr>
        <w:rPr>
          <w:highlight w:val="yellow"/>
        </w:rPr>
      </w:pPr>
    </w:p>
    <w:p w:rsidR="0099286C" w:rsidRDefault="0099286C" w:rsidP="0099286C">
      <w:pPr>
        <w:ind w:firstLine="720"/>
        <w:jc w:val="both"/>
        <w:rPr>
          <w:szCs w:val="28"/>
        </w:rPr>
      </w:pPr>
      <w:r>
        <w:rPr>
          <w:szCs w:val="28"/>
        </w:rPr>
        <w:t xml:space="preserve">Kerogen is classified using a pseudo van Krevelen diagram which was first </w:t>
      </w:r>
      <w:r w:rsidRPr="00A874BA">
        <w:rPr>
          <w:szCs w:val="28"/>
        </w:rPr>
        <w:t>proposed by van Krevelen in 1950. van Krevelen constructed this model based on</w:t>
      </w:r>
      <w:r>
        <w:rPr>
          <w:szCs w:val="28"/>
        </w:rPr>
        <w:t xml:space="preserve"> hydrogen and oxygen abundances of coal relative to carbon </w:t>
      </w:r>
      <w:r w:rsidRPr="00A874BA">
        <w:rPr>
          <w:szCs w:val="28"/>
        </w:rPr>
        <w:t xml:space="preserve">(Figure </w:t>
      </w:r>
      <w:r>
        <w:rPr>
          <w:szCs w:val="28"/>
        </w:rPr>
        <w:t xml:space="preserve">16; van Krevelen, </w:t>
      </w:r>
      <w:r>
        <w:rPr>
          <w:szCs w:val="28"/>
        </w:rPr>
        <w:lastRenderedPageBreak/>
        <w:t>1950). The diagram was immediately accepted by the geochemistry community in early years and has been widely used as a tool for kerogen</w:t>
      </w:r>
      <w:r w:rsidRPr="00923F08">
        <w:rPr>
          <w:szCs w:val="28"/>
        </w:rPr>
        <w:t xml:space="preserve"> </w:t>
      </w:r>
      <w:r>
        <w:rPr>
          <w:szCs w:val="28"/>
        </w:rPr>
        <w:t>classification for a long time.</w:t>
      </w:r>
    </w:p>
    <w:p w:rsidR="0099286C" w:rsidRPr="007E4CA5" w:rsidRDefault="0099286C" w:rsidP="0099286C">
      <w:pPr>
        <w:jc w:val="center"/>
        <w:rPr>
          <w:szCs w:val="28"/>
        </w:rPr>
      </w:pPr>
      <w:r>
        <w:rPr>
          <w:noProof/>
          <w:szCs w:val="28"/>
          <w:lang w:val="tr-TR" w:eastAsia="tr-TR" w:bidi="ar-SA"/>
        </w:rPr>
        <w:drawing>
          <wp:inline distT="0" distB="0" distL="0" distR="0" wp14:anchorId="4170A47B" wp14:editId="1962D1F6">
            <wp:extent cx="4654237" cy="455295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15784" cy="4613158"/>
                    </a:xfrm>
                    <a:prstGeom prst="rect">
                      <a:avLst/>
                    </a:prstGeom>
                    <a:noFill/>
                    <a:ln>
                      <a:noFill/>
                    </a:ln>
                  </pic:spPr>
                </pic:pic>
              </a:graphicData>
            </a:graphic>
          </wp:inline>
        </w:drawing>
      </w:r>
    </w:p>
    <w:p w:rsidR="0099286C" w:rsidRDefault="0099286C" w:rsidP="0099286C">
      <w:pPr>
        <w:pStyle w:val="ResimYazs"/>
        <w:jc w:val="both"/>
        <w:rPr>
          <w:b w:val="0"/>
        </w:rPr>
      </w:pPr>
      <w:bookmarkStart w:id="45" w:name="_Toc507509064"/>
      <w:r>
        <w:t xml:space="preserve">Figure </w:t>
      </w:r>
      <w:fldSimple w:instr=" SEQ Figure \* ARABIC ">
        <w:r w:rsidR="003F6459">
          <w:rPr>
            <w:noProof/>
          </w:rPr>
          <w:t>16</w:t>
        </w:r>
      </w:fldSimple>
      <w:r>
        <w:t xml:space="preserve">. </w:t>
      </w:r>
      <w:r>
        <w:rPr>
          <w:b w:val="0"/>
        </w:rPr>
        <w:t>v</w:t>
      </w:r>
      <w:r w:rsidRPr="00A503A0">
        <w:rPr>
          <w:b w:val="0"/>
        </w:rPr>
        <w:t>an Krevelen type diagram showing the distribution of kerogen types and some of their precursor macerals in relationship to their H/C and O/C atomic ratios (Walters, 2007)</w:t>
      </w:r>
      <w:bookmarkEnd w:id="45"/>
    </w:p>
    <w:p w:rsidR="0099286C" w:rsidRPr="007E4CA5" w:rsidRDefault="0099286C" w:rsidP="0099286C">
      <w:pPr>
        <w:spacing w:line="276" w:lineRule="auto"/>
      </w:pPr>
    </w:p>
    <w:p w:rsidR="0099286C" w:rsidRDefault="0099286C" w:rsidP="0099286C">
      <w:pPr>
        <w:ind w:firstLine="720"/>
        <w:jc w:val="both"/>
        <w:rPr>
          <w:szCs w:val="28"/>
        </w:rPr>
      </w:pPr>
      <w:r w:rsidRPr="008005AD">
        <w:rPr>
          <w:szCs w:val="28"/>
        </w:rPr>
        <w:t>In</w:t>
      </w:r>
      <w:r w:rsidR="00365263">
        <w:rPr>
          <w:szCs w:val="28"/>
        </w:rPr>
        <w:t xml:space="preserve"> the</w:t>
      </w:r>
      <w:r w:rsidRPr="008005AD">
        <w:rPr>
          <w:szCs w:val="28"/>
        </w:rPr>
        <w:t xml:space="preserve"> petroleum geochemistry, the</w:t>
      </w:r>
      <w:r w:rsidR="00F418A9">
        <w:rPr>
          <w:szCs w:val="28"/>
        </w:rPr>
        <w:t xml:space="preserve"> van Krevelen</w:t>
      </w:r>
      <w:r w:rsidRPr="008005AD">
        <w:rPr>
          <w:szCs w:val="28"/>
        </w:rPr>
        <w:t xml:space="preserve"> plot is mainly used for determining </w:t>
      </w:r>
      <w:r w:rsidR="00F418A9">
        <w:rPr>
          <w:szCs w:val="28"/>
        </w:rPr>
        <w:t xml:space="preserve">the </w:t>
      </w:r>
      <w:r w:rsidRPr="008005AD">
        <w:rPr>
          <w:szCs w:val="28"/>
        </w:rPr>
        <w:t>type of</w:t>
      </w:r>
      <w:r>
        <w:rPr>
          <w:szCs w:val="28"/>
        </w:rPr>
        <w:t xml:space="preserve"> organic matter and the type of</w:t>
      </w:r>
      <w:r w:rsidR="00CA63A4">
        <w:rPr>
          <w:szCs w:val="28"/>
        </w:rPr>
        <w:t xml:space="preserve"> hydrocarbon</w:t>
      </w:r>
      <w:r w:rsidR="00365263">
        <w:rPr>
          <w:szCs w:val="28"/>
        </w:rPr>
        <w:t>s</w:t>
      </w:r>
      <w:r w:rsidR="00CA63A4">
        <w:rPr>
          <w:szCs w:val="28"/>
        </w:rPr>
        <w:t xml:space="preserve"> produced. Espitalié</w:t>
      </w:r>
      <w:r>
        <w:rPr>
          <w:szCs w:val="28"/>
        </w:rPr>
        <w:t xml:space="preserve"> et al.</w:t>
      </w:r>
      <w:r w:rsidR="00F418A9">
        <w:rPr>
          <w:szCs w:val="28"/>
        </w:rPr>
        <w:t xml:space="preserve"> (1977)</w:t>
      </w:r>
      <w:r>
        <w:rPr>
          <w:szCs w:val="28"/>
        </w:rPr>
        <w:t xml:space="preserve"> integrated pyrolysis indices into </w:t>
      </w:r>
      <w:r w:rsidR="00F418A9">
        <w:rPr>
          <w:szCs w:val="28"/>
        </w:rPr>
        <w:t xml:space="preserve">the </w:t>
      </w:r>
      <w:r>
        <w:rPr>
          <w:szCs w:val="28"/>
        </w:rPr>
        <w:t xml:space="preserve">van Krevelen Diagram and proposed a new pseudo-van Krevelen diagram (PVK). However, Baskin (1979) suggested that </w:t>
      </w:r>
      <w:r w:rsidR="00F418A9">
        <w:rPr>
          <w:szCs w:val="28"/>
        </w:rPr>
        <w:t xml:space="preserve">the </w:t>
      </w:r>
      <w:r>
        <w:rPr>
          <w:szCs w:val="28"/>
        </w:rPr>
        <w:t>pseudo-van Krevelen is not as efficient as the original diagram in terms of assessing organ</w:t>
      </w:r>
      <w:r w:rsidR="0087093C">
        <w:rPr>
          <w:szCs w:val="28"/>
        </w:rPr>
        <w:t xml:space="preserve">ic matter quality and maturity as it was initially proposed for integration of atomic </w:t>
      </w:r>
      <w:r w:rsidR="0087093C">
        <w:rPr>
          <w:szCs w:val="28"/>
        </w:rPr>
        <w:lastRenderedPageBreak/>
        <w:t xml:space="preserve">ratios rather than pyrolysis data. </w:t>
      </w:r>
      <w:r>
        <w:rPr>
          <w:szCs w:val="28"/>
        </w:rPr>
        <w:t>Moreover, PVK has some limitations when characterizing rocks with low TOC and type-III kerogen with high TOC. Thus, these conflicts should be considered when the kerogen types are identified with use of PVK integrated with Rock-Eval data. Nevertheless, in today’s exploration efforts, the modern PVK diagram is widely used for kerogen characterization by means of HI and OI ratios. PVK separates four kerogen types as Type I (oil prone-generally lacustrine); Type II (oil prone-marine</w:t>
      </w:r>
      <w:r w:rsidRPr="00152909">
        <w:rPr>
          <w:szCs w:val="28"/>
        </w:rPr>
        <w:t xml:space="preserve">); Type III (gas prone) and Type IV (inert). </w:t>
      </w:r>
      <w:r>
        <w:rPr>
          <w:szCs w:val="28"/>
        </w:rPr>
        <w:t xml:space="preserve">Waples (1985) mentioned that kerogen type in the sediments determines its generative capacity. </w:t>
      </w:r>
      <w:r w:rsidRPr="00F41A4E">
        <w:rPr>
          <w:szCs w:val="28"/>
        </w:rPr>
        <w:t>For instance, Type-I kerogen is composed of hydrogen-rich and oxygen-lean organic matter that is more prone to produce oil and has more remaining generative capacity.</w:t>
      </w:r>
      <w:r>
        <w:rPr>
          <w:szCs w:val="28"/>
        </w:rPr>
        <w:t xml:space="preserve"> Moreover, HI values below 150 mg/g are indicative of Type-III kerogen with gas generative capacity. Samples with HI values between 150-300 mg/g have a mixed type of organic matter and can generate both oil and gas. HI values above 300 mg/g can be characterized as Type-II and they are a good source for oil generation. Samples with HI values above 600 mg/g are mainly characterized as Type I/II kerogen; which are excellent source</w:t>
      </w:r>
      <w:r w:rsidR="00FB5409">
        <w:rPr>
          <w:szCs w:val="28"/>
        </w:rPr>
        <w:t>s</w:t>
      </w:r>
      <w:r>
        <w:rPr>
          <w:szCs w:val="28"/>
        </w:rPr>
        <w:t xml:space="preserve"> for oil production (Waples, 1985).</w:t>
      </w:r>
    </w:p>
    <w:p w:rsidR="0099286C" w:rsidRDefault="0099286C" w:rsidP="0099286C">
      <w:pPr>
        <w:ind w:firstLine="720"/>
        <w:jc w:val="both"/>
        <w:rPr>
          <w:szCs w:val="28"/>
        </w:rPr>
      </w:pPr>
      <w:r>
        <w:rPr>
          <w:szCs w:val="28"/>
        </w:rPr>
        <w:t xml:space="preserve">The source rock samples of Wang (1993) had been previously characterized </w:t>
      </w:r>
      <w:r w:rsidRPr="00FB3C0B">
        <w:rPr>
          <w:szCs w:val="28"/>
        </w:rPr>
        <w:t>by a Rock-Eval type instrument</w:t>
      </w:r>
      <w:r w:rsidR="00365263">
        <w:rPr>
          <w:szCs w:val="28"/>
        </w:rPr>
        <w:t>s</w:t>
      </w:r>
      <w:r w:rsidRPr="00FB3C0B">
        <w:rPr>
          <w:szCs w:val="28"/>
        </w:rPr>
        <w:t xml:space="preserve"> called RUSKA PYRAN Level I-FID System. It is</w:t>
      </w:r>
      <w:r>
        <w:rPr>
          <w:szCs w:val="28"/>
        </w:rPr>
        <w:t xml:space="preserve"> now</w:t>
      </w:r>
      <w:r w:rsidRPr="00FB3C0B">
        <w:rPr>
          <w:szCs w:val="28"/>
        </w:rPr>
        <w:t xml:space="preserve"> an outdated instrument and </w:t>
      </w:r>
      <w:r>
        <w:rPr>
          <w:szCs w:val="28"/>
        </w:rPr>
        <w:t>has</w:t>
      </w:r>
      <w:r w:rsidRPr="00FB3C0B">
        <w:rPr>
          <w:szCs w:val="28"/>
        </w:rPr>
        <w:t xml:space="preserve"> not been used by the petroleum sector for a long time. Although RUSKA PYRAN and </w:t>
      </w:r>
      <w:r w:rsidR="00FB5409">
        <w:rPr>
          <w:szCs w:val="28"/>
        </w:rPr>
        <w:t xml:space="preserve">the </w:t>
      </w:r>
      <w:r w:rsidRPr="00FB3C0B">
        <w:rPr>
          <w:szCs w:val="28"/>
        </w:rPr>
        <w:t>traditional Rock-Eval instrument share</w:t>
      </w:r>
      <w:r>
        <w:rPr>
          <w:szCs w:val="28"/>
        </w:rPr>
        <w:t>d</w:t>
      </w:r>
      <w:r w:rsidRPr="00FB3C0B">
        <w:rPr>
          <w:szCs w:val="28"/>
        </w:rPr>
        <w:t xml:space="preserve"> common working principles, they have different temperature settings (Wang</w:t>
      </w:r>
      <w:r>
        <w:rPr>
          <w:szCs w:val="28"/>
        </w:rPr>
        <w:t>,</w:t>
      </w:r>
      <w:r w:rsidRPr="00FB3C0B">
        <w:rPr>
          <w:szCs w:val="28"/>
        </w:rPr>
        <w:t xml:space="preserve"> 1993). </w:t>
      </w:r>
      <w:r>
        <w:rPr>
          <w:szCs w:val="28"/>
        </w:rPr>
        <w:t xml:space="preserve">While </w:t>
      </w:r>
      <w:r w:rsidRPr="00FB3C0B">
        <w:rPr>
          <w:szCs w:val="28"/>
        </w:rPr>
        <w:t>S</w:t>
      </w:r>
      <w:r w:rsidRPr="00FB3C0B">
        <w:rPr>
          <w:szCs w:val="28"/>
          <w:vertAlign w:val="subscript"/>
        </w:rPr>
        <w:t xml:space="preserve">2 </w:t>
      </w:r>
      <w:r>
        <w:rPr>
          <w:szCs w:val="28"/>
        </w:rPr>
        <w:t>results</w:t>
      </w:r>
      <w:r w:rsidRPr="00FB3C0B">
        <w:rPr>
          <w:szCs w:val="28"/>
        </w:rPr>
        <w:t xml:space="preserve"> of these t</w:t>
      </w:r>
      <w:r>
        <w:rPr>
          <w:szCs w:val="28"/>
        </w:rPr>
        <w:t xml:space="preserve">wo instruments are almost equal; </w:t>
      </w:r>
      <w:r w:rsidRPr="00FB3C0B">
        <w:rPr>
          <w:szCs w:val="28"/>
        </w:rPr>
        <w:t>the S</w:t>
      </w:r>
      <w:r w:rsidRPr="00FB3C0B">
        <w:rPr>
          <w:szCs w:val="28"/>
          <w:vertAlign w:val="subscript"/>
        </w:rPr>
        <w:t xml:space="preserve">1 </w:t>
      </w:r>
      <w:r w:rsidRPr="00FB3C0B">
        <w:rPr>
          <w:szCs w:val="28"/>
        </w:rPr>
        <w:t xml:space="preserve">values </w:t>
      </w:r>
      <w:r>
        <w:rPr>
          <w:szCs w:val="28"/>
        </w:rPr>
        <w:t>show slight differences</w:t>
      </w:r>
      <w:r w:rsidRPr="00FB3C0B">
        <w:rPr>
          <w:szCs w:val="28"/>
        </w:rPr>
        <w:t xml:space="preserve"> (Wang, 1993). </w:t>
      </w:r>
      <w:r w:rsidR="00F418A9">
        <w:rPr>
          <w:szCs w:val="28"/>
        </w:rPr>
        <w:t>Also, the</w:t>
      </w:r>
      <w:r w:rsidRPr="00FB3C0B">
        <w:rPr>
          <w:szCs w:val="28"/>
        </w:rPr>
        <w:t xml:space="preserve"> T</w:t>
      </w:r>
      <w:r w:rsidRPr="00FB3C0B">
        <w:rPr>
          <w:szCs w:val="28"/>
          <w:vertAlign w:val="subscript"/>
        </w:rPr>
        <w:t xml:space="preserve">max </w:t>
      </w:r>
      <w:r>
        <w:rPr>
          <w:szCs w:val="28"/>
        </w:rPr>
        <w:t>results</w:t>
      </w:r>
      <w:r w:rsidRPr="00FB3C0B">
        <w:rPr>
          <w:szCs w:val="28"/>
        </w:rPr>
        <w:t xml:space="preserve"> </w:t>
      </w:r>
      <w:r>
        <w:rPr>
          <w:szCs w:val="28"/>
        </w:rPr>
        <w:t xml:space="preserve">of these instruments </w:t>
      </w:r>
      <w:r w:rsidRPr="00FB3C0B">
        <w:rPr>
          <w:szCs w:val="28"/>
        </w:rPr>
        <w:t xml:space="preserve">are very different (Wang, 1993).  </w:t>
      </w:r>
      <w:r w:rsidRPr="00FB3C0B">
        <w:rPr>
          <w:szCs w:val="28"/>
        </w:rPr>
        <w:lastRenderedPageBreak/>
        <w:t>Thus, in this study, S</w:t>
      </w:r>
      <w:r w:rsidRPr="00FB3C0B">
        <w:rPr>
          <w:szCs w:val="28"/>
          <w:vertAlign w:val="subscript"/>
        </w:rPr>
        <w:t xml:space="preserve">1 </w:t>
      </w:r>
      <w:r w:rsidRPr="00FB3C0B">
        <w:rPr>
          <w:szCs w:val="28"/>
        </w:rPr>
        <w:t>and S</w:t>
      </w:r>
      <w:r w:rsidRPr="00FB3C0B">
        <w:rPr>
          <w:szCs w:val="28"/>
          <w:vertAlign w:val="subscript"/>
        </w:rPr>
        <w:t xml:space="preserve">2 </w:t>
      </w:r>
      <w:r w:rsidRPr="00FB3C0B">
        <w:rPr>
          <w:szCs w:val="28"/>
        </w:rPr>
        <w:t xml:space="preserve">results were used as they </w:t>
      </w:r>
      <w:r w:rsidR="0087093C">
        <w:rPr>
          <w:szCs w:val="28"/>
        </w:rPr>
        <w:t>were</w:t>
      </w:r>
      <w:r w:rsidRPr="00FB3C0B">
        <w:rPr>
          <w:szCs w:val="28"/>
        </w:rPr>
        <w:t xml:space="preserve"> but T</w:t>
      </w:r>
      <w:r w:rsidRPr="00FB3C0B">
        <w:rPr>
          <w:szCs w:val="28"/>
          <w:vertAlign w:val="subscript"/>
        </w:rPr>
        <w:t xml:space="preserve">max </w:t>
      </w:r>
      <w:r w:rsidRPr="00FB3C0B">
        <w:rPr>
          <w:szCs w:val="28"/>
        </w:rPr>
        <w:t>values were converted to Rock-Eval T</w:t>
      </w:r>
      <w:r w:rsidRPr="00FB3C0B">
        <w:rPr>
          <w:szCs w:val="28"/>
          <w:vertAlign w:val="subscript"/>
        </w:rPr>
        <w:t xml:space="preserve">max </w:t>
      </w:r>
      <w:r w:rsidRPr="00FB3C0B">
        <w:rPr>
          <w:szCs w:val="28"/>
        </w:rPr>
        <w:t xml:space="preserve">by using </w:t>
      </w:r>
      <w:r w:rsidR="00FB5409">
        <w:rPr>
          <w:szCs w:val="28"/>
        </w:rPr>
        <w:t xml:space="preserve">the </w:t>
      </w:r>
      <w:r w:rsidRPr="00FB3C0B">
        <w:rPr>
          <w:szCs w:val="28"/>
        </w:rPr>
        <w:t>proposed conversion chart of Wang (1993)</w:t>
      </w:r>
      <w:r w:rsidRPr="00FB3C0B">
        <w:rPr>
          <w:szCs w:val="28"/>
          <w:vertAlign w:val="subscript"/>
        </w:rPr>
        <w:t xml:space="preserve"> </w:t>
      </w:r>
      <w:r w:rsidRPr="00FB3C0B">
        <w:rPr>
          <w:szCs w:val="28"/>
        </w:rPr>
        <w:t xml:space="preserve">in order to </w:t>
      </w:r>
      <w:r w:rsidR="007B0878">
        <w:rPr>
          <w:szCs w:val="28"/>
        </w:rPr>
        <w:t xml:space="preserve">plot them in pseudo-van </w:t>
      </w:r>
      <w:r>
        <w:rPr>
          <w:szCs w:val="28"/>
        </w:rPr>
        <w:t xml:space="preserve">Krevelen Diagrams. The </w:t>
      </w:r>
      <w:r w:rsidRPr="00FB3C0B">
        <w:rPr>
          <w:szCs w:val="28"/>
        </w:rPr>
        <w:t xml:space="preserve">PYRAN Level-I </w:t>
      </w:r>
      <w:r>
        <w:rPr>
          <w:szCs w:val="28"/>
        </w:rPr>
        <w:t xml:space="preserve">system </w:t>
      </w:r>
      <w:r w:rsidRPr="00FB3C0B">
        <w:rPr>
          <w:szCs w:val="28"/>
        </w:rPr>
        <w:t>did not have a thermal conductivity detector (TDC) so it was not able to detect CO</w:t>
      </w:r>
      <w:r w:rsidRPr="00FB3C0B">
        <w:rPr>
          <w:szCs w:val="28"/>
          <w:vertAlign w:val="subscript"/>
        </w:rPr>
        <w:t>2</w:t>
      </w:r>
      <w:r w:rsidRPr="00FB3C0B">
        <w:rPr>
          <w:szCs w:val="28"/>
        </w:rPr>
        <w:t xml:space="preserve"> and produce</w:t>
      </w:r>
      <w:r>
        <w:rPr>
          <w:szCs w:val="28"/>
        </w:rPr>
        <w:t xml:space="preserve"> a</w:t>
      </w:r>
      <w:r w:rsidRPr="00FB3C0B">
        <w:rPr>
          <w:szCs w:val="28"/>
        </w:rPr>
        <w:t xml:space="preserve"> S</w:t>
      </w:r>
      <w:r w:rsidRPr="00FB3C0B">
        <w:rPr>
          <w:szCs w:val="28"/>
          <w:vertAlign w:val="subscript"/>
        </w:rPr>
        <w:t>3</w:t>
      </w:r>
      <w:r w:rsidRPr="00FB3C0B">
        <w:rPr>
          <w:szCs w:val="28"/>
        </w:rPr>
        <w:t xml:space="preserve"> peak. </w:t>
      </w:r>
      <w:r>
        <w:rPr>
          <w:szCs w:val="28"/>
        </w:rPr>
        <w:t>Thus,</w:t>
      </w:r>
      <w:r w:rsidRPr="00FB3C0B">
        <w:rPr>
          <w:szCs w:val="28"/>
        </w:rPr>
        <w:t xml:space="preserve"> </w:t>
      </w:r>
      <w:r>
        <w:rPr>
          <w:szCs w:val="28"/>
        </w:rPr>
        <w:t>there are no oxygen index value</w:t>
      </w:r>
      <w:r w:rsidR="00F418A9">
        <w:rPr>
          <w:szCs w:val="28"/>
        </w:rPr>
        <w:t>s for the source rock samples in</w:t>
      </w:r>
      <w:r>
        <w:rPr>
          <w:szCs w:val="28"/>
        </w:rPr>
        <w:t xml:space="preserve"> Wang</w:t>
      </w:r>
      <w:r w:rsidR="00F418A9">
        <w:rPr>
          <w:szCs w:val="28"/>
        </w:rPr>
        <w:t>’s</w:t>
      </w:r>
      <w:r w:rsidRPr="00FB3C0B">
        <w:rPr>
          <w:szCs w:val="28"/>
        </w:rPr>
        <w:t xml:space="preserve"> (1993)</w:t>
      </w:r>
      <w:r>
        <w:rPr>
          <w:szCs w:val="28"/>
        </w:rPr>
        <w:t xml:space="preserve"> thesis. The rock samples from Wang (1993) were no longer available and hence could not be reanalyzed. The core samples, </w:t>
      </w:r>
      <w:r w:rsidR="00F418A9">
        <w:rPr>
          <w:szCs w:val="28"/>
        </w:rPr>
        <w:t>however</w:t>
      </w:r>
      <w:r>
        <w:rPr>
          <w:szCs w:val="28"/>
        </w:rPr>
        <w:t xml:space="preserve">, were crushed into 40-mesh size and approximately 1 g of each sample were sent to the GeoMark Research </w:t>
      </w:r>
      <w:r w:rsidR="00F418A9">
        <w:rPr>
          <w:szCs w:val="28"/>
        </w:rPr>
        <w:t>Company in Humble, Texas for</w:t>
      </w:r>
      <w:r>
        <w:rPr>
          <w:szCs w:val="28"/>
        </w:rPr>
        <w:t xml:space="preserve"> Rock-Eval and total organic carbon analysis.</w:t>
      </w:r>
    </w:p>
    <w:p w:rsidR="0099286C" w:rsidRDefault="0099286C" w:rsidP="00F35DC6">
      <w:pPr>
        <w:pStyle w:val="ResimYazs"/>
      </w:pPr>
    </w:p>
    <w:p w:rsidR="0099286C" w:rsidRPr="00F41A4E" w:rsidRDefault="0099286C" w:rsidP="0099286C">
      <w:pPr>
        <w:pStyle w:val="Balk3"/>
      </w:pPr>
      <w:bookmarkStart w:id="46" w:name="_Toc504658444"/>
      <w:bookmarkStart w:id="47" w:name="_Toc507506634"/>
      <w:r w:rsidRPr="00F41A4E">
        <w:rPr>
          <w:rStyle w:val="KonuBalChar"/>
          <w:caps w:val="0"/>
        </w:rPr>
        <w:t>3.2.3 Soxhlet Extraction</w:t>
      </w:r>
      <w:bookmarkEnd w:id="46"/>
      <w:bookmarkEnd w:id="47"/>
      <w:r w:rsidRPr="00F41A4E">
        <w:t xml:space="preserve">  </w:t>
      </w:r>
    </w:p>
    <w:p w:rsidR="0099286C" w:rsidRDefault="0099286C" w:rsidP="0099286C">
      <w:pPr>
        <w:ind w:firstLine="720"/>
        <w:jc w:val="both"/>
      </w:pPr>
      <w:r>
        <w:t xml:space="preserve">A Soxhlet extraction system was used to extract soluble organic matter from the rock samples. First, all </w:t>
      </w:r>
      <w:r w:rsidR="007F36BE">
        <w:t xml:space="preserve">of </w:t>
      </w:r>
      <w:r>
        <w:t xml:space="preserve">the </w:t>
      </w:r>
      <w:r w:rsidR="00D01D17">
        <w:t>components</w:t>
      </w:r>
      <w:r>
        <w:t xml:space="preserve"> (thimble, glass wool, flask, and condenser) in the Soxhlet system were pre-extracted with</w:t>
      </w:r>
      <w:r w:rsidR="007F36BE">
        <w:t xml:space="preserve"> a</w:t>
      </w:r>
      <w:r>
        <w:t xml:space="preserve"> mixture of DCM and MeOH (250 mL:250 mL) for 24 hours in order to eliminate potential contamination risk. After 24 hours the crushed and weighed rock samples were introduced </w:t>
      </w:r>
      <w:r w:rsidR="0087093C">
        <w:t xml:space="preserve">carefully </w:t>
      </w:r>
      <w:r>
        <w:t xml:space="preserve">into the cellulose thimbles </w:t>
      </w:r>
      <w:r w:rsidR="0087093C">
        <w:t>and then</w:t>
      </w:r>
      <w:r>
        <w:t xml:space="preserve"> </w:t>
      </w:r>
      <w:r w:rsidR="0087093C">
        <w:t>installed in</w:t>
      </w:r>
      <w:r>
        <w:t xml:space="preserve"> the Soxhlet system together with fresh solvent. Finally, each sample was extracted for 48 hours under moderate temperature conditions and the extracted resulting bitumen collected in a round bottom flask.</w:t>
      </w:r>
    </w:p>
    <w:p w:rsidR="0099286C" w:rsidRDefault="0099286C" w:rsidP="0099286C">
      <w:pPr>
        <w:ind w:firstLine="720"/>
        <w:jc w:val="both"/>
      </w:pPr>
      <w:r>
        <w:t xml:space="preserve">The solvent was removed from the bitumen extract using a rotary evaporator. The extract was diluted with a small amount </w:t>
      </w:r>
      <w:r w:rsidR="00FB5409">
        <w:t xml:space="preserve">of </w:t>
      </w:r>
      <w:r>
        <w:t xml:space="preserve">DCM, then </w:t>
      </w:r>
      <w:r w:rsidR="007F36BE">
        <w:t>passed</w:t>
      </w:r>
      <w:r>
        <w:t xml:space="preserve"> through a packed glass wool in order to filter any dissolved particles and collected in pre-weighed 20 ml vials. Finally, the mixture was dried by using Organomation Model 112 Analytical Evaporator under moderate nitrogen flow and the bitumen extract was weighed.</w:t>
      </w:r>
    </w:p>
    <w:p w:rsidR="0099286C" w:rsidRDefault="0099286C" w:rsidP="0099286C">
      <w:pPr>
        <w:pStyle w:val="Balk3"/>
      </w:pPr>
      <w:bookmarkStart w:id="48" w:name="_Toc504658445"/>
      <w:bookmarkStart w:id="49" w:name="_Toc507506635"/>
      <w:r>
        <w:rPr>
          <w:rFonts w:asciiTheme="minorHAnsi" w:hAnsiTheme="minorHAnsi"/>
        </w:rPr>
        <w:lastRenderedPageBreak/>
        <w:t>3</w:t>
      </w:r>
      <w:r>
        <w:t>.2.4 Deasphalting of the Bitumen</w:t>
      </w:r>
      <w:bookmarkEnd w:id="48"/>
      <w:bookmarkEnd w:id="49"/>
    </w:p>
    <w:p w:rsidR="0099286C" w:rsidRDefault="0099286C" w:rsidP="0099286C">
      <w:pPr>
        <w:ind w:firstLine="720"/>
        <w:jc w:val="both"/>
      </w:pPr>
      <w:r>
        <w:t xml:space="preserve">Extracted organic matter (bitumen) is composed of an asphaltene and maltene fraction that can be separated by precipitation with pentane or hexane. Maltenes have lower average molecular weights than asphaltenes and are soluble in pentane or hexane whereas the asphaltenes are insoluble. In order to deasphaltene the bitumen, 200 mg of sample, which was diluted with </w:t>
      </w:r>
      <w:r w:rsidR="007F36BE">
        <w:t xml:space="preserve">a </w:t>
      </w:r>
      <w:r>
        <w:t>minimum amount of DCM, was introduced in a centrifuge tube. Then, the tube was partially submerged into a Branson 2510 Model sonicator filled with deionized water. After that, the sonicator was turned on and n-pentane was added drop by drop into the centrifuge tube until the solvent amount reache</w:t>
      </w:r>
      <w:r w:rsidR="00FB5409">
        <w:t>d</w:t>
      </w:r>
      <w:r>
        <w:t xml:space="preserve"> the shoulder of the tube. Then, it was put in a freezer for overnight to allow a decent time for deasphalting.  The tubes were subsequently centrifuged 10 minutes by using a Damon IEC Model centrifuge in order to settle suspended asphaltene particles. The dissolved maltene fraction was then transferred into a 250 ml flask and solvent was removed by the rotary evaporation. Finally, the resultant maltene fraction was transferred into 2 ml vials with a minimum amount of DCM, subjected to evaporation using nitrogen until all the solvent was removed, then weighed. The results are presented in Table 2.</w:t>
      </w:r>
    </w:p>
    <w:p w:rsidR="0099286C" w:rsidRDefault="0099286C" w:rsidP="0099286C">
      <w:pPr>
        <w:ind w:firstLine="720"/>
        <w:jc w:val="both"/>
      </w:pPr>
    </w:p>
    <w:p w:rsidR="0099286C" w:rsidRDefault="0099286C" w:rsidP="0099286C">
      <w:pPr>
        <w:pStyle w:val="Balk3"/>
      </w:pPr>
      <w:bookmarkStart w:id="50" w:name="_Toc504658446"/>
      <w:bookmarkStart w:id="51" w:name="_Toc507506636"/>
      <w:r>
        <w:t>3.2.5 Maltene Fractionation: Column Chromatography</w:t>
      </w:r>
      <w:bookmarkEnd w:id="50"/>
      <w:bookmarkEnd w:id="51"/>
    </w:p>
    <w:p w:rsidR="0099286C" w:rsidRDefault="0099286C" w:rsidP="00F35DC6">
      <w:pPr>
        <w:ind w:firstLine="720"/>
        <w:jc w:val="both"/>
      </w:pPr>
      <w:r>
        <w:t>Column chromatography was used to fractionate the maltenes into aliphatic, aromatic and polar fractions in this study. The method was designed and verified by Dr. Thanh X. Nguyen. A silica column was packed in a 5 3/4” P</w:t>
      </w:r>
      <w:r w:rsidRPr="00256B2F">
        <w:t>asteur-type pipet</w:t>
      </w:r>
      <w:r>
        <w:t>te</w:t>
      </w:r>
      <w:r w:rsidRPr="00256B2F">
        <w:t>s</w:t>
      </w:r>
      <w:r>
        <w:t xml:space="preserve">. First, glass wool, </w:t>
      </w:r>
      <w:r w:rsidRPr="005578F9">
        <w:t>which was used as filter, was placed at the bottom of the pipet</w:t>
      </w:r>
      <w:r>
        <w:t>te</w:t>
      </w:r>
      <w:r w:rsidRPr="005578F9">
        <w:t xml:space="preserve">. Then, 3.8 g of </w:t>
      </w:r>
      <w:r w:rsidR="005F53A2">
        <w:t>silica, which was heated at 120</w:t>
      </w:r>
      <w:r>
        <w:rPr>
          <w:vertAlign w:val="superscript"/>
        </w:rPr>
        <w:t>0</w:t>
      </w:r>
      <w:r w:rsidRPr="005578F9">
        <w:t>C for at least 12 hours, was gradually</w:t>
      </w:r>
      <w:r>
        <w:t xml:space="preserve"> added</w:t>
      </w:r>
      <w:r w:rsidRPr="005578F9">
        <w:t xml:space="preserve"> on glass wool. </w:t>
      </w:r>
      <w:r>
        <w:t xml:space="preserve">Hexane </w:t>
      </w:r>
      <w:r w:rsidRPr="005578F9">
        <w:t xml:space="preserve">was used to pack the column and air was used to push </w:t>
      </w:r>
      <w:r>
        <w:t xml:space="preserve">the hexane </w:t>
      </w:r>
      <w:r w:rsidRPr="005578F9">
        <w:t xml:space="preserve">through </w:t>
      </w:r>
    </w:p>
    <w:p w:rsidR="0099286C" w:rsidRDefault="0099286C" w:rsidP="0099286C">
      <w:pPr>
        <w:pStyle w:val="ResimYazs"/>
        <w:keepNext/>
        <w:jc w:val="both"/>
        <w:rPr>
          <w:b w:val="0"/>
        </w:rPr>
      </w:pPr>
      <w:bookmarkStart w:id="52" w:name="_Toc507508792"/>
      <w:r w:rsidRPr="00FA599B">
        <w:lastRenderedPageBreak/>
        <w:t xml:space="preserve">Table </w:t>
      </w:r>
      <w:fldSimple w:instr=" SEQ Table \* ARABIC ">
        <w:r w:rsidR="003F6459">
          <w:rPr>
            <w:noProof/>
          </w:rPr>
          <w:t>2</w:t>
        </w:r>
      </w:fldSimple>
      <w:r w:rsidRPr="00FA599B">
        <w:t xml:space="preserve">. </w:t>
      </w:r>
      <w:r w:rsidRPr="00FA599B">
        <w:rPr>
          <w:b w:val="0"/>
        </w:rPr>
        <w:t>Sample weights of extract, asphaltene, maltene, and the resulting yields of each sample. (Note that the data belonging to Wang (1993) below are taken directly from his thesis to show the general character of the Morrow Shale</w:t>
      </w:r>
      <w:r w:rsidR="00FA599B" w:rsidRPr="00FA599B">
        <w:rPr>
          <w:b w:val="0"/>
        </w:rPr>
        <w:t>; percentages are of the total maltene fractioned</w:t>
      </w:r>
      <w:r w:rsidRPr="00FA599B">
        <w:rPr>
          <w:b w:val="0"/>
        </w:rPr>
        <w:t>.)</w:t>
      </w:r>
      <w:bookmarkEnd w:id="52"/>
    </w:p>
    <w:p w:rsidR="0099286C" w:rsidRDefault="00B06FD5" w:rsidP="00B06FD5">
      <w:pPr>
        <w:spacing w:line="240" w:lineRule="auto"/>
        <w:jc w:val="both"/>
      </w:pPr>
      <w:r w:rsidRPr="00B06FD5">
        <w:rPr>
          <w:noProof/>
          <w:lang w:val="tr-TR" w:eastAsia="tr-TR" w:bidi="ar-SA"/>
        </w:rPr>
        <w:drawing>
          <wp:inline distT="0" distB="0" distL="0" distR="0">
            <wp:extent cx="5394325" cy="7410450"/>
            <wp:effectExtent l="0" t="0" r="0" b="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83" cy="7418360"/>
                    </a:xfrm>
                    <a:prstGeom prst="rect">
                      <a:avLst/>
                    </a:prstGeom>
                    <a:noFill/>
                    <a:ln>
                      <a:noFill/>
                    </a:ln>
                  </pic:spPr>
                </pic:pic>
              </a:graphicData>
            </a:graphic>
          </wp:inline>
        </w:drawing>
      </w:r>
    </w:p>
    <w:p w:rsidR="00F35DC6" w:rsidRDefault="00F35DC6" w:rsidP="00F35DC6">
      <w:pPr>
        <w:jc w:val="both"/>
      </w:pPr>
      <w:r w:rsidRPr="005578F9">
        <w:lastRenderedPageBreak/>
        <w:t xml:space="preserve">the column </w:t>
      </w:r>
      <w:r>
        <w:t xml:space="preserve">and </w:t>
      </w:r>
      <w:r w:rsidRPr="005578F9">
        <w:t xml:space="preserve">to displace any bubbles. </w:t>
      </w:r>
      <w:r>
        <w:t>Maltene (</w:t>
      </w:r>
      <w:r w:rsidRPr="005578F9">
        <w:t>17.5 mg</w:t>
      </w:r>
      <w:r>
        <w:t>)</w:t>
      </w:r>
      <w:r w:rsidRPr="005578F9">
        <w:t xml:space="preserve"> was dissolved in 200 </w:t>
      </w:r>
      <w:r w:rsidRPr="00F53C88">
        <w:t xml:space="preserve">µl hexane and introduced carefully on the top the silica and </w:t>
      </w:r>
      <w:r w:rsidR="001474A3">
        <w:t xml:space="preserve">was </w:t>
      </w:r>
      <w:r w:rsidRPr="00F53C88">
        <w:t xml:space="preserve">allowed to drain completely through the column. Hexane (8.5 ml) was added to the column without disturbing the silica and </w:t>
      </w:r>
      <w:r w:rsidR="007F36BE">
        <w:t>passed</w:t>
      </w:r>
      <w:r w:rsidRPr="00F53C88">
        <w:t xml:space="preserve"> through the column to elute the aliphatic compounds in 100 ml </w:t>
      </w:r>
      <w:r>
        <w:t>flask. Then</w:t>
      </w:r>
      <w:r w:rsidRPr="00F53C88">
        <w:t xml:space="preserve"> 25 ml of hexane</w:t>
      </w:r>
      <w:r>
        <w:t>:</w:t>
      </w:r>
      <w:r w:rsidRPr="00F53C88">
        <w:t>DCM mixture (v/v=7:3) was added to the column and the aromatic fractions eluted in a 100 ml flask. Finally, 25 ml of CHCl3</w:t>
      </w:r>
      <w:r>
        <w:t>:MeOH mixture (v/v=98:2) was added to the column and drained to collect polar compounds in a 100 ml flask.</w:t>
      </w:r>
      <w:r w:rsidRPr="005A31B6">
        <w:t xml:space="preserve"> </w:t>
      </w:r>
      <w:r>
        <w:t xml:space="preserve">Excess amounts of solvent were removed from the flasks using rotary evaporation and the fractions were transferred into 4ml vials, which were already weighed </w:t>
      </w:r>
      <w:r w:rsidRPr="00A874BA">
        <w:t>using minimum amounts of DCM. Solvent was evaporated under a stream of nitrogen</w:t>
      </w:r>
      <w:r>
        <w:t xml:space="preserve"> and the vials were reweighed. The fraction masses are given in Table 2.</w:t>
      </w:r>
    </w:p>
    <w:p w:rsidR="007000B7" w:rsidRDefault="007000B7" w:rsidP="00F35DC6">
      <w:pPr>
        <w:jc w:val="both"/>
      </w:pPr>
    </w:p>
    <w:p w:rsidR="00F35DC6" w:rsidRDefault="00F35DC6" w:rsidP="00874C3B">
      <w:pPr>
        <w:pStyle w:val="Balk3"/>
      </w:pPr>
      <w:bookmarkStart w:id="53" w:name="_Toc507506637"/>
      <w:r>
        <w:t>3.2.6 Gas Chromatography</w:t>
      </w:r>
      <w:bookmarkEnd w:id="53"/>
    </w:p>
    <w:p w:rsidR="00F35DC6" w:rsidRDefault="00F35DC6" w:rsidP="00F35DC6">
      <w:pPr>
        <w:ind w:firstLine="720"/>
        <w:jc w:val="both"/>
      </w:pPr>
      <w:r>
        <w:t xml:space="preserve">Aliphatic and aromatic fractions were screened by gas chromatography using an Agilent Technologies 6890 Gas Chromatograph (GC). The samples were diluted to 5 mg/ml in hexane and were injected using </w:t>
      </w:r>
      <w:r w:rsidR="00FB5409">
        <w:t>a splitless injection method on</w:t>
      </w:r>
      <w:r>
        <w:t>to the column. Helium was used as carrier gas with a flow rate of 1.4 ml/min. The fused silica</w:t>
      </w:r>
      <w:r w:rsidRPr="00DD5BC4">
        <w:t xml:space="preserve"> </w:t>
      </w:r>
      <w:r>
        <w:t xml:space="preserve">capillary column was a 60 m long DB-5MS model silica column with 0.32 mm inner diameter and 0.032 </w:t>
      </w:r>
      <w:r>
        <w:rPr>
          <w:rFonts w:cstheme="minorHAnsi"/>
        </w:rPr>
        <w:t>m</w:t>
      </w:r>
      <w:r>
        <w:t>m thick coating. The method was set up with an initial temperature of 40</w:t>
      </w:r>
      <w:r w:rsidRPr="001F227B">
        <w:rPr>
          <w:sz w:val="22"/>
          <w:vertAlign w:val="superscript"/>
        </w:rPr>
        <w:t>O</w:t>
      </w:r>
      <w:r w:rsidRPr="005578F9">
        <w:t>C</w:t>
      </w:r>
      <w:r>
        <w:t xml:space="preserve"> for 1.5 minutes after the injection, programmed to 300</w:t>
      </w:r>
      <w:r w:rsidRPr="001F227B">
        <w:rPr>
          <w:sz w:val="22"/>
          <w:vertAlign w:val="superscript"/>
        </w:rPr>
        <w:t>O</w:t>
      </w:r>
      <w:r w:rsidRPr="005578F9">
        <w:t>C</w:t>
      </w:r>
      <w:r>
        <w:t xml:space="preserve"> at a rate of 4</w:t>
      </w:r>
      <w:r w:rsidRPr="001F227B">
        <w:rPr>
          <w:sz w:val="22"/>
          <w:vertAlign w:val="superscript"/>
        </w:rPr>
        <w:t>O</w:t>
      </w:r>
      <w:r w:rsidRPr="005578F9">
        <w:t>C</w:t>
      </w:r>
      <w:r>
        <w:t xml:space="preserve">/min and held isothermal for 24 minutes for a complete run time of 90.5 minutes. </w:t>
      </w:r>
    </w:p>
    <w:p w:rsidR="00F35DC6" w:rsidRDefault="00F35DC6" w:rsidP="00F35DC6">
      <w:pPr>
        <w:spacing w:line="240" w:lineRule="auto"/>
        <w:jc w:val="both"/>
      </w:pPr>
    </w:p>
    <w:p w:rsidR="0099286C" w:rsidRDefault="0099286C" w:rsidP="0099286C">
      <w:pPr>
        <w:pStyle w:val="Balk3"/>
      </w:pPr>
      <w:bookmarkStart w:id="54" w:name="_Toc504658447"/>
      <w:bookmarkStart w:id="55" w:name="_Toc507506638"/>
      <w:r>
        <w:lastRenderedPageBreak/>
        <w:t>3.2.7 Gas Chromatography-Mass Spectrometry</w:t>
      </w:r>
      <w:bookmarkEnd w:id="54"/>
      <w:bookmarkEnd w:id="55"/>
    </w:p>
    <w:p w:rsidR="007000B7" w:rsidRDefault="0099286C" w:rsidP="0099286C">
      <w:pPr>
        <w:jc w:val="both"/>
      </w:pPr>
      <w:r>
        <w:tab/>
        <w:t>Aliphatic and aromatic biomarkers were determined using an Agilent Technologies 7890A gas chromatograph combined with an Agilent Technologies 5975 XL mass selective detector (MSD). The samples were diluted to 5 mg/ml in hexane and were injected wit</w:t>
      </w:r>
      <w:r w:rsidR="00FB5409">
        <w:t>h splitless injection method on</w:t>
      </w:r>
      <w:r>
        <w:t xml:space="preserve">to the column. A J&amp;W Scientific DB-5MS 122-5562 fused silica column with 0.25 mm inner diameter and 0.025 mm coating was used for the gas chromatography. Flow rate of the carrier gas was 1.4 ml /min for the GC. The ionization energy of the MSD was 70 eV with an ion source temperature of 250 </w:t>
      </w:r>
      <w:r w:rsidRPr="001F227B">
        <w:rPr>
          <w:sz w:val="22"/>
          <w:vertAlign w:val="superscript"/>
        </w:rPr>
        <w:t>O</w:t>
      </w:r>
      <w:r w:rsidRPr="005578F9">
        <w:t>C</w:t>
      </w:r>
      <w:r>
        <w:t xml:space="preserve"> and the temperature of the quadrapole analyzer was 200</w:t>
      </w:r>
      <w:r w:rsidRPr="001F227B">
        <w:rPr>
          <w:sz w:val="22"/>
          <w:vertAlign w:val="superscript"/>
        </w:rPr>
        <w:t>O</w:t>
      </w:r>
      <w:r w:rsidRPr="005578F9">
        <w:t>C</w:t>
      </w:r>
      <w:r>
        <w:t>.  The temperature of the program was initially set to 40</w:t>
      </w:r>
      <w:r w:rsidRPr="001F227B">
        <w:rPr>
          <w:sz w:val="22"/>
          <w:vertAlign w:val="superscript"/>
        </w:rPr>
        <w:t>O</w:t>
      </w:r>
      <w:r w:rsidRPr="005578F9">
        <w:t>C</w:t>
      </w:r>
      <w:r>
        <w:t xml:space="preserve"> for 1.5 minutes and then increased to 300</w:t>
      </w:r>
      <w:r w:rsidRPr="001F227B">
        <w:rPr>
          <w:sz w:val="22"/>
          <w:vertAlign w:val="superscript"/>
        </w:rPr>
        <w:t>O</w:t>
      </w:r>
      <w:r w:rsidRPr="005578F9">
        <w:t>C</w:t>
      </w:r>
      <w:r>
        <w:t xml:space="preserve"> at 4 </w:t>
      </w:r>
      <w:r w:rsidRPr="001F227B">
        <w:rPr>
          <w:sz w:val="22"/>
          <w:vertAlign w:val="superscript"/>
        </w:rPr>
        <w:t>O</w:t>
      </w:r>
      <w:r w:rsidRPr="005578F9">
        <w:t>C</w:t>
      </w:r>
      <w:r>
        <w:t xml:space="preserve">/min and held isothermal for 34 minutes for a total run time of 100.5 minutes. The fractions were analyzed by both single ion monitoring (SIM) and multiple ion detection (MID) modes depending on the target compound. </w:t>
      </w:r>
    </w:p>
    <w:p w:rsidR="0099286C" w:rsidRDefault="0099286C" w:rsidP="0099286C">
      <w:pPr>
        <w:pStyle w:val="Balk3"/>
      </w:pPr>
      <w:bookmarkStart w:id="56" w:name="_Toc504658448"/>
      <w:bookmarkStart w:id="57" w:name="_Toc507506639"/>
      <w:r>
        <w:t>3.2.8 Gas Chromatography-Mass Spectrometry-Mass Spectrometry</w:t>
      </w:r>
      <w:bookmarkEnd w:id="56"/>
      <w:bookmarkEnd w:id="57"/>
      <w:r>
        <w:t xml:space="preserve">  </w:t>
      </w:r>
    </w:p>
    <w:p w:rsidR="0099286C" w:rsidRDefault="0099286C" w:rsidP="0099286C">
      <w:pPr>
        <w:jc w:val="both"/>
      </w:pPr>
      <w:r>
        <w:tab/>
        <w:t>Gas Chromatography-Mass Spectrometry-Mass Spectrometry (GCMS-MS) was used for aliphatic and saturate compounds that were problematic to identify. A Thermo Scientific Trace 1310 gas chromatograph paired with TSQ 8000 triple quadrapole mass spectrometer and used in a splitless injection mode to analyze samples. The same</w:t>
      </w:r>
      <w:r w:rsidR="00FB5409">
        <w:t xml:space="preserve"> dilution (5 ml/mg) used for GC and GCMS</w:t>
      </w:r>
      <w:r>
        <w:t xml:space="preserve"> was also used for the GCMS-MS. A  J&amp;W Scientific DB-5MS 122-5562 fused silica column with 0.25 mm inner diameter and 0.025 mm thick liquid film coating was used for the gas chromatography. Helium with 1.4 ml/min flow rate was used as carrier gas and Argon was used as collision gas. The initial temperature program of the GC was set at 40</w:t>
      </w:r>
      <w:r w:rsidRPr="001F227B">
        <w:rPr>
          <w:sz w:val="22"/>
          <w:vertAlign w:val="superscript"/>
        </w:rPr>
        <w:t>O</w:t>
      </w:r>
      <w:r w:rsidRPr="005578F9">
        <w:t>C</w:t>
      </w:r>
      <w:r>
        <w:t xml:space="preserve"> for 1.5 minutes then increased to 300</w:t>
      </w:r>
      <w:r w:rsidRPr="001F227B">
        <w:rPr>
          <w:sz w:val="22"/>
          <w:vertAlign w:val="superscript"/>
        </w:rPr>
        <w:t>O</w:t>
      </w:r>
      <w:r w:rsidRPr="005578F9">
        <w:t>C</w:t>
      </w:r>
      <w:r>
        <w:t xml:space="preserve"> with 4 </w:t>
      </w:r>
      <w:r w:rsidRPr="001F227B">
        <w:rPr>
          <w:sz w:val="22"/>
          <w:vertAlign w:val="superscript"/>
        </w:rPr>
        <w:t>O</w:t>
      </w:r>
      <w:r w:rsidRPr="005578F9">
        <w:t>C</w:t>
      </w:r>
      <w:r>
        <w:t xml:space="preserve">/min and held isothermal for 34 minutes for total run time of 100.5 minutes. </w:t>
      </w:r>
      <w:r>
        <w:tab/>
      </w:r>
    </w:p>
    <w:p w:rsidR="0099286C" w:rsidRPr="001E6F00" w:rsidRDefault="0099286C" w:rsidP="00E1019B">
      <w:pPr>
        <w:pStyle w:val="Balk1"/>
      </w:pPr>
      <w:bookmarkStart w:id="58" w:name="_Toc507506640"/>
      <w:bookmarkStart w:id="59" w:name="_GoBack"/>
      <w:bookmarkEnd w:id="59"/>
      <w:r w:rsidRPr="001E6F00">
        <w:lastRenderedPageBreak/>
        <w:t>Chapter 4: Results and Discussion</w:t>
      </w:r>
      <w:bookmarkEnd w:id="58"/>
    </w:p>
    <w:p w:rsidR="0099286C" w:rsidRDefault="0099286C" w:rsidP="000776CE">
      <w:pPr>
        <w:pStyle w:val="Balk2"/>
      </w:pPr>
      <w:bookmarkStart w:id="60" w:name="_Toc507506641"/>
      <w:r>
        <w:t>4.1 Source Rock Characterization</w:t>
      </w:r>
      <w:bookmarkEnd w:id="60"/>
      <w:r>
        <w:t xml:space="preserve"> </w:t>
      </w:r>
    </w:p>
    <w:p w:rsidR="0099286C" w:rsidRPr="001E6F00" w:rsidRDefault="0099286C" w:rsidP="0099286C">
      <w:pPr>
        <w:ind w:firstLine="720"/>
        <w:jc w:val="both"/>
      </w:pPr>
      <w:r>
        <w:t xml:space="preserve">Source rock characteristics are based on bulk geochemical data such as total carbon content, thermal maturity and kerogen type. These data are commonly obtained from the Rock-Eval pyrolysis, a standard procedure in the petroleum exploration industry. </w:t>
      </w:r>
      <w:r w:rsidRPr="00A874BA">
        <w:t>In this study, the rock samples from Kephart-1 Well and Laverne-State-1 Well were</w:t>
      </w:r>
      <w:r>
        <w:t xml:space="preserve"> screened by Rock-Eval pyrolysis for the source rock characterization and the generated </w:t>
      </w:r>
      <w:r w:rsidR="0087093C">
        <w:t xml:space="preserve">data are presented in Table </w:t>
      </w:r>
      <w:r w:rsidRPr="00A874BA">
        <w:t xml:space="preserve">3. </w:t>
      </w:r>
      <w:r w:rsidRPr="00A874BA">
        <w:rPr>
          <w:szCs w:val="28"/>
        </w:rPr>
        <w:t>RUSKA PYRAN analyses data of the Wang (1993) source</w:t>
      </w:r>
      <w:r w:rsidRPr="003D4B39">
        <w:rPr>
          <w:szCs w:val="28"/>
        </w:rPr>
        <w:t xml:space="preserve"> rock samples are given in </w:t>
      </w:r>
      <w:r w:rsidR="0087093C">
        <w:rPr>
          <w:szCs w:val="28"/>
        </w:rPr>
        <w:t xml:space="preserve">Table </w:t>
      </w:r>
      <w:r>
        <w:rPr>
          <w:szCs w:val="28"/>
        </w:rPr>
        <w:t>4</w:t>
      </w:r>
      <w:r w:rsidRPr="003D4B39">
        <w:rPr>
          <w:szCs w:val="28"/>
        </w:rPr>
        <w:t>. TOC and HI values of the samples were used to construct TOC and HI map of the Morrow Formation in the</w:t>
      </w:r>
      <w:r>
        <w:rPr>
          <w:szCs w:val="28"/>
        </w:rPr>
        <w:t xml:space="preserve"> Anadarko </w:t>
      </w:r>
      <w:r w:rsidRPr="006C56E5">
        <w:rPr>
          <w:szCs w:val="28"/>
        </w:rPr>
        <w:t>basin (Figure</w:t>
      </w:r>
      <w:r>
        <w:rPr>
          <w:szCs w:val="28"/>
        </w:rPr>
        <w:t>s</w:t>
      </w:r>
      <w:r w:rsidRPr="006C56E5">
        <w:rPr>
          <w:szCs w:val="28"/>
        </w:rPr>
        <w:t xml:space="preserve"> 17 and 18).T</w:t>
      </w:r>
      <w:r>
        <w:rPr>
          <w:szCs w:val="28"/>
        </w:rPr>
        <w:t>he maps can be used to provide additional information about the lateral changes in TOC and remaining generative potential of the Morrow Shale in the Anadarko Basin.</w:t>
      </w:r>
    </w:p>
    <w:p w:rsidR="003B3713" w:rsidRDefault="0099286C" w:rsidP="003B3713">
      <w:pPr>
        <w:ind w:firstLine="720"/>
        <w:jc w:val="both"/>
        <w:rPr>
          <w:szCs w:val="28"/>
        </w:rPr>
      </w:pPr>
      <w:r>
        <w:rPr>
          <w:szCs w:val="28"/>
        </w:rPr>
        <w:t>When evaluating Rock-Eval pyrolysis results several factors should be considered. For instance, high S</w:t>
      </w:r>
      <w:r>
        <w:rPr>
          <w:szCs w:val="28"/>
          <w:vertAlign w:val="subscript"/>
        </w:rPr>
        <w:t>1</w:t>
      </w:r>
      <w:r>
        <w:rPr>
          <w:szCs w:val="28"/>
        </w:rPr>
        <w:t xml:space="preserve"> results can be indicative of contamination from drilling fluid additives. Non-</w:t>
      </w:r>
      <w:r w:rsidR="0087093C">
        <w:rPr>
          <w:szCs w:val="28"/>
        </w:rPr>
        <w:t>indigenous hydrocarbons that were</w:t>
      </w:r>
      <w:r>
        <w:rPr>
          <w:szCs w:val="28"/>
        </w:rPr>
        <w:t xml:space="preserve"> expelled and migrated from </w:t>
      </w:r>
      <w:r w:rsidRPr="002B6340">
        <w:rPr>
          <w:szCs w:val="28"/>
        </w:rPr>
        <w:t>another source rock can also elevate the S</w:t>
      </w:r>
      <w:r w:rsidRPr="002B6340">
        <w:rPr>
          <w:szCs w:val="28"/>
          <w:vertAlign w:val="subscript"/>
        </w:rPr>
        <w:t xml:space="preserve">1 </w:t>
      </w:r>
      <w:r w:rsidRPr="002B6340">
        <w:rPr>
          <w:szCs w:val="28"/>
        </w:rPr>
        <w:t>peak. Smith (1994) suggested that S</w:t>
      </w:r>
      <w:r w:rsidR="006C6B88">
        <w:rPr>
          <w:szCs w:val="28"/>
          <w:vertAlign w:val="subscript"/>
        </w:rPr>
        <w:t>1</w:t>
      </w:r>
      <w:r w:rsidR="006C6B88">
        <w:rPr>
          <w:szCs w:val="28"/>
        </w:rPr>
        <w:t>/</w:t>
      </w:r>
      <w:r w:rsidRPr="002B6340">
        <w:rPr>
          <w:szCs w:val="28"/>
        </w:rPr>
        <w:t xml:space="preserve">TOC values exceeding 1.5 indicate contribution from non-indigenous oil. Thus, in this study Rock-Eval results of the </w:t>
      </w:r>
      <w:r w:rsidR="0026671A">
        <w:rPr>
          <w:szCs w:val="28"/>
        </w:rPr>
        <w:t xml:space="preserve">Kephart-I </w:t>
      </w:r>
      <w:r w:rsidRPr="002B6340">
        <w:rPr>
          <w:szCs w:val="28"/>
        </w:rPr>
        <w:t>core samples A-4, A-6, A-7, A-8 and A-9 were considered as unreliable and rejected from the pyrolysis data.</w:t>
      </w:r>
      <w:r>
        <w:rPr>
          <w:szCs w:val="28"/>
        </w:rPr>
        <w:t xml:space="preserve">  </w:t>
      </w:r>
    </w:p>
    <w:p w:rsidR="00365263" w:rsidRDefault="003B3713" w:rsidP="00365263">
      <w:pPr>
        <w:pStyle w:val="ResimYazs"/>
        <w:keepNext/>
        <w:jc w:val="both"/>
      </w:pPr>
      <w:r>
        <w:rPr>
          <w:noProof/>
          <w:lang w:val="tr-TR" w:eastAsia="tr-TR" w:bidi="ar-SA"/>
        </w:rPr>
        <w:lastRenderedPageBreak/>
        <mc:AlternateContent>
          <mc:Choice Requires="wps">
            <w:drawing>
              <wp:anchor distT="45720" distB="45720" distL="114300" distR="114300" simplePos="0" relativeHeight="251752448" behindDoc="0" locked="0" layoutInCell="1" allowOverlap="1">
                <wp:simplePos x="0" y="0"/>
                <wp:positionH relativeFrom="margin">
                  <wp:align>left</wp:align>
                </wp:positionH>
                <wp:positionV relativeFrom="paragraph">
                  <wp:posOffset>3810000</wp:posOffset>
                </wp:positionV>
                <wp:extent cx="8221980" cy="617220"/>
                <wp:effectExtent l="0" t="7620" r="0" b="0"/>
                <wp:wrapSquare wrapText="bothSides"/>
                <wp:docPr id="4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21980" cy="617220"/>
                        </a:xfrm>
                        <a:prstGeom prst="rect">
                          <a:avLst/>
                        </a:prstGeom>
                        <a:solidFill>
                          <a:srgbClr val="FFFFFF"/>
                        </a:solidFill>
                        <a:ln w="9525">
                          <a:noFill/>
                          <a:miter lim="800000"/>
                          <a:headEnd/>
                          <a:tailEnd/>
                        </a:ln>
                      </wps:spPr>
                      <wps:txbx>
                        <w:txbxContent>
                          <w:p w:rsidR="008875B3" w:rsidRPr="003B3713" w:rsidRDefault="008875B3" w:rsidP="003B3713">
                            <w:pPr>
                              <w:pStyle w:val="ResimYazs"/>
                              <w:keepNext/>
                              <w:jc w:val="both"/>
                              <w:rPr>
                                <w:b w:val="0"/>
                              </w:rPr>
                            </w:pPr>
                            <w:bookmarkStart w:id="61" w:name="_Toc507508793"/>
                            <w:r>
                              <w:t xml:space="preserve">Table </w:t>
                            </w:r>
                            <w:fldSimple w:instr=" SEQ Table \* ARABIC ">
                              <w:r w:rsidR="003F6459">
                                <w:rPr>
                                  <w:noProof/>
                                </w:rPr>
                                <w:t>3</w:t>
                              </w:r>
                            </w:fldSimple>
                            <w:r>
                              <w:t xml:space="preserve">. </w:t>
                            </w:r>
                            <w:r w:rsidRPr="00845376">
                              <w:rPr>
                                <w:b w:val="0"/>
                              </w:rPr>
                              <w:t>Rock-</w:t>
                            </w:r>
                            <w:r w:rsidRPr="00827A9B">
                              <w:rPr>
                                <w:b w:val="0"/>
                              </w:rPr>
                              <w:t>Eval Pyrolysis Results</w:t>
                            </w:r>
                            <w:r>
                              <w:rPr>
                                <w:b w:val="0"/>
                              </w:rPr>
                              <w:t xml:space="preserve"> of the Kephart-I and Laverne-State-I Well Samples (Note that the lines that are marked with green point-out the samples that were ejected from screening and the lines that are  marked with orange point-out the samples whose Tmax values were omitted.)</w:t>
                            </w:r>
                            <w:bookmarkEnd w:id="6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300pt;width:647.4pt;height:48.6pt;rotation:-90;z-index:251752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" stroked="f">
                <v:textbox>
                  <w:txbxContent>
                    <w:p w:rsidR="008875B3" w:rsidRPr="003B3713" w:rsidRDefault="008875B3" w:rsidP="003B3713">
                      <w:pPr>
                        <w:pStyle w:val="ResimYazs"/>
                        <w:keepNext/>
                        <w:jc w:val="both"/>
                        <w:rPr>
                          <w:b w:val="0"/>
                        </w:rPr>
                      </w:pPr>
                      <w:bookmarkStart w:id="62" w:name="_Toc507508793"/>
                      <w:r>
                        <w:t xml:space="preserve">Table </w:t>
                      </w:r>
                      <w:fldSimple w:instr=" SEQ Table \* ARABIC ">
                        <w:r w:rsidR="003F6459">
                          <w:rPr>
                            <w:noProof/>
                          </w:rPr>
                          <w:t>3</w:t>
                        </w:r>
                      </w:fldSimple>
                      <w:r>
                        <w:t xml:space="preserve">. </w:t>
                      </w:r>
                      <w:r w:rsidRPr="00845376">
                        <w:rPr>
                          <w:b w:val="0"/>
                        </w:rPr>
                        <w:t>Rock-</w:t>
                      </w:r>
                      <w:r w:rsidRPr="00827A9B">
                        <w:rPr>
                          <w:b w:val="0"/>
                        </w:rPr>
                        <w:t>Eval Pyrolysis Results</w:t>
                      </w:r>
                      <w:r>
                        <w:rPr>
                          <w:b w:val="0"/>
                        </w:rPr>
                        <w:t xml:space="preserve"> of the Kephart-I and Laverne-State-I Well Samples (Note that the lines that are marked with green point-out the samples that were ejected from screening and the lines that are  marked with orange point-out the samples whose Tmax values were omitted.)</w:t>
                      </w:r>
                      <w:bookmarkEnd w:id="62"/>
                    </w:p>
                  </w:txbxContent>
                </v:textbox>
                <w10:wrap type="square" anchorx="margin"/>
              </v:shape>
            </w:pict>
          </mc:Fallback>
        </mc:AlternateContent>
      </w:r>
      <w:r w:rsidR="00365263" w:rsidRPr="001D1893">
        <w:rPr>
          <w:noProof/>
          <w:lang w:val="tr-TR" w:eastAsia="tr-TR" w:bidi="ar-SA"/>
        </w:rPr>
        <w:drawing>
          <wp:inline distT="0" distB="0" distL="0" distR="0" wp14:anchorId="3A72AB0B" wp14:editId="5C188582">
            <wp:extent cx="8134985" cy="4667387"/>
            <wp:effectExtent l="19368" t="18732" r="18732" b="18733"/>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16200000">
                      <a:off x="0" y="0"/>
                      <a:ext cx="8216165" cy="4713963"/>
                    </a:xfrm>
                    <a:prstGeom prst="rect">
                      <a:avLst/>
                    </a:prstGeom>
                    <a:noFill/>
                    <a:ln>
                      <a:solidFill>
                        <a:schemeClr val="tx1"/>
                      </a:solidFill>
                    </a:ln>
                  </pic:spPr>
                </pic:pic>
              </a:graphicData>
            </a:graphic>
          </wp:inline>
        </w:drawing>
      </w:r>
    </w:p>
    <w:p w:rsidR="0026671A" w:rsidRPr="0026671A" w:rsidRDefault="00C43E0F" w:rsidP="00D926BD">
      <w:pPr>
        <w:pStyle w:val="ResimYazs"/>
        <w:keepNext/>
        <w:jc w:val="both"/>
        <w:rPr>
          <w:b w:val="0"/>
        </w:rPr>
      </w:pPr>
      <w:bookmarkStart w:id="63" w:name="_Toc507508794"/>
      <w:r>
        <w:lastRenderedPageBreak/>
        <w:t xml:space="preserve">Table </w:t>
      </w:r>
      <w:fldSimple w:instr=" SEQ Table \* ARABIC ">
        <w:r w:rsidR="003F6459">
          <w:rPr>
            <w:noProof/>
          </w:rPr>
          <w:t>4</w:t>
        </w:r>
      </w:fldSimple>
      <w:r>
        <w:t xml:space="preserve">. </w:t>
      </w:r>
      <w:r w:rsidRPr="00827A9B">
        <w:rPr>
          <w:b w:val="0"/>
        </w:rPr>
        <w:t>Rock-Eval</w:t>
      </w:r>
      <w:r>
        <w:rPr>
          <w:b w:val="0"/>
        </w:rPr>
        <w:t xml:space="preserve"> pyrolysis data of the Wang (1993) source rock s</w:t>
      </w:r>
      <w:r w:rsidRPr="00827A9B">
        <w:rPr>
          <w:b w:val="0"/>
        </w:rPr>
        <w:t>amples</w:t>
      </w:r>
      <w:r>
        <w:rPr>
          <w:b w:val="0"/>
        </w:rPr>
        <w:t xml:space="preserve"> (Note that the lines </w:t>
      </w:r>
      <w:r w:rsidR="00DE174E">
        <w:rPr>
          <w:b w:val="0"/>
        </w:rPr>
        <w:t xml:space="preserve">that are </w:t>
      </w:r>
      <w:r w:rsidR="0026671A">
        <w:rPr>
          <w:b w:val="0"/>
        </w:rPr>
        <w:t xml:space="preserve">marked with orange point-out the samples whose Tmax values were omitted </w:t>
      </w:r>
      <w:r>
        <w:rPr>
          <w:b w:val="0"/>
        </w:rPr>
        <w:t>due to the previously discussed reasons)</w:t>
      </w:r>
      <w:bookmarkEnd w:id="63"/>
    </w:p>
    <w:p w:rsidR="0099286C" w:rsidRDefault="002E0FFB" w:rsidP="0099286C">
      <w:pPr>
        <w:pStyle w:val="ResimYazs"/>
        <w:keepNext/>
        <w:rPr>
          <w:b w:val="0"/>
        </w:rPr>
      </w:pPr>
      <w:r w:rsidRPr="002E0FFB">
        <w:rPr>
          <w:noProof/>
          <w:lang w:val="tr-TR" w:eastAsia="tr-TR" w:bidi="ar-SA"/>
        </w:rPr>
        <w:drawing>
          <wp:inline distT="0" distB="0" distL="0" distR="0">
            <wp:extent cx="5394960" cy="2730559"/>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2730559"/>
                    </a:xfrm>
                    <a:prstGeom prst="rect">
                      <a:avLst/>
                    </a:prstGeom>
                    <a:noFill/>
                    <a:ln>
                      <a:noFill/>
                    </a:ln>
                  </pic:spPr>
                </pic:pic>
              </a:graphicData>
            </a:graphic>
          </wp:inline>
        </w:drawing>
      </w:r>
    </w:p>
    <w:p w:rsidR="00C43E0F" w:rsidRPr="00C43E0F" w:rsidRDefault="00C43E0F" w:rsidP="00C43E0F"/>
    <w:p w:rsidR="00C43E0F" w:rsidRDefault="00DE174E" w:rsidP="000F4852">
      <w:pPr>
        <w:pStyle w:val="ResimYazs"/>
        <w:jc w:val="center"/>
      </w:pPr>
      <w:r w:rsidRPr="00DE174E">
        <w:rPr>
          <w:noProof/>
          <w:lang w:val="tr-TR" w:eastAsia="tr-TR" w:bidi="ar-SA"/>
        </w:rPr>
        <w:drawing>
          <wp:inline distT="0" distB="0" distL="0" distR="0" wp14:anchorId="0075262B" wp14:editId="2945F8CB">
            <wp:extent cx="4959066" cy="4351338"/>
            <wp:effectExtent l="0" t="0" r="0" b="0"/>
            <wp:docPr id="40"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a:blip r:embed="rId37"/>
                    <a:stretch>
                      <a:fillRect/>
                    </a:stretch>
                  </pic:blipFill>
                  <pic:spPr>
                    <a:xfrm>
                      <a:off x="0" y="0"/>
                      <a:ext cx="4959066" cy="4351338"/>
                    </a:xfrm>
                    <a:prstGeom prst="rect">
                      <a:avLst/>
                    </a:prstGeom>
                  </pic:spPr>
                </pic:pic>
              </a:graphicData>
            </a:graphic>
          </wp:inline>
        </w:drawing>
      </w:r>
    </w:p>
    <w:p w:rsidR="0099286C" w:rsidRDefault="0005011B" w:rsidP="002F4546">
      <w:pPr>
        <w:pStyle w:val="ResimYazs"/>
        <w:jc w:val="both"/>
      </w:pPr>
      <w:r>
        <w:t xml:space="preserve"> </w:t>
      </w:r>
      <w:r w:rsidR="00D926BD">
        <w:t xml:space="preserve">      </w:t>
      </w:r>
      <w:r>
        <w:t xml:space="preserve"> </w:t>
      </w:r>
      <w:bookmarkStart w:id="64" w:name="_Toc507509065"/>
      <w:r w:rsidR="0099286C" w:rsidRPr="00C43E0F">
        <w:t xml:space="preserve">Figure </w:t>
      </w:r>
      <w:fldSimple w:instr=" SEQ Figure \* ARABIC ">
        <w:r w:rsidR="003F6459">
          <w:rPr>
            <w:noProof/>
          </w:rPr>
          <w:t>17</w:t>
        </w:r>
      </w:fldSimple>
      <w:r w:rsidR="0099286C" w:rsidRPr="00C43E0F">
        <w:t xml:space="preserve">. </w:t>
      </w:r>
      <w:r w:rsidR="0099286C" w:rsidRPr="00C43E0F">
        <w:rPr>
          <w:b w:val="0"/>
        </w:rPr>
        <w:t>TOC map constructed for the study area</w:t>
      </w:r>
      <w:bookmarkEnd w:id="64"/>
    </w:p>
    <w:p w:rsidR="0099286C" w:rsidRDefault="0097782F" w:rsidP="000F4852">
      <w:pPr>
        <w:keepNext/>
        <w:jc w:val="center"/>
      </w:pPr>
      <w:r w:rsidRPr="0097782F">
        <w:rPr>
          <w:noProof/>
          <w:lang w:val="tr-TR" w:eastAsia="tr-TR" w:bidi="ar-SA"/>
        </w:rPr>
        <w:lastRenderedPageBreak/>
        <w:drawing>
          <wp:inline distT="0" distB="0" distL="0" distR="0" wp14:anchorId="255C750E" wp14:editId="6EF874DF">
            <wp:extent cx="5550010" cy="4877816"/>
            <wp:effectExtent l="0" t="0" r="0" b="0"/>
            <wp:docPr id="31"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im 24"/>
                    <pic:cNvPicPr>
                      <a:picLocks noChangeAspect="1"/>
                    </pic:cNvPicPr>
                  </pic:nvPicPr>
                  <pic:blipFill>
                    <a:blip r:embed="rId38"/>
                    <a:stretch>
                      <a:fillRect/>
                    </a:stretch>
                  </pic:blipFill>
                  <pic:spPr>
                    <a:xfrm>
                      <a:off x="0" y="0"/>
                      <a:ext cx="5557535" cy="4884430"/>
                    </a:xfrm>
                    <a:prstGeom prst="rect">
                      <a:avLst/>
                    </a:prstGeom>
                  </pic:spPr>
                </pic:pic>
              </a:graphicData>
            </a:graphic>
          </wp:inline>
        </w:drawing>
      </w:r>
    </w:p>
    <w:p w:rsidR="0099286C" w:rsidRPr="006C56E5" w:rsidRDefault="0005011B" w:rsidP="0099286C">
      <w:pPr>
        <w:pStyle w:val="ResimYazs"/>
        <w:jc w:val="both"/>
        <w:rPr>
          <w:b w:val="0"/>
        </w:rPr>
      </w:pPr>
      <w:r>
        <w:t xml:space="preserve">   </w:t>
      </w:r>
      <w:bookmarkStart w:id="65" w:name="_Toc507509066"/>
      <w:r w:rsidR="0099286C" w:rsidRPr="0097782F">
        <w:t xml:space="preserve">Figure </w:t>
      </w:r>
      <w:fldSimple w:instr=" SEQ Figure \* ARABIC ">
        <w:r w:rsidR="003F6459">
          <w:rPr>
            <w:noProof/>
          </w:rPr>
          <w:t>18</w:t>
        </w:r>
      </w:fldSimple>
      <w:r w:rsidR="0099286C" w:rsidRPr="0097782F">
        <w:t xml:space="preserve">. </w:t>
      </w:r>
      <w:r w:rsidR="0099286C" w:rsidRPr="0097782F">
        <w:rPr>
          <w:b w:val="0"/>
        </w:rPr>
        <w:t>Hydrogen Index Map Constructed for the Study Area</w:t>
      </w:r>
      <w:bookmarkEnd w:id="65"/>
    </w:p>
    <w:p w:rsidR="0099286C" w:rsidRDefault="0099286C" w:rsidP="0097782F">
      <w:pPr>
        <w:spacing w:line="600" w:lineRule="auto"/>
        <w:jc w:val="both"/>
      </w:pPr>
    </w:p>
    <w:p w:rsidR="0099286C" w:rsidRPr="00667825" w:rsidRDefault="007F36BE" w:rsidP="0099286C">
      <w:pPr>
        <w:ind w:firstLine="720"/>
        <w:jc w:val="both"/>
      </w:pPr>
      <w:r>
        <w:rPr>
          <w:szCs w:val="28"/>
        </w:rPr>
        <w:t>The</w:t>
      </w:r>
      <w:r w:rsidR="0099286C" w:rsidRPr="00D62EB8">
        <w:rPr>
          <w:szCs w:val="28"/>
        </w:rPr>
        <w:t xml:space="preserve"> H/C atomic ratio decreases with the weathering of the source rock which will result in </w:t>
      </w:r>
      <w:r>
        <w:rPr>
          <w:szCs w:val="28"/>
        </w:rPr>
        <w:t xml:space="preserve">a </w:t>
      </w:r>
      <w:r w:rsidR="0099286C" w:rsidRPr="00D62EB8">
        <w:rPr>
          <w:szCs w:val="28"/>
        </w:rPr>
        <w:t>reduced S</w:t>
      </w:r>
      <w:r w:rsidR="0099286C" w:rsidRPr="00D62EB8">
        <w:rPr>
          <w:szCs w:val="28"/>
          <w:vertAlign w:val="subscript"/>
        </w:rPr>
        <w:t>2</w:t>
      </w:r>
      <w:r w:rsidR="0099286C" w:rsidRPr="00D62EB8">
        <w:rPr>
          <w:szCs w:val="28"/>
        </w:rPr>
        <w:t xml:space="preserve"> peak </w:t>
      </w:r>
      <w:r w:rsidR="0099286C" w:rsidRPr="00D62EB8">
        <w:t>(van Krevelen, 1984). In this study, T</w:t>
      </w:r>
      <w:r w:rsidR="0099286C" w:rsidRPr="00D62EB8">
        <w:rPr>
          <w:vertAlign w:val="subscript"/>
        </w:rPr>
        <w:t xml:space="preserve">max </w:t>
      </w:r>
      <w:r w:rsidR="0099286C" w:rsidRPr="00D62EB8">
        <w:t>values of the samples were ignored if their S</w:t>
      </w:r>
      <w:r w:rsidR="0099286C" w:rsidRPr="00D62EB8">
        <w:rPr>
          <w:vertAlign w:val="subscript"/>
        </w:rPr>
        <w:t xml:space="preserve">2 </w:t>
      </w:r>
      <w:r w:rsidR="0099286C" w:rsidRPr="00D62EB8">
        <w:t>value is less than 0.5 mg HC/g rock. It’s because of the fact that when the S</w:t>
      </w:r>
      <w:r w:rsidR="0099286C" w:rsidRPr="00D62EB8">
        <w:rPr>
          <w:vertAlign w:val="subscript"/>
        </w:rPr>
        <w:t>2</w:t>
      </w:r>
      <w:r w:rsidR="0099286C" w:rsidRPr="00D62EB8">
        <w:t xml:space="preserve"> peak is too low, the peak does not appear very clear as it becomes very broad and flat instead. Although, T</w:t>
      </w:r>
      <w:r w:rsidR="0099286C" w:rsidRPr="00D62EB8">
        <w:rPr>
          <w:vertAlign w:val="subscript"/>
        </w:rPr>
        <w:t xml:space="preserve">max </w:t>
      </w:r>
      <w:r w:rsidR="0099286C" w:rsidRPr="00D62EB8">
        <w:t>value</w:t>
      </w:r>
      <w:r>
        <w:t>s</w:t>
      </w:r>
      <w:r w:rsidR="0099286C" w:rsidRPr="00D62EB8">
        <w:t xml:space="preserve"> can range</w:t>
      </w:r>
      <w:r w:rsidR="00CD03DD">
        <w:t xml:space="preserve"> from 300°</w:t>
      </w:r>
      <w:r w:rsidR="00C43E0F">
        <w:t>C</w:t>
      </w:r>
      <w:r w:rsidR="00CD03DD">
        <w:t xml:space="preserve"> to 590°C (Figure 15),</w:t>
      </w:r>
      <w:r w:rsidR="0099286C" w:rsidRPr="00D62EB8">
        <w:t xml:space="preserve"> T</w:t>
      </w:r>
      <w:r w:rsidR="0099286C" w:rsidRPr="00D62EB8">
        <w:rPr>
          <w:vertAlign w:val="subscript"/>
        </w:rPr>
        <w:t xml:space="preserve">max </w:t>
      </w:r>
      <w:r w:rsidR="0099286C" w:rsidRPr="00D62EB8">
        <w:t>values below 400°C are generally considered as anomalous if the PI of</w:t>
      </w:r>
      <w:r w:rsidR="0099286C" w:rsidRPr="003D4B39">
        <w:t xml:space="preserve"> </w:t>
      </w:r>
      <w:r w:rsidR="00C43E0F">
        <w:t>the sample is above 0.2.</w:t>
      </w:r>
      <w:r w:rsidR="0099286C" w:rsidRPr="00D62EB8">
        <w:t xml:space="preserve"> This condition can be related to heavy hydrocarbon staining (Nuccio and </w:t>
      </w:r>
      <w:r w:rsidR="0099286C" w:rsidRPr="00D62EB8">
        <w:lastRenderedPageBreak/>
        <w:t xml:space="preserve">Barker, 1989) and these samples should be treated with caution until the extract data has been examined in detail to evaluate whether contamination is present. The Tmax value of the samples that </w:t>
      </w:r>
      <w:r w:rsidR="0099286C" w:rsidRPr="00D01D17">
        <w:t xml:space="preserve">were </w:t>
      </w:r>
      <w:r w:rsidRPr="00D01D17">
        <w:t>r</w:t>
      </w:r>
      <w:r w:rsidR="0099286C" w:rsidRPr="00D01D17">
        <w:t>ejected in this</w:t>
      </w:r>
      <w:r w:rsidR="0099286C" w:rsidRPr="00D62EB8">
        <w:t xml:space="preserve"> study and the summary of the screening pa</w:t>
      </w:r>
      <w:r w:rsidR="0099286C">
        <w:t xml:space="preserve">rameters are given in Table </w:t>
      </w:r>
      <w:r w:rsidR="0099286C" w:rsidRPr="00D62EB8">
        <w:t>5.</w:t>
      </w:r>
      <w:r w:rsidR="0099286C">
        <w:t xml:space="preserve"> </w:t>
      </w:r>
    </w:p>
    <w:p w:rsidR="0099286C" w:rsidRDefault="0099286C" w:rsidP="0099286C">
      <w:pPr>
        <w:pStyle w:val="ResimYazs"/>
        <w:keepNext/>
        <w:jc w:val="center"/>
      </w:pPr>
    </w:p>
    <w:p w:rsidR="0099286C" w:rsidRDefault="0099286C" w:rsidP="0099286C">
      <w:pPr>
        <w:pStyle w:val="ResimYazs"/>
        <w:keepNext/>
        <w:jc w:val="center"/>
      </w:pPr>
      <w:bookmarkStart w:id="66" w:name="_Toc507508795"/>
      <w:r w:rsidRPr="002F4546">
        <w:t xml:space="preserve">Table </w:t>
      </w:r>
      <w:fldSimple w:instr=" SEQ Table \* ARABIC ">
        <w:r w:rsidR="003F6459">
          <w:rPr>
            <w:noProof/>
          </w:rPr>
          <w:t>5</w:t>
        </w:r>
      </w:fldSimple>
      <w:r w:rsidRPr="002F4546">
        <w:t xml:space="preserve">. </w:t>
      </w:r>
      <w:r w:rsidRPr="002F4546">
        <w:rPr>
          <w:b w:val="0"/>
        </w:rPr>
        <w:t>Rock-Eval Screening Parameters used for evaluation of the data</w:t>
      </w:r>
      <w:bookmarkEnd w:id="66"/>
    </w:p>
    <w:p w:rsidR="0099286C" w:rsidRDefault="00FE6D6A" w:rsidP="000F4852">
      <w:pPr>
        <w:jc w:val="center"/>
      </w:pPr>
      <w:r w:rsidRPr="00FE6D6A">
        <w:rPr>
          <w:noProof/>
          <w:lang w:val="tr-TR" w:eastAsia="tr-TR" w:bidi="ar-SA"/>
        </w:rPr>
        <w:drawing>
          <wp:inline distT="0" distB="0" distL="0" distR="0">
            <wp:extent cx="5343525" cy="1485900"/>
            <wp:effectExtent l="0" t="0" r="9525" b="0"/>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43525" cy="1485900"/>
                    </a:xfrm>
                    <a:prstGeom prst="rect">
                      <a:avLst/>
                    </a:prstGeom>
                    <a:noFill/>
                    <a:ln>
                      <a:noFill/>
                    </a:ln>
                  </pic:spPr>
                </pic:pic>
              </a:graphicData>
            </a:graphic>
          </wp:inline>
        </w:drawing>
      </w:r>
    </w:p>
    <w:p w:rsidR="0099286C" w:rsidRDefault="0099286C" w:rsidP="00C43E0F">
      <w:pPr>
        <w:spacing w:line="276" w:lineRule="auto"/>
        <w:ind w:firstLine="720"/>
        <w:jc w:val="both"/>
        <w:rPr>
          <w:szCs w:val="28"/>
        </w:rPr>
      </w:pPr>
    </w:p>
    <w:p w:rsidR="0099286C" w:rsidRDefault="0099286C" w:rsidP="0099286C">
      <w:pPr>
        <w:pStyle w:val="Balk3"/>
      </w:pPr>
      <w:bookmarkStart w:id="67" w:name="_Toc504658449"/>
      <w:bookmarkStart w:id="68" w:name="_Toc507506642"/>
      <w:r>
        <w:t>4.1.1. Total Organic Content</w:t>
      </w:r>
      <w:bookmarkEnd w:id="67"/>
      <w:bookmarkEnd w:id="68"/>
    </w:p>
    <w:p w:rsidR="00C43E0F" w:rsidRDefault="0099286C" w:rsidP="0099286C">
      <w:pPr>
        <w:jc w:val="both"/>
      </w:pPr>
      <w:r>
        <w:tab/>
        <w:t>Total Organic Carbon (TOC) is the measure of organic richness which describes the quantity of the organic matter in a source rock comprising both bitumen and kerogen (Peters and Cassa, 1994). It is represented by the weight percent of the organic matter relative to the total weight of the rock.  Generally, source rocks</w:t>
      </w:r>
      <w:r w:rsidR="007F36BE">
        <w:t xml:space="preserve"> are</w:t>
      </w:r>
      <w:r>
        <w:t xml:space="preserve"> classified as poor </w:t>
      </w:r>
      <w:r w:rsidRPr="003D4B39">
        <w:t>if TOC values are less than 0.5 %; as fair if TO</w:t>
      </w:r>
      <w:r w:rsidR="006C6B88">
        <w:t xml:space="preserve">C values are in between 0.5 %-1 </w:t>
      </w:r>
      <w:r w:rsidRPr="003D4B39">
        <w:t>%; as</w:t>
      </w:r>
      <w:r>
        <w:t xml:space="preserve"> good if TOC values range between 1%-2% ; and as excellent source rock if TOC values  are more than 4% (Peters, 1986; Al-Atta et al., 2014). The TOC content of the 15 source rock samples from </w:t>
      </w:r>
      <w:r w:rsidR="0087093C">
        <w:t xml:space="preserve">the </w:t>
      </w:r>
      <w:r>
        <w:t xml:space="preserve">Wang (1993) study range between 0.99 %- 2.53 % with average of 1.55%. Maximum and minimum TOC content was obtained in MOR-74 and MOR-75 samples respectively which were both deposited in Woodward County. This result supports the idea of Morrow’s dynamic depositional conditions. The average TOC values of the Kephart-1 Well core samples is 1.32%.  </w:t>
      </w:r>
      <w:r w:rsidR="007F36BE">
        <w:t>The m</w:t>
      </w:r>
      <w:r w:rsidRPr="003D4B39">
        <w:t>inimum</w:t>
      </w:r>
      <w:r>
        <w:t xml:space="preserve"> value</w:t>
      </w:r>
      <w:r w:rsidRPr="003D4B39">
        <w:t xml:space="preserve"> of</w:t>
      </w:r>
      <w:r>
        <w:t xml:space="preserve"> TOC is</w:t>
      </w:r>
      <w:r w:rsidRPr="003D4B39">
        <w:t xml:space="preserve"> 0.29% at </w:t>
      </w:r>
      <w:r w:rsidRPr="003D4B39">
        <w:lastRenderedPageBreak/>
        <w:t>8494 ft. and maximum of 2.85% at 8532 ft. in the</w:t>
      </w:r>
      <w:r>
        <w:t xml:space="preserve"> core. (The TOC content was 3.02% in A-9; however </w:t>
      </w:r>
      <w:r w:rsidR="0087093C">
        <w:t xml:space="preserve">the A-9 </w:t>
      </w:r>
      <w:r w:rsidR="00365AA9">
        <w:t>data was omitted due to</w:t>
      </w:r>
      <w:r>
        <w:t xml:space="preserve"> re</w:t>
      </w:r>
      <w:r w:rsidR="00365AA9">
        <w:t>asons discussed earlier</w:t>
      </w:r>
      <w:r>
        <w:t>) The TOC value</w:t>
      </w:r>
      <w:r w:rsidR="00365AA9">
        <w:t>s</w:t>
      </w:r>
      <w:r>
        <w:t xml:space="preserve"> of the two source rock samples from Laverne-S</w:t>
      </w:r>
      <w:r w:rsidR="00365AA9">
        <w:t>tate-1 core at Harper County were</w:t>
      </w:r>
      <w:r>
        <w:t xml:space="preserve"> 19.6% at 7012 ft. and 6.3% 7029 ft.</w:t>
      </w:r>
      <w:r w:rsidR="007F36BE">
        <w:t>,</w:t>
      </w:r>
      <w:r>
        <w:t xml:space="preserve"> respectively. According to this classification  system, </w:t>
      </w:r>
      <w:r w:rsidR="00365AA9">
        <w:t xml:space="preserve">the </w:t>
      </w:r>
      <w:r>
        <w:t xml:space="preserve">Morrow Shale in the study can be classified as </w:t>
      </w:r>
      <w:r w:rsidR="00365AA9">
        <w:t xml:space="preserve">a </w:t>
      </w:r>
      <w:r>
        <w:t xml:space="preserve">good source rock in terms of organic richness as average TOC content varies between 1 % and 2% </w:t>
      </w:r>
      <w:r w:rsidRPr="001D1893">
        <w:t>(Figure</w:t>
      </w:r>
      <w:r>
        <w:t xml:space="preserve"> 19</w:t>
      </w:r>
      <w:r w:rsidRPr="001D1893">
        <w:t>).</w:t>
      </w:r>
      <w:r>
        <w:t xml:space="preserve"> However, in Harper County, organic richness of the </w:t>
      </w:r>
      <w:r w:rsidR="00C43E0F">
        <w:t xml:space="preserve">Morrow Shale became excellent. </w:t>
      </w:r>
      <w:r>
        <w:t>When considering the general TOC trend of the Morrow Shale, the sample in Harper County with a value of 19.6% is considered to be anomalously high</w:t>
      </w:r>
      <w:r w:rsidR="007F36BE">
        <w:t>,</w:t>
      </w:r>
      <w:r>
        <w:t xml:space="preserve"> above the expected range </w:t>
      </w:r>
      <w:r w:rsidR="00365AA9">
        <w:t xml:space="preserve">for </w:t>
      </w:r>
      <w:r>
        <w:t>the Morrow. This result does not reflect the geochemical character of the Morrow, and may be due to re-working of organic matter into the original depositional environment.</w:t>
      </w:r>
    </w:p>
    <w:p w:rsidR="00C43E0F" w:rsidRDefault="00C43E0F" w:rsidP="000F4852">
      <w:pPr>
        <w:jc w:val="center"/>
        <w:rPr>
          <w:szCs w:val="28"/>
        </w:rPr>
      </w:pPr>
      <w:r>
        <w:rPr>
          <w:noProof/>
          <w:lang w:val="tr-TR" w:eastAsia="tr-TR" w:bidi="ar-SA"/>
        </w:rPr>
        <w:drawing>
          <wp:inline distT="0" distB="0" distL="0" distR="0" wp14:anchorId="16B99883" wp14:editId="691C9B26">
            <wp:extent cx="5051681" cy="3374565"/>
            <wp:effectExtent l="0" t="0" r="0" b="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59258" cy="3379626"/>
                    </a:xfrm>
                    <a:prstGeom prst="rect">
                      <a:avLst/>
                    </a:prstGeom>
                    <a:noFill/>
                  </pic:spPr>
                </pic:pic>
              </a:graphicData>
            </a:graphic>
          </wp:inline>
        </w:drawing>
      </w:r>
    </w:p>
    <w:p w:rsidR="00C43E0F" w:rsidRDefault="00C43E0F" w:rsidP="00C43E0F">
      <w:pPr>
        <w:pStyle w:val="ResimYazs"/>
        <w:jc w:val="both"/>
        <w:rPr>
          <w:b w:val="0"/>
        </w:rPr>
      </w:pPr>
      <w:bookmarkStart w:id="69" w:name="_Toc507509067"/>
      <w:r w:rsidRPr="00C43E0F">
        <w:t xml:space="preserve">Figure </w:t>
      </w:r>
      <w:fldSimple w:instr=" SEQ Figure \* ARABIC ">
        <w:r w:rsidR="003F6459">
          <w:rPr>
            <w:noProof/>
          </w:rPr>
          <w:t>19</w:t>
        </w:r>
      </w:fldSimple>
      <w:r w:rsidRPr="00C43E0F">
        <w:t xml:space="preserve">. </w:t>
      </w:r>
      <w:r w:rsidRPr="00C43E0F">
        <w:rPr>
          <w:b w:val="0"/>
        </w:rPr>
        <w:t>Cross plot of hydrogen index (HI) vs. TOC indicating amount, nature and generation potential of the organic matter.</w:t>
      </w:r>
      <w:bookmarkEnd w:id="69"/>
    </w:p>
    <w:p w:rsidR="0099286C" w:rsidRDefault="0099286C" w:rsidP="0099286C">
      <w:pPr>
        <w:jc w:val="both"/>
      </w:pPr>
      <w:r>
        <w:lastRenderedPageBreak/>
        <w:t xml:space="preserve">Because of that reason, H-2 and H-3 samples in this study were not used for organic richness or kerogen type assessments. </w:t>
      </w:r>
      <w:r w:rsidR="007F36BE">
        <w:t>However, the</w:t>
      </w:r>
      <w:r>
        <w:t xml:space="preserve"> TO</w:t>
      </w:r>
      <w:r w:rsidR="007F36BE">
        <w:t>C results of this study support</w:t>
      </w:r>
      <w:r>
        <w:t xml:space="preserve"> the TOC observation of Joseph Hatch which was published in Higley</w:t>
      </w:r>
      <w:r w:rsidR="00446AB6">
        <w:t xml:space="preserve"> et al.</w:t>
      </w:r>
      <w:r>
        <w:t xml:space="preserve"> (2014) study. According to that study, </w:t>
      </w:r>
      <w:r>
        <w:rPr>
          <w:szCs w:val="28"/>
        </w:rPr>
        <w:t xml:space="preserve">TOC values of </w:t>
      </w:r>
      <w:r w:rsidR="007673C1">
        <w:rPr>
          <w:szCs w:val="28"/>
        </w:rPr>
        <w:t xml:space="preserve">the </w:t>
      </w:r>
      <w:r>
        <w:rPr>
          <w:szCs w:val="28"/>
        </w:rPr>
        <w:t>Morrowan Shales from 14 wells in</w:t>
      </w:r>
      <w:r w:rsidR="007F36BE">
        <w:rPr>
          <w:szCs w:val="28"/>
        </w:rPr>
        <w:t xml:space="preserve"> the</w:t>
      </w:r>
      <w:r>
        <w:rPr>
          <w:szCs w:val="28"/>
        </w:rPr>
        <w:t xml:space="preserve"> Anadarko Basin ranged from 0.48 % to 10.71 wt % with </w:t>
      </w:r>
      <w:r w:rsidR="007F36BE">
        <w:rPr>
          <w:szCs w:val="28"/>
        </w:rPr>
        <w:t xml:space="preserve">an </w:t>
      </w:r>
      <w:r>
        <w:rPr>
          <w:szCs w:val="28"/>
        </w:rPr>
        <w:t>average of 1.72 %.</w:t>
      </w:r>
      <w:r>
        <w:t xml:space="preserve"> In general, the TOC variance in the Morrow source rocks demonstrates the heterogenic and complex character of the Morrow Formation. Moreover, the TOC log of the Kephart-1 core demonstrates that there is no specific trend in the TOC content of the core samples. The periodic fluctuations in organic matter may be due to frequent sea level changes through</w:t>
      </w:r>
      <w:r w:rsidR="007F36BE">
        <w:t>out</w:t>
      </w:r>
      <w:r>
        <w:t xml:space="preserve"> the deposition</w:t>
      </w:r>
      <w:r w:rsidR="00365AA9">
        <w:t>al history</w:t>
      </w:r>
      <w:r>
        <w:t xml:space="preserve"> (Figure 20).</w:t>
      </w:r>
    </w:p>
    <w:p w:rsidR="0099286C" w:rsidRDefault="0099286C" w:rsidP="0099286C"/>
    <w:p w:rsidR="0099286C" w:rsidRDefault="0099286C" w:rsidP="0099286C">
      <w:pPr>
        <w:pStyle w:val="Balk3"/>
      </w:pPr>
      <w:bookmarkStart w:id="70" w:name="_Toc504658450"/>
      <w:bookmarkStart w:id="71" w:name="_Toc507506643"/>
      <w:r>
        <w:t>4.1.2 Kerogen Classification</w:t>
      </w:r>
      <w:bookmarkEnd w:id="70"/>
      <w:bookmarkEnd w:id="71"/>
    </w:p>
    <w:p w:rsidR="0099286C" w:rsidRPr="009411BC" w:rsidRDefault="0099286C" w:rsidP="0099286C">
      <w:pPr>
        <w:jc w:val="both"/>
      </w:pPr>
      <w:r>
        <w:tab/>
        <w:t>Kerogen of the Morrow Shale was characterized by plotting HI and OI values on the Pseudo-van Krevelen diagram as explained in the previous chapter. The HI values of the Morrow source rocks from the Wang (1993) study range from 7 to 155 mgHC/gTOC, with an a</w:t>
      </w:r>
      <w:r w:rsidR="00365AA9">
        <w:t>verage of 64 mgHC/gTOC. The HI values</w:t>
      </w:r>
      <w:r>
        <w:t xml:space="preserve"> of the Kephart-1 core varies between 32 to 160 mgHC/gTOC with an a</w:t>
      </w:r>
      <w:r w:rsidR="00365AA9">
        <w:t>verage of 62 mgHC/gTOC. The HI values</w:t>
      </w:r>
      <w:r>
        <w:t xml:space="preserve"> of the Laverne-State-1 core</w:t>
      </w:r>
      <w:r w:rsidR="00D570F3">
        <w:t xml:space="preserve"> are 570 for H-2 and 33 for H-3,</w:t>
      </w:r>
      <w:r>
        <w:t xml:space="preserve"> respectively. As discussed above these anomalous results for the </w:t>
      </w:r>
      <w:r w:rsidR="00365AA9">
        <w:t>Laverne-State-I Well</w:t>
      </w:r>
      <w:r>
        <w:t xml:space="preserve"> do not </w:t>
      </w:r>
      <w:r w:rsidR="007F36BE">
        <w:t>reflect</w:t>
      </w:r>
      <w:r>
        <w:t xml:space="preserve"> the</w:t>
      </w:r>
      <w:r w:rsidR="007F36BE">
        <w:t xml:space="preserve"> values commonly reported for</w:t>
      </w:r>
      <w:r>
        <w:t xml:space="preserve"> the Morrow and have been omitted for the kerog</w:t>
      </w:r>
      <w:r w:rsidR="001A36FB">
        <w:t>en characterization. W</w:t>
      </w:r>
      <w:r>
        <w:t xml:space="preserve">hen characterizing kerogen, HI values should be evaluated with caution as it might be influenced by thermal maturity. For instance, HI decreases with increasing thermal maturity as the kerogen becomes more depleted in hydrogen during the conversion of </w:t>
      </w:r>
      <w:r>
        <w:lastRenderedPageBreak/>
        <w:t xml:space="preserve">organic matter into oil and gas. Therefore, the low range of HI in the Morrow samples can be related to high thermal maturity of the samples. </w:t>
      </w:r>
    </w:p>
    <w:p w:rsidR="0099286C" w:rsidRDefault="0099286C" w:rsidP="000F4852">
      <w:pPr>
        <w:keepNext/>
        <w:tabs>
          <w:tab w:val="left" w:pos="1964"/>
        </w:tabs>
        <w:jc w:val="center"/>
      </w:pPr>
      <w:r>
        <w:rPr>
          <w:noProof/>
          <w:lang w:val="tr-TR" w:eastAsia="tr-TR" w:bidi="ar-SA"/>
        </w:rPr>
        <w:drawing>
          <wp:inline distT="0" distB="0" distL="0" distR="0" wp14:anchorId="5BDF2D09" wp14:editId="1BCF8990">
            <wp:extent cx="2780263" cy="6280638"/>
            <wp:effectExtent l="19050" t="19050" r="20320" b="25400"/>
            <wp:docPr id="22"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a:blip r:embed="rId41"/>
                    <a:stretch>
                      <a:fillRect/>
                    </a:stretch>
                  </pic:blipFill>
                  <pic:spPr>
                    <a:xfrm>
                      <a:off x="0" y="0"/>
                      <a:ext cx="2796819" cy="6318039"/>
                    </a:xfrm>
                    <a:prstGeom prst="rect">
                      <a:avLst/>
                    </a:prstGeom>
                    <a:ln>
                      <a:solidFill>
                        <a:schemeClr val="tx1"/>
                      </a:solidFill>
                    </a:ln>
                  </pic:spPr>
                </pic:pic>
              </a:graphicData>
            </a:graphic>
          </wp:inline>
        </w:drawing>
      </w:r>
    </w:p>
    <w:p w:rsidR="0099286C" w:rsidRPr="007D3FFD" w:rsidRDefault="0099286C" w:rsidP="0099286C">
      <w:pPr>
        <w:pStyle w:val="ResimYazs"/>
        <w:rPr>
          <w:b w:val="0"/>
        </w:rPr>
      </w:pPr>
      <w:bookmarkStart w:id="72" w:name="_Toc507509068"/>
      <w:r>
        <w:t xml:space="preserve">Figure </w:t>
      </w:r>
      <w:fldSimple w:instr=" SEQ Figure \* ARABIC ">
        <w:r w:rsidR="003F6459">
          <w:rPr>
            <w:noProof/>
          </w:rPr>
          <w:t>20</w:t>
        </w:r>
      </w:fldSimple>
      <w:r>
        <w:t xml:space="preserve">. </w:t>
      </w:r>
      <w:r w:rsidRPr="007D3FFD">
        <w:rPr>
          <w:b w:val="0"/>
        </w:rPr>
        <w:t xml:space="preserve">TOC log </w:t>
      </w:r>
      <w:r>
        <w:rPr>
          <w:b w:val="0"/>
        </w:rPr>
        <w:t xml:space="preserve">plot </w:t>
      </w:r>
      <w:r w:rsidRPr="007D3FFD">
        <w:rPr>
          <w:b w:val="0"/>
        </w:rPr>
        <w:t>of the Kephart-1 core showing the variance in TOC content with depth.</w:t>
      </w:r>
      <w:bookmarkEnd w:id="72"/>
      <w:r w:rsidRPr="007D3FFD">
        <w:rPr>
          <w:b w:val="0"/>
        </w:rPr>
        <w:t xml:space="preserve"> </w:t>
      </w:r>
    </w:p>
    <w:p w:rsidR="0099286C" w:rsidRDefault="0099286C" w:rsidP="0099286C">
      <w:pPr>
        <w:jc w:val="both"/>
      </w:pPr>
    </w:p>
    <w:p w:rsidR="0099286C" w:rsidRDefault="0099286C" w:rsidP="0099286C">
      <w:pPr>
        <w:ind w:firstLine="720"/>
        <w:jc w:val="both"/>
      </w:pPr>
      <w:r w:rsidRPr="007B20FC">
        <w:lastRenderedPageBreak/>
        <w:t>According to Higley</w:t>
      </w:r>
      <w:r w:rsidR="00446AB6">
        <w:t xml:space="preserve"> et al.</w:t>
      </w:r>
      <w:r w:rsidRPr="007B20FC">
        <w:t xml:space="preserve"> (2014); the HI values of the fourteen Morrow source rock samples </w:t>
      </w:r>
      <w:r w:rsidRPr="007B20FC">
        <w:rPr>
          <w:szCs w:val="28"/>
        </w:rPr>
        <w:t xml:space="preserve">range from 15 to 179 </w:t>
      </w:r>
      <w:r w:rsidR="00365AA9">
        <w:t>mgHC/</w:t>
      </w:r>
      <w:r w:rsidRPr="007B20FC">
        <w:t>gTOC</w:t>
      </w:r>
      <w:r w:rsidRPr="007B20FC">
        <w:rPr>
          <w:szCs w:val="28"/>
        </w:rPr>
        <w:t xml:space="preserve"> with an average value of 46 </w:t>
      </w:r>
      <w:r w:rsidR="00365AA9">
        <w:t>mgHC/</w:t>
      </w:r>
      <w:r w:rsidRPr="007B20FC">
        <w:t>gTOC which is very close to the results of this study. According to the Rock-Eval Pyrolysis data, the Kephart-1 core sam</w:t>
      </w:r>
      <w:r w:rsidR="00365AA9">
        <w:t>ples are mainly characterized as</w:t>
      </w:r>
      <w:r w:rsidRPr="007B20FC">
        <w:t xml:space="preserve"> Type-III kerogen (only fe</w:t>
      </w:r>
      <w:r w:rsidR="00365AA9">
        <w:t>w of them are characterized as</w:t>
      </w:r>
      <w:r w:rsidRPr="007B20FC">
        <w:t xml:space="preserve"> Type-IV kerogen) derived from woody terrestrial plants, and potentially generate gas if </w:t>
      </w:r>
      <w:r w:rsidR="00365AA9">
        <w:t>appropriate</w:t>
      </w:r>
      <w:r w:rsidRPr="007B20FC">
        <w:t xml:space="preserve"> conditions </w:t>
      </w:r>
      <w:r w:rsidR="00365AA9">
        <w:t>prevail</w:t>
      </w:r>
      <w:r w:rsidRPr="007B20FC">
        <w:t xml:space="preserve"> (Figure 21).</w:t>
      </w:r>
    </w:p>
    <w:p w:rsidR="0099286C" w:rsidRDefault="0099286C" w:rsidP="000F4852">
      <w:pPr>
        <w:keepNext/>
        <w:jc w:val="center"/>
      </w:pPr>
      <w:r>
        <w:rPr>
          <w:noProof/>
          <w:lang w:val="tr-TR" w:eastAsia="tr-TR" w:bidi="ar-SA"/>
        </w:rPr>
        <w:drawing>
          <wp:inline distT="0" distB="0" distL="0" distR="0" wp14:anchorId="03DD243F" wp14:editId="55C42A93">
            <wp:extent cx="3802281" cy="4981903"/>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49491" cy="5043759"/>
                    </a:xfrm>
                    <a:prstGeom prst="rect">
                      <a:avLst/>
                    </a:prstGeom>
                    <a:noFill/>
                  </pic:spPr>
                </pic:pic>
              </a:graphicData>
            </a:graphic>
          </wp:inline>
        </w:drawing>
      </w:r>
    </w:p>
    <w:p w:rsidR="0099286C" w:rsidRPr="00B02ABE" w:rsidRDefault="0099286C" w:rsidP="0099286C">
      <w:pPr>
        <w:pStyle w:val="ResimYazs"/>
        <w:jc w:val="both"/>
        <w:rPr>
          <w:rFonts w:ascii="3" w:hAnsi="3"/>
          <w:b w:val="0"/>
        </w:rPr>
      </w:pPr>
      <w:bookmarkStart w:id="73" w:name="_Toc507509069"/>
      <w:r>
        <w:t xml:space="preserve">Figure </w:t>
      </w:r>
      <w:fldSimple w:instr=" SEQ Figure \* ARABIC ">
        <w:r w:rsidR="003F6459">
          <w:rPr>
            <w:noProof/>
          </w:rPr>
          <w:t>21</w:t>
        </w:r>
      </w:fldSimple>
      <w:r>
        <w:t xml:space="preserve">. </w:t>
      </w:r>
      <w:r w:rsidRPr="00B57BD8">
        <w:rPr>
          <w:b w:val="0"/>
        </w:rPr>
        <w:t>Pseudo-</w:t>
      </w:r>
      <w:r>
        <w:rPr>
          <w:b w:val="0"/>
        </w:rPr>
        <w:t>v</w:t>
      </w:r>
      <w:r w:rsidR="00365AA9">
        <w:rPr>
          <w:b w:val="0"/>
        </w:rPr>
        <w:t>an Krevelen d</w:t>
      </w:r>
      <w:r w:rsidRPr="00B57BD8">
        <w:rPr>
          <w:b w:val="0"/>
        </w:rPr>
        <w:t xml:space="preserve">iagram to determine the kerogen type of </w:t>
      </w:r>
      <w:r w:rsidRPr="00F06AB7">
        <w:rPr>
          <w:b w:val="0"/>
        </w:rPr>
        <w:t>the Morrow core samples. The Kephart-1 core samples are predominantly Type-III kerogen with mixing of Type-IV kerogen in some of the samples. Laverne-State-1 core sample of H-2 is characterized with Type-II kerogen. Note that Wang (1993) source rock samples could</w:t>
      </w:r>
      <w:r>
        <w:rPr>
          <w:b w:val="0"/>
        </w:rPr>
        <w:t xml:space="preserve"> not be plotted due to lack of S</w:t>
      </w:r>
      <w:r>
        <w:rPr>
          <w:rFonts w:ascii="3" w:hAnsi="3"/>
          <w:b w:val="0"/>
          <w:vertAlign w:val="subscript"/>
        </w:rPr>
        <w:t xml:space="preserve">3 </w:t>
      </w:r>
      <w:r>
        <w:rPr>
          <w:rFonts w:ascii="3" w:hAnsi="3"/>
          <w:b w:val="0"/>
        </w:rPr>
        <w:t>data</w:t>
      </w:r>
      <w:r w:rsidR="009375DF">
        <w:rPr>
          <w:rFonts w:ascii="3" w:hAnsi="3"/>
          <w:b w:val="0"/>
        </w:rPr>
        <w:t>.</w:t>
      </w:r>
      <w:bookmarkEnd w:id="73"/>
      <w:r w:rsidR="00555D69">
        <w:rPr>
          <w:rFonts w:ascii="3" w:hAnsi="3"/>
          <w:b w:val="0"/>
        </w:rPr>
        <w:t xml:space="preserve">  </w:t>
      </w:r>
    </w:p>
    <w:p w:rsidR="0099286C" w:rsidRDefault="0099286C" w:rsidP="0099286C">
      <w:pPr>
        <w:ind w:firstLine="720"/>
        <w:jc w:val="both"/>
        <w:rPr>
          <w:szCs w:val="28"/>
        </w:rPr>
      </w:pPr>
      <w:r>
        <w:rPr>
          <w:szCs w:val="28"/>
        </w:rPr>
        <w:lastRenderedPageBreak/>
        <w:t xml:space="preserve">Peters (1986) classified source rock generative </w:t>
      </w:r>
      <w:r w:rsidRPr="00EB1F4D">
        <w:rPr>
          <w:szCs w:val="28"/>
        </w:rPr>
        <w:t xml:space="preserve">potential </w:t>
      </w:r>
      <w:r>
        <w:rPr>
          <w:szCs w:val="28"/>
        </w:rPr>
        <w:t>as poor, fair, good and very good based on their TOC and S</w:t>
      </w:r>
      <w:r>
        <w:rPr>
          <w:szCs w:val="28"/>
          <w:vertAlign w:val="subscript"/>
        </w:rPr>
        <w:t xml:space="preserve">2 </w:t>
      </w:r>
      <w:r>
        <w:rPr>
          <w:szCs w:val="28"/>
        </w:rPr>
        <w:t xml:space="preserve">content. According to his criteria, </w:t>
      </w:r>
      <w:r w:rsidR="007F36BE">
        <w:rPr>
          <w:szCs w:val="28"/>
        </w:rPr>
        <w:t>the S</w:t>
      </w:r>
      <w:r w:rsidR="007F36BE">
        <w:rPr>
          <w:szCs w:val="28"/>
          <w:vertAlign w:val="subscript"/>
        </w:rPr>
        <w:t>2</w:t>
      </w:r>
      <w:r w:rsidR="00D416BE">
        <w:rPr>
          <w:szCs w:val="28"/>
        </w:rPr>
        <w:t xml:space="preserve"> vs. TOC plot in Figure 19</w:t>
      </w:r>
      <w:r w:rsidR="00C7411B">
        <w:rPr>
          <w:szCs w:val="28"/>
        </w:rPr>
        <w:t xml:space="preserve"> indicates that the Morrow S</w:t>
      </w:r>
      <w:r>
        <w:rPr>
          <w:szCs w:val="28"/>
        </w:rPr>
        <w:t>hale could be cha</w:t>
      </w:r>
      <w:r w:rsidR="00D416BE">
        <w:rPr>
          <w:szCs w:val="28"/>
        </w:rPr>
        <w:t>racterized as</w:t>
      </w:r>
      <w:r w:rsidR="007F36BE">
        <w:rPr>
          <w:szCs w:val="28"/>
        </w:rPr>
        <w:t xml:space="preserve"> a</w:t>
      </w:r>
      <w:r w:rsidR="00D416BE">
        <w:rPr>
          <w:szCs w:val="28"/>
        </w:rPr>
        <w:t xml:space="preserve"> good source rock. </w:t>
      </w:r>
      <w:r>
        <w:rPr>
          <w:szCs w:val="28"/>
        </w:rPr>
        <w:t>The S</w:t>
      </w:r>
      <w:r w:rsidRPr="006F68D3">
        <w:rPr>
          <w:szCs w:val="28"/>
          <w:vertAlign w:val="subscript"/>
        </w:rPr>
        <w:t>2</w:t>
      </w:r>
      <w:r>
        <w:rPr>
          <w:szCs w:val="28"/>
        </w:rPr>
        <w:t xml:space="preserve"> vs. TOC plot is also another useful way of determining the kerogen type for immature rocks or early mature rocks (Cornford et al., 1998). T</w:t>
      </w:r>
      <w:r w:rsidR="00B827FD">
        <w:rPr>
          <w:szCs w:val="28"/>
        </w:rPr>
        <w:t xml:space="preserve">he regression line of this plot </w:t>
      </w:r>
      <w:r>
        <w:rPr>
          <w:szCs w:val="28"/>
        </w:rPr>
        <w:t xml:space="preserve">basically represents HI; thus the results should be evaluated with caution by considering the maturity effect on HI. The plot was used in order to assess the kerogen type of the Morrow source rock </w:t>
      </w:r>
      <w:r w:rsidR="00555D69">
        <w:rPr>
          <w:szCs w:val="28"/>
        </w:rPr>
        <w:t>samples, which</w:t>
      </w:r>
      <w:r>
        <w:rPr>
          <w:szCs w:val="28"/>
        </w:rPr>
        <w:t xml:space="preserve"> were re-analyzed in this project. According to this plot, most of the Morrow source rock samples are mainly characterized with Type-III kerogen derived from </w:t>
      </w:r>
      <w:r w:rsidR="007F36BE">
        <w:rPr>
          <w:szCs w:val="28"/>
        </w:rPr>
        <w:t>terrigenous</w:t>
      </w:r>
      <w:r>
        <w:rPr>
          <w:szCs w:val="28"/>
        </w:rPr>
        <w:t xml:space="preserve"> plants, </w:t>
      </w:r>
      <w:r w:rsidR="007F36BE">
        <w:rPr>
          <w:szCs w:val="28"/>
        </w:rPr>
        <w:t>whilst</w:t>
      </w:r>
      <w:r w:rsidR="00365AA9">
        <w:rPr>
          <w:szCs w:val="28"/>
        </w:rPr>
        <w:t xml:space="preserve"> a </w:t>
      </w:r>
      <w:r>
        <w:rPr>
          <w:szCs w:val="28"/>
        </w:rPr>
        <w:t xml:space="preserve">few of them </w:t>
      </w:r>
      <w:r w:rsidR="002F4546">
        <w:rPr>
          <w:szCs w:val="28"/>
        </w:rPr>
        <w:t>being</w:t>
      </w:r>
      <w:r>
        <w:rPr>
          <w:szCs w:val="28"/>
        </w:rPr>
        <w:t xml:space="preserve"> characterized with inert Type-IV kerogen</w:t>
      </w:r>
      <w:r w:rsidR="00365AA9">
        <w:rPr>
          <w:szCs w:val="28"/>
        </w:rPr>
        <w:t>s</w:t>
      </w:r>
      <w:r>
        <w:rPr>
          <w:szCs w:val="28"/>
        </w:rPr>
        <w:t xml:space="preserve"> which have no hydrocarbon generation potential (Figure 22). </w:t>
      </w:r>
    </w:p>
    <w:p w:rsidR="0099286C" w:rsidRDefault="0099286C" w:rsidP="0099286C">
      <w:pPr>
        <w:keepNext/>
        <w:jc w:val="center"/>
      </w:pPr>
      <w:r>
        <w:rPr>
          <w:noProof/>
          <w:lang w:val="tr-TR" w:eastAsia="tr-TR" w:bidi="ar-SA"/>
        </w:rPr>
        <w:drawing>
          <wp:inline distT="0" distB="0" distL="0" distR="0" wp14:anchorId="61A23140" wp14:editId="26485B03">
            <wp:extent cx="5486844" cy="3396342"/>
            <wp:effectExtent l="0" t="0" r="0"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97900" cy="3403186"/>
                    </a:xfrm>
                    <a:prstGeom prst="rect">
                      <a:avLst/>
                    </a:prstGeom>
                    <a:noFill/>
                  </pic:spPr>
                </pic:pic>
              </a:graphicData>
            </a:graphic>
          </wp:inline>
        </w:drawing>
      </w:r>
    </w:p>
    <w:p w:rsidR="0099286C" w:rsidRPr="00F06AB7" w:rsidRDefault="0099286C" w:rsidP="0099286C">
      <w:pPr>
        <w:pStyle w:val="ResimYazs"/>
        <w:rPr>
          <w:rFonts w:ascii="2" w:hAnsi="2"/>
          <w:b w:val="0"/>
        </w:rPr>
      </w:pPr>
      <w:bookmarkStart w:id="74" w:name="_Toc507509070"/>
      <w:r>
        <w:t xml:space="preserve">Figure </w:t>
      </w:r>
      <w:fldSimple w:instr=" SEQ Figure \* ARABIC ">
        <w:r w:rsidR="003F6459">
          <w:rPr>
            <w:noProof/>
          </w:rPr>
          <w:t>22</w:t>
        </w:r>
      </w:fldSimple>
      <w:r>
        <w:t xml:space="preserve">. </w:t>
      </w:r>
      <w:r w:rsidRPr="00F06AB7">
        <w:rPr>
          <w:b w:val="0"/>
        </w:rPr>
        <w:t>S</w:t>
      </w:r>
      <w:r w:rsidRPr="00F06AB7">
        <w:rPr>
          <w:rFonts w:ascii="2" w:hAnsi="2"/>
          <w:b w:val="0"/>
          <w:vertAlign w:val="subscript"/>
        </w:rPr>
        <w:t xml:space="preserve">2 </w:t>
      </w:r>
      <w:r w:rsidRPr="00F06AB7">
        <w:rPr>
          <w:rFonts w:ascii="2" w:hAnsi="2"/>
          <w:b w:val="0"/>
        </w:rPr>
        <w:t>vs. TOC plot used to determ</w:t>
      </w:r>
      <w:r w:rsidR="00C7411B">
        <w:rPr>
          <w:rFonts w:ascii="2" w:hAnsi="2"/>
          <w:b w:val="0"/>
        </w:rPr>
        <w:t>ine kerogen type of the Morrow source rock s</w:t>
      </w:r>
      <w:r w:rsidRPr="00F06AB7">
        <w:rPr>
          <w:rFonts w:ascii="2" w:hAnsi="2"/>
          <w:b w:val="0"/>
        </w:rPr>
        <w:t>amples in</w:t>
      </w:r>
      <w:r>
        <w:rPr>
          <w:rFonts w:ascii="2" w:hAnsi="2"/>
          <w:b w:val="0"/>
        </w:rPr>
        <w:t xml:space="preserve"> the</w:t>
      </w:r>
      <w:r w:rsidRPr="00F06AB7">
        <w:rPr>
          <w:rFonts w:ascii="2" w:hAnsi="2"/>
          <w:b w:val="0"/>
        </w:rPr>
        <w:t xml:space="preserve"> Anadarko Basin</w:t>
      </w:r>
      <w:r w:rsidR="00C43E0F">
        <w:rPr>
          <w:rFonts w:ascii="2" w:hAnsi="2"/>
          <w:b w:val="0"/>
        </w:rPr>
        <w:t>.</w:t>
      </w:r>
      <w:bookmarkEnd w:id="74"/>
    </w:p>
    <w:p w:rsidR="0099286C" w:rsidRDefault="003621D9" w:rsidP="0099286C">
      <w:pPr>
        <w:pStyle w:val="Balk3"/>
      </w:pPr>
      <w:bookmarkStart w:id="75" w:name="_Toc504658451"/>
      <w:r>
        <w:lastRenderedPageBreak/>
        <w:t xml:space="preserve"> </w:t>
      </w:r>
      <w:bookmarkStart w:id="76" w:name="_Toc507506644"/>
      <w:r w:rsidR="0099286C">
        <w:t>4</w:t>
      </w:r>
      <w:r w:rsidR="0099286C" w:rsidRPr="00F06AB7">
        <w:t>.1.3 Thermal Maturity</w:t>
      </w:r>
      <w:bookmarkEnd w:id="75"/>
      <w:bookmarkEnd w:id="76"/>
    </w:p>
    <w:p w:rsidR="0099286C" w:rsidRDefault="0099286C" w:rsidP="0099286C">
      <w:pPr>
        <w:jc w:val="both"/>
      </w:pPr>
      <w:r>
        <w:tab/>
        <w:t>Source rock maturation is the degree of alteration of organic ma</w:t>
      </w:r>
      <w:r w:rsidR="00B827FD">
        <w:t xml:space="preserve">tter under the heating process. </w:t>
      </w:r>
      <w:r>
        <w:t>It can be effected by several factors such as type of organic matter, presence of excess amount of HC present in the rock, mineral composition, mineral content, or burial depth (Atta-Peters, 2014). In this study, thermal maturity of the samples were assessed by using Rock-Eval Pyrolysis results of T</w:t>
      </w:r>
      <w:r>
        <w:rPr>
          <w:vertAlign w:val="subscript"/>
        </w:rPr>
        <w:t>max</w:t>
      </w:r>
      <w:r>
        <w:t xml:space="preserve">, calculated vitrinite </w:t>
      </w:r>
      <w:r w:rsidRPr="003E7788">
        <w:t>reflectance (%R</w:t>
      </w:r>
      <w:r w:rsidR="00BF23D9">
        <w:rPr>
          <w:vertAlign w:val="subscript"/>
        </w:rPr>
        <w:t>c</w:t>
      </w:r>
      <w:r w:rsidRPr="003E7788">
        <w:t>),  and production index values</w:t>
      </w:r>
      <w:r w:rsidR="007F36BE">
        <w:t xml:space="preserve"> and</w:t>
      </w:r>
      <w:r w:rsidRPr="003E7788">
        <w:t xml:space="preserve"> are presented in Table 3 and Table 4. As briefly discussed before, the samples that were not qualified for the screening</w:t>
      </w:r>
      <w:r>
        <w:t xml:space="preserve"> conditions were </w:t>
      </w:r>
      <w:r w:rsidR="007F36BE">
        <w:t>r</w:t>
      </w:r>
      <w:r>
        <w:t>ejected</w:t>
      </w:r>
      <w:r w:rsidR="00BF23D9">
        <w:t xml:space="preserve"> from the evaluation (see Table </w:t>
      </w:r>
      <w:r>
        <w:t xml:space="preserve">5 for the conditions). </w:t>
      </w:r>
    </w:p>
    <w:p w:rsidR="0099286C" w:rsidRPr="00BD6037" w:rsidRDefault="0099286C" w:rsidP="0099286C">
      <w:pPr>
        <w:ind w:firstLine="720"/>
        <w:jc w:val="both"/>
        <w:rPr>
          <w:szCs w:val="28"/>
        </w:rPr>
      </w:pPr>
      <w:r>
        <w:rPr>
          <w:szCs w:val="28"/>
        </w:rPr>
        <w:t>The T</w:t>
      </w:r>
      <w:r>
        <w:rPr>
          <w:szCs w:val="28"/>
          <w:vertAlign w:val="subscript"/>
        </w:rPr>
        <w:t xml:space="preserve">max </w:t>
      </w:r>
      <w:r>
        <w:rPr>
          <w:szCs w:val="28"/>
        </w:rPr>
        <w:t>temperature is one of the parameters used to evaluate the thermal maturity of the rocks. In petroleum exploration, the source rock is considered to be immature if T</w:t>
      </w:r>
      <w:r>
        <w:rPr>
          <w:szCs w:val="28"/>
          <w:vertAlign w:val="subscript"/>
        </w:rPr>
        <w:t xml:space="preserve">max </w:t>
      </w:r>
      <w:r>
        <w:rPr>
          <w:szCs w:val="28"/>
        </w:rPr>
        <w:t>is less than 435</w:t>
      </w:r>
      <w:r w:rsidRPr="00553F89">
        <w:rPr>
          <w:sz w:val="22"/>
          <w:szCs w:val="28"/>
          <w:vertAlign w:val="superscript"/>
        </w:rPr>
        <w:t>O</w:t>
      </w:r>
      <w:r>
        <w:rPr>
          <w:szCs w:val="28"/>
        </w:rPr>
        <w:t>C; mature if T</w:t>
      </w:r>
      <w:r>
        <w:rPr>
          <w:szCs w:val="28"/>
          <w:vertAlign w:val="subscript"/>
        </w:rPr>
        <w:t xml:space="preserve">max </w:t>
      </w:r>
      <w:r>
        <w:rPr>
          <w:szCs w:val="28"/>
        </w:rPr>
        <w:t>is between 435</w:t>
      </w:r>
      <w:r w:rsidRPr="00553F89">
        <w:rPr>
          <w:sz w:val="22"/>
          <w:szCs w:val="28"/>
          <w:vertAlign w:val="superscript"/>
        </w:rPr>
        <w:t>O</w:t>
      </w:r>
      <w:r>
        <w:rPr>
          <w:szCs w:val="28"/>
        </w:rPr>
        <w:t>C and 470</w:t>
      </w:r>
      <w:r w:rsidRPr="00553F89">
        <w:rPr>
          <w:sz w:val="22"/>
          <w:szCs w:val="28"/>
          <w:vertAlign w:val="superscript"/>
        </w:rPr>
        <w:t>O</w:t>
      </w:r>
      <w:r>
        <w:rPr>
          <w:szCs w:val="28"/>
        </w:rPr>
        <w:t>C; and post-mature if T</w:t>
      </w:r>
      <w:r>
        <w:rPr>
          <w:szCs w:val="28"/>
          <w:vertAlign w:val="subscript"/>
        </w:rPr>
        <w:t xml:space="preserve">max </w:t>
      </w:r>
      <w:r>
        <w:rPr>
          <w:szCs w:val="28"/>
        </w:rPr>
        <w:t>exceeds 470</w:t>
      </w:r>
      <w:r w:rsidRPr="00553F89">
        <w:rPr>
          <w:sz w:val="22"/>
          <w:szCs w:val="28"/>
          <w:vertAlign w:val="superscript"/>
        </w:rPr>
        <w:t>O</w:t>
      </w:r>
      <w:r>
        <w:rPr>
          <w:szCs w:val="28"/>
        </w:rPr>
        <w:t xml:space="preserve">C (Peters and Cassa, 1994). In this study, </w:t>
      </w:r>
      <w:r w:rsidRPr="00BD6037">
        <w:rPr>
          <w:szCs w:val="28"/>
        </w:rPr>
        <w:t>T</w:t>
      </w:r>
      <w:r w:rsidRPr="00BD6037">
        <w:rPr>
          <w:szCs w:val="28"/>
          <w:vertAlign w:val="subscript"/>
        </w:rPr>
        <w:t>max</w:t>
      </w:r>
      <w:r>
        <w:rPr>
          <w:szCs w:val="28"/>
          <w:vertAlign w:val="subscript"/>
        </w:rPr>
        <w:t xml:space="preserve"> </w:t>
      </w:r>
      <w:r>
        <w:rPr>
          <w:szCs w:val="28"/>
        </w:rPr>
        <w:t xml:space="preserve">of the source rock </w:t>
      </w:r>
      <w:r w:rsidRPr="003D4B39">
        <w:rPr>
          <w:szCs w:val="28"/>
        </w:rPr>
        <w:t>samples in the</w:t>
      </w:r>
      <w:r w:rsidR="00BF23D9">
        <w:rPr>
          <w:szCs w:val="28"/>
        </w:rPr>
        <w:t xml:space="preserve"> Anadarko Basin ranges from 422</w:t>
      </w:r>
      <w:r w:rsidRPr="003D4B39">
        <w:rPr>
          <w:sz w:val="22"/>
          <w:szCs w:val="28"/>
          <w:vertAlign w:val="superscript"/>
        </w:rPr>
        <w:t>O</w:t>
      </w:r>
      <w:r w:rsidRPr="003D4B39">
        <w:rPr>
          <w:szCs w:val="28"/>
        </w:rPr>
        <w:t>C t</w:t>
      </w:r>
      <w:r w:rsidR="00BF23D9">
        <w:rPr>
          <w:szCs w:val="28"/>
        </w:rPr>
        <w:t>o 456</w:t>
      </w:r>
      <w:r w:rsidRPr="003D4B39">
        <w:rPr>
          <w:sz w:val="22"/>
          <w:szCs w:val="28"/>
          <w:vertAlign w:val="superscript"/>
        </w:rPr>
        <w:t>O</w:t>
      </w:r>
      <w:r>
        <w:rPr>
          <w:szCs w:val="28"/>
        </w:rPr>
        <w:t>C with an average of 439</w:t>
      </w:r>
      <w:r w:rsidRPr="003D4B39">
        <w:rPr>
          <w:sz w:val="22"/>
          <w:szCs w:val="28"/>
          <w:vertAlign w:val="superscript"/>
        </w:rPr>
        <w:t>O</w:t>
      </w:r>
      <w:r w:rsidRPr="003D4B39">
        <w:rPr>
          <w:szCs w:val="28"/>
        </w:rPr>
        <w:t>C</w:t>
      </w:r>
      <w:r>
        <w:rPr>
          <w:szCs w:val="28"/>
        </w:rPr>
        <w:t xml:space="preserve"> indicating that the sources rocks are thermally mature. Peters and Cassa (1994) mentioned that the early oi</w:t>
      </w:r>
      <w:r w:rsidR="00BF23D9">
        <w:rPr>
          <w:szCs w:val="28"/>
        </w:rPr>
        <w:t>l window corresponds to 435-445</w:t>
      </w:r>
      <w:r w:rsidRPr="00553F89">
        <w:rPr>
          <w:sz w:val="22"/>
          <w:szCs w:val="28"/>
          <w:vertAlign w:val="superscript"/>
        </w:rPr>
        <w:t>O</w:t>
      </w:r>
      <w:r>
        <w:rPr>
          <w:szCs w:val="28"/>
        </w:rPr>
        <w:t>C while</w:t>
      </w:r>
      <w:r w:rsidR="007F36BE">
        <w:rPr>
          <w:szCs w:val="28"/>
        </w:rPr>
        <w:t xml:space="preserve"> the</w:t>
      </w:r>
      <w:r>
        <w:rPr>
          <w:szCs w:val="28"/>
        </w:rPr>
        <w:t xml:space="preserve"> late oil window takes place at 450-470</w:t>
      </w:r>
      <w:r w:rsidRPr="003D4B39">
        <w:rPr>
          <w:sz w:val="22"/>
          <w:szCs w:val="28"/>
          <w:vertAlign w:val="superscript"/>
        </w:rPr>
        <w:t>O</w:t>
      </w:r>
      <w:r w:rsidRPr="003D4B39">
        <w:rPr>
          <w:szCs w:val="28"/>
        </w:rPr>
        <w:t>C. This suggest</w:t>
      </w:r>
      <w:r w:rsidR="007F36BE">
        <w:rPr>
          <w:szCs w:val="28"/>
        </w:rPr>
        <w:t>s</w:t>
      </w:r>
      <w:r w:rsidRPr="003D4B39">
        <w:rPr>
          <w:szCs w:val="28"/>
        </w:rPr>
        <w:t xml:space="preserve"> that the maturity of the organic matter in the Morrow Shale, Anadarko Basin varies between immature to mature (late-oil window) stage. In general,</w:t>
      </w:r>
      <w:r>
        <w:rPr>
          <w:szCs w:val="28"/>
        </w:rPr>
        <w:t xml:space="preserve"> T</w:t>
      </w:r>
      <w:r>
        <w:rPr>
          <w:szCs w:val="28"/>
          <w:vertAlign w:val="subscript"/>
        </w:rPr>
        <w:t xml:space="preserve">max </w:t>
      </w:r>
      <w:r>
        <w:rPr>
          <w:szCs w:val="28"/>
        </w:rPr>
        <w:t xml:space="preserve">values showed a decreasing trend from </w:t>
      </w:r>
      <w:r w:rsidR="007F36BE">
        <w:rPr>
          <w:szCs w:val="28"/>
        </w:rPr>
        <w:t xml:space="preserve">the </w:t>
      </w:r>
      <w:r>
        <w:rPr>
          <w:szCs w:val="28"/>
        </w:rPr>
        <w:t>southeast to</w:t>
      </w:r>
      <w:r w:rsidR="007F36BE">
        <w:rPr>
          <w:szCs w:val="28"/>
        </w:rPr>
        <w:t xml:space="preserve"> the</w:t>
      </w:r>
      <w:r>
        <w:rPr>
          <w:szCs w:val="28"/>
        </w:rPr>
        <w:t xml:space="preserve"> northwest end of the study area. The reason for this trend is because the burial depth of the Morrow changes significantly due to the asymmetric character of the Anadarko Basin. For instance, while the Morrow was deposited at 15,000 ft. depth in McClain County, it can be found at 7000 ft. depth in Harper County. This, in fact, makes it inappropriate to assign just one maturity trend for the Morrow as it shows significant variation in T</w:t>
      </w:r>
      <w:r>
        <w:rPr>
          <w:szCs w:val="28"/>
          <w:vertAlign w:val="subscript"/>
        </w:rPr>
        <w:t xml:space="preserve">max </w:t>
      </w:r>
      <w:r>
        <w:rPr>
          <w:szCs w:val="28"/>
        </w:rPr>
        <w:t xml:space="preserve">and </w:t>
      </w:r>
      <w:r>
        <w:rPr>
          <w:szCs w:val="28"/>
        </w:rPr>
        <w:lastRenderedPageBreak/>
        <w:t>%R</w:t>
      </w:r>
      <w:r w:rsidR="00365AA9">
        <w:rPr>
          <w:szCs w:val="28"/>
          <w:vertAlign w:val="subscript"/>
        </w:rPr>
        <w:t>c</w:t>
      </w:r>
      <w:r>
        <w:rPr>
          <w:szCs w:val="28"/>
          <w:vertAlign w:val="subscript"/>
        </w:rPr>
        <w:t xml:space="preserve"> </w:t>
      </w:r>
      <w:r>
        <w:rPr>
          <w:szCs w:val="28"/>
        </w:rPr>
        <w:t>values at different parts of the basin. The average T</w:t>
      </w:r>
      <w:r>
        <w:rPr>
          <w:szCs w:val="28"/>
          <w:vertAlign w:val="subscript"/>
        </w:rPr>
        <w:t xml:space="preserve">max </w:t>
      </w:r>
      <w:r>
        <w:rPr>
          <w:szCs w:val="28"/>
        </w:rPr>
        <w:t>value of the Kephart-I core is 454</w:t>
      </w:r>
      <w:r w:rsidRPr="00553F89">
        <w:rPr>
          <w:sz w:val="22"/>
          <w:szCs w:val="28"/>
          <w:vertAlign w:val="superscript"/>
        </w:rPr>
        <w:t>O</w:t>
      </w:r>
      <w:r>
        <w:rPr>
          <w:szCs w:val="28"/>
        </w:rPr>
        <w:t>C and ranges between 436</w:t>
      </w:r>
      <w:r w:rsidRPr="00553F89">
        <w:rPr>
          <w:sz w:val="22"/>
          <w:szCs w:val="28"/>
          <w:vertAlign w:val="superscript"/>
        </w:rPr>
        <w:t>O</w:t>
      </w:r>
      <w:r>
        <w:rPr>
          <w:szCs w:val="28"/>
        </w:rPr>
        <w:t>C to 463</w:t>
      </w:r>
      <w:r w:rsidRPr="00553F89">
        <w:rPr>
          <w:sz w:val="22"/>
          <w:szCs w:val="28"/>
          <w:vertAlign w:val="superscript"/>
        </w:rPr>
        <w:t>O</w:t>
      </w:r>
      <w:r>
        <w:rPr>
          <w:szCs w:val="28"/>
        </w:rPr>
        <w:t>C and the average T</w:t>
      </w:r>
      <w:r>
        <w:rPr>
          <w:szCs w:val="28"/>
          <w:vertAlign w:val="subscript"/>
        </w:rPr>
        <w:t xml:space="preserve">max </w:t>
      </w:r>
      <w:r>
        <w:rPr>
          <w:szCs w:val="28"/>
        </w:rPr>
        <w:t>value of the source rocks from Harper County is 436</w:t>
      </w:r>
      <w:r w:rsidRPr="00553F89">
        <w:rPr>
          <w:sz w:val="22"/>
          <w:szCs w:val="28"/>
          <w:vertAlign w:val="superscript"/>
        </w:rPr>
        <w:t>O</w:t>
      </w:r>
      <w:r>
        <w:rPr>
          <w:szCs w:val="28"/>
        </w:rPr>
        <w:t>C (Figure 23). This suggests that based on T</w:t>
      </w:r>
      <w:r>
        <w:rPr>
          <w:szCs w:val="28"/>
          <w:vertAlign w:val="subscript"/>
        </w:rPr>
        <w:t xml:space="preserve">max </w:t>
      </w:r>
      <w:r>
        <w:rPr>
          <w:szCs w:val="28"/>
        </w:rPr>
        <w:t xml:space="preserve">data, the organic matter in the Morrow </w:t>
      </w:r>
      <w:r w:rsidRPr="003D4B39">
        <w:rPr>
          <w:szCs w:val="28"/>
        </w:rPr>
        <w:t xml:space="preserve">is thermally mature between the </w:t>
      </w:r>
      <w:r w:rsidR="00626792">
        <w:rPr>
          <w:szCs w:val="28"/>
        </w:rPr>
        <w:t xml:space="preserve">early </w:t>
      </w:r>
      <w:r w:rsidRPr="003D4B39">
        <w:rPr>
          <w:szCs w:val="28"/>
        </w:rPr>
        <w:t>oil-window and the wet-condensate zone for the core</w:t>
      </w:r>
      <w:r>
        <w:rPr>
          <w:szCs w:val="28"/>
        </w:rPr>
        <w:t xml:space="preserve"> samples analyzed. </w:t>
      </w:r>
    </w:p>
    <w:p w:rsidR="0099286C" w:rsidRPr="00D514C0" w:rsidRDefault="0099286C" w:rsidP="0099286C">
      <w:pPr>
        <w:ind w:firstLine="720"/>
        <w:jc w:val="both"/>
        <w:rPr>
          <w:szCs w:val="28"/>
        </w:rPr>
      </w:pPr>
      <w:r w:rsidRPr="00D514C0">
        <w:rPr>
          <w:szCs w:val="28"/>
        </w:rPr>
        <w:t>Calculated vitrinite reflectance, %R</w:t>
      </w:r>
      <w:r w:rsidR="00365AA9">
        <w:rPr>
          <w:szCs w:val="28"/>
          <w:vertAlign w:val="subscript"/>
        </w:rPr>
        <w:t>c</w:t>
      </w:r>
      <w:r w:rsidRPr="00D514C0">
        <w:rPr>
          <w:szCs w:val="28"/>
        </w:rPr>
        <w:t xml:space="preserve">, is another useful parameter to assess the maturity of the source rocks. </w:t>
      </w:r>
      <w:r>
        <w:rPr>
          <w:szCs w:val="28"/>
        </w:rPr>
        <w:t>Jarvie et al. (2001) proposed a conversion formula to calculate</w:t>
      </w:r>
      <w:r w:rsidRPr="00D514C0">
        <w:rPr>
          <w:szCs w:val="28"/>
        </w:rPr>
        <w:t xml:space="preserve"> vitrinite reflectance</w:t>
      </w:r>
      <w:r>
        <w:rPr>
          <w:szCs w:val="28"/>
        </w:rPr>
        <w:t xml:space="preserve"> (%R</w:t>
      </w:r>
      <w:r w:rsidR="00BF23D9">
        <w:rPr>
          <w:szCs w:val="28"/>
          <w:vertAlign w:val="subscript"/>
        </w:rPr>
        <w:t>c</w:t>
      </w:r>
      <w:r>
        <w:rPr>
          <w:szCs w:val="28"/>
        </w:rPr>
        <w:t>) from T</w:t>
      </w:r>
      <w:r>
        <w:rPr>
          <w:szCs w:val="28"/>
          <w:vertAlign w:val="subscript"/>
        </w:rPr>
        <w:t xml:space="preserve">max </w:t>
      </w:r>
      <w:r>
        <w:rPr>
          <w:szCs w:val="28"/>
        </w:rPr>
        <w:t xml:space="preserve">data. Although the equation was originally proposed for the Barnett Shale, it is now accepted as a valuable maturity indicator worldwide. The conversion formula is as follows: </w:t>
      </w:r>
    </w:p>
    <w:p w:rsidR="0099286C" w:rsidRPr="00D514C0" w:rsidRDefault="0099286C" w:rsidP="0099286C">
      <w:pPr>
        <w:spacing w:before="240"/>
        <w:ind w:firstLine="720"/>
        <w:jc w:val="both"/>
        <w:rPr>
          <w:szCs w:val="28"/>
        </w:rPr>
      </w:pPr>
      <w:r>
        <w:rPr>
          <w:szCs w:val="28"/>
        </w:rPr>
        <w:t xml:space="preserve">                   </w:t>
      </w:r>
      <w:r w:rsidRPr="00D514C0">
        <w:rPr>
          <w:szCs w:val="28"/>
        </w:rPr>
        <w:t>R</w:t>
      </w:r>
      <w:r w:rsidR="00365AA9">
        <w:rPr>
          <w:szCs w:val="28"/>
          <w:vertAlign w:val="subscript"/>
        </w:rPr>
        <w:t>c</w:t>
      </w:r>
      <w:r w:rsidRPr="00D514C0">
        <w:rPr>
          <w:szCs w:val="28"/>
          <w:vertAlign w:val="subscript"/>
        </w:rPr>
        <w:t xml:space="preserve"> </w:t>
      </w:r>
      <w:r w:rsidRPr="00D514C0">
        <w:rPr>
          <w:szCs w:val="28"/>
        </w:rPr>
        <w:t>% (calculated</w:t>
      </w:r>
      <w:r w:rsidR="00365AA9">
        <w:rPr>
          <w:szCs w:val="28"/>
        </w:rPr>
        <w:t xml:space="preserve"> vitrinite reflectance</w:t>
      </w:r>
      <w:r w:rsidRPr="00D514C0">
        <w:rPr>
          <w:szCs w:val="28"/>
        </w:rPr>
        <w:t>)</w:t>
      </w:r>
      <w:r>
        <w:rPr>
          <w:szCs w:val="28"/>
        </w:rPr>
        <w:t xml:space="preserve"> </w:t>
      </w:r>
      <w:r w:rsidRPr="00D514C0">
        <w:rPr>
          <w:szCs w:val="28"/>
        </w:rPr>
        <w:t>= [(0.018)*T</w:t>
      </w:r>
      <w:r>
        <w:rPr>
          <w:szCs w:val="28"/>
          <w:vertAlign w:val="subscript"/>
        </w:rPr>
        <w:t>max</w:t>
      </w:r>
      <w:r>
        <w:rPr>
          <w:szCs w:val="28"/>
        </w:rPr>
        <w:t xml:space="preserve">] </w:t>
      </w:r>
      <w:r w:rsidRPr="00D514C0">
        <w:rPr>
          <w:szCs w:val="28"/>
        </w:rPr>
        <w:t xml:space="preserve">-7.16    </w:t>
      </w:r>
    </w:p>
    <w:p w:rsidR="0099286C" w:rsidRPr="002B6340" w:rsidRDefault="0099286C" w:rsidP="0099286C">
      <w:pPr>
        <w:ind w:firstLine="720"/>
        <w:jc w:val="both"/>
        <w:rPr>
          <w:szCs w:val="28"/>
          <w:highlight w:val="yellow"/>
        </w:rPr>
      </w:pPr>
      <w:r w:rsidRPr="00972F65">
        <w:rPr>
          <w:noProof/>
          <w:szCs w:val="28"/>
          <w:highlight w:val="yellow"/>
          <w:lang w:val="tr-TR" w:eastAsia="tr-TR" w:bidi="ar-SA"/>
        </w:rPr>
        <mc:AlternateContent>
          <mc:Choice Requires="wps">
            <w:drawing>
              <wp:anchor distT="45720" distB="45720" distL="114300" distR="114300" simplePos="0" relativeHeight="251688960" behindDoc="0" locked="0" layoutInCell="1" allowOverlap="1" wp14:anchorId="40D8581C" wp14:editId="46B8F1BA">
                <wp:simplePos x="0" y="0"/>
                <wp:positionH relativeFrom="column">
                  <wp:posOffset>3768956</wp:posOffset>
                </wp:positionH>
                <wp:positionV relativeFrom="paragraph">
                  <wp:posOffset>7620</wp:posOffset>
                </wp:positionV>
                <wp:extent cx="1419225" cy="314325"/>
                <wp:effectExtent l="0" t="0" r="9525" b="952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14325"/>
                        </a:xfrm>
                        <a:prstGeom prst="rect">
                          <a:avLst/>
                        </a:prstGeom>
                        <a:solidFill>
                          <a:srgbClr val="FFFFFF"/>
                        </a:solidFill>
                        <a:ln w="9525">
                          <a:noFill/>
                          <a:miter lim="800000"/>
                          <a:headEnd/>
                          <a:tailEnd/>
                        </a:ln>
                      </wps:spPr>
                      <wps:txbx>
                        <w:txbxContent>
                          <w:p w:rsidR="008875B3" w:rsidRDefault="008875B3" w:rsidP="0099286C">
                            <w:r>
                              <w:t>(Jarvie et al., 2001)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8581C" id="_x0000_s1031" type="#_x0000_t202" style="position:absolute;left:0;text-align:left;margin-left:296.75pt;margin-top:.6pt;width:111.75pt;height:24.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" stroked="f">
                <v:textbox>
                  <w:txbxContent>
                    <w:p w:rsidR="008875B3" w:rsidRDefault="008875B3" w:rsidP="0099286C">
                      <w:r>
                        <w:t>(Jarvie et al., 2001)</w:t>
                      </w:r>
                    </w:p>
                  </w:txbxContent>
                </v:textbox>
                <w10:wrap type="square"/>
              </v:shape>
            </w:pict>
          </mc:Fallback>
        </mc:AlternateContent>
      </w:r>
    </w:p>
    <w:p w:rsidR="0099286C" w:rsidRDefault="0099286C" w:rsidP="0099286C">
      <w:pPr>
        <w:ind w:firstLine="720"/>
        <w:jc w:val="both"/>
        <w:rPr>
          <w:szCs w:val="28"/>
        </w:rPr>
      </w:pPr>
    </w:p>
    <w:p w:rsidR="0099286C" w:rsidRDefault="0099286C" w:rsidP="0099286C">
      <w:pPr>
        <w:ind w:firstLine="720"/>
        <w:jc w:val="both"/>
        <w:rPr>
          <w:szCs w:val="28"/>
        </w:rPr>
      </w:pPr>
      <w:r w:rsidRPr="00214DD2">
        <w:rPr>
          <w:szCs w:val="28"/>
        </w:rPr>
        <w:t xml:space="preserve"> </w:t>
      </w:r>
      <w:r w:rsidRPr="00214DD2">
        <w:t>Andrews (1999) proposed</w:t>
      </w:r>
      <w:r>
        <w:t xml:space="preserve"> that the degree of maturation of the Morrow Formation varies significantly with depth in Oklahoma. He mentioned that while </w:t>
      </w:r>
      <w:r>
        <w:rPr>
          <w:szCs w:val="28"/>
        </w:rPr>
        <w:t>% R</w:t>
      </w:r>
      <w:r>
        <w:rPr>
          <w:szCs w:val="28"/>
          <w:vertAlign w:val="subscript"/>
        </w:rPr>
        <w:t xml:space="preserve">0 </w:t>
      </w:r>
      <w:r>
        <w:rPr>
          <w:szCs w:val="28"/>
        </w:rPr>
        <w:t>of the samples from</w:t>
      </w:r>
      <w:r w:rsidR="00443370">
        <w:rPr>
          <w:szCs w:val="28"/>
        </w:rPr>
        <w:t xml:space="preserve"> the</w:t>
      </w:r>
      <w:r>
        <w:rPr>
          <w:szCs w:val="28"/>
        </w:rPr>
        <w:t xml:space="preserve"> deeper Anadarko Basin exceed 2.5 %R</w:t>
      </w:r>
      <w:r>
        <w:rPr>
          <w:szCs w:val="28"/>
          <w:vertAlign w:val="subscript"/>
        </w:rPr>
        <w:t>0</w:t>
      </w:r>
      <w:r>
        <w:t xml:space="preserve">, this number drops to </w:t>
      </w:r>
      <w:r>
        <w:rPr>
          <w:szCs w:val="28"/>
        </w:rPr>
        <w:t xml:space="preserve">0.5 </w:t>
      </w:r>
      <w:r>
        <w:t>through the Oklahoma Panhandle where the Morrow thins significantly compared to the deeper Anadarko Basin. Thus, the Morrow can be immature to overcooked dependent on burial depth.</w:t>
      </w:r>
      <w:r>
        <w:rPr>
          <w:szCs w:val="28"/>
        </w:rPr>
        <w:t xml:space="preserve"> In this study, calculated vitrinite reflectance values also support Andrews (1999) results. For </w:t>
      </w:r>
      <w:r w:rsidR="00DD0220">
        <w:rPr>
          <w:szCs w:val="28"/>
        </w:rPr>
        <w:t>example</w:t>
      </w:r>
      <w:r>
        <w:rPr>
          <w:szCs w:val="28"/>
        </w:rPr>
        <w:t>, average %R</w:t>
      </w:r>
      <w:r w:rsidR="00BF23D9">
        <w:rPr>
          <w:szCs w:val="28"/>
          <w:vertAlign w:val="subscript"/>
        </w:rPr>
        <w:t>c</w:t>
      </w:r>
      <w:r>
        <w:rPr>
          <w:szCs w:val="28"/>
          <w:vertAlign w:val="subscript"/>
        </w:rPr>
        <w:t xml:space="preserve"> </w:t>
      </w:r>
      <w:r>
        <w:rPr>
          <w:szCs w:val="28"/>
        </w:rPr>
        <w:t xml:space="preserve">of the 15 source rock samples from </w:t>
      </w:r>
      <w:r w:rsidR="002F4546">
        <w:rPr>
          <w:szCs w:val="28"/>
        </w:rPr>
        <w:t xml:space="preserve">the </w:t>
      </w:r>
      <w:r>
        <w:rPr>
          <w:szCs w:val="28"/>
        </w:rPr>
        <w:t>Anadarko Basin is 0.73</w:t>
      </w:r>
      <w:r w:rsidR="002F4546">
        <w:rPr>
          <w:szCs w:val="28"/>
        </w:rPr>
        <w:t>,</w:t>
      </w:r>
      <w:r>
        <w:rPr>
          <w:szCs w:val="28"/>
        </w:rPr>
        <w:t xml:space="preserve"> ranging between 0.44 %R</w:t>
      </w:r>
      <w:r w:rsidR="00BF23D9">
        <w:rPr>
          <w:szCs w:val="28"/>
          <w:vertAlign w:val="subscript"/>
        </w:rPr>
        <w:t>c</w:t>
      </w:r>
      <w:r>
        <w:rPr>
          <w:szCs w:val="28"/>
          <w:vertAlign w:val="subscript"/>
        </w:rPr>
        <w:t xml:space="preserve"> </w:t>
      </w:r>
      <w:r w:rsidR="00C43E0F">
        <w:rPr>
          <w:szCs w:val="28"/>
        </w:rPr>
        <w:t>at 7943 ft. and 1.05%</w:t>
      </w:r>
      <w:r>
        <w:rPr>
          <w:szCs w:val="28"/>
        </w:rPr>
        <w:t>R</w:t>
      </w:r>
      <w:r w:rsidR="00BF23D9">
        <w:rPr>
          <w:szCs w:val="28"/>
          <w:vertAlign w:val="subscript"/>
        </w:rPr>
        <w:t>c</w:t>
      </w:r>
      <w:r>
        <w:rPr>
          <w:szCs w:val="28"/>
          <w:vertAlign w:val="subscript"/>
        </w:rPr>
        <w:t xml:space="preserve"> </w:t>
      </w:r>
      <w:r>
        <w:rPr>
          <w:szCs w:val="28"/>
        </w:rPr>
        <w:t>at 10816 ft. According to these results, the thermal maturity of the Morrow in the Anadarko Basin varies between immature to the late-oil window. The results showed that the maturity of the Morrow is</w:t>
      </w:r>
    </w:p>
    <w:p w:rsidR="0099286C" w:rsidRDefault="00C43E0F" w:rsidP="0099286C">
      <w:pPr>
        <w:keepNext/>
        <w:jc w:val="center"/>
      </w:pPr>
      <w:r w:rsidRPr="00C43E0F">
        <w:rPr>
          <w:noProof/>
          <w:lang w:val="tr-TR" w:eastAsia="tr-TR" w:bidi="ar-SA"/>
        </w:rPr>
        <w:lastRenderedPageBreak/>
        <w:drawing>
          <wp:inline distT="0" distB="0" distL="0" distR="0" wp14:anchorId="67DE1322" wp14:editId="4D90E4A7">
            <wp:extent cx="5205984" cy="7039155"/>
            <wp:effectExtent l="19050" t="19050" r="13970" b="9525"/>
            <wp:docPr id="38"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esim 35"/>
                    <pic:cNvPicPr>
                      <a:picLocks noChangeAspect="1"/>
                    </pic:cNvPicPr>
                  </pic:nvPicPr>
                  <pic:blipFill>
                    <a:blip r:embed="rId44"/>
                    <a:stretch>
                      <a:fillRect/>
                    </a:stretch>
                  </pic:blipFill>
                  <pic:spPr>
                    <a:xfrm>
                      <a:off x="0" y="0"/>
                      <a:ext cx="5209574" cy="7044009"/>
                    </a:xfrm>
                    <a:prstGeom prst="rect">
                      <a:avLst/>
                    </a:prstGeom>
                    <a:ln>
                      <a:solidFill>
                        <a:schemeClr val="tx1"/>
                      </a:solidFill>
                    </a:ln>
                  </pic:spPr>
                </pic:pic>
              </a:graphicData>
            </a:graphic>
          </wp:inline>
        </w:drawing>
      </w:r>
    </w:p>
    <w:p w:rsidR="0099286C" w:rsidRDefault="0099286C" w:rsidP="0099286C">
      <w:pPr>
        <w:pStyle w:val="ResimYazs"/>
        <w:jc w:val="both"/>
        <w:rPr>
          <w:b w:val="0"/>
        </w:rPr>
      </w:pPr>
      <w:bookmarkStart w:id="77" w:name="_Toc507509071"/>
      <w:r w:rsidRPr="00B66DF2">
        <w:t xml:space="preserve">Figure </w:t>
      </w:r>
      <w:fldSimple w:instr=" SEQ Figure \* ARABIC ">
        <w:r w:rsidR="003F6459">
          <w:rPr>
            <w:noProof/>
          </w:rPr>
          <w:t>23</w:t>
        </w:r>
      </w:fldSimple>
      <w:r w:rsidRPr="00B66DF2">
        <w:t xml:space="preserve">. </w:t>
      </w:r>
      <w:r w:rsidRPr="00B66DF2">
        <w:rPr>
          <w:b w:val="0"/>
        </w:rPr>
        <w:t>T</w:t>
      </w:r>
      <w:r w:rsidRPr="00B66DF2">
        <w:rPr>
          <w:b w:val="0"/>
          <w:vertAlign w:val="subscript"/>
        </w:rPr>
        <w:t xml:space="preserve">max </w:t>
      </w:r>
      <w:r w:rsidRPr="00B66DF2">
        <w:rPr>
          <w:b w:val="0"/>
        </w:rPr>
        <w:t>and calculated R</w:t>
      </w:r>
      <w:r w:rsidR="00BF23D9" w:rsidRPr="00B66DF2">
        <w:rPr>
          <w:b w:val="0"/>
          <w:vertAlign w:val="subscript"/>
        </w:rPr>
        <w:t xml:space="preserve">c </w:t>
      </w:r>
      <w:r w:rsidRPr="00B66DF2">
        <w:rPr>
          <w:b w:val="0"/>
        </w:rPr>
        <w:t>% logs of the Kephart-I core showing the maturity trend in the core.</w:t>
      </w:r>
      <w:bookmarkEnd w:id="77"/>
    </w:p>
    <w:p w:rsidR="00B66DF2" w:rsidRPr="00B66DF2" w:rsidRDefault="00B66DF2" w:rsidP="00B66DF2"/>
    <w:p w:rsidR="0099286C" w:rsidRDefault="0099286C" w:rsidP="0099286C">
      <w:pPr>
        <w:jc w:val="both"/>
        <w:rPr>
          <w:szCs w:val="28"/>
        </w:rPr>
      </w:pPr>
      <w:r>
        <w:rPr>
          <w:szCs w:val="28"/>
        </w:rPr>
        <w:lastRenderedPageBreak/>
        <w:t xml:space="preserve">highly dependent on the burial depth as a decreasing maturity trend from </w:t>
      </w:r>
      <w:r w:rsidR="00443370">
        <w:rPr>
          <w:szCs w:val="28"/>
        </w:rPr>
        <w:t xml:space="preserve">the </w:t>
      </w:r>
      <w:r>
        <w:rPr>
          <w:szCs w:val="28"/>
        </w:rPr>
        <w:t xml:space="preserve">deeper Anadarko Basin through the Oklahoma Panhandle area is observed in the samples. The Kephart-I core from Blaine County is in the late oil window with </w:t>
      </w:r>
      <w:r w:rsidR="00DD0220">
        <w:rPr>
          <w:szCs w:val="28"/>
        </w:rPr>
        <w:t>an</w:t>
      </w:r>
      <w:r>
        <w:rPr>
          <w:szCs w:val="28"/>
        </w:rPr>
        <w:t xml:space="preserve"> average %</w:t>
      </w:r>
      <w:r w:rsidR="006C6B88">
        <w:rPr>
          <w:szCs w:val="28"/>
        </w:rPr>
        <w:t xml:space="preserve"> </w:t>
      </w:r>
      <w:r>
        <w:rPr>
          <w:szCs w:val="28"/>
        </w:rPr>
        <w:t>R</w:t>
      </w:r>
      <w:r w:rsidR="00BF23D9">
        <w:rPr>
          <w:szCs w:val="28"/>
          <w:vertAlign w:val="subscript"/>
        </w:rPr>
        <w:t>c</w:t>
      </w:r>
      <w:r>
        <w:rPr>
          <w:szCs w:val="28"/>
          <w:vertAlign w:val="subscript"/>
        </w:rPr>
        <w:t xml:space="preserve"> </w:t>
      </w:r>
      <w:r>
        <w:rPr>
          <w:szCs w:val="28"/>
        </w:rPr>
        <w:t>value of 1.02 that varies between 0.69-1.17 %</w:t>
      </w:r>
      <w:r w:rsidR="006C6B88">
        <w:rPr>
          <w:szCs w:val="28"/>
        </w:rPr>
        <w:t xml:space="preserve"> </w:t>
      </w:r>
      <w:r>
        <w:rPr>
          <w:szCs w:val="28"/>
        </w:rPr>
        <w:t>R</w:t>
      </w:r>
      <w:r w:rsidR="00BF23D9">
        <w:rPr>
          <w:szCs w:val="28"/>
        </w:rPr>
        <w:t xml:space="preserve">c </w:t>
      </w:r>
      <w:r>
        <w:rPr>
          <w:szCs w:val="28"/>
          <w:vertAlign w:val="subscript"/>
        </w:rPr>
        <w:t xml:space="preserve"> </w:t>
      </w:r>
      <w:r>
        <w:rPr>
          <w:szCs w:val="28"/>
        </w:rPr>
        <w:t>through the core (Figure 23). The source rock samples from Harper County, which is at the northwestern end of the study area, are in the peak oil window with average 0.68 %</w:t>
      </w:r>
      <w:r w:rsidR="006C6B88">
        <w:rPr>
          <w:szCs w:val="28"/>
        </w:rPr>
        <w:t xml:space="preserve"> </w:t>
      </w:r>
      <w:r>
        <w:rPr>
          <w:szCs w:val="28"/>
        </w:rPr>
        <w:t>R</w:t>
      </w:r>
      <w:r w:rsidR="00BF23D9">
        <w:rPr>
          <w:szCs w:val="28"/>
          <w:vertAlign w:val="subscript"/>
        </w:rPr>
        <w:t>c</w:t>
      </w:r>
      <w:r>
        <w:rPr>
          <w:szCs w:val="28"/>
        </w:rPr>
        <w:t xml:space="preserve">. </w:t>
      </w:r>
    </w:p>
    <w:p w:rsidR="0099286C" w:rsidRDefault="0099286C" w:rsidP="0099286C">
      <w:pPr>
        <w:ind w:firstLine="720"/>
        <w:jc w:val="both"/>
        <w:rPr>
          <w:szCs w:val="28"/>
        </w:rPr>
      </w:pPr>
      <w:r>
        <w:rPr>
          <w:szCs w:val="28"/>
        </w:rPr>
        <w:t xml:space="preserve">The last thermal maturity parameter used in this study was </w:t>
      </w:r>
      <w:r w:rsidR="00DD0220">
        <w:rPr>
          <w:szCs w:val="28"/>
        </w:rPr>
        <w:t xml:space="preserve">the </w:t>
      </w:r>
      <w:r>
        <w:rPr>
          <w:szCs w:val="28"/>
        </w:rPr>
        <w:t xml:space="preserve">production index (PI). In source rocks, </w:t>
      </w:r>
      <w:r w:rsidR="00DD0220">
        <w:rPr>
          <w:szCs w:val="28"/>
        </w:rPr>
        <w:t xml:space="preserve">the </w:t>
      </w:r>
      <w:r>
        <w:rPr>
          <w:szCs w:val="28"/>
        </w:rPr>
        <w:t xml:space="preserve">production index </w:t>
      </w:r>
      <w:r w:rsidR="00DD0220">
        <w:rPr>
          <w:szCs w:val="28"/>
        </w:rPr>
        <w:t xml:space="preserve">is </w:t>
      </w:r>
      <w:r>
        <w:rPr>
          <w:szCs w:val="28"/>
        </w:rPr>
        <w:t>expected to increase with increasing thermal maturity in the absence of expulsion (</w:t>
      </w:r>
      <w:r w:rsidRPr="008A6343">
        <w:rPr>
          <w:szCs w:val="28"/>
        </w:rPr>
        <w:t>Espitalié et al., 1977</w:t>
      </w:r>
      <w:r>
        <w:rPr>
          <w:szCs w:val="28"/>
        </w:rPr>
        <w:t>).  However, change in the organic facies, non-indigenous oil migration into sediment or oil expulsion can cause some anomalies in the PI values. According to Peters (1986)</w:t>
      </w:r>
      <w:r w:rsidR="00DD0220">
        <w:rPr>
          <w:szCs w:val="28"/>
        </w:rPr>
        <w:t>,</w:t>
      </w:r>
      <w:r>
        <w:rPr>
          <w:szCs w:val="28"/>
        </w:rPr>
        <w:t xml:space="preserve"> organic matter </w:t>
      </w:r>
      <w:r w:rsidR="00BF23D9">
        <w:rPr>
          <w:szCs w:val="28"/>
        </w:rPr>
        <w:t xml:space="preserve">is </w:t>
      </w:r>
      <w:r>
        <w:rPr>
          <w:szCs w:val="28"/>
        </w:rPr>
        <w:t xml:space="preserve">considered to be immature if the PI value is less than 0.2; mature (in the oil-window) if it is between 0.3-0.4 and </w:t>
      </w:r>
      <w:r w:rsidRPr="003D4B39">
        <w:rPr>
          <w:szCs w:val="28"/>
        </w:rPr>
        <w:t xml:space="preserve">contaminated by another </w:t>
      </w:r>
      <w:r>
        <w:rPr>
          <w:szCs w:val="28"/>
        </w:rPr>
        <w:t>hydrocarbon</w:t>
      </w:r>
      <w:r w:rsidRPr="003D4B39">
        <w:rPr>
          <w:szCs w:val="28"/>
        </w:rPr>
        <w:t xml:space="preserve"> if it is more than 0.5. In this study, combining production</w:t>
      </w:r>
      <w:r>
        <w:rPr>
          <w:szCs w:val="28"/>
        </w:rPr>
        <w:t xml:space="preserve"> index data with T</w:t>
      </w:r>
      <w:r>
        <w:rPr>
          <w:szCs w:val="28"/>
          <w:vertAlign w:val="subscript"/>
        </w:rPr>
        <w:t xml:space="preserve">max </w:t>
      </w:r>
      <w:r>
        <w:rPr>
          <w:szCs w:val="28"/>
        </w:rPr>
        <w:t xml:space="preserve">provided valuable information about </w:t>
      </w:r>
      <w:r w:rsidR="00DD0220">
        <w:rPr>
          <w:szCs w:val="28"/>
        </w:rPr>
        <w:t xml:space="preserve">the </w:t>
      </w:r>
      <w:r>
        <w:rPr>
          <w:szCs w:val="28"/>
        </w:rPr>
        <w:t xml:space="preserve">hydrocarbon generation zone and potential contamination of the source rock (Figure 24). According to the cross plot, the Morrow source rock samples </w:t>
      </w:r>
      <w:r w:rsidR="00BF23D9">
        <w:rPr>
          <w:szCs w:val="28"/>
        </w:rPr>
        <w:t>demonstrate</w:t>
      </w:r>
      <w:r>
        <w:rPr>
          <w:szCs w:val="28"/>
        </w:rPr>
        <w:t xml:space="preserve"> a transitional trend between immature t</w:t>
      </w:r>
      <w:r w:rsidR="00BF23D9">
        <w:rPr>
          <w:szCs w:val="28"/>
        </w:rPr>
        <w:t>o late oil-window based on</w:t>
      </w:r>
      <w:r>
        <w:rPr>
          <w:szCs w:val="28"/>
        </w:rPr>
        <w:t xml:space="preserve"> increasing burial depth. The Kephart-1 core samples, </w:t>
      </w:r>
      <w:r w:rsidR="00DD0220">
        <w:rPr>
          <w:szCs w:val="28"/>
        </w:rPr>
        <w:t>however</w:t>
      </w:r>
      <w:r>
        <w:rPr>
          <w:szCs w:val="28"/>
        </w:rPr>
        <w:t>, mainly plotted in</w:t>
      </w:r>
      <w:r w:rsidR="00DD0220">
        <w:rPr>
          <w:szCs w:val="28"/>
        </w:rPr>
        <w:t xml:space="preserve"> the</w:t>
      </w:r>
      <w:r>
        <w:rPr>
          <w:szCs w:val="28"/>
        </w:rPr>
        <w:t xml:space="preserve"> late-oil window. The A-10 sample, may have a potential contamination problem although it was not </w:t>
      </w:r>
      <w:r w:rsidR="00DD0220">
        <w:rPr>
          <w:szCs w:val="28"/>
        </w:rPr>
        <w:t>r</w:t>
      </w:r>
      <w:r>
        <w:rPr>
          <w:szCs w:val="28"/>
        </w:rPr>
        <w:t>ejected based on the RE screening parameters (Table 5</w:t>
      </w:r>
      <w:r w:rsidRPr="003D4B39">
        <w:rPr>
          <w:szCs w:val="28"/>
        </w:rPr>
        <w:t>). Finally,</w:t>
      </w:r>
      <w:r w:rsidR="00DD0220">
        <w:rPr>
          <w:szCs w:val="28"/>
        </w:rPr>
        <w:t xml:space="preserve"> </w:t>
      </w:r>
      <w:r w:rsidR="001474A3">
        <w:rPr>
          <w:szCs w:val="28"/>
        </w:rPr>
        <w:t xml:space="preserve">the </w:t>
      </w:r>
      <w:r w:rsidRPr="003D4B39">
        <w:rPr>
          <w:szCs w:val="28"/>
        </w:rPr>
        <w:t>H-2 sample from Harper County is not</w:t>
      </w:r>
      <w:r>
        <w:rPr>
          <w:szCs w:val="28"/>
        </w:rPr>
        <w:t xml:space="preserve"> thermally mature</w:t>
      </w:r>
      <w:r w:rsidRPr="003D4B39">
        <w:rPr>
          <w:szCs w:val="28"/>
        </w:rPr>
        <w:t xml:space="preserve"> for HC generation,</w:t>
      </w:r>
      <w:r>
        <w:rPr>
          <w:szCs w:val="28"/>
        </w:rPr>
        <w:t xml:space="preserve"> </w:t>
      </w:r>
      <w:r w:rsidRPr="003D4B39">
        <w:rPr>
          <w:szCs w:val="28"/>
        </w:rPr>
        <w:t>while</w:t>
      </w:r>
      <w:r w:rsidR="00DD0220">
        <w:rPr>
          <w:szCs w:val="28"/>
        </w:rPr>
        <w:t xml:space="preserve"> </w:t>
      </w:r>
      <w:r w:rsidR="001474A3">
        <w:rPr>
          <w:szCs w:val="28"/>
        </w:rPr>
        <w:t xml:space="preserve">the </w:t>
      </w:r>
      <w:r w:rsidRPr="003D4B39">
        <w:rPr>
          <w:szCs w:val="28"/>
        </w:rPr>
        <w:t>H-3</w:t>
      </w:r>
      <w:r w:rsidR="001474A3">
        <w:rPr>
          <w:szCs w:val="28"/>
        </w:rPr>
        <w:t xml:space="preserve"> sample</w:t>
      </w:r>
      <w:r w:rsidRPr="003D4B39">
        <w:rPr>
          <w:szCs w:val="28"/>
        </w:rPr>
        <w:t xml:space="preserve"> </w:t>
      </w:r>
      <w:r>
        <w:rPr>
          <w:szCs w:val="28"/>
        </w:rPr>
        <w:t>plots</w:t>
      </w:r>
      <w:r w:rsidRPr="003D4B39">
        <w:rPr>
          <w:szCs w:val="28"/>
        </w:rPr>
        <w:t xml:space="preserve"> in the HC generation</w:t>
      </w:r>
      <w:r>
        <w:rPr>
          <w:szCs w:val="28"/>
        </w:rPr>
        <w:t xml:space="preserve"> zone.</w:t>
      </w:r>
    </w:p>
    <w:p w:rsidR="0099286C" w:rsidRDefault="0099286C" w:rsidP="0099286C">
      <w:pPr>
        <w:jc w:val="center"/>
        <w:rPr>
          <w:szCs w:val="28"/>
        </w:rPr>
      </w:pPr>
      <w:r w:rsidRPr="001F6F44">
        <w:rPr>
          <w:noProof/>
          <w:lang w:val="tr-TR" w:eastAsia="tr-TR" w:bidi="ar-SA"/>
        </w:rPr>
        <w:lastRenderedPageBreak/>
        <w:drawing>
          <wp:inline distT="0" distB="0" distL="0" distR="0" wp14:anchorId="10A93630" wp14:editId="4690841D">
            <wp:extent cx="4454725" cy="2959331"/>
            <wp:effectExtent l="12700" t="12700" r="15875" b="12700"/>
            <wp:docPr id="2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rotWithShape="1">
                    <a:blip r:embed="rId45"/>
                    <a:srcRect r="19315"/>
                    <a:stretch/>
                  </pic:blipFill>
                  <pic:spPr bwMode="auto">
                    <a:xfrm>
                      <a:off x="0" y="0"/>
                      <a:ext cx="4474428" cy="29724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9286C" w:rsidRDefault="0099286C" w:rsidP="0099286C">
      <w:pPr>
        <w:pStyle w:val="ResimYazs"/>
        <w:rPr>
          <w:b w:val="0"/>
        </w:rPr>
      </w:pPr>
      <w:bookmarkStart w:id="78" w:name="_Toc507509072"/>
      <w:r>
        <w:t xml:space="preserve">Figure </w:t>
      </w:r>
      <w:fldSimple w:instr=" SEQ Figure \* ARABIC ">
        <w:r w:rsidR="003F6459">
          <w:rPr>
            <w:noProof/>
          </w:rPr>
          <w:t>24</w:t>
        </w:r>
      </w:fldSimple>
      <w:r>
        <w:t xml:space="preserve">. </w:t>
      </w:r>
      <w:r w:rsidRPr="00046870">
        <w:rPr>
          <w:b w:val="0"/>
        </w:rPr>
        <w:t>T</w:t>
      </w:r>
      <w:r w:rsidRPr="00046870">
        <w:rPr>
          <w:b w:val="0"/>
          <w:vertAlign w:val="subscript"/>
        </w:rPr>
        <w:t>max</w:t>
      </w:r>
      <w:r>
        <w:rPr>
          <w:vertAlign w:val="subscript"/>
        </w:rPr>
        <w:t xml:space="preserve"> </w:t>
      </w:r>
      <w:r>
        <w:rPr>
          <w:b w:val="0"/>
        </w:rPr>
        <w:t>vs. PI plot showing hydrocarbon generation zones of organic matter in the Morrow Shales.</w:t>
      </w:r>
      <w:bookmarkEnd w:id="78"/>
      <w:r>
        <w:rPr>
          <w:b w:val="0"/>
        </w:rPr>
        <w:t xml:space="preserve"> </w:t>
      </w:r>
    </w:p>
    <w:p w:rsidR="0099286C" w:rsidRDefault="0099286C" w:rsidP="0099286C">
      <w:pPr>
        <w:spacing w:line="276" w:lineRule="auto"/>
        <w:jc w:val="both"/>
        <w:rPr>
          <w:szCs w:val="28"/>
        </w:rPr>
      </w:pPr>
    </w:p>
    <w:p w:rsidR="0099286C" w:rsidRDefault="0099286C" w:rsidP="000776CE">
      <w:pPr>
        <w:pStyle w:val="Balk2"/>
      </w:pPr>
      <w:bookmarkStart w:id="79" w:name="_Toc507506645"/>
      <w:r>
        <w:t>4</w:t>
      </w:r>
      <w:r w:rsidRPr="002471A8">
        <w:t>.2 Fraction Yields</w:t>
      </w:r>
      <w:bookmarkEnd w:id="79"/>
    </w:p>
    <w:p w:rsidR="0099286C" w:rsidRDefault="0099286C" w:rsidP="0099286C">
      <w:pPr>
        <w:jc w:val="both"/>
      </w:pPr>
      <w:r>
        <w:tab/>
        <w:t xml:space="preserve">The source rock samples were fractionated into aliphatic, aromatic and polar compounds. Fraction yield percentages of the studied samples are presented in Table 2. The relative abundance of the aliphatic, aromatic and polar fractions of the samples were used to construct a ternary </w:t>
      </w:r>
      <w:r w:rsidRPr="003E7788">
        <w:t>diagram (Figure 25).</w:t>
      </w:r>
      <w:r>
        <w:t xml:space="preserve"> In Kephart-I Well, the aliphatic fraction ranges between 38%-83% while the aromatic compounds range between 7%-45% in the Kephart-I rock extracts.</w:t>
      </w:r>
      <w:r w:rsidRPr="009313D5">
        <w:t xml:space="preserve"> </w:t>
      </w:r>
      <w:r>
        <w:t xml:space="preserve">In Harper County, H-2 rock extract, which has </w:t>
      </w:r>
      <w:r w:rsidR="00DD0220">
        <w:t xml:space="preserve">an </w:t>
      </w:r>
      <w:r>
        <w:t xml:space="preserve">abnormally high TOC content, the aromatic fraction is relatively abundant while </w:t>
      </w:r>
      <w:r w:rsidR="00DD0220">
        <w:t xml:space="preserve">the </w:t>
      </w:r>
      <w:r>
        <w:t xml:space="preserve">H-3 extract is dominated </w:t>
      </w:r>
      <w:r w:rsidRPr="008E0E88">
        <w:t xml:space="preserve">by aliphatic compounds. The percentages differ significantly from the Wang (1993) fraction yields. For </w:t>
      </w:r>
      <w:r w:rsidR="00DD0220">
        <w:t>example</w:t>
      </w:r>
      <w:r w:rsidRPr="008E0E88">
        <w:t>, the average total aliphatic and aromatic fracti</w:t>
      </w:r>
      <w:r w:rsidR="00DD0220">
        <w:t>ons in the Wang (1993) study were</w:t>
      </w:r>
      <w:r w:rsidRPr="008E0E88">
        <w:t xml:space="preserve"> </w:t>
      </w:r>
      <w:r w:rsidR="00DD0220">
        <w:t>approximately</w:t>
      </w:r>
      <w:r w:rsidRPr="008E0E88">
        <w:t xml:space="preserve"> 58% and the NSO compounds were the dominant fraction in most of the rock extracts in the Wang (1993) study (Table 2).</w:t>
      </w:r>
      <w:r>
        <w:t xml:space="preserve"> The possible reason </w:t>
      </w:r>
      <w:r w:rsidR="00DD0220">
        <w:t>for</w:t>
      </w:r>
      <w:r>
        <w:t xml:space="preserve"> this contrast might be related to the fractionation methods being </w:t>
      </w:r>
      <w:r>
        <w:lastRenderedPageBreak/>
        <w:t xml:space="preserve">different. For </w:t>
      </w:r>
      <w:r w:rsidR="00DD0220">
        <w:t>example</w:t>
      </w:r>
      <w:r>
        <w:t xml:space="preserve">, Wang (1993) used </w:t>
      </w:r>
      <w:r w:rsidR="002F4546">
        <w:t>the</w:t>
      </w:r>
      <w:r w:rsidR="00DD0220">
        <w:t xml:space="preserve"> </w:t>
      </w:r>
      <w:r>
        <w:t>thin layer chromatography (TLC) method for the fractionation of the samples which is an older fractionation method compared to column chromatography and provide</w:t>
      </w:r>
      <w:r w:rsidR="00DD0220">
        <w:t>s</w:t>
      </w:r>
      <w:r>
        <w:t xml:space="preserve"> less reliable data for quantitative purposes</w:t>
      </w:r>
      <w:r w:rsidR="001A36FB">
        <w:t xml:space="preserve"> (Cserháti and Forgács, 1997)</w:t>
      </w:r>
      <w:r w:rsidR="00CB0BB7">
        <w:t>.</w:t>
      </w:r>
      <w:r>
        <w:t xml:space="preserve"> Cserháti and Forgács (1997) mentioned that TLC has been originally developed as a qualitative method and its original form is only suitable for the semi-quantitative analysis and added that there is also possible volatility losses in TLC due to </w:t>
      </w:r>
      <w:r w:rsidR="00A64672">
        <w:t xml:space="preserve">air </w:t>
      </w:r>
      <w:r>
        <w:t xml:space="preserve">exposure of </w:t>
      </w:r>
      <w:r w:rsidRPr="00A64672">
        <w:t>sample</w:t>
      </w:r>
      <w:r w:rsidR="002F4546" w:rsidRPr="00A64672">
        <w:t>s</w:t>
      </w:r>
      <w:r w:rsidR="007547AC">
        <w:t xml:space="preserve"> (Cserháti and Forgács, 1997).</w:t>
      </w:r>
      <w:r>
        <w:t xml:space="preserve"> </w:t>
      </w:r>
      <w:r w:rsidR="00DD0220">
        <w:t>Alternatively</w:t>
      </w:r>
      <w:r>
        <w:t xml:space="preserve">, the other possible reason for the difference in the fractionation yields might be related to </w:t>
      </w:r>
      <w:r w:rsidR="00BF23D9">
        <w:t xml:space="preserve">sample preparation. </w:t>
      </w:r>
      <w:r w:rsidR="002355BF">
        <w:t xml:space="preserve">For </w:t>
      </w:r>
      <w:r w:rsidR="00DD0220">
        <w:t>example</w:t>
      </w:r>
      <w:r w:rsidR="002355BF">
        <w:t xml:space="preserve">, high evaporation rates might </w:t>
      </w:r>
      <w:r w:rsidR="00D36C9B">
        <w:t>cause</w:t>
      </w:r>
      <w:r w:rsidR="002355BF">
        <w:t xml:space="preserve"> elimination of the </w:t>
      </w:r>
      <w:r w:rsidR="002355BF" w:rsidRPr="002355BF">
        <w:rPr>
          <w:i/>
        </w:rPr>
        <w:t>n</w:t>
      </w:r>
      <w:r w:rsidR="002355BF">
        <w:rPr>
          <w:i/>
        </w:rPr>
        <w:t>-</w:t>
      </w:r>
      <w:r w:rsidR="002355BF">
        <w:t>alkanes</w:t>
      </w:r>
      <w:r w:rsidR="00D36C9B">
        <w:t xml:space="preserve"> and result in the</w:t>
      </w:r>
      <w:r w:rsidR="00DD0220">
        <w:t xml:space="preserve"> difference between data sets.</w:t>
      </w:r>
    </w:p>
    <w:p w:rsidR="00A64672" w:rsidRPr="002355BF" w:rsidRDefault="00A64672" w:rsidP="0099286C">
      <w:pPr>
        <w:jc w:val="both"/>
      </w:pPr>
    </w:p>
    <w:p w:rsidR="0099286C" w:rsidRDefault="0099286C" w:rsidP="000F4852">
      <w:pPr>
        <w:jc w:val="center"/>
      </w:pPr>
      <w:r>
        <w:rPr>
          <w:noProof/>
          <w:lang w:val="tr-TR" w:eastAsia="tr-TR" w:bidi="ar-SA"/>
        </w:rPr>
        <w:drawing>
          <wp:inline distT="0" distB="0" distL="0" distR="0" wp14:anchorId="31291A9D" wp14:editId="10EEB6DB">
            <wp:extent cx="5295083" cy="3510950"/>
            <wp:effectExtent l="0" t="0" r="1270" b="0"/>
            <wp:docPr id="32"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10163"/>
                    <a:stretch/>
                  </pic:blipFill>
                  <pic:spPr bwMode="auto">
                    <a:xfrm>
                      <a:off x="0" y="0"/>
                      <a:ext cx="5384534" cy="3570261"/>
                    </a:xfrm>
                    <a:prstGeom prst="rect">
                      <a:avLst/>
                    </a:prstGeom>
                    <a:noFill/>
                    <a:ln>
                      <a:noFill/>
                    </a:ln>
                    <a:extLst>
                      <a:ext uri="{53640926-AAD7-44D8-BBD7-CCE9431645EC}">
                        <a14:shadowObscured xmlns:a14="http://schemas.microsoft.com/office/drawing/2010/main"/>
                      </a:ext>
                    </a:extLst>
                  </pic:spPr>
                </pic:pic>
              </a:graphicData>
            </a:graphic>
          </wp:inline>
        </w:drawing>
      </w:r>
    </w:p>
    <w:p w:rsidR="0099286C" w:rsidRDefault="0099286C" w:rsidP="0099286C">
      <w:pPr>
        <w:pStyle w:val="ResimYazs"/>
        <w:rPr>
          <w:b w:val="0"/>
        </w:rPr>
      </w:pPr>
      <w:bookmarkStart w:id="80" w:name="_Toc507509073"/>
      <w:r>
        <w:t xml:space="preserve">Figure </w:t>
      </w:r>
      <w:fldSimple w:instr=" SEQ Figure \* ARABIC ">
        <w:r w:rsidR="003F6459">
          <w:rPr>
            <w:noProof/>
          </w:rPr>
          <w:t>25</w:t>
        </w:r>
      </w:fldSimple>
      <w:r>
        <w:t xml:space="preserve">. </w:t>
      </w:r>
      <w:r w:rsidRPr="00F1380F">
        <w:rPr>
          <w:b w:val="0"/>
        </w:rPr>
        <w:t xml:space="preserve">Ternary Diagram of </w:t>
      </w:r>
      <w:r>
        <w:rPr>
          <w:b w:val="0"/>
        </w:rPr>
        <w:t xml:space="preserve">the </w:t>
      </w:r>
      <w:r w:rsidRPr="00F1380F">
        <w:rPr>
          <w:b w:val="0"/>
        </w:rPr>
        <w:t xml:space="preserve">fraction yield data for </w:t>
      </w:r>
      <w:r w:rsidR="007673C1">
        <w:rPr>
          <w:b w:val="0"/>
        </w:rPr>
        <w:t xml:space="preserve">the </w:t>
      </w:r>
      <w:r w:rsidRPr="00F1380F">
        <w:rPr>
          <w:b w:val="0"/>
        </w:rPr>
        <w:t xml:space="preserve">Morrow </w:t>
      </w:r>
      <w:r w:rsidR="0097782F">
        <w:rPr>
          <w:b w:val="0"/>
        </w:rPr>
        <w:t>source rock s</w:t>
      </w:r>
      <w:r>
        <w:rPr>
          <w:b w:val="0"/>
        </w:rPr>
        <w:t>amples</w:t>
      </w:r>
      <w:bookmarkEnd w:id="80"/>
    </w:p>
    <w:p w:rsidR="0099286C" w:rsidRDefault="0099286C" w:rsidP="000776CE">
      <w:pPr>
        <w:pStyle w:val="Balk2"/>
      </w:pPr>
      <w:bookmarkStart w:id="81" w:name="_Toc507506646"/>
      <w:r w:rsidRPr="000776CE">
        <w:lastRenderedPageBreak/>
        <w:t>4.3 Biomarker Analysis</w:t>
      </w:r>
      <w:bookmarkEnd w:id="81"/>
      <w:r w:rsidRPr="0063540C">
        <w:rPr>
          <w:rFonts w:asciiTheme="minorHAnsi" w:hAnsiTheme="minorHAnsi"/>
          <w:noProof/>
          <w:szCs w:val="24"/>
          <w:lang w:val="tr-TR" w:eastAsia="tr-TR" w:bidi="ar-SA"/>
        </w:rPr>
        <w:t xml:space="preserve"> </w:t>
      </w:r>
    </w:p>
    <w:p w:rsidR="0099286C" w:rsidRDefault="0099286C" w:rsidP="0099286C">
      <w:pPr>
        <w:ind w:firstLine="720"/>
        <w:jc w:val="both"/>
      </w:pPr>
      <w:r w:rsidRPr="005975D9">
        <w:t xml:space="preserve">Biomarkers are organic compounds </w:t>
      </w:r>
      <w:r>
        <w:t xml:space="preserve">in </w:t>
      </w:r>
      <w:r w:rsidRPr="005975D9">
        <w:t xml:space="preserve">sediments, sedimentary rocks and </w:t>
      </w:r>
      <w:r w:rsidR="00D36C9B">
        <w:t>oils</w:t>
      </w:r>
      <w:r w:rsidRPr="005975D9">
        <w:t xml:space="preserve"> whose carbon skeletons </w:t>
      </w:r>
      <w:r>
        <w:t xml:space="preserve">are </w:t>
      </w:r>
      <w:r w:rsidRPr="005975D9">
        <w:t>related to functionalized compounds of formerly living organisms (Waples</w:t>
      </w:r>
      <w:r>
        <w:t xml:space="preserve"> and Machihara, 1991). Biomarker fingerprinting can provide valuable information about type of organic matter, depositional conditions, age-dating, thermal maturity, migration history and degree of biodegradation (Wang et al., 2004). Their occurrence, distribution and abundance can be monitored by GC, GC-MS and GC-MS-MS analysis. </w:t>
      </w:r>
    </w:p>
    <w:p w:rsidR="0099286C" w:rsidRDefault="0099286C" w:rsidP="0099286C">
      <w:pPr>
        <w:pStyle w:val="Balk3"/>
      </w:pPr>
      <w:bookmarkStart w:id="82" w:name="_Toc504658452"/>
      <w:bookmarkStart w:id="83" w:name="_Toc507506647"/>
      <w:r>
        <w:t>4.3.1 n-Alkanes and Isoprenoids</w:t>
      </w:r>
      <w:bookmarkEnd w:id="82"/>
      <w:bookmarkEnd w:id="83"/>
      <w:r>
        <w:t xml:space="preserve"> </w:t>
      </w:r>
    </w:p>
    <w:p w:rsidR="0099286C" w:rsidRDefault="0099286C" w:rsidP="0099286C">
      <w:pPr>
        <w:jc w:val="both"/>
      </w:pPr>
      <w:r>
        <w:tab/>
        <w:t xml:space="preserve">Certain n-alkanes and isoprenoid ratios from source rocks and oils can be used to interpret thermal maturity, degree of biodegradation, source input and redox conditions of the depositional </w:t>
      </w:r>
      <w:r w:rsidRPr="005975D9">
        <w:t xml:space="preserve">environment (Peters et al., 2005). Nonetheless, it should be noted that these interpretations can be easily effected </w:t>
      </w:r>
      <w:r>
        <w:t>by</w:t>
      </w:r>
      <w:r w:rsidRPr="005975D9">
        <w:t xml:space="preserve"> various factors. For instance, redox conditions an</w:t>
      </w:r>
      <w:r>
        <w:t>d type of organic matter input a</w:t>
      </w:r>
      <w:r w:rsidRPr="005975D9">
        <w:t xml:space="preserve">ffect the isoprenoid distribution while they can be misinterpreted if </w:t>
      </w:r>
      <w:r w:rsidR="00D36C9B">
        <w:t xml:space="preserve">the </w:t>
      </w:r>
      <w:r w:rsidRPr="005975D9">
        <w:t>thermal maturation and biodegradation level of the samples are not considered (</w:t>
      </w:r>
      <w:r w:rsidR="00E15E12">
        <w:t>Bray and Evans, 1961</w:t>
      </w:r>
      <w:r w:rsidRPr="005975D9">
        <w:t>).</w:t>
      </w:r>
      <w:r>
        <w:t xml:space="preserve"> </w:t>
      </w:r>
      <w:r w:rsidRPr="005975D9">
        <w:rPr>
          <w:i/>
        </w:rPr>
        <w:t>n</w:t>
      </w:r>
      <w:r>
        <w:t>-Alkanes range from C</w:t>
      </w:r>
      <w:r>
        <w:rPr>
          <w:vertAlign w:val="subscript"/>
        </w:rPr>
        <w:t xml:space="preserve">1 </w:t>
      </w:r>
      <w:r>
        <w:t>and extend beyond C</w:t>
      </w:r>
      <w:r>
        <w:rPr>
          <w:vertAlign w:val="subscript"/>
        </w:rPr>
        <w:t>120</w:t>
      </w:r>
      <w:r>
        <w:t xml:space="preserve"> and can be easily detected by GC. Koons et al. (1965) reported the lowest molecular weight n-alkane in plants as </w:t>
      </w:r>
      <w:r w:rsidRPr="002F4546">
        <w:rPr>
          <w:i/>
        </w:rPr>
        <w:t>n</w:t>
      </w:r>
      <w:r>
        <w:t>-heptane (C</w:t>
      </w:r>
      <w:r>
        <w:rPr>
          <w:vertAlign w:val="subscript"/>
        </w:rPr>
        <w:t>7</w:t>
      </w:r>
      <w:r>
        <w:t>H</w:t>
      </w:r>
      <w:r>
        <w:rPr>
          <w:vertAlign w:val="subscript"/>
        </w:rPr>
        <w:t>16</w:t>
      </w:r>
      <w:r>
        <w:t>) and the highest as dohexacontane (C</w:t>
      </w:r>
      <w:r>
        <w:rPr>
          <w:vertAlign w:val="subscript"/>
        </w:rPr>
        <w:t>62</w:t>
      </w:r>
      <w:r>
        <w:t>H</w:t>
      </w:r>
      <w:r>
        <w:rPr>
          <w:vertAlign w:val="subscript"/>
        </w:rPr>
        <w:t>126</w:t>
      </w:r>
      <w:r w:rsidR="002F4546">
        <w:t xml:space="preserve">; </w:t>
      </w:r>
      <w:r>
        <w:t>Tissot and Welte</w:t>
      </w:r>
      <w:r w:rsidR="007673C1">
        <w:t>,</w:t>
      </w:r>
      <w:r>
        <w:t xml:space="preserve"> 1984). </w:t>
      </w:r>
      <w:r w:rsidRPr="002F4546">
        <w:rPr>
          <w:i/>
        </w:rPr>
        <w:t>n</w:t>
      </w:r>
      <w:r>
        <w:t xml:space="preserve">-Alkane fingerprinting provides valuable information about the origin of organic matter. For instance, odd over even carbon number predominance of the medium to high </w:t>
      </w:r>
      <w:r w:rsidR="00D36C9B">
        <w:t xml:space="preserve">molecular </w:t>
      </w:r>
      <w:r>
        <w:t>weight n-alkanes (&gt;C</w:t>
      </w:r>
      <w:r>
        <w:rPr>
          <w:vertAlign w:val="subscript"/>
        </w:rPr>
        <w:t>25</w:t>
      </w:r>
      <w:r>
        <w:t>) generally indicates higher plant input (Tissot and Welte, 1984) while high concentration of low molecular</w:t>
      </w:r>
      <w:r w:rsidR="00FB6417">
        <w:t xml:space="preserve"> weight</w:t>
      </w:r>
      <w:r>
        <w:t xml:space="preserve"> alkanes (&lt;C</w:t>
      </w:r>
      <w:r>
        <w:rPr>
          <w:vertAlign w:val="subscript"/>
        </w:rPr>
        <w:t>22</w:t>
      </w:r>
      <w:r>
        <w:t xml:space="preserve">) compared to high molecular </w:t>
      </w:r>
      <w:r w:rsidR="00FB6417">
        <w:t xml:space="preserve">weight </w:t>
      </w:r>
      <w:r>
        <w:t>n-alkanes (&gt;C</w:t>
      </w:r>
      <w:r>
        <w:rPr>
          <w:vertAlign w:val="subscript"/>
        </w:rPr>
        <w:t>25</w:t>
      </w:r>
      <w:r>
        <w:t xml:space="preserve">) may be indicative of marine source input (Jacobson et al., 1988; Wang and Philp, 1997). </w:t>
      </w:r>
      <w:r>
        <w:lastRenderedPageBreak/>
        <w:t>Moreover, even over odd predominance of n-alkanes is often an indication for carbonate source rocks whose organic matter is mainly derived from highly reducing environment</w:t>
      </w:r>
      <w:r w:rsidR="002F4546">
        <w:t>s</w:t>
      </w:r>
      <w:r>
        <w:t xml:space="preserve"> (Moldowan et al., 1985; Wang and Philp, 1997). Bray and Evans (1961) proposed that odd over even predominance of the carbon atoms can be assessed by the “Carbon Preference Index” (CPI) which is the ratio of odd carbon number n-alkanes over even carbon number n-alkanes. Scalan and Smith (1970) defined another parameter, “Odd-Even Predominance” (OEP), to measure the odd over even predominance of the carbon atoms with increasing molecular weight (Tissot and Welte, 1984). Both CPI and OEP can be used to estimate thermal maturity as they both decrease with the increasing maturity (Wang and Philp, 1997). CPI and OEP ratios used in this study are given in the following equations and</w:t>
      </w:r>
      <w:r w:rsidR="002F4546">
        <w:t xml:space="preserve"> were</w:t>
      </w:r>
      <w:r>
        <w:t xml:space="preserve"> calculated by using the peak areas of the n-alkanes in gas chromatograms.   </w:t>
      </w:r>
    </w:p>
    <w:p w:rsidR="0099286C" w:rsidRDefault="0099286C" w:rsidP="0099286C">
      <w:r>
        <w:rPr>
          <w:noProof/>
          <w:lang w:val="tr-TR" w:eastAsia="tr-TR" w:bidi="ar-SA"/>
        </w:rPr>
        <mc:AlternateContent>
          <mc:Choice Requires="wps">
            <w:drawing>
              <wp:anchor distT="45720" distB="45720" distL="114300" distR="114300" simplePos="0" relativeHeight="251685888" behindDoc="0" locked="0" layoutInCell="1" allowOverlap="1" wp14:anchorId="30E99D6A" wp14:editId="0D48CBA5">
                <wp:simplePos x="0" y="0"/>
                <wp:positionH relativeFrom="column">
                  <wp:posOffset>3887470</wp:posOffset>
                </wp:positionH>
                <wp:positionV relativeFrom="paragraph">
                  <wp:posOffset>422275</wp:posOffset>
                </wp:positionV>
                <wp:extent cx="2157730" cy="279400"/>
                <wp:effectExtent l="0" t="0" r="0" b="0"/>
                <wp:wrapSquare wrapText="bothSides"/>
                <wp:docPr id="10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75B3" w:rsidRPr="005975D9" w:rsidRDefault="008875B3" w:rsidP="0099286C">
                            <w:pPr>
                              <w:rPr>
                                <w:sz w:val="28"/>
                              </w:rPr>
                            </w:pPr>
                            <w:r w:rsidRPr="005975D9">
                              <w:rPr>
                                <w:sz w:val="28"/>
                              </w:rPr>
                              <w:t>Marzi et al. (1993)</w:t>
                            </w:r>
                          </w:p>
                          <w:p w:rsidR="008875B3" w:rsidRDefault="008875B3" w:rsidP="0099286C"/>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0E99D6A" id="_x0000_s1032" type="#_x0000_t202" style="position:absolute;margin-left:306.1pt;margin-top:33.25pt;width:169.9pt;height:22pt;z-index:2516858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" stroked="f">
                <v:textbox>
                  <w:txbxContent>
                    <w:p w:rsidR="008875B3" w:rsidRPr="005975D9" w:rsidRDefault="008875B3" w:rsidP="0099286C">
                      <w:pPr>
                        <w:rPr>
                          <w:sz w:val="28"/>
                        </w:rPr>
                      </w:pPr>
                      <w:r w:rsidRPr="005975D9">
                        <w:rPr>
                          <w:sz w:val="28"/>
                        </w:rPr>
                        <w:t>Marzi et al. (1993)</w:t>
                      </w:r>
                    </w:p>
                    <w:p w:rsidR="008875B3" w:rsidRDefault="008875B3" w:rsidP="0099286C"/>
                  </w:txbxContent>
                </v:textbox>
                <w10:wrap type="square"/>
              </v:shape>
            </w:pict>
          </mc:Fallback>
        </mc:AlternateContent>
      </w:r>
    </w:p>
    <w:p w:rsidR="0099286C" w:rsidRPr="0091761C" w:rsidRDefault="0099286C" w:rsidP="0099286C">
      <w:pPr>
        <w:jc w:val="center"/>
        <w:rPr>
          <w:rFonts w:ascii="Times New Roman" w:hAnsi="Times New Roman"/>
          <w:sz w:val="28"/>
        </w:rPr>
      </w:pPr>
      <m:oMathPara>
        <m:oMath>
          <m:r>
            <w:rPr>
              <w:rFonts w:ascii="Cambria Math" w:hAnsi="Cambria Math"/>
              <w:sz w:val="28"/>
            </w:rPr>
            <m:t>CPI=</m:t>
          </m:r>
          <m:d>
            <m:dPr>
              <m:begChr m:val="["/>
              <m:endChr m:val="]"/>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C</m:t>
                      </m:r>
                    </m:e>
                    <m:sub>
                      <m:r>
                        <w:rPr>
                          <w:rFonts w:ascii="Cambria Math" w:hAnsi="Cambria Math"/>
                          <w:sz w:val="28"/>
                        </w:rPr>
                        <m:t>23</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25</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27</m:t>
                      </m:r>
                    </m:sub>
                  </m:sSub>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24</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26</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28</m:t>
                      </m:r>
                    </m:sub>
                  </m:sSub>
                </m:den>
              </m:f>
              <m:r>
                <w:rPr>
                  <w:rFonts w:ascii="Cambria Math" w:hAnsi="Cambria Math"/>
                  <w:sz w:val="28"/>
                </w:rPr>
                <m:t>+</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C</m:t>
                      </m:r>
                    </m:e>
                    <m:sub>
                      <m:r>
                        <w:rPr>
                          <w:rFonts w:ascii="Cambria Math" w:hAnsi="Cambria Math"/>
                          <w:sz w:val="28"/>
                        </w:rPr>
                        <m:t>25</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27</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29</m:t>
                      </m:r>
                    </m:sub>
                  </m:sSub>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24</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26</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28</m:t>
                      </m:r>
                    </m:sub>
                  </m:sSub>
                </m:den>
              </m:f>
            </m:e>
          </m:d>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oMath>
      </m:oMathPara>
    </w:p>
    <w:p w:rsidR="0099286C" w:rsidRDefault="0099286C" w:rsidP="0099286C">
      <w:r>
        <w:rPr>
          <w:noProof/>
          <w:lang w:val="tr-TR" w:eastAsia="tr-TR" w:bidi="ar-SA"/>
        </w:rPr>
        <mc:AlternateContent>
          <mc:Choice Requires="wps">
            <w:drawing>
              <wp:anchor distT="45720" distB="45720" distL="114300" distR="114300" simplePos="0" relativeHeight="251686912" behindDoc="0" locked="0" layoutInCell="1" allowOverlap="1" wp14:anchorId="3CB92E24" wp14:editId="272BF392">
                <wp:simplePos x="0" y="0"/>
                <wp:positionH relativeFrom="column">
                  <wp:posOffset>3009265</wp:posOffset>
                </wp:positionH>
                <wp:positionV relativeFrom="paragraph">
                  <wp:posOffset>423545</wp:posOffset>
                </wp:positionV>
                <wp:extent cx="1826260" cy="292100"/>
                <wp:effectExtent l="0" t="4445" r="0" b="0"/>
                <wp:wrapSquare wrapText="bothSides"/>
                <wp:docPr id="9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26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75B3" w:rsidRPr="005975D9" w:rsidRDefault="008875B3" w:rsidP="0099286C">
                            <w:pPr>
                              <w:rPr>
                                <w:sz w:val="28"/>
                              </w:rPr>
                            </w:pPr>
                            <w:r w:rsidRPr="005975D9">
                              <w:rPr>
                                <w:sz w:val="28"/>
                              </w:rPr>
                              <w:t>Peters et al. (2005)</w:t>
                            </w:r>
                          </w:p>
                          <w:p w:rsidR="008875B3" w:rsidRDefault="008875B3" w:rsidP="0099286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B92E24" id="Text Box 14" o:spid="_x0000_s1033" type="#_x0000_t202" style="position:absolute;margin-left:236.95pt;margin-top:33.35pt;width:143.8pt;height:23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tnhQ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" stroked="f">
                <v:textbox>
                  <w:txbxContent>
                    <w:p w:rsidR="008875B3" w:rsidRPr="005975D9" w:rsidRDefault="008875B3" w:rsidP="0099286C">
                      <w:pPr>
                        <w:rPr>
                          <w:sz w:val="28"/>
                        </w:rPr>
                      </w:pPr>
                      <w:r w:rsidRPr="005975D9">
                        <w:rPr>
                          <w:sz w:val="28"/>
                        </w:rPr>
                        <w:t>Peters et al. (2005)</w:t>
                      </w:r>
                    </w:p>
                    <w:p w:rsidR="008875B3" w:rsidRDefault="008875B3" w:rsidP="0099286C"/>
                  </w:txbxContent>
                </v:textbox>
                <w10:wrap type="square"/>
              </v:shape>
            </w:pict>
          </mc:Fallback>
        </mc:AlternateContent>
      </w:r>
    </w:p>
    <w:p w:rsidR="0099286C" w:rsidRPr="00DB0131" w:rsidRDefault="0099286C" w:rsidP="0099286C">
      <w:pPr>
        <w:rPr>
          <w:rFonts w:ascii="Times New Roman" w:hAnsi="Times New Roman"/>
          <w:sz w:val="28"/>
        </w:rPr>
      </w:pPr>
      <m:oMathPara>
        <m:oMathParaPr>
          <m:jc m:val="center"/>
        </m:oMathParaPr>
        <m:oMath>
          <m:r>
            <w:rPr>
              <w:rFonts w:ascii="Cambria Math" w:hAnsi="Cambria Math"/>
              <w:sz w:val="28"/>
            </w:rPr>
            <m:t>OEP=</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C</m:t>
                  </m:r>
                </m:e>
                <m:sub>
                  <m:r>
                    <w:rPr>
                      <w:rFonts w:ascii="Cambria Math" w:hAnsi="Cambria Math"/>
                      <w:sz w:val="28"/>
                    </w:rPr>
                    <m:t>21</m:t>
                  </m:r>
                </m:sub>
              </m:sSub>
              <m:r>
                <w:rPr>
                  <w:rFonts w:ascii="Cambria Math" w:hAnsi="Cambria Math"/>
                  <w:sz w:val="28"/>
                </w:rPr>
                <m:t>+6</m:t>
              </m:r>
              <m:sSub>
                <m:sSubPr>
                  <m:ctrlPr>
                    <w:rPr>
                      <w:rFonts w:ascii="Cambria Math" w:hAnsi="Cambria Math"/>
                      <w:i/>
                      <w:sz w:val="28"/>
                    </w:rPr>
                  </m:ctrlPr>
                </m:sSubPr>
                <m:e>
                  <m:r>
                    <w:rPr>
                      <w:rFonts w:ascii="Cambria Math" w:hAnsi="Cambria Math"/>
                      <w:sz w:val="28"/>
                    </w:rPr>
                    <m:t>C</m:t>
                  </m:r>
                </m:e>
                <m:sub>
                  <m:r>
                    <w:rPr>
                      <w:rFonts w:ascii="Cambria Math" w:hAnsi="Cambria Math"/>
                      <w:sz w:val="28"/>
                    </w:rPr>
                    <m:t>23</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25</m:t>
                  </m:r>
                </m:sub>
              </m:sSub>
            </m:num>
            <m:den>
              <m:r>
                <w:rPr>
                  <w:rFonts w:ascii="Cambria Math" w:hAnsi="Cambria Math"/>
                  <w:sz w:val="28"/>
                </w:rPr>
                <m:t>4</m:t>
              </m:r>
              <m:sSub>
                <m:sSubPr>
                  <m:ctrlPr>
                    <w:rPr>
                      <w:rFonts w:ascii="Cambria Math" w:hAnsi="Cambria Math"/>
                      <w:i/>
                      <w:sz w:val="28"/>
                    </w:rPr>
                  </m:ctrlPr>
                </m:sSubPr>
                <m:e>
                  <m:r>
                    <w:rPr>
                      <w:rFonts w:ascii="Cambria Math" w:hAnsi="Cambria Math"/>
                      <w:sz w:val="28"/>
                    </w:rPr>
                    <m:t>C</m:t>
                  </m:r>
                </m:e>
                <m:sub>
                  <m:r>
                    <w:rPr>
                      <w:rFonts w:ascii="Cambria Math" w:hAnsi="Cambria Math"/>
                      <w:sz w:val="28"/>
                    </w:rPr>
                    <m:t>22</m:t>
                  </m:r>
                </m:sub>
              </m:sSub>
              <m:r>
                <w:rPr>
                  <w:rFonts w:ascii="Cambria Math" w:hAnsi="Cambria Math"/>
                  <w:sz w:val="28"/>
                </w:rPr>
                <m:t>+4</m:t>
              </m:r>
              <m:sSub>
                <m:sSubPr>
                  <m:ctrlPr>
                    <w:rPr>
                      <w:rFonts w:ascii="Cambria Math" w:hAnsi="Cambria Math"/>
                      <w:i/>
                      <w:sz w:val="28"/>
                    </w:rPr>
                  </m:ctrlPr>
                </m:sSubPr>
                <m:e>
                  <m:r>
                    <w:rPr>
                      <w:rFonts w:ascii="Cambria Math" w:hAnsi="Cambria Math"/>
                      <w:sz w:val="28"/>
                    </w:rPr>
                    <m:t>C</m:t>
                  </m:r>
                </m:e>
                <m:sub>
                  <m:r>
                    <w:rPr>
                      <w:rFonts w:ascii="Cambria Math" w:hAnsi="Cambria Math"/>
                      <w:sz w:val="28"/>
                    </w:rPr>
                    <m:t>24</m:t>
                  </m:r>
                </m:sub>
              </m:sSub>
            </m:den>
          </m:f>
        </m:oMath>
      </m:oMathPara>
    </w:p>
    <w:p w:rsidR="0099286C" w:rsidRPr="00DB0131" w:rsidRDefault="00C7411B" w:rsidP="0099286C">
      <w:pPr>
        <w:ind w:firstLine="720"/>
        <w:jc w:val="both"/>
      </w:pPr>
      <w:r>
        <w:t>The CPI for most of the Morrow source r</w:t>
      </w:r>
      <w:r w:rsidR="0099286C" w:rsidRPr="00DB0131">
        <w:t xml:space="preserve">ock samples of </w:t>
      </w:r>
      <w:r w:rsidR="0099286C">
        <w:t xml:space="preserve">the </w:t>
      </w:r>
      <w:r w:rsidR="0099286C" w:rsidRPr="00DB0131">
        <w:t xml:space="preserve">Wang (1993) study are very close to 1.0 with </w:t>
      </w:r>
      <w:r w:rsidR="00FB6417">
        <w:t xml:space="preserve">an </w:t>
      </w:r>
      <w:r w:rsidR="0099286C" w:rsidRPr="00DB0131">
        <w:t>average of 1.04. However, MOR-33 from Roger Mills and MOR-57 from Dewey County have CPI values less than 1.0 which may indicate the increasing carbonate content in the depositional area. Moreover, CPI of the samples from Kephart-I and Laverne-State-I cores are all greater than 1.0 with average value of 1.09 for both data set</w:t>
      </w:r>
      <w:r w:rsidR="0099286C">
        <w:t>s</w:t>
      </w:r>
      <w:r w:rsidR="0099286C" w:rsidRPr="00DB0131">
        <w:t>.</w:t>
      </w:r>
      <w:r w:rsidR="0099286C">
        <w:t xml:space="preserve"> </w:t>
      </w:r>
    </w:p>
    <w:p w:rsidR="0099286C" w:rsidRDefault="0099286C" w:rsidP="0099286C">
      <w:pPr>
        <w:ind w:firstLine="720"/>
        <w:jc w:val="both"/>
      </w:pPr>
      <w:r w:rsidRPr="00440D72">
        <w:lastRenderedPageBreak/>
        <w:t xml:space="preserve">The average OEP value of the Wang (1993) source rock samples </w:t>
      </w:r>
      <w:r w:rsidR="00BA6C73">
        <w:t>was</w:t>
      </w:r>
      <w:r w:rsidRPr="00440D72">
        <w:t xml:space="preserve"> 0.99 and most of the samples are a</w:t>
      </w:r>
      <w:r w:rsidR="00F91B8F">
        <w:t>pproximately 1.0, although a few Morrow Shale samples have OEP values less than 1.0. This may be due to the influence of carbonate beds intercalated with the shale beds.</w:t>
      </w:r>
      <w:r w:rsidRPr="00DB0131">
        <w:t xml:space="preserve"> </w:t>
      </w:r>
      <w:r w:rsidR="00FB6417">
        <w:t>Alternatively</w:t>
      </w:r>
      <w:r w:rsidRPr="00DB0131">
        <w:t xml:space="preserve">, the OEP value of the Kephart-I ranges from 0.88-1.12 with </w:t>
      </w:r>
      <w:r w:rsidR="00FB6417">
        <w:t xml:space="preserve">an </w:t>
      </w:r>
      <w:r w:rsidRPr="00DB0131">
        <w:t>average of 1.02 and OEP of the Laverne-State-I well samples of H-2 and H-3 are 1.04 and 0.98, respectively.</w:t>
      </w:r>
      <w:r>
        <w:t xml:space="preserve">         </w:t>
      </w:r>
    </w:p>
    <w:p w:rsidR="0099286C" w:rsidRDefault="0099286C" w:rsidP="0099286C">
      <w:pPr>
        <w:ind w:firstLine="720"/>
        <w:jc w:val="both"/>
      </w:pPr>
      <w:r>
        <w:t>Another effective proxy for interpreting the type of source material is the terrigenous/aquatic ratio (TAR) which was first fo</w:t>
      </w:r>
      <w:r w:rsidR="00FB6417">
        <w:t>rmulated by Bourbonniere and Meyers (</w:t>
      </w:r>
      <w:r>
        <w:t>1996</w:t>
      </w:r>
      <w:r w:rsidR="00FB6417">
        <w:t>)</w:t>
      </w:r>
      <w:r>
        <w:t xml:space="preserve"> as the following equa</w:t>
      </w:r>
      <w:r w:rsidRPr="000776CE">
        <w:t>tion</w:t>
      </w:r>
      <w:r w:rsidR="00FB6417" w:rsidRPr="000776CE">
        <w:t>.</w:t>
      </w:r>
      <w:r w:rsidRPr="000776CE">
        <w:t xml:space="preserve"> </w:t>
      </w:r>
      <w:r>
        <w:t xml:space="preserve">This ratio indicates </w:t>
      </w:r>
      <w:r w:rsidR="00DD0220">
        <w:t xml:space="preserve">the </w:t>
      </w:r>
      <w:r>
        <w:t xml:space="preserve">relative proportion of the terrigenous vs. aquatic organic matter input into the depositional environment </w:t>
      </w:r>
      <w:r w:rsidR="00DD0220">
        <w:t>but</w:t>
      </w:r>
      <w:r>
        <w:t xml:space="preserve"> it is susceptible to secondary processes such as biodegradation or thermal </w:t>
      </w:r>
      <w:r w:rsidRPr="00287946">
        <w:t>maturity (Peters et al.</w:t>
      </w:r>
      <w:r>
        <w:t>,</w:t>
      </w:r>
      <w:r w:rsidRPr="00287946">
        <w:t xml:space="preserve"> 2005).</w:t>
      </w:r>
      <w:r>
        <w:t xml:space="preserve"> </w:t>
      </w:r>
    </w:p>
    <w:p w:rsidR="0099286C" w:rsidRDefault="0099286C" w:rsidP="0099286C">
      <w:pPr>
        <w:ind w:firstLine="720"/>
        <w:jc w:val="both"/>
      </w:pPr>
    </w:p>
    <w:p w:rsidR="0099286C" w:rsidRPr="0091761C" w:rsidRDefault="0099286C" w:rsidP="0099286C">
      <w:pPr>
        <w:rPr>
          <w:rFonts w:ascii="Times New Roman" w:hAnsi="Times New Roman"/>
          <w:sz w:val="28"/>
        </w:rPr>
      </w:pPr>
      <m:oMathPara>
        <m:oMath>
          <m:r>
            <w:rPr>
              <w:rFonts w:ascii="Cambria Math" w:hAnsi="Cambria Math"/>
              <w:sz w:val="28"/>
            </w:rPr>
            <m:t>TAR=</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C</m:t>
                  </m:r>
                </m:e>
                <m:sub>
                  <m:r>
                    <w:rPr>
                      <w:rFonts w:ascii="Cambria Math" w:hAnsi="Cambria Math"/>
                      <w:sz w:val="28"/>
                    </w:rPr>
                    <m:t>27</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29</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31</m:t>
                  </m:r>
                </m:sub>
              </m:sSub>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15</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17</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19</m:t>
                  </m:r>
                </m:sub>
              </m:sSub>
            </m:den>
          </m:f>
        </m:oMath>
      </m:oMathPara>
    </w:p>
    <w:p w:rsidR="0099286C" w:rsidRDefault="0099286C" w:rsidP="0099286C">
      <w:pPr>
        <w:rPr>
          <w:b/>
        </w:rPr>
      </w:pPr>
      <w:r>
        <w:rPr>
          <w:noProof/>
          <w:lang w:val="tr-TR" w:eastAsia="tr-TR" w:bidi="ar-SA"/>
        </w:rPr>
        <mc:AlternateContent>
          <mc:Choice Requires="wps">
            <w:drawing>
              <wp:anchor distT="0" distB="0" distL="114300" distR="114300" simplePos="0" relativeHeight="251687936" behindDoc="0" locked="0" layoutInCell="1" allowOverlap="1" wp14:anchorId="5C2BEF5F" wp14:editId="1C8AE65B">
                <wp:simplePos x="0" y="0"/>
                <wp:positionH relativeFrom="margin">
                  <wp:posOffset>3077210</wp:posOffset>
                </wp:positionH>
                <wp:positionV relativeFrom="paragraph">
                  <wp:posOffset>-5080</wp:posOffset>
                </wp:positionV>
                <wp:extent cx="2266950" cy="323850"/>
                <wp:effectExtent l="0" t="0" r="0" b="0"/>
                <wp:wrapSquare wrapText="bothSides"/>
                <wp:docPr id="44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323850"/>
                        </a:xfrm>
                        <a:prstGeom prst="rect">
                          <a:avLst/>
                        </a:prstGeom>
                        <a:solidFill>
                          <a:srgbClr val="FFFFFF"/>
                        </a:solidFill>
                        <a:ln w="9525">
                          <a:noFill/>
                          <a:miter lim="800000"/>
                          <a:headEnd/>
                          <a:tailEnd/>
                        </a:ln>
                      </wps:spPr>
                      <wps:txbx>
                        <w:txbxContent>
                          <w:p w:rsidR="008875B3" w:rsidRDefault="008875B3" w:rsidP="0099286C">
                            <w:r>
                              <w:t>Bourbonniere and Meyers (1996)</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C2BEF5F" id="_x0000_s1034" type="#_x0000_t202" style="position:absolute;margin-left:242.3pt;margin-top:-.4pt;width:178.5pt;height:2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" stroked="f">
                <v:textbox>
                  <w:txbxContent>
                    <w:p w:rsidR="008875B3" w:rsidRDefault="008875B3" w:rsidP="0099286C">
                      <w:r>
                        <w:t>Bourbonniere and Meyers (1996)</w:t>
                      </w:r>
                    </w:p>
                  </w:txbxContent>
                </v:textbox>
                <w10:wrap type="square" anchorx="margin"/>
              </v:shape>
            </w:pict>
          </mc:Fallback>
        </mc:AlternateContent>
      </w:r>
    </w:p>
    <w:p w:rsidR="0099286C" w:rsidRDefault="0099286C" w:rsidP="0099286C">
      <w:pPr>
        <w:rPr>
          <w:b/>
        </w:rPr>
      </w:pPr>
    </w:p>
    <w:p w:rsidR="00C62508" w:rsidRDefault="00FB6417" w:rsidP="00F31555">
      <w:pPr>
        <w:ind w:firstLine="720"/>
        <w:jc w:val="both"/>
      </w:pPr>
      <w:r>
        <w:t xml:space="preserve">The </w:t>
      </w:r>
      <w:r w:rsidR="0099286C" w:rsidRPr="005975D9">
        <w:t>TAR va</w:t>
      </w:r>
      <w:r w:rsidR="00C7411B">
        <w:t>lues of the Wang (1993) Morrow source r</w:t>
      </w:r>
      <w:r w:rsidR="0099286C" w:rsidRPr="005975D9">
        <w:t xml:space="preserve">ocks ranges between 0.03-1.63 with an average of 0.30. </w:t>
      </w:r>
      <w:r w:rsidR="0099286C">
        <w:t xml:space="preserve">The average TAR values of the Kephart-I and Laverne-State-I well are 0.08 and 0.2, respectively. TAR shows slight changes through the Kephart-I core with the exception of 8513 ft. at which terrigenous influx of the core significantly </w:t>
      </w:r>
      <w:r w:rsidR="0099286C" w:rsidRPr="000F04D2">
        <w:t>increases (Figure 26).</w:t>
      </w:r>
      <w:r w:rsidR="00C62508">
        <w:t xml:space="preserve"> </w:t>
      </w:r>
      <w:r w:rsidR="00F31555">
        <w:t xml:space="preserve">Terrestrial higher plants in the depositional environment contribute to odd numbered </w:t>
      </w:r>
      <w:r w:rsidR="00C62508">
        <w:t>high molecular weight n-alkanes (&gt;C</w:t>
      </w:r>
      <w:r w:rsidR="00C62508">
        <w:rPr>
          <w:vertAlign w:val="subscript"/>
        </w:rPr>
        <w:t>25</w:t>
      </w:r>
      <w:r w:rsidR="00F31555">
        <w:t>) and therefore result in higher TAR value</w:t>
      </w:r>
      <w:r>
        <w:t>s</w:t>
      </w:r>
      <w:r w:rsidR="00F31555">
        <w:t>.</w:t>
      </w:r>
    </w:p>
    <w:p w:rsidR="0099286C" w:rsidRDefault="0099286C" w:rsidP="0099286C">
      <w:pPr>
        <w:ind w:firstLine="720"/>
        <w:jc w:val="both"/>
        <w:rPr>
          <w:lang w:val="tr-TR"/>
        </w:rPr>
      </w:pPr>
      <w:r w:rsidRPr="000F04D2">
        <w:lastRenderedPageBreak/>
        <w:t>In general, the results being significantly different at each</w:t>
      </w:r>
      <w:r>
        <w:t xml:space="preserve"> location supports the dynamic depositional conditions of the Morrow and </w:t>
      </w:r>
      <w:r w:rsidRPr="00FB2F9B">
        <w:t>periodic terrigenous influx to the depositional environment</w:t>
      </w:r>
      <w:r w:rsidRPr="00FB2F9B">
        <w:rPr>
          <w:lang w:val="tr-TR"/>
        </w:rPr>
        <w:t xml:space="preserve"> during deposition.</w:t>
      </w:r>
    </w:p>
    <w:p w:rsidR="0099286C" w:rsidRPr="005975D9" w:rsidRDefault="0099286C" w:rsidP="0099286C"/>
    <w:p w:rsidR="0099286C" w:rsidRDefault="0099286C" w:rsidP="000F4852">
      <w:pPr>
        <w:pStyle w:val="ResimYazs"/>
        <w:keepNext/>
        <w:spacing w:line="480" w:lineRule="auto"/>
        <w:jc w:val="center"/>
      </w:pPr>
      <w:r>
        <w:rPr>
          <w:noProof/>
          <w:lang w:val="tr-TR" w:eastAsia="tr-TR" w:bidi="ar-SA"/>
        </w:rPr>
        <w:drawing>
          <wp:inline distT="0" distB="0" distL="0" distR="0" wp14:anchorId="17B3F88B" wp14:editId="6E52AAE9">
            <wp:extent cx="5369560" cy="4061637"/>
            <wp:effectExtent l="19050" t="19050" r="21590" b="1524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7">
                      <a:extLst>
                        <a:ext uri="{28A0092B-C50C-407E-A947-70E740481C1C}">
                          <a14:useLocalDpi xmlns:a14="http://schemas.microsoft.com/office/drawing/2010/main" val="0"/>
                        </a:ext>
                      </a:extLst>
                    </a:blip>
                    <a:srcRect b="6858"/>
                    <a:stretch/>
                  </pic:blipFill>
                  <pic:spPr bwMode="auto">
                    <a:xfrm>
                      <a:off x="0" y="0"/>
                      <a:ext cx="5378762" cy="406859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99286C" w:rsidRDefault="0099286C" w:rsidP="0099286C">
      <w:pPr>
        <w:pStyle w:val="ResimYazs"/>
        <w:rPr>
          <w:b w:val="0"/>
        </w:rPr>
      </w:pPr>
      <w:bookmarkStart w:id="84" w:name="_Toc507509074"/>
      <w:r w:rsidRPr="00DC37A9">
        <w:t xml:space="preserve">Figure </w:t>
      </w:r>
      <w:fldSimple w:instr=" SEQ Figure \* ARABIC ">
        <w:r w:rsidR="003F6459">
          <w:rPr>
            <w:noProof/>
          </w:rPr>
          <w:t>26</w:t>
        </w:r>
      </w:fldSimple>
      <w:r w:rsidRPr="00DC37A9">
        <w:t xml:space="preserve">. </w:t>
      </w:r>
      <w:r w:rsidRPr="00DC37A9">
        <w:rPr>
          <w:b w:val="0"/>
        </w:rPr>
        <w:t>TAR, CPI</w:t>
      </w:r>
      <w:r w:rsidR="007B0878">
        <w:rPr>
          <w:b w:val="0"/>
        </w:rPr>
        <w:t xml:space="preserve"> and OEP values vs.</w:t>
      </w:r>
      <w:r>
        <w:rPr>
          <w:b w:val="0"/>
        </w:rPr>
        <w:t xml:space="preserve"> depth for the Kephart-1 Rock Extracts</w:t>
      </w:r>
      <w:bookmarkEnd w:id="84"/>
    </w:p>
    <w:p w:rsidR="0099286C" w:rsidRPr="00843715" w:rsidRDefault="0099286C" w:rsidP="0099286C"/>
    <w:p w:rsidR="0099286C" w:rsidRDefault="0099286C" w:rsidP="0099286C">
      <w:pPr>
        <w:ind w:firstLine="720"/>
        <w:jc w:val="both"/>
      </w:pPr>
      <w:r w:rsidRPr="00BD2C57">
        <w:t xml:space="preserve">The Morrow is </w:t>
      </w:r>
      <w:r>
        <w:t xml:space="preserve">typically </w:t>
      </w:r>
      <w:r w:rsidRPr="00BD2C57">
        <w:t>characteri</w:t>
      </w:r>
      <w:r>
        <w:t>zed by a bimodal n-alkane distribution, yet</w:t>
      </w:r>
      <w:r w:rsidRPr="00BD2C57">
        <w:t xml:space="preserve"> </w:t>
      </w:r>
      <w:r>
        <w:t xml:space="preserve">unimodal and trimodal distributions are also observed in highly mature and/or </w:t>
      </w:r>
      <w:r w:rsidRPr="00AA236F">
        <w:t xml:space="preserve">biodegraded samples (MOR 74, MOR 33; Figure 27). </w:t>
      </w:r>
      <w:r>
        <w:t>The p</w:t>
      </w:r>
      <w:r w:rsidRPr="00AA236F">
        <w:t>resence of higher molecular</w:t>
      </w:r>
      <w:r>
        <w:t xml:space="preserve"> </w:t>
      </w:r>
      <w:r w:rsidR="00C4354B">
        <w:t>weight n-alkanes (&gt; C</w:t>
      </w:r>
      <w:r w:rsidR="00C4354B">
        <w:rPr>
          <w:vertAlign w:val="subscript"/>
        </w:rPr>
        <w:t>21</w:t>
      </w:r>
      <w:r w:rsidR="00C4354B">
        <w:t>) in the samples indicates a terrestrial higher plant input during</w:t>
      </w:r>
    </w:p>
    <w:p w:rsidR="0099286C" w:rsidRDefault="0099286C" w:rsidP="000F4852">
      <w:pPr>
        <w:jc w:val="center"/>
      </w:pPr>
      <w:r w:rsidRPr="00984AA7">
        <w:rPr>
          <w:noProof/>
          <w:lang w:val="tr-TR" w:eastAsia="tr-TR" w:bidi="ar-SA"/>
        </w:rPr>
        <w:lastRenderedPageBreak/>
        <w:drawing>
          <wp:inline distT="0" distB="0" distL="0" distR="0" wp14:anchorId="7473923F" wp14:editId="10BE606B">
            <wp:extent cx="5120341" cy="7366958"/>
            <wp:effectExtent l="19050" t="19050" r="23495" b="24765"/>
            <wp:docPr id="27"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a:blip r:embed="rId48"/>
                    <a:stretch>
                      <a:fillRect/>
                    </a:stretch>
                  </pic:blipFill>
                  <pic:spPr>
                    <a:xfrm>
                      <a:off x="0" y="0"/>
                      <a:ext cx="5179288" cy="7451769"/>
                    </a:xfrm>
                    <a:prstGeom prst="rect">
                      <a:avLst/>
                    </a:prstGeom>
                    <a:ln>
                      <a:solidFill>
                        <a:schemeClr val="tx1"/>
                      </a:solidFill>
                    </a:ln>
                  </pic:spPr>
                </pic:pic>
              </a:graphicData>
            </a:graphic>
          </wp:inline>
        </w:drawing>
      </w:r>
    </w:p>
    <w:p w:rsidR="0099286C" w:rsidRPr="00B909AF" w:rsidRDefault="0099286C" w:rsidP="0099286C">
      <w:pPr>
        <w:pStyle w:val="ResimYazs"/>
        <w:rPr>
          <w:b w:val="0"/>
          <w:noProof/>
          <w:szCs w:val="24"/>
        </w:rPr>
      </w:pPr>
      <w:bookmarkStart w:id="85" w:name="_Toc507509075"/>
      <w:r>
        <w:t xml:space="preserve">Figure </w:t>
      </w:r>
      <w:fldSimple w:instr=" SEQ Figure \* ARABIC ">
        <w:r w:rsidR="003F6459">
          <w:rPr>
            <w:noProof/>
          </w:rPr>
          <w:t>27</w:t>
        </w:r>
      </w:fldSimple>
      <w:r>
        <w:t xml:space="preserve">. </w:t>
      </w:r>
      <w:r w:rsidRPr="00B909AF">
        <w:rPr>
          <w:b w:val="0"/>
        </w:rPr>
        <w:t>Gas Chromatogram</w:t>
      </w:r>
      <w:r w:rsidR="00DD7364">
        <w:rPr>
          <w:b w:val="0"/>
        </w:rPr>
        <w:t>s</w:t>
      </w:r>
      <w:r w:rsidRPr="00B909AF">
        <w:rPr>
          <w:b w:val="0"/>
        </w:rPr>
        <w:t xml:space="preserve"> showing the </w:t>
      </w:r>
      <w:r w:rsidRPr="00B909AF">
        <w:rPr>
          <w:b w:val="0"/>
          <w:i/>
        </w:rPr>
        <w:t>n-</w:t>
      </w:r>
      <w:r w:rsidRPr="00B909AF">
        <w:rPr>
          <w:b w:val="0"/>
        </w:rPr>
        <w:t>alkane di</w:t>
      </w:r>
      <w:r w:rsidR="001823A8">
        <w:rPr>
          <w:b w:val="0"/>
        </w:rPr>
        <w:t>stribution</w:t>
      </w:r>
      <w:r w:rsidR="00DD7364">
        <w:rPr>
          <w:b w:val="0"/>
        </w:rPr>
        <w:t>s</w:t>
      </w:r>
      <w:r w:rsidR="001823A8">
        <w:rPr>
          <w:b w:val="0"/>
        </w:rPr>
        <w:t xml:space="preserve"> of the Morrow Shale s</w:t>
      </w:r>
      <w:r w:rsidRPr="00B909AF">
        <w:rPr>
          <w:b w:val="0"/>
        </w:rPr>
        <w:t>amples (Pr: pristane, Ph: Phytane)</w:t>
      </w:r>
      <w:bookmarkEnd w:id="85"/>
    </w:p>
    <w:p w:rsidR="0099286C" w:rsidRDefault="007547AC" w:rsidP="007547AC">
      <w:pPr>
        <w:jc w:val="both"/>
      </w:pPr>
      <w:r>
        <w:lastRenderedPageBreak/>
        <w:t xml:space="preserve">the deposition of the Morrow which supports the fact that the Morrow was deposited at </w:t>
      </w:r>
      <w:r w:rsidR="00670323">
        <w:t xml:space="preserve">a </w:t>
      </w:r>
      <w:r w:rsidR="0099286C">
        <w:t xml:space="preserve">near-shore transitional (mixed type) depositional environment and periodically subjected to terrigenous influx. Moreover, the samples </w:t>
      </w:r>
      <w:r w:rsidR="001823A8">
        <w:t xml:space="preserve">with a narrow unimodal n-alkane </w:t>
      </w:r>
      <w:r w:rsidR="0099286C">
        <w:t>distribution and C</w:t>
      </w:r>
      <w:r w:rsidR="0099286C">
        <w:rPr>
          <w:vertAlign w:val="subscript"/>
        </w:rPr>
        <w:t>17</w:t>
      </w:r>
      <w:r w:rsidR="00BA22B4">
        <w:rPr>
          <w:vertAlign w:val="subscript"/>
        </w:rPr>
        <w:t xml:space="preserve"> </w:t>
      </w:r>
      <w:r w:rsidR="00BA22B4">
        <w:t>(</w:t>
      </w:r>
      <w:r w:rsidR="00BA22B4" w:rsidRPr="00BA22B4">
        <w:rPr>
          <w:b/>
        </w:rPr>
        <w:t>I</w:t>
      </w:r>
      <w:r w:rsidR="00CD03DD">
        <w:t>:</w:t>
      </w:r>
      <w:r w:rsidR="00DE665F">
        <w:t xml:space="preserve"> s</w:t>
      </w:r>
      <w:r w:rsidR="00CD03DD">
        <w:t>ee</w:t>
      </w:r>
      <w:r w:rsidR="00BA22B4">
        <w:t xml:space="preserve"> structures in Appendix A) </w:t>
      </w:r>
      <w:r w:rsidR="0099286C">
        <w:t>and/or C</w:t>
      </w:r>
      <w:r w:rsidR="0099286C">
        <w:rPr>
          <w:vertAlign w:val="subscript"/>
        </w:rPr>
        <w:t>18</w:t>
      </w:r>
      <w:r w:rsidR="00BA22B4">
        <w:rPr>
          <w:vertAlign w:val="subscript"/>
        </w:rPr>
        <w:t xml:space="preserve"> </w:t>
      </w:r>
      <w:r w:rsidR="00BA22B4">
        <w:t>(</w:t>
      </w:r>
      <w:r w:rsidR="00BA22B4" w:rsidRPr="00BA22B4">
        <w:rPr>
          <w:b/>
        </w:rPr>
        <w:t>II</w:t>
      </w:r>
      <w:r w:rsidR="00BA22B4">
        <w:t>)</w:t>
      </w:r>
      <w:r w:rsidR="0099286C">
        <w:rPr>
          <w:vertAlign w:val="subscript"/>
        </w:rPr>
        <w:t xml:space="preserve"> </w:t>
      </w:r>
      <w:r w:rsidR="0099286C">
        <w:t xml:space="preserve">predominance and lack of higher molecular weight n-alkanes may indicate low terrigenous input into the depositional environment at that location, or elevated maturity of the </w:t>
      </w:r>
      <w:r w:rsidR="0099286C" w:rsidRPr="005438FF">
        <w:t>sample. Most of the Morrow samples maximize at C</w:t>
      </w:r>
      <w:r w:rsidR="0099286C" w:rsidRPr="005438FF">
        <w:rPr>
          <w:vertAlign w:val="subscript"/>
        </w:rPr>
        <w:t>22</w:t>
      </w:r>
      <w:r w:rsidR="0099286C" w:rsidRPr="005438FF">
        <w:t xml:space="preserve"> which might be due to the specific environmental conditions prevailed during the deposition of </w:t>
      </w:r>
      <w:r w:rsidR="007673C1">
        <w:t xml:space="preserve">the </w:t>
      </w:r>
      <w:r w:rsidR="0099286C" w:rsidRPr="005438FF">
        <w:t>Morrow was favorable for the occurrence of a specific algae type (Schenck and Havenaar, 1969).</w:t>
      </w:r>
    </w:p>
    <w:p w:rsidR="0099286C" w:rsidRPr="00DC37A9" w:rsidRDefault="0099286C" w:rsidP="0099286C">
      <w:pPr>
        <w:ind w:firstLine="720"/>
        <w:jc w:val="both"/>
        <w:rPr>
          <w:rFonts w:cstheme="minorHAnsi"/>
          <w:bCs/>
        </w:rPr>
      </w:pPr>
      <w:r>
        <w:rPr>
          <w:rFonts w:cstheme="minorHAnsi"/>
          <w:bCs/>
        </w:rPr>
        <w:t>The mo</w:t>
      </w:r>
      <w:r w:rsidR="00F31555">
        <w:rPr>
          <w:rFonts w:cstheme="minorHAnsi"/>
          <w:bCs/>
        </w:rPr>
        <w:t xml:space="preserve">st commonly used isoprenoids </w:t>
      </w:r>
      <w:r>
        <w:rPr>
          <w:rFonts w:cstheme="minorHAnsi"/>
          <w:bCs/>
        </w:rPr>
        <w:t>pristane (Pr</w:t>
      </w:r>
      <w:r w:rsidR="00BA22B4">
        <w:rPr>
          <w:rFonts w:cstheme="minorHAnsi"/>
          <w:bCs/>
        </w:rPr>
        <w:t xml:space="preserve">; </w:t>
      </w:r>
      <w:r w:rsidR="00BA22B4" w:rsidRPr="00BA22B4">
        <w:rPr>
          <w:rFonts w:cstheme="minorHAnsi"/>
          <w:b/>
          <w:bCs/>
        </w:rPr>
        <w:t>III</w:t>
      </w:r>
      <w:r>
        <w:rPr>
          <w:rFonts w:cstheme="minorHAnsi"/>
          <w:bCs/>
        </w:rPr>
        <w:t>) and p</w:t>
      </w:r>
      <w:r w:rsidRPr="000F04D2">
        <w:rPr>
          <w:rFonts w:cstheme="minorHAnsi"/>
          <w:bCs/>
        </w:rPr>
        <w:t>hytane (Ph</w:t>
      </w:r>
      <w:r w:rsidR="00BA22B4">
        <w:rPr>
          <w:rFonts w:cstheme="minorHAnsi"/>
          <w:bCs/>
        </w:rPr>
        <w:t xml:space="preserve">; </w:t>
      </w:r>
      <w:r w:rsidR="00BA22B4" w:rsidRPr="00BA22B4">
        <w:rPr>
          <w:rFonts w:cstheme="minorHAnsi"/>
          <w:b/>
          <w:bCs/>
        </w:rPr>
        <w:t>IV</w:t>
      </w:r>
      <w:r w:rsidRPr="000F04D2">
        <w:rPr>
          <w:rFonts w:cstheme="minorHAnsi"/>
          <w:bCs/>
        </w:rPr>
        <w:t xml:space="preserve">) provide valuable information about the redox conditions </w:t>
      </w:r>
      <w:r>
        <w:rPr>
          <w:rFonts w:cstheme="minorHAnsi"/>
          <w:bCs/>
        </w:rPr>
        <w:t xml:space="preserve">during deposition </w:t>
      </w:r>
      <w:r w:rsidRPr="000F04D2">
        <w:rPr>
          <w:rFonts w:cstheme="minorHAnsi"/>
          <w:bCs/>
        </w:rPr>
        <w:t xml:space="preserve">of the source rock. </w:t>
      </w:r>
      <w:r w:rsidR="00E15E12">
        <w:rPr>
          <w:rFonts w:cstheme="minorHAnsi"/>
          <w:bCs/>
        </w:rPr>
        <w:t>It is widely accepted that</w:t>
      </w:r>
      <w:r w:rsidRPr="000F04D2">
        <w:rPr>
          <w:rFonts w:cstheme="minorHAnsi"/>
          <w:bCs/>
        </w:rPr>
        <w:t xml:space="preserve"> </w:t>
      </w:r>
      <w:r w:rsidR="00E15E12">
        <w:rPr>
          <w:rFonts w:cstheme="minorHAnsi"/>
          <w:bCs/>
        </w:rPr>
        <w:t>they are</w:t>
      </w:r>
      <w:r w:rsidRPr="000F04D2">
        <w:rPr>
          <w:rFonts w:cstheme="minorHAnsi"/>
          <w:bCs/>
        </w:rPr>
        <w:t xml:space="preserve"> derived from </w:t>
      </w:r>
      <w:r>
        <w:rPr>
          <w:rFonts w:cstheme="minorHAnsi"/>
          <w:bCs/>
        </w:rPr>
        <w:t xml:space="preserve">the </w:t>
      </w:r>
      <w:r w:rsidRPr="000F04D2">
        <w:rPr>
          <w:rFonts w:cstheme="minorHAnsi"/>
          <w:bCs/>
        </w:rPr>
        <w:t>sidechain of chlorophyll bearing organisms although different precursors have been also proposed such as archaebacterial ether lipids for both of the isoprenoids or tocopherols for pristane (Didyk et a</w:t>
      </w:r>
      <w:r w:rsidR="008F029C">
        <w:rPr>
          <w:rFonts w:cstheme="minorHAnsi"/>
          <w:bCs/>
        </w:rPr>
        <w:t>l., 1978; Brassell and Eglinton</w:t>
      </w:r>
      <w:r w:rsidR="00FB6417">
        <w:rPr>
          <w:rFonts w:cstheme="minorHAnsi"/>
          <w:bCs/>
        </w:rPr>
        <w:t>,</w:t>
      </w:r>
      <w:r w:rsidR="00A64672">
        <w:rPr>
          <w:rFonts w:cstheme="minorHAnsi"/>
          <w:bCs/>
        </w:rPr>
        <w:t xml:space="preserve"> </w:t>
      </w:r>
      <w:r w:rsidRPr="000F04D2">
        <w:rPr>
          <w:rFonts w:cstheme="minorHAnsi"/>
          <w:bCs/>
        </w:rPr>
        <w:t xml:space="preserve">1983; Goossens et al., 1984; Koopmans et al., 1999). </w:t>
      </w:r>
      <w:r w:rsidRPr="00DC37A9">
        <w:rPr>
          <w:rFonts w:cstheme="minorHAnsi"/>
        </w:rPr>
        <w:t>The oxidation-reduction conditions of the depositional environment may</w:t>
      </w:r>
      <w:r w:rsidR="001474A3">
        <w:rPr>
          <w:rFonts w:cstheme="minorHAnsi"/>
        </w:rPr>
        <w:t xml:space="preserve"> be</w:t>
      </w:r>
      <w:r w:rsidR="001823A8">
        <w:rPr>
          <w:rFonts w:cstheme="minorHAnsi"/>
        </w:rPr>
        <w:t xml:space="preserve"> </w:t>
      </w:r>
      <w:r w:rsidR="002F4546">
        <w:rPr>
          <w:rFonts w:cstheme="minorHAnsi"/>
        </w:rPr>
        <w:t>indicate</w:t>
      </w:r>
      <w:r w:rsidR="001474A3">
        <w:rPr>
          <w:rFonts w:cstheme="minorHAnsi"/>
        </w:rPr>
        <w:t>d</w:t>
      </w:r>
      <w:r w:rsidR="001823A8">
        <w:rPr>
          <w:rFonts w:cstheme="minorHAnsi"/>
        </w:rPr>
        <w:t xml:space="preserve"> </w:t>
      </w:r>
      <w:r w:rsidR="00670323">
        <w:rPr>
          <w:rFonts w:cstheme="minorHAnsi"/>
        </w:rPr>
        <w:t>by</w:t>
      </w:r>
      <w:r w:rsidRPr="00DC37A9">
        <w:rPr>
          <w:rFonts w:cstheme="minorHAnsi"/>
        </w:rPr>
        <w:t xml:space="preserve"> differences in the ratio of </w:t>
      </w:r>
      <w:r w:rsidR="001823A8">
        <w:rPr>
          <w:rFonts w:cstheme="minorHAnsi"/>
        </w:rPr>
        <w:t>Pr/Ph</w:t>
      </w:r>
      <w:r w:rsidR="001823A8" w:rsidRPr="00DC37A9">
        <w:rPr>
          <w:rFonts w:cstheme="minorHAnsi"/>
        </w:rPr>
        <w:t xml:space="preserve">. </w:t>
      </w:r>
      <w:r w:rsidRPr="000F04D2">
        <w:rPr>
          <w:rFonts w:cstheme="minorHAnsi"/>
        </w:rPr>
        <w:t>For</w:t>
      </w:r>
      <w:r w:rsidRPr="009313D5">
        <w:rPr>
          <w:rFonts w:cstheme="minorHAnsi"/>
          <w:bCs/>
        </w:rPr>
        <w:t xml:space="preserve"> </w:t>
      </w:r>
      <w:r w:rsidR="00670323">
        <w:rPr>
          <w:rFonts w:cstheme="minorHAnsi"/>
          <w:bCs/>
        </w:rPr>
        <w:t>example</w:t>
      </w:r>
      <w:r w:rsidRPr="000F04D2">
        <w:rPr>
          <w:rFonts w:cstheme="minorHAnsi"/>
          <w:bCs/>
        </w:rPr>
        <w:t>, low Eh (oxidizing) conditions a</w:t>
      </w:r>
      <w:r>
        <w:rPr>
          <w:rFonts w:cstheme="minorHAnsi"/>
          <w:bCs/>
        </w:rPr>
        <w:t>re favorable for</w:t>
      </w:r>
      <w:r w:rsidR="00670323">
        <w:rPr>
          <w:rFonts w:cstheme="minorHAnsi"/>
          <w:bCs/>
        </w:rPr>
        <w:t xml:space="preserve"> the</w:t>
      </w:r>
      <w:r>
        <w:rPr>
          <w:rFonts w:cstheme="minorHAnsi"/>
          <w:bCs/>
        </w:rPr>
        <w:t xml:space="preserve"> occurrence of p</w:t>
      </w:r>
      <w:r w:rsidRPr="000F04D2">
        <w:rPr>
          <w:rFonts w:cstheme="minorHAnsi"/>
          <w:bCs/>
        </w:rPr>
        <w:t xml:space="preserve">ristane, while </w:t>
      </w:r>
      <w:r w:rsidRPr="000F04D2">
        <w:rPr>
          <w:rFonts w:cstheme="minorHAnsi"/>
        </w:rPr>
        <w:t>high Eh (reducing) depositional</w:t>
      </w:r>
      <w:r>
        <w:t xml:space="preserve"> environment favors the occurrence of p</w:t>
      </w:r>
      <w:r w:rsidR="00E15E12">
        <w:t>hytane (Powel</w:t>
      </w:r>
      <w:r w:rsidR="00E77BBB">
        <w:t>l</w:t>
      </w:r>
      <w:r w:rsidR="00E15E12">
        <w:t xml:space="preserve"> and McKirdy, 1973</w:t>
      </w:r>
      <w:r w:rsidRPr="000F04D2">
        <w:t>). Didyk et al. (1978) proposed</w:t>
      </w:r>
      <w:r>
        <w:t xml:space="preserve"> that </w:t>
      </w:r>
      <w:r w:rsidR="00F31555">
        <w:t xml:space="preserve">the </w:t>
      </w:r>
      <w:r>
        <w:t xml:space="preserve">Pr/Ph ratio </w:t>
      </w:r>
      <w:r w:rsidR="00F31555">
        <w:t xml:space="preserve">can </w:t>
      </w:r>
      <w:r w:rsidR="00670323">
        <w:t>provide</w:t>
      </w:r>
      <w:r>
        <w:t xml:space="preserve"> valuable information about organic matter type and depositional</w:t>
      </w:r>
      <w:r w:rsidRPr="009313D5">
        <w:t xml:space="preserve"> </w:t>
      </w:r>
      <w:r>
        <w:t>environment</w:t>
      </w:r>
      <w:r w:rsidRPr="009313D5">
        <w:t xml:space="preserve"> </w:t>
      </w:r>
      <w:r>
        <w:t xml:space="preserve">conditions as isoprenoids are less susceptible to thermal cracking or biodegradation.  Furthermore, Pr and Ph can be also used to interpret maturity and extent of biodegradation when combined </w:t>
      </w:r>
      <w:r w:rsidR="00670323">
        <w:t>with</w:t>
      </w:r>
      <w:r>
        <w:t xml:space="preserve"> n-alkanes C</w:t>
      </w:r>
      <w:r>
        <w:rPr>
          <w:vertAlign w:val="subscript"/>
        </w:rPr>
        <w:t xml:space="preserve">17 </w:t>
      </w:r>
      <w:r>
        <w:t>and C</w:t>
      </w:r>
      <w:r>
        <w:rPr>
          <w:vertAlign w:val="subscript"/>
        </w:rPr>
        <w:t>18</w:t>
      </w:r>
      <w:r>
        <w:t xml:space="preserve">, respectively </w:t>
      </w:r>
      <w:r>
        <w:lastRenderedPageBreak/>
        <w:t>(Shanmugam,</w:t>
      </w:r>
      <w:r w:rsidRPr="009313D5">
        <w:t xml:space="preserve"> </w:t>
      </w:r>
      <w:r>
        <w:t>1985; Waples, 1985).</w:t>
      </w:r>
      <w:r w:rsidRPr="009313D5">
        <w:t xml:space="preserve"> </w:t>
      </w:r>
      <w:r>
        <w:t xml:space="preserve">As generally accepted, Pr/Ph&lt;1 is indicative of anoxic depositional conditions when supported with other geochemical data such as </w:t>
      </w:r>
      <w:r w:rsidRPr="000F04D2">
        <w:t>high porphyrin and sulfur content (Peters et al.</w:t>
      </w:r>
      <w:r>
        <w:t xml:space="preserve">, 2005). </w:t>
      </w:r>
      <w:r w:rsidRPr="000F04D2">
        <w:t xml:space="preserve">Pr/Ph </w:t>
      </w:r>
      <w:r>
        <w:t xml:space="preserve">values </w:t>
      </w:r>
      <w:r w:rsidR="00670323">
        <w:t xml:space="preserve">between 1 and 3 </w:t>
      </w:r>
      <w:r>
        <w:t xml:space="preserve">indicates </w:t>
      </w:r>
      <w:r w:rsidR="002F4546">
        <w:t xml:space="preserve">a </w:t>
      </w:r>
      <w:r>
        <w:t xml:space="preserve">sub-oxic environment which </w:t>
      </w:r>
      <w:r w:rsidR="002F4546">
        <w:t>was</w:t>
      </w:r>
      <w:r>
        <w:t xml:space="preserve"> periodically influenced by different redox conditions and Pr/Ph &gt;3 is indicative of oxic depositional conditions with terrigenous organic matter influx.</w:t>
      </w:r>
    </w:p>
    <w:p w:rsidR="0099286C" w:rsidRDefault="00670323" w:rsidP="0099286C">
      <w:pPr>
        <w:ind w:firstLine="720"/>
        <w:jc w:val="both"/>
      </w:pPr>
      <w:r>
        <w:t xml:space="preserve">The </w:t>
      </w:r>
      <w:r w:rsidR="0099286C">
        <w:t>Pr/Ph ratios of most of the Morrow source rock samples from the Wang (1993) stu</w:t>
      </w:r>
      <w:r w:rsidR="00954092">
        <w:t>dy are greater than 1.0 (Table 6</w:t>
      </w:r>
      <w:r w:rsidR="0099286C">
        <w:t xml:space="preserve">). The only exception is MOR-74 sample whose Pr/Ph ratio is slightly less than 1.0. The results </w:t>
      </w:r>
      <w:r w:rsidR="00F31555">
        <w:t>being greater than one indicate</w:t>
      </w:r>
      <w:r>
        <w:t xml:space="preserve"> </w:t>
      </w:r>
      <w:r w:rsidR="0099286C">
        <w:t xml:space="preserve">that </w:t>
      </w:r>
      <w:r w:rsidR="00F31555">
        <w:t>the Morrow was deposited in a</w:t>
      </w:r>
      <w:r w:rsidR="0099286C">
        <w:t xml:space="preserve"> transitional depositional environment during which oxic and anoxic </w:t>
      </w:r>
      <w:r w:rsidR="0099286C" w:rsidRPr="000776CE">
        <w:t xml:space="preserve">conditions </w:t>
      </w:r>
      <w:r w:rsidR="000776CE" w:rsidRPr="000776CE">
        <w:t xml:space="preserve">alternatively </w:t>
      </w:r>
      <w:r w:rsidR="0099286C" w:rsidRPr="000776CE">
        <w:t>prevailed. Thus</w:t>
      </w:r>
      <w:r w:rsidR="000776CE">
        <w:t>,</w:t>
      </w:r>
      <w:r w:rsidR="0099286C" w:rsidRPr="000776CE">
        <w:t xml:space="preserve"> the depositional environment was supplied by both terrestrial and marine organic inp</w:t>
      </w:r>
      <w:r w:rsidR="0099286C">
        <w:t xml:space="preserve">ut. </w:t>
      </w:r>
      <w:r>
        <w:t xml:space="preserve">The </w:t>
      </w:r>
      <w:r w:rsidR="0099286C">
        <w:t xml:space="preserve">Pr/Ph ratio of the Kephart-I well is greater than 1 throughout the core with the exception of </w:t>
      </w:r>
      <w:r w:rsidR="00F31555">
        <w:t xml:space="preserve">the </w:t>
      </w:r>
      <w:r w:rsidR="0099286C">
        <w:t>8516-8495 ft</w:t>
      </w:r>
      <w:r w:rsidR="00DD7364">
        <w:t>. interval (Figure 28</w:t>
      </w:r>
      <w:r w:rsidR="00954092">
        <w:t>; Table 6</w:t>
      </w:r>
      <w:r w:rsidR="0099286C">
        <w:t>).</w:t>
      </w:r>
      <w:r>
        <w:t xml:space="preserve"> The</w:t>
      </w:r>
      <w:r w:rsidR="0099286C">
        <w:t xml:space="preserve"> Pr/Ph ratios of this interval are less than 1.0 indicating that anoxic conditions prevailed during deposition of this interval.  </w:t>
      </w:r>
      <w:r>
        <w:t xml:space="preserve">The </w:t>
      </w:r>
      <w:r w:rsidR="0099286C">
        <w:t xml:space="preserve">Pr/Ph ratios of the two core samples (H-2 and H-3) from Laverne-State-I well are 4.35 and 1.42, respectively, indicating that oxic to suboxic depositional conditions with terrigenous organic matter input prevailed during </w:t>
      </w:r>
      <w:r w:rsidR="0099286C" w:rsidRPr="00AA236F">
        <w:t xml:space="preserve">deposition of </w:t>
      </w:r>
      <w:r w:rsidR="0099286C">
        <w:t>the Morrow in</w:t>
      </w:r>
      <w:r w:rsidR="0097782F">
        <w:t xml:space="preserve"> Harper County. </w:t>
      </w:r>
      <w:r w:rsidR="00DD7364">
        <w:t>Figure 29</w:t>
      </w:r>
      <w:r w:rsidR="0099286C" w:rsidRPr="00AA236F">
        <w:t xml:space="preserve"> shows the cross plot of Pr/</w:t>
      </w:r>
      <w:r w:rsidR="0099286C" w:rsidRPr="00AA236F">
        <w:rPr>
          <w:i/>
        </w:rPr>
        <w:t>n</w:t>
      </w:r>
      <w:r w:rsidR="0099286C" w:rsidRPr="00AA236F">
        <w:t>-C</w:t>
      </w:r>
      <w:r w:rsidR="0099286C" w:rsidRPr="00AA236F">
        <w:rPr>
          <w:vertAlign w:val="subscript"/>
        </w:rPr>
        <w:t xml:space="preserve">17 </w:t>
      </w:r>
      <w:r w:rsidR="0099286C" w:rsidRPr="00AA236F">
        <w:t>vs.</w:t>
      </w:r>
      <w:r w:rsidR="0099286C">
        <w:t xml:space="preserve"> Ph/</w:t>
      </w:r>
      <w:r w:rsidR="0099286C" w:rsidRPr="00B53CA4">
        <w:rPr>
          <w:i/>
        </w:rPr>
        <w:t>n</w:t>
      </w:r>
      <w:r w:rsidR="0099286C">
        <w:t>-C</w:t>
      </w:r>
      <w:r w:rsidR="0099286C">
        <w:rPr>
          <w:vertAlign w:val="subscript"/>
        </w:rPr>
        <w:t>18</w:t>
      </w:r>
      <w:r w:rsidR="0099286C">
        <w:t xml:space="preserve"> in which samples plotted in</w:t>
      </w:r>
      <w:r w:rsidR="00C4354B">
        <w:t xml:space="preserve"> a</w:t>
      </w:r>
      <w:r w:rsidR="0099286C">
        <w:t xml:space="preserve"> transitional depositional setting with mixed organic matter. The plot also shows that the samples were not biodegraded since if they were, Pr/</w:t>
      </w:r>
      <w:r w:rsidR="0099286C" w:rsidRPr="00B53CA4">
        <w:rPr>
          <w:i/>
        </w:rPr>
        <w:t>n</w:t>
      </w:r>
      <w:r w:rsidR="0099286C">
        <w:t>-C</w:t>
      </w:r>
      <w:r w:rsidR="0099286C">
        <w:rPr>
          <w:vertAlign w:val="subscript"/>
        </w:rPr>
        <w:t xml:space="preserve">17 </w:t>
      </w:r>
      <w:r w:rsidR="0099286C">
        <w:t>vs. Ph/</w:t>
      </w:r>
      <w:r w:rsidR="0099286C" w:rsidRPr="00B53CA4">
        <w:rPr>
          <w:i/>
        </w:rPr>
        <w:t>n</w:t>
      </w:r>
      <w:r w:rsidR="0099286C">
        <w:t>-C</w:t>
      </w:r>
      <w:r w:rsidR="0099286C">
        <w:rPr>
          <w:vertAlign w:val="subscript"/>
        </w:rPr>
        <w:t xml:space="preserve">18 </w:t>
      </w:r>
      <w:r w:rsidR="0099286C">
        <w:t xml:space="preserve">ratio would </w:t>
      </w:r>
      <w:r w:rsidR="00C4354B">
        <w:t xml:space="preserve">be </w:t>
      </w:r>
      <w:r w:rsidR="0099286C">
        <w:t>expected to be elevated since n-alkanes are removed before the isoprenoids in biodegraded organic matter.</w:t>
      </w:r>
    </w:p>
    <w:p w:rsidR="00954092" w:rsidRDefault="00954092" w:rsidP="00954092">
      <w:pPr>
        <w:pStyle w:val="ResimYazs"/>
        <w:keepNext/>
        <w:jc w:val="both"/>
      </w:pPr>
      <w:bookmarkStart w:id="86" w:name="_Toc507508796"/>
      <w:r>
        <w:lastRenderedPageBreak/>
        <w:t xml:space="preserve">Table </w:t>
      </w:r>
      <w:fldSimple w:instr=" SEQ Table \* ARABIC ">
        <w:r w:rsidR="003F6459">
          <w:rPr>
            <w:noProof/>
          </w:rPr>
          <w:t>6</w:t>
        </w:r>
      </w:fldSimple>
      <w:r>
        <w:t xml:space="preserve">. </w:t>
      </w:r>
      <w:r>
        <w:rPr>
          <w:b w:val="0"/>
        </w:rPr>
        <w:t>Calculated isoprenoid, tricyclic and pentacyclic terpane values for the Morrow source rock samples</w:t>
      </w:r>
      <w:bookmarkEnd w:id="86"/>
    </w:p>
    <w:p w:rsidR="00954092" w:rsidRDefault="00FE6D6A" w:rsidP="00954092">
      <w:pPr>
        <w:jc w:val="both"/>
      </w:pPr>
      <w:r w:rsidRPr="00FE6D6A">
        <w:rPr>
          <w:noProof/>
          <w:lang w:val="tr-TR" w:eastAsia="tr-TR" w:bidi="ar-SA"/>
        </w:rPr>
        <w:drawing>
          <wp:inline distT="0" distB="0" distL="0" distR="0">
            <wp:extent cx="5433060" cy="7655442"/>
            <wp:effectExtent l="0" t="0" r="0" b="3175"/>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54282" cy="7685345"/>
                    </a:xfrm>
                    <a:prstGeom prst="rect">
                      <a:avLst/>
                    </a:prstGeom>
                    <a:noFill/>
                    <a:ln>
                      <a:noFill/>
                    </a:ln>
                  </pic:spPr>
                </pic:pic>
              </a:graphicData>
            </a:graphic>
          </wp:inline>
        </w:drawing>
      </w:r>
    </w:p>
    <w:p w:rsidR="0097782F" w:rsidRDefault="00DD7364" w:rsidP="0097782F">
      <w:pPr>
        <w:keepNext/>
        <w:jc w:val="center"/>
      </w:pPr>
      <w:r>
        <w:rPr>
          <w:noProof/>
          <w:lang w:val="tr-TR" w:eastAsia="tr-TR" w:bidi="ar-SA"/>
        </w:rPr>
        <w:lastRenderedPageBreak/>
        <w:drawing>
          <wp:inline distT="0" distB="0" distL="0" distR="0" wp14:anchorId="39414D0C" wp14:editId="19358C9E">
            <wp:extent cx="2180590" cy="5334000"/>
            <wp:effectExtent l="19050" t="19050" r="10160" b="1905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0">
                      <a:extLst>
                        <a:ext uri="{28A0092B-C50C-407E-A947-70E740481C1C}">
                          <a14:useLocalDpi xmlns:a14="http://schemas.microsoft.com/office/drawing/2010/main" val="0"/>
                        </a:ext>
                      </a:extLst>
                    </a:blip>
                    <a:srcRect r="9313" b="11653"/>
                    <a:stretch/>
                  </pic:blipFill>
                  <pic:spPr bwMode="auto">
                    <a:xfrm>
                      <a:off x="0" y="0"/>
                      <a:ext cx="2194863" cy="536891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97782F" w:rsidRDefault="0097782F" w:rsidP="0097782F">
      <w:pPr>
        <w:pStyle w:val="ResimYazs"/>
        <w:jc w:val="center"/>
      </w:pPr>
      <w:bookmarkStart w:id="87" w:name="_Toc507509076"/>
      <w:r>
        <w:t xml:space="preserve">Figure </w:t>
      </w:r>
      <w:fldSimple w:instr=" SEQ Figure \* ARABIC ">
        <w:r w:rsidR="003F6459">
          <w:rPr>
            <w:noProof/>
          </w:rPr>
          <w:t>28</w:t>
        </w:r>
      </w:fldSimple>
      <w:r>
        <w:t xml:space="preserve">. </w:t>
      </w:r>
      <w:r w:rsidRPr="00F70A08">
        <w:rPr>
          <w:b w:val="0"/>
        </w:rPr>
        <w:t xml:space="preserve">Pr/Ph </w:t>
      </w:r>
      <w:r>
        <w:rPr>
          <w:b w:val="0"/>
        </w:rPr>
        <w:t>ratio</w:t>
      </w:r>
      <w:r w:rsidRPr="00F70A08">
        <w:rPr>
          <w:b w:val="0"/>
        </w:rPr>
        <w:t xml:space="preserve"> plotted against depth for the Kephart-I Well</w:t>
      </w:r>
      <w:r>
        <w:rPr>
          <w:b w:val="0"/>
        </w:rPr>
        <w:t>.</w:t>
      </w:r>
      <w:bookmarkEnd w:id="87"/>
    </w:p>
    <w:p w:rsidR="00DD7364" w:rsidRPr="00DD7364" w:rsidRDefault="0097782F" w:rsidP="0097782F">
      <w:pPr>
        <w:pStyle w:val="ResimYazs"/>
        <w:jc w:val="center"/>
      </w:pPr>
      <w:r>
        <w:tab/>
      </w:r>
    </w:p>
    <w:p w:rsidR="00DD7364" w:rsidRDefault="00DD7364" w:rsidP="00DD7364">
      <w:pPr>
        <w:pStyle w:val="Balk3"/>
      </w:pPr>
      <w:bookmarkStart w:id="88" w:name="_Toc504658453"/>
      <w:bookmarkStart w:id="89" w:name="_Toc507506648"/>
      <w:r>
        <w:t>4.3.2 Bicyclic Sesquiterpanes</w:t>
      </w:r>
      <w:bookmarkEnd w:id="88"/>
      <w:bookmarkEnd w:id="89"/>
      <w:r>
        <w:t xml:space="preserve"> </w:t>
      </w:r>
    </w:p>
    <w:p w:rsidR="00DD7364" w:rsidRDefault="00DD7364" w:rsidP="00DD7364">
      <w:pPr>
        <w:jc w:val="both"/>
      </w:pPr>
      <w:r>
        <w:t>The occurrence of bicyclic sesquiterpanes in crude oils and sediments have been reported by several authors (Philp et al., 1981; Alexander et al., 1983; Weston et al., 1989; Yang et al., 2008). Alexander et al. (1984) proposed that widespread occurrence of drimanes, such as 8</w:t>
      </w:r>
      <w:r>
        <w:rPr>
          <w:rFonts w:cstheme="minorHAnsi"/>
        </w:rPr>
        <w:t>β</w:t>
      </w:r>
      <w:r>
        <w:t xml:space="preserve"> (H) drimane</w:t>
      </w:r>
      <w:r w:rsidR="00BA22B4">
        <w:t xml:space="preserve"> (</w:t>
      </w:r>
      <w:r w:rsidR="00BA22B4" w:rsidRPr="00BA22B4">
        <w:rPr>
          <w:b/>
        </w:rPr>
        <w:t>V</w:t>
      </w:r>
      <w:r w:rsidR="00BA22B4">
        <w:t>)</w:t>
      </w:r>
      <w:r>
        <w:t xml:space="preserve"> and 8</w:t>
      </w:r>
      <w:r>
        <w:rPr>
          <w:rFonts w:cstheme="minorHAnsi"/>
        </w:rPr>
        <w:t>β</w:t>
      </w:r>
      <w:r>
        <w:t xml:space="preserve"> (H) homodrimane</w:t>
      </w:r>
      <w:r w:rsidR="00BA22B4">
        <w:t xml:space="preserve"> (</w:t>
      </w:r>
      <w:r w:rsidR="00BA22B4" w:rsidRPr="00BA22B4">
        <w:rPr>
          <w:b/>
        </w:rPr>
        <w:t>VI</w:t>
      </w:r>
      <w:r w:rsidR="00BA22B4">
        <w:t>)</w:t>
      </w:r>
      <w:r>
        <w:t xml:space="preserve">, is related to the fact that they </w:t>
      </w:r>
      <w:r w:rsidRPr="00F31555">
        <w:t xml:space="preserve">are derived from a ubiquitous source. Weston et al. (1989) stated that drimanes are </w:t>
      </w:r>
      <w:r w:rsidRPr="00954092">
        <w:t>bacterial</w:t>
      </w:r>
      <w:r w:rsidR="00F31555" w:rsidRPr="00954092">
        <w:t xml:space="preserve"> degradation products of hopanoids during diagenesis while the sesquiterpane</w:t>
      </w:r>
      <w:r w:rsidR="00F31555">
        <w:t xml:space="preserve"> </w:t>
      </w:r>
    </w:p>
    <w:p w:rsidR="00DC3478" w:rsidRDefault="008451C3" w:rsidP="00DC3478">
      <w:pPr>
        <w:pStyle w:val="ResimYazs"/>
        <w:keepNext/>
        <w:spacing w:line="480" w:lineRule="auto"/>
        <w:jc w:val="both"/>
      </w:pPr>
      <w:r w:rsidRPr="008451C3">
        <w:rPr>
          <w:noProof/>
          <w:lang w:val="tr-TR" w:eastAsia="tr-TR" w:bidi="ar-SA"/>
        </w:rPr>
        <w:lastRenderedPageBreak/>
        <w:drawing>
          <wp:inline distT="0" distB="0" distL="0" distR="0" wp14:anchorId="3A2B7C05" wp14:editId="3F5765E0">
            <wp:extent cx="5500110" cy="3838353"/>
            <wp:effectExtent l="0" t="0" r="5715" b="0"/>
            <wp:docPr id="2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rotWithShape="1">
                    <a:blip r:embed="rId51"/>
                    <a:srcRect l="1444" t="7617" r="7639" b="1579"/>
                    <a:stretch/>
                  </pic:blipFill>
                  <pic:spPr bwMode="auto">
                    <a:xfrm>
                      <a:off x="0" y="0"/>
                      <a:ext cx="5534369" cy="3862262"/>
                    </a:xfrm>
                    <a:prstGeom prst="rect">
                      <a:avLst/>
                    </a:prstGeom>
                    <a:ln>
                      <a:noFill/>
                    </a:ln>
                    <a:extLst>
                      <a:ext uri="{53640926-AAD7-44D8-BBD7-CCE9431645EC}">
                        <a14:shadowObscured xmlns:a14="http://schemas.microsoft.com/office/drawing/2010/main"/>
                      </a:ext>
                    </a:extLst>
                  </pic:spPr>
                </pic:pic>
              </a:graphicData>
            </a:graphic>
          </wp:inline>
        </w:drawing>
      </w:r>
    </w:p>
    <w:p w:rsidR="0099286C" w:rsidRPr="00DC3478" w:rsidRDefault="00DC3478" w:rsidP="00DC3478">
      <w:pPr>
        <w:pStyle w:val="ResimYazs"/>
        <w:jc w:val="both"/>
        <w:rPr>
          <w:b w:val="0"/>
        </w:rPr>
      </w:pPr>
      <w:bookmarkStart w:id="90" w:name="_Toc507509077"/>
      <w:r>
        <w:t xml:space="preserve">Figure </w:t>
      </w:r>
      <w:fldSimple w:instr=" SEQ Figure \* ARABIC ">
        <w:r w:rsidR="003F6459">
          <w:rPr>
            <w:noProof/>
          </w:rPr>
          <w:t>29</w:t>
        </w:r>
      </w:fldSimple>
      <w:r>
        <w:t xml:space="preserve">. </w:t>
      </w:r>
      <w:r>
        <w:rPr>
          <w:b w:val="0"/>
        </w:rPr>
        <w:t xml:space="preserve">Cross plot of </w:t>
      </w:r>
      <w:r w:rsidRPr="00F70A08">
        <w:rPr>
          <w:b w:val="0"/>
        </w:rPr>
        <w:t>Pr/</w:t>
      </w:r>
      <w:r w:rsidRPr="00F70A08">
        <w:rPr>
          <w:b w:val="0"/>
          <w:i/>
        </w:rPr>
        <w:t>n</w:t>
      </w:r>
      <w:r w:rsidRPr="00F70A08">
        <w:rPr>
          <w:b w:val="0"/>
        </w:rPr>
        <w:t>-C</w:t>
      </w:r>
      <w:r w:rsidRPr="00F70A08">
        <w:rPr>
          <w:b w:val="0"/>
          <w:vertAlign w:val="subscript"/>
        </w:rPr>
        <w:t>17</w:t>
      </w:r>
      <w:r w:rsidRPr="00DC3478">
        <w:rPr>
          <w:b w:val="0"/>
        </w:rPr>
        <w:t xml:space="preserve"> </w:t>
      </w:r>
      <w:r w:rsidRPr="00F70A08">
        <w:rPr>
          <w:b w:val="0"/>
        </w:rPr>
        <w:t>vs. Ph/</w:t>
      </w:r>
      <w:r w:rsidRPr="00F70A08">
        <w:rPr>
          <w:b w:val="0"/>
          <w:i/>
        </w:rPr>
        <w:t>n</w:t>
      </w:r>
      <w:r w:rsidRPr="00F70A08">
        <w:rPr>
          <w:b w:val="0"/>
        </w:rPr>
        <w:t>-C</w:t>
      </w:r>
      <w:r w:rsidRPr="00F70A08">
        <w:rPr>
          <w:b w:val="0"/>
          <w:vertAlign w:val="subscript"/>
        </w:rPr>
        <w:t>18</w:t>
      </w:r>
      <w:r>
        <w:rPr>
          <w:b w:val="0"/>
        </w:rPr>
        <w:t xml:space="preserve"> shows</w:t>
      </w:r>
      <w:r w:rsidR="007346E1">
        <w:rPr>
          <w:b w:val="0"/>
        </w:rPr>
        <w:t xml:space="preserve"> the</w:t>
      </w:r>
      <w:r>
        <w:rPr>
          <w:b w:val="0"/>
        </w:rPr>
        <w:t xml:space="preserve"> Morrow samples falling into mixed organic matter zone (</w:t>
      </w:r>
      <w:r>
        <w:rPr>
          <w:b w:val="0"/>
          <w:i/>
        </w:rPr>
        <w:t>n-</w:t>
      </w:r>
      <w:r>
        <w:rPr>
          <w:b w:val="0"/>
        </w:rPr>
        <w:t>C</w:t>
      </w:r>
      <w:r>
        <w:rPr>
          <w:b w:val="0"/>
          <w:vertAlign w:val="subscript"/>
        </w:rPr>
        <w:t>17</w:t>
      </w:r>
      <w:r>
        <w:rPr>
          <w:b w:val="0"/>
        </w:rPr>
        <w:t>: C</w:t>
      </w:r>
      <w:r>
        <w:rPr>
          <w:b w:val="0"/>
          <w:vertAlign w:val="subscript"/>
        </w:rPr>
        <w:t xml:space="preserve">17 </w:t>
      </w:r>
      <w:r>
        <w:rPr>
          <w:b w:val="0"/>
        </w:rPr>
        <w:t xml:space="preserve">normal alkane; </w:t>
      </w:r>
      <w:r>
        <w:rPr>
          <w:b w:val="0"/>
          <w:i/>
        </w:rPr>
        <w:t>n-</w:t>
      </w:r>
      <w:r>
        <w:rPr>
          <w:b w:val="0"/>
        </w:rPr>
        <w:t>C</w:t>
      </w:r>
      <w:r>
        <w:rPr>
          <w:b w:val="0"/>
          <w:vertAlign w:val="subscript"/>
        </w:rPr>
        <w:t>18</w:t>
      </w:r>
      <w:r>
        <w:rPr>
          <w:b w:val="0"/>
        </w:rPr>
        <w:t>:C</w:t>
      </w:r>
      <w:r>
        <w:rPr>
          <w:b w:val="0"/>
          <w:vertAlign w:val="subscript"/>
        </w:rPr>
        <w:t>18</w:t>
      </w:r>
      <w:r w:rsidRPr="00DC3478">
        <w:rPr>
          <w:b w:val="0"/>
        </w:rPr>
        <w:t xml:space="preserve"> </w:t>
      </w:r>
      <w:r>
        <w:rPr>
          <w:b w:val="0"/>
        </w:rPr>
        <w:t>normal alkane)</w:t>
      </w:r>
      <w:bookmarkEnd w:id="90"/>
    </w:p>
    <w:p w:rsidR="0099286C" w:rsidRPr="009313D5" w:rsidRDefault="0099286C" w:rsidP="0099286C"/>
    <w:p w:rsidR="0099286C" w:rsidRDefault="0099286C" w:rsidP="00DD7364">
      <w:pPr>
        <w:jc w:val="both"/>
        <w:rPr>
          <w:noProof/>
          <w:lang w:val="tr-TR" w:eastAsia="tr-TR" w:bidi="ar-SA"/>
        </w:rPr>
      </w:pPr>
      <w:r>
        <w:t>4</w:t>
      </w:r>
      <w:r>
        <w:rPr>
          <w:rFonts w:cstheme="minorHAnsi"/>
        </w:rPr>
        <w:t>β</w:t>
      </w:r>
      <w:r>
        <w:t>-eudesmane</w:t>
      </w:r>
      <w:r w:rsidR="00BA22B4">
        <w:t xml:space="preserve"> (</w:t>
      </w:r>
      <w:r w:rsidR="00BA22B4" w:rsidRPr="00BA22B4">
        <w:rPr>
          <w:b/>
        </w:rPr>
        <w:t>VII</w:t>
      </w:r>
      <w:r w:rsidR="00BA22B4">
        <w:t>)</w:t>
      </w:r>
      <w:r>
        <w:t xml:space="preserve"> is derived from land plants (Alexander et al., 1984; Weston et al., 1989). The identification of C</w:t>
      </w:r>
      <w:r>
        <w:rPr>
          <w:vertAlign w:val="subscript"/>
        </w:rPr>
        <w:t>15</w:t>
      </w:r>
      <w:r>
        <w:t xml:space="preserve"> and C</w:t>
      </w:r>
      <w:r>
        <w:rPr>
          <w:vertAlign w:val="subscript"/>
        </w:rPr>
        <w:t>16</w:t>
      </w:r>
      <w:r>
        <w:t xml:space="preserve"> sesquiterpanes in </w:t>
      </w:r>
      <w:r w:rsidR="007346E1">
        <w:t xml:space="preserve">the </w:t>
      </w:r>
      <w:r>
        <w:t>Morrow samples, apart from the 4</w:t>
      </w:r>
      <w:r>
        <w:rPr>
          <w:rFonts w:cstheme="minorHAnsi"/>
        </w:rPr>
        <w:t>β</w:t>
      </w:r>
      <w:r>
        <w:t xml:space="preserve">-eudesmane, indicates the bacterial contribution to the organic matter during deposition of </w:t>
      </w:r>
      <w:r w:rsidR="00D02D0B">
        <w:t xml:space="preserve">the </w:t>
      </w:r>
      <w:r>
        <w:t>Morrow. Moreover, the occurrence of 4</w:t>
      </w:r>
      <w:r>
        <w:rPr>
          <w:rFonts w:cstheme="minorHAnsi"/>
        </w:rPr>
        <w:t>β</w:t>
      </w:r>
      <w:r>
        <w:t>-eudesmane in most of the studied samples supports the contribution of land plant material into the depositional environment. The C</w:t>
      </w:r>
      <w:r>
        <w:rPr>
          <w:vertAlign w:val="subscript"/>
        </w:rPr>
        <w:t>15</w:t>
      </w:r>
      <w:r>
        <w:t>-C</w:t>
      </w:r>
      <w:r>
        <w:rPr>
          <w:vertAlign w:val="subscript"/>
        </w:rPr>
        <w:t>16</w:t>
      </w:r>
      <w:r>
        <w:t xml:space="preserve"> sesquiterpanes distribution were identified by the partial fragmentogram of the</w:t>
      </w:r>
      <w:r w:rsidR="00954092">
        <w:t xml:space="preserve"> m/z 123 ion (Figure 30; Table 7</w:t>
      </w:r>
      <w:r>
        <w:t>).</w:t>
      </w:r>
    </w:p>
    <w:p w:rsidR="00DC3478" w:rsidRDefault="0099286C" w:rsidP="00DC3478">
      <w:pPr>
        <w:keepNext/>
        <w:jc w:val="both"/>
      </w:pPr>
      <w:r w:rsidRPr="00837B02">
        <w:rPr>
          <w:noProof/>
          <w:lang w:val="tr-TR" w:eastAsia="tr-TR" w:bidi="ar-SA"/>
        </w:rPr>
        <w:lastRenderedPageBreak/>
        <w:drawing>
          <wp:inline distT="0" distB="0" distL="0" distR="0" wp14:anchorId="75B36DC1" wp14:editId="7F8669D0">
            <wp:extent cx="5146502" cy="5092262"/>
            <wp:effectExtent l="19050" t="19050" r="16510" b="13335"/>
            <wp:docPr id="75"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Resim 74"/>
                    <pic:cNvPicPr>
                      <a:picLocks noChangeAspect="1"/>
                    </pic:cNvPicPr>
                  </pic:nvPicPr>
                  <pic:blipFill>
                    <a:blip r:embed="rId52">
                      <a:extLst>
                        <a:ext uri="{BEBA8EAE-BF5A-486C-A8C5-ECC9F3942E4B}">
                          <a14:imgProps xmlns:a14="http://schemas.microsoft.com/office/drawing/2010/main">
                            <a14:imgLayer r:embed="rId53">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163979" cy="5109554"/>
                    </a:xfrm>
                    <a:prstGeom prst="rect">
                      <a:avLst/>
                    </a:prstGeom>
                    <a:ln>
                      <a:solidFill>
                        <a:schemeClr val="tx1"/>
                      </a:solidFill>
                    </a:ln>
                  </pic:spPr>
                </pic:pic>
              </a:graphicData>
            </a:graphic>
          </wp:inline>
        </w:drawing>
      </w:r>
    </w:p>
    <w:p w:rsidR="0099286C" w:rsidRDefault="00DC3478" w:rsidP="00DC3478">
      <w:pPr>
        <w:pStyle w:val="ResimYazs"/>
        <w:jc w:val="both"/>
      </w:pPr>
      <w:bookmarkStart w:id="91" w:name="_Toc507509078"/>
      <w:r>
        <w:t xml:space="preserve">Figure </w:t>
      </w:r>
      <w:fldSimple w:instr=" SEQ Figure \* ARABIC ">
        <w:r w:rsidR="003F6459">
          <w:rPr>
            <w:noProof/>
          </w:rPr>
          <w:t>30</w:t>
        </w:r>
      </w:fldSimple>
      <w:r>
        <w:t xml:space="preserve">. </w:t>
      </w:r>
      <w:r w:rsidR="00F31555">
        <w:rPr>
          <w:b w:val="0"/>
        </w:rPr>
        <w:t>Partial</w:t>
      </w:r>
      <w:r w:rsidR="00CF04FC">
        <w:rPr>
          <w:b w:val="0"/>
        </w:rPr>
        <w:t xml:space="preserve"> </w:t>
      </w:r>
      <w:r w:rsidR="00F31555">
        <w:rPr>
          <w:b w:val="0"/>
        </w:rPr>
        <w:t>f</w:t>
      </w:r>
      <w:r w:rsidRPr="00837B02">
        <w:rPr>
          <w:b w:val="0"/>
        </w:rPr>
        <w:t>ragmentogram of the m/z 123</w:t>
      </w:r>
      <w:r>
        <w:rPr>
          <w:b w:val="0"/>
        </w:rPr>
        <w:t xml:space="preserve"> </w:t>
      </w:r>
      <w:r w:rsidRPr="00837B02">
        <w:rPr>
          <w:b w:val="0"/>
        </w:rPr>
        <w:t>ion showing the sesquiterpane distribution. Identification of the compounds given in the Table</w:t>
      </w:r>
      <w:r w:rsidR="00DE665F">
        <w:rPr>
          <w:b w:val="0"/>
        </w:rPr>
        <w:t xml:space="preserve"> 7</w:t>
      </w:r>
      <w:r w:rsidRPr="00837B02">
        <w:rPr>
          <w:b w:val="0"/>
        </w:rPr>
        <w:t>.</w:t>
      </w:r>
      <w:bookmarkEnd w:id="91"/>
    </w:p>
    <w:p w:rsidR="0099286C" w:rsidRPr="0099286C" w:rsidRDefault="0099286C" w:rsidP="0099286C">
      <w:pPr>
        <w:spacing w:line="240" w:lineRule="auto"/>
      </w:pPr>
    </w:p>
    <w:p w:rsidR="0099286C" w:rsidRDefault="0099286C" w:rsidP="0099286C">
      <w:pPr>
        <w:pStyle w:val="ResimYazs"/>
        <w:keepNext/>
        <w:jc w:val="center"/>
      </w:pPr>
      <w:bookmarkStart w:id="92" w:name="_Toc507508797"/>
      <w:r>
        <w:t xml:space="preserve">Table </w:t>
      </w:r>
      <w:fldSimple w:instr=" SEQ Table \* ARABIC ">
        <w:r w:rsidR="003F6459">
          <w:rPr>
            <w:noProof/>
          </w:rPr>
          <w:t>7</w:t>
        </w:r>
      </w:fldSimple>
      <w:r>
        <w:t xml:space="preserve">. </w:t>
      </w:r>
      <w:r w:rsidRPr="00210361">
        <w:rPr>
          <w:b w:val="0"/>
        </w:rPr>
        <w:t>(m/z 123</w:t>
      </w:r>
      <w:r>
        <w:rPr>
          <w:b w:val="0"/>
        </w:rPr>
        <w:t>) Sesquiterpane Identification</w:t>
      </w:r>
      <w:bookmarkEnd w:id="92"/>
    </w:p>
    <w:p w:rsidR="0099286C" w:rsidRDefault="0099286C" w:rsidP="0099286C">
      <w:pPr>
        <w:jc w:val="center"/>
      </w:pPr>
      <w:r w:rsidRPr="00AF3D98">
        <w:rPr>
          <w:noProof/>
          <w:lang w:val="tr-TR" w:eastAsia="tr-TR" w:bidi="ar-SA"/>
        </w:rPr>
        <w:drawing>
          <wp:inline distT="0" distB="0" distL="0" distR="0" wp14:anchorId="6296558F" wp14:editId="3C5D38AC">
            <wp:extent cx="4284041" cy="2125683"/>
            <wp:effectExtent l="19050" t="19050" r="2540" b="8255"/>
            <wp:docPr id="617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rotWithShape="1">
                    <a:blip r:embed="rId54">
                      <a:extLst>
                        <a:ext uri="{28A0092B-C50C-407E-A947-70E740481C1C}">
                          <a14:useLocalDpi xmlns:a14="http://schemas.microsoft.com/office/drawing/2010/main" val="0"/>
                        </a:ext>
                      </a:extLst>
                    </a:blip>
                    <a:srcRect l="-2648" r="9075" b="6251"/>
                    <a:stretch/>
                  </pic:blipFill>
                  <pic:spPr bwMode="auto">
                    <a:xfrm>
                      <a:off x="0" y="0"/>
                      <a:ext cx="4333778" cy="215036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9286C" w:rsidRDefault="0099286C" w:rsidP="0099286C">
      <w:pPr>
        <w:pStyle w:val="Balk3"/>
      </w:pPr>
      <w:bookmarkStart w:id="93" w:name="_Toc504658454"/>
      <w:bookmarkStart w:id="94" w:name="_Toc507506649"/>
      <w:r>
        <w:lastRenderedPageBreak/>
        <w:t>4.3.3 The Tricyclic Terpanes</w:t>
      </w:r>
      <w:bookmarkEnd w:id="93"/>
      <w:bookmarkEnd w:id="94"/>
      <w:r>
        <w:t xml:space="preserve"> </w:t>
      </w:r>
    </w:p>
    <w:p w:rsidR="0099286C" w:rsidRDefault="0099286C" w:rsidP="0099286C">
      <w:pPr>
        <w:jc w:val="both"/>
      </w:pPr>
      <w:r>
        <w:tab/>
        <w:t xml:space="preserve">Terpanes are one of </w:t>
      </w:r>
      <w:r w:rsidR="00CF04FC">
        <w:t xml:space="preserve">the most common biomarker group </w:t>
      </w:r>
      <w:r>
        <w:t>found in the saturate fraction</w:t>
      </w:r>
      <w:r w:rsidR="00D02D0B">
        <w:t>s</w:t>
      </w:r>
      <w:r>
        <w:t xml:space="preserve"> of source rocks and oils. They are not only useful for correlation purposes but also for maturity, depositional environment, organic input and migration assessment (Didyk et al., 1978; Wang et al., 2012; Zhang and Philp, 2012; Tao et al., 2015). Each terpane family exists as a homologous series with numerous isomers and epimers and each of them have different utilities in geochemistry. However, only the tricyclic and the pentacyclic terpane families will be discussed under the scope of this project. </w:t>
      </w:r>
    </w:p>
    <w:p w:rsidR="0099286C" w:rsidRDefault="0099286C" w:rsidP="00C55A8D">
      <w:pPr>
        <w:jc w:val="both"/>
      </w:pPr>
      <w:r>
        <w:tab/>
        <w:t>The tricyclic terpane series starts with C</w:t>
      </w:r>
      <w:r w:rsidRPr="00D82AAB">
        <w:rPr>
          <w:vertAlign w:val="subscript"/>
        </w:rPr>
        <w:t>19</w:t>
      </w:r>
      <w:r>
        <w:t xml:space="preserve"> and has been known to extend at least up to C</w:t>
      </w:r>
      <w:r w:rsidRPr="00D82AAB">
        <w:rPr>
          <w:vertAlign w:val="subscript"/>
        </w:rPr>
        <w:t>54</w:t>
      </w:r>
      <w:r>
        <w:t xml:space="preserve"> as proposed by De Grande et al. (1993). However, they are commonly identified up to C</w:t>
      </w:r>
      <w:r>
        <w:rPr>
          <w:vertAlign w:val="subscript"/>
        </w:rPr>
        <w:t xml:space="preserve">29 </w:t>
      </w:r>
      <w:r>
        <w:t>as an extended series and are often concealed by pentacyclic hopanes in m/z 191 ion chromatogram</w:t>
      </w:r>
      <w:r w:rsidR="00D02D0B">
        <w:t>s</w:t>
      </w:r>
      <w:r>
        <w:t xml:space="preserve"> (Tao et al., 2015). Despite their widespread occurrence, the origin of the tricyclic terpanes has been debated for a long time. For instance, Ourisson et al. (1982) and Heissler and Ladenburger (1988) suggested that the precursor</w:t>
      </w:r>
      <w:r w:rsidR="00CF04FC">
        <w:t>s</w:t>
      </w:r>
      <w:r>
        <w:t xml:space="preserve"> of the tricyclic terpanes (for &lt; C</w:t>
      </w:r>
      <w:r>
        <w:rPr>
          <w:vertAlign w:val="subscript"/>
        </w:rPr>
        <w:t>30</w:t>
      </w:r>
      <w:r>
        <w:t>) are C</w:t>
      </w:r>
      <w:r>
        <w:rPr>
          <w:vertAlign w:val="subscript"/>
        </w:rPr>
        <w:t xml:space="preserve">30 </w:t>
      </w:r>
      <w:r>
        <w:t>isoprenoids which may be d</w:t>
      </w:r>
      <w:r w:rsidR="00D91200">
        <w:t>erived from lipids in prokaryotic</w:t>
      </w:r>
      <w:r>
        <w:t xml:space="preserve"> membranes. </w:t>
      </w:r>
      <w:r w:rsidR="00D02D0B">
        <w:t>Alternatively</w:t>
      </w:r>
      <w:r>
        <w:t xml:space="preserve">, they were proposed to be the main constituents of </w:t>
      </w:r>
      <w:r w:rsidRPr="00FB1948">
        <w:rPr>
          <w:i/>
        </w:rPr>
        <w:t>Tasmanites</w:t>
      </w:r>
      <w:r>
        <w:t xml:space="preserve">, </w:t>
      </w:r>
      <w:r w:rsidR="008451C3">
        <w:t>a kind of primitive algae</w:t>
      </w:r>
      <w:r>
        <w:t xml:space="preserve">, by Aquino Neto et al. (1989); Volkman et al. (1989) and Azevedo et al. (1992). The tricyclic terpanes </w:t>
      </w:r>
      <w:r w:rsidR="00C55A8D">
        <w:t xml:space="preserve">are thermally more stable than the hopanes and therefore the ratio of tricyclic terpanes to hopanes was suggested to use as maturity </w:t>
      </w:r>
      <w:r w:rsidR="00C55A8D" w:rsidRPr="00DA457E">
        <w:t>indicator (Peters and Moldowan, 1993). The</w:t>
      </w:r>
      <w:r w:rsidR="00C55A8D">
        <w:t xml:space="preserve"> ratio increas</w:t>
      </w:r>
      <w:r w:rsidR="00FD52AC">
        <w:t>es with the increasing maturity in the exten</w:t>
      </w:r>
      <w:r w:rsidR="00954092">
        <w:t>t</w:t>
      </w:r>
      <w:r w:rsidR="00FD52AC">
        <w:t xml:space="preserve"> of late oil window (Farrimon</w:t>
      </w:r>
      <w:r w:rsidR="0025725D">
        <w:t xml:space="preserve">d et al., 1999). </w:t>
      </w:r>
      <w:r>
        <w:t>Certain tricyclic terpane ratios can provide valuable information on depositional environment, organic matter input an</w:t>
      </w:r>
      <w:r w:rsidR="00956D44">
        <w:t xml:space="preserve">d water salinity. To begin with, </w:t>
      </w:r>
      <w:r>
        <w:t>C</w:t>
      </w:r>
      <w:r>
        <w:rPr>
          <w:vertAlign w:val="subscript"/>
        </w:rPr>
        <w:t xml:space="preserve">19 </w:t>
      </w:r>
      <w:r>
        <w:t>and C</w:t>
      </w:r>
      <w:r>
        <w:rPr>
          <w:vertAlign w:val="subscript"/>
        </w:rPr>
        <w:t xml:space="preserve">20 </w:t>
      </w:r>
      <w:r>
        <w:t xml:space="preserve">tricyclic terpanes are suggested to be derived from diterpenoids produced from vascular plants (Barnes and Barnes, 1983; Noble et al., </w:t>
      </w:r>
      <w:r>
        <w:lastRenderedPageBreak/>
        <w:t>1986) while C</w:t>
      </w:r>
      <w:r>
        <w:rPr>
          <w:vertAlign w:val="subscript"/>
        </w:rPr>
        <w:t>23</w:t>
      </w:r>
      <w:r>
        <w:t xml:space="preserve"> is commonly associated with oils with marine organic input (Tao et al., 2015). Thus, C</w:t>
      </w:r>
      <w:r>
        <w:rPr>
          <w:vertAlign w:val="subscript"/>
        </w:rPr>
        <w:t>19</w:t>
      </w:r>
      <w:r>
        <w:t>/C</w:t>
      </w:r>
      <w:r w:rsidR="00956D44">
        <w:rPr>
          <w:vertAlign w:val="subscript"/>
        </w:rPr>
        <w:t>23</w:t>
      </w:r>
      <w:r>
        <w:rPr>
          <w:vertAlign w:val="subscript"/>
        </w:rPr>
        <w:t xml:space="preserve"> </w:t>
      </w:r>
      <w:r>
        <w:t>and C</w:t>
      </w:r>
      <w:r>
        <w:rPr>
          <w:vertAlign w:val="subscript"/>
        </w:rPr>
        <w:t>20</w:t>
      </w:r>
      <w:r>
        <w:t>/C</w:t>
      </w:r>
      <w:r>
        <w:rPr>
          <w:vertAlign w:val="subscript"/>
        </w:rPr>
        <w:t>23</w:t>
      </w:r>
      <w:r>
        <w:t xml:space="preserve"> ratios are useful to assess the terrigenous vs</w:t>
      </w:r>
      <w:r w:rsidR="007B0878">
        <w:t>.</w:t>
      </w:r>
      <w:r>
        <w:t xml:space="preserve"> marine organic matter contribution to the depositional env</w:t>
      </w:r>
      <w:r w:rsidR="0025725D">
        <w:t xml:space="preserve">ironment (Hanson et al., 2000) while </w:t>
      </w:r>
      <w:r w:rsidR="00D02D0B">
        <w:t xml:space="preserve">the </w:t>
      </w:r>
      <w:r w:rsidR="0025725D">
        <w:t>C</w:t>
      </w:r>
      <w:r w:rsidR="0025725D">
        <w:rPr>
          <w:vertAlign w:val="subscript"/>
        </w:rPr>
        <w:t xml:space="preserve">23 </w:t>
      </w:r>
      <w:r w:rsidR="0025725D">
        <w:t>tricyclic terpane to C</w:t>
      </w:r>
      <w:r w:rsidR="0025725D">
        <w:rPr>
          <w:vertAlign w:val="subscript"/>
        </w:rPr>
        <w:t xml:space="preserve">30 </w:t>
      </w:r>
      <w:r w:rsidR="0025725D">
        <w:t>hop</w:t>
      </w:r>
      <w:r w:rsidR="008451C3">
        <w:t xml:space="preserve">ane </w:t>
      </w:r>
      <w:r w:rsidR="0025725D">
        <w:t xml:space="preserve">ratio can be useful to indicate marine algal input to the depositional environment (Chester, 1990). </w:t>
      </w:r>
      <w:r>
        <w:t>Moreover, C</w:t>
      </w:r>
      <w:r>
        <w:rPr>
          <w:vertAlign w:val="subscript"/>
        </w:rPr>
        <w:t>22</w:t>
      </w:r>
      <w:r>
        <w:t>/C</w:t>
      </w:r>
      <w:r>
        <w:rPr>
          <w:vertAlign w:val="subscript"/>
        </w:rPr>
        <w:t xml:space="preserve">21 </w:t>
      </w:r>
      <w:r>
        <w:t>and C</w:t>
      </w:r>
      <w:r>
        <w:rPr>
          <w:vertAlign w:val="subscript"/>
        </w:rPr>
        <w:t>24</w:t>
      </w:r>
      <w:r>
        <w:t>/C</w:t>
      </w:r>
      <w:r>
        <w:rPr>
          <w:vertAlign w:val="subscript"/>
        </w:rPr>
        <w:t xml:space="preserve">23 </w:t>
      </w:r>
      <w:r>
        <w:t>terpane ratios can be facies dependent</w:t>
      </w:r>
      <w:r w:rsidR="00D929FF">
        <w:t xml:space="preserve"> (Clark and Philp, 1989; Liu et al., 2017)</w:t>
      </w:r>
      <w:r>
        <w:t xml:space="preserve">. The higher values (&gt;0.6) can be interpreted as </w:t>
      </w:r>
      <w:r w:rsidR="00D929FF">
        <w:t xml:space="preserve">a </w:t>
      </w:r>
      <w:r>
        <w:t>carbonate tendency for the source of oil or extracts (Clark and Philp, 1989) while smaller values (&lt;0.6) can be interpreted as clastic tendency for the source rocks or oils. Finally, the C</w:t>
      </w:r>
      <w:r>
        <w:rPr>
          <w:vertAlign w:val="subscript"/>
        </w:rPr>
        <w:t>26</w:t>
      </w:r>
      <w:r>
        <w:t>/C</w:t>
      </w:r>
      <w:r>
        <w:rPr>
          <w:vertAlign w:val="subscript"/>
        </w:rPr>
        <w:t xml:space="preserve">25 </w:t>
      </w:r>
      <w:r>
        <w:t>ratio can be useful to distinguish marine vs</w:t>
      </w:r>
      <w:r w:rsidR="007B0878">
        <w:t>.</w:t>
      </w:r>
      <w:r>
        <w:t xml:space="preserve"> lacustrine </w:t>
      </w:r>
      <w:r w:rsidRPr="00210361">
        <w:t>oils (Peters et al.</w:t>
      </w:r>
      <w:r>
        <w:t>,</w:t>
      </w:r>
      <w:r w:rsidRPr="00210361">
        <w:t xml:space="preserve"> 2005) For </w:t>
      </w:r>
      <w:r w:rsidR="00D02D0B">
        <w:t>example</w:t>
      </w:r>
      <w:r w:rsidRPr="00210361">
        <w:t xml:space="preserve">, </w:t>
      </w:r>
      <w:r w:rsidR="00D929FF">
        <w:t xml:space="preserve">a </w:t>
      </w:r>
      <w:r w:rsidRPr="00210361">
        <w:t>C</w:t>
      </w:r>
      <w:r w:rsidRPr="00210361">
        <w:rPr>
          <w:vertAlign w:val="subscript"/>
        </w:rPr>
        <w:t>26</w:t>
      </w:r>
      <w:r w:rsidRPr="00210361">
        <w:t>/C</w:t>
      </w:r>
      <w:r w:rsidRPr="00210361">
        <w:rPr>
          <w:vertAlign w:val="subscript"/>
        </w:rPr>
        <w:t xml:space="preserve">25 </w:t>
      </w:r>
      <w:r w:rsidRPr="00210361">
        <w:t>ratio greater than 1.0 may indicate possible</w:t>
      </w:r>
      <w:r>
        <w:t xml:space="preserve"> lacustrine source rock</w:t>
      </w:r>
      <w:r w:rsidR="00D929FF">
        <w:t>s</w:t>
      </w:r>
      <w:r>
        <w:t xml:space="preserve"> and/or hypersalinity while smaller values can be interpreted as possible marine source rock</w:t>
      </w:r>
      <w:r w:rsidR="00D929FF">
        <w:t>s</w:t>
      </w:r>
      <w:r>
        <w:t xml:space="preserve"> with moderate or low paleosalinity of the depositional environment (Schiefelbein et al., 1999; Volk et al., 2005).  </w:t>
      </w:r>
    </w:p>
    <w:p w:rsidR="0099286C" w:rsidRDefault="0099286C" w:rsidP="0099286C">
      <w:pPr>
        <w:jc w:val="both"/>
      </w:pPr>
      <w:r>
        <w:tab/>
        <w:t xml:space="preserve">The Morrow source rock extracts </w:t>
      </w:r>
      <w:r w:rsidR="00D929FF">
        <w:t>from</w:t>
      </w:r>
      <w:r>
        <w:t xml:space="preserve"> Wang (1993) are characterized </w:t>
      </w:r>
      <w:r w:rsidR="00D929FF">
        <w:t>by</w:t>
      </w:r>
      <w:r>
        <w:t xml:space="preserve"> higher pentacyclic terpane concentrations (hopanes) compared to tricyclic terpanes while some of the highly mature samples are dominated </w:t>
      </w:r>
      <w:r w:rsidR="00D929FF">
        <w:t xml:space="preserve">by </w:t>
      </w:r>
      <w:r>
        <w:t>tricyclic terpanes. Th</w:t>
      </w:r>
      <w:r w:rsidR="00D929FF">
        <w:t>e tricyclic terpanes of the Wang</w:t>
      </w:r>
      <w:r w:rsidR="002D2667">
        <w:t xml:space="preserve"> </w:t>
      </w:r>
      <w:r w:rsidR="00D929FF">
        <w:t>(1993) samples</w:t>
      </w:r>
      <w:r>
        <w:t xml:space="preserve"> typically range from C</w:t>
      </w:r>
      <w:r>
        <w:rPr>
          <w:vertAlign w:val="subscript"/>
        </w:rPr>
        <w:t xml:space="preserve">19 </w:t>
      </w:r>
      <w:r>
        <w:t>to at least C</w:t>
      </w:r>
      <w:r>
        <w:rPr>
          <w:vertAlign w:val="subscript"/>
        </w:rPr>
        <w:t xml:space="preserve">29 </w:t>
      </w:r>
      <w:r>
        <w:t>while C</w:t>
      </w:r>
      <w:r>
        <w:rPr>
          <w:vertAlign w:val="subscript"/>
        </w:rPr>
        <w:t xml:space="preserve">23 </w:t>
      </w:r>
      <w:r>
        <w:t xml:space="preserve">is the </w:t>
      </w:r>
      <w:r w:rsidR="00D929FF">
        <w:t>most abundant tricyclic terpane</w:t>
      </w:r>
      <w:r>
        <w:t xml:space="preserve"> among them. The C</w:t>
      </w:r>
      <w:r>
        <w:rPr>
          <w:vertAlign w:val="subscript"/>
        </w:rPr>
        <w:t>19</w:t>
      </w:r>
      <w:r w:rsidRPr="002C36DA">
        <w:rPr>
          <w:sz w:val="28"/>
        </w:rPr>
        <w:t>/</w:t>
      </w:r>
      <w:r>
        <w:t>C</w:t>
      </w:r>
      <w:r>
        <w:rPr>
          <w:vertAlign w:val="subscript"/>
        </w:rPr>
        <w:t xml:space="preserve">23 </w:t>
      </w:r>
      <w:r>
        <w:t>and the C</w:t>
      </w:r>
      <w:r>
        <w:rPr>
          <w:vertAlign w:val="subscript"/>
        </w:rPr>
        <w:t>20</w:t>
      </w:r>
      <w:r w:rsidRPr="002C36DA">
        <w:rPr>
          <w:sz w:val="28"/>
        </w:rPr>
        <w:t>/</w:t>
      </w:r>
      <w:r>
        <w:t>C</w:t>
      </w:r>
      <w:r>
        <w:rPr>
          <w:vertAlign w:val="subscript"/>
        </w:rPr>
        <w:t xml:space="preserve">23 </w:t>
      </w:r>
      <w:r>
        <w:t>ratios of the samples are highly variable within the Anadarko Basin with the average values of 0.56</w:t>
      </w:r>
      <w:r w:rsidR="00954092">
        <w:t xml:space="preserve"> and 0.68; respectively (Table 6</w:t>
      </w:r>
      <w:r>
        <w:t xml:space="preserve">). For </w:t>
      </w:r>
      <w:r w:rsidR="00D02D0B">
        <w:t>example</w:t>
      </w:r>
      <w:r>
        <w:t>, C</w:t>
      </w:r>
      <w:r>
        <w:rPr>
          <w:vertAlign w:val="subscript"/>
        </w:rPr>
        <w:t>19</w:t>
      </w:r>
      <w:r w:rsidRPr="002C36DA">
        <w:rPr>
          <w:sz w:val="28"/>
        </w:rPr>
        <w:t>/</w:t>
      </w:r>
      <w:r>
        <w:t>C</w:t>
      </w:r>
      <w:r>
        <w:rPr>
          <w:vertAlign w:val="subscript"/>
        </w:rPr>
        <w:t xml:space="preserve">23 </w:t>
      </w:r>
      <w:r>
        <w:t>and C</w:t>
      </w:r>
      <w:r>
        <w:rPr>
          <w:vertAlign w:val="subscript"/>
        </w:rPr>
        <w:t>20</w:t>
      </w:r>
      <w:r w:rsidRPr="002C36DA">
        <w:rPr>
          <w:sz w:val="28"/>
        </w:rPr>
        <w:t>/</w:t>
      </w:r>
      <w:r>
        <w:t>C</w:t>
      </w:r>
      <w:r>
        <w:rPr>
          <w:vertAlign w:val="subscript"/>
        </w:rPr>
        <w:t xml:space="preserve">23 </w:t>
      </w:r>
      <w:r>
        <w:t xml:space="preserve">values of the MOR-39 sample from </w:t>
      </w:r>
      <w:r w:rsidR="00461319">
        <w:t xml:space="preserve">Canadian County, MOR-41 from Blaine County and </w:t>
      </w:r>
      <w:r w:rsidRPr="00DC37A9">
        <w:t xml:space="preserve">MOR-75 sample from Woodward County are </w:t>
      </w:r>
      <w:r w:rsidR="00461319">
        <w:t xml:space="preserve">close to </w:t>
      </w:r>
      <w:r w:rsidRPr="00DC37A9">
        <w:t xml:space="preserve">greater than 1.0. Moreover, </w:t>
      </w:r>
      <w:r w:rsidR="00040224" w:rsidRPr="00DC37A9">
        <w:t>C</w:t>
      </w:r>
      <w:r w:rsidR="00040224" w:rsidRPr="00DC37A9">
        <w:rPr>
          <w:vertAlign w:val="subscript"/>
        </w:rPr>
        <w:t>23</w:t>
      </w:r>
      <w:r w:rsidR="00040224" w:rsidRPr="00FB1948">
        <w:t xml:space="preserve"> (</w:t>
      </w:r>
      <w:r w:rsidRPr="00FB1948">
        <w:t>tricyclic terpane)</w:t>
      </w:r>
      <w:r>
        <w:t>/</w:t>
      </w:r>
      <w:r w:rsidRPr="00DC37A9">
        <w:t>C</w:t>
      </w:r>
      <w:r>
        <w:rPr>
          <w:vertAlign w:val="subscript"/>
        </w:rPr>
        <w:t xml:space="preserve">30 </w:t>
      </w:r>
      <w:r>
        <w:t>(hopane)</w:t>
      </w:r>
      <w:r w:rsidR="00040224">
        <w:t xml:space="preserve"> </w:t>
      </w:r>
      <w:r w:rsidRPr="00DC37A9">
        <w:t>values for these samples are 1.27</w:t>
      </w:r>
      <w:r w:rsidR="00D02D0B">
        <w:t>, 1.08 and 0.13,</w:t>
      </w:r>
      <w:r w:rsidR="00461319">
        <w:t xml:space="preserve"> </w:t>
      </w:r>
      <w:r>
        <w:t xml:space="preserve">respectively. The results show </w:t>
      </w:r>
      <w:r>
        <w:lastRenderedPageBreak/>
        <w:t xml:space="preserve">that MOR-39 </w:t>
      </w:r>
      <w:r w:rsidR="0090701D">
        <w:t xml:space="preserve">and MOR-41 samples </w:t>
      </w:r>
      <w:r>
        <w:t>probably belonged to a transitional depositional environment with</w:t>
      </w:r>
      <w:r w:rsidR="00D02D0B">
        <w:t xml:space="preserve"> a</w:t>
      </w:r>
      <w:r>
        <w:t xml:space="preserve"> mixed type of terrestrial and marine organic matter input while MOR-75 was probably deposited in a terrestrial environment. </w:t>
      </w:r>
      <w:r w:rsidR="00D02D0B">
        <w:t>Alternatively</w:t>
      </w:r>
      <w:r>
        <w:t>, C</w:t>
      </w:r>
      <w:r>
        <w:rPr>
          <w:vertAlign w:val="subscript"/>
        </w:rPr>
        <w:t>19</w:t>
      </w:r>
      <w:r w:rsidRPr="002C36DA">
        <w:rPr>
          <w:sz w:val="28"/>
        </w:rPr>
        <w:t>/</w:t>
      </w:r>
      <w:r>
        <w:t>C</w:t>
      </w:r>
      <w:r>
        <w:rPr>
          <w:vertAlign w:val="subscript"/>
        </w:rPr>
        <w:t xml:space="preserve">23 </w:t>
      </w:r>
      <w:r>
        <w:t>and C</w:t>
      </w:r>
      <w:r>
        <w:rPr>
          <w:vertAlign w:val="subscript"/>
        </w:rPr>
        <w:t>20</w:t>
      </w:r>
      <w:r w:rsidRPr="002C36DA">
        <w:rPr>
          <w:sz w:val="28"/>
        </w:rPr>
        <w:t>/</w:t>
      </w:r>
      <w:r>
        <w:t>C</w:t>
      </w:r>
      <w:r>
        <w:rPr>
          <w:vertAlign w:val="subscript"/>
        </w:rPr>
        <w:t xml:space="preserve">23 </w:t>
      </w:r>
      <w:r w:rsidR="007C591A">
        <w:t xml:space="preserve">values of the </w:t>
      </w:r>
      <w:r w:rsidR="00931F16">
        <w:t xml:space="preserve">MOR-33 sample from Roger Mills County, </w:t>
      </w:r>
      <w:r w:rsidR="007C591A">
        <w:t>MOR-8</w:t>
      </w:r>
      <w:r>
        <w:t xml:space="preserve">6 sample from </w:t>
      </w:r>
      <w:r w:rsidR="007C591A">
        <w:t>Woodward</w:t>
      </w:r>
      <w:r>
        <w:t xml:space="preserve"> County and the MOR-68 sample from </w:t>
      </w:r>
      <w:r w:rsidR="007C591A">
        <w:t>Dewey</w:t>
      </w:r>
      <w:r>
        <w:t xml:space="preserve"> County are smaller than 0.25 with C</w:t>
      </w:r>
      <w:r>
        <w:rPr>
          <w:vertAlign w:val="subscript"/>
        </w:rPr>
        <w:t>23</w:t>
      </w:r>
      <w:r>
        <w:t>/C</w:t>
      </w:r>
      <w:r>
        <w:rPr>
          <w:vertAlign w:val="subscript"/>
        </w:rPr>
        <w:t xml:space="preserve">30 </w:t>
      </w:r>
      <w:r>
        <w:t>values greater than 1.0 strongly indicating that the marine depositional environment prevailed during deposition of these samples. In general, the results indicate that the organic matter type and depositional environment conditions alternated frequently during the deposition of the Morrow as was geologically interpreted above. The C</w:t>
      </w:r>
      <w:r>
        <w:rPr>
          <w:vertAlign w:val="subscript"/>
        </w:rPr>
        <w:t xml:space="preserve">26 </w:t>
      </w:r>
      <w:r>
        <w:t>tricyclic terpane was more abundant than C</w:t>
      </w:r>
      <w:r>
        <w:rPr>
          <w:vertAlign w:val="subscript"/>
        </w:rPr>
        <w:t xml:space="preserve">25 </w:t>
      </w:r>
      <w:r>
        <w:t>tricyclic terpanes in the MOR-57, MOR-75 and MOR-91 samples which was proposed to be diagnostic characteristic of the lacustrine facies by Schiefelbein et al. (1999). According to the depositional environment classification based on the C</w:t>
      </w:r>
      <w:r>
        <w:rPr>
          <w:vertAlign w:val="subscript"/>
        </w:rPr>
        <w:t>26</w:t>
      </w:r>
      <w:r>
        <w:t>/C</w:t>
      </w:r>
      <w:r>
        <w:rPr>
          <w:vertAlign w:val="subscript"/>
        </w:rPr>
        <w:t xml:space="preserve">25 </w:t>
      </w:r>
      <w:r w:rsidR="001968DE">
        <w:t>ratio (Tao et al., 2015),</w:t>
      </w:r>
      <w:r>
        <w:t xml:space="preserve"> MOR-57 and MOR-75 could have been deposited in a lacustrine environment while MOR-91 was possibly deposited in </w:t>
      </w:r>
      <w:r w:rsidR="00931F16">
        <w:t>a transitional/lagoonal</w:t>
      </w:r>
      <w:r>
        <w:t xml:space="preserve"> depositional environment. Furthermore, these conclusions are supported by the higher concentrations of the C</w:t>
      </w:r>
      <w:r>
        <w:rPr>
          <w:vertAlign w:val="subscript"/>
        </w:rPr>
        <w:t>24</w:t>
      </w:r>
      <w:r w:rsidR="001968DE">
        <w:t xml:space="preserve"> tetracyclic terpane, </w:t>
      </w:r>
      <w:r>
        <w:t>typically associated with a carbonate or evaporitic depositional environment (Clark and Philp, 1989; Gong et. al., 2007). Thus, relatively higher C</w:t>
      </w:r>
      <w:r>
        <w:rPr>
          <w:vertAlign w:val="subscript"/>
        </w:rPr>
        <w:t>24</w:t>
      </w:r>
      <w:r>
        <w:t xml:space="preserve"> te</w:t>
      </w:r>
      <w:r w:rsidR="00931F16">
        <w:t>tracyclic terpane concentration</w:t>
      </w:r>
      <w:r>
        <w:t xml:space="preserve"> in the MOR-91 samples compared to o</w:t>
      </w:r>
      <w:r w:rsidR="00931F16">
        <w:t>ther samples suggests that this sample was</w:t>
      </w:r>
      <w:r>
        <w:t xml:space="preserve"> proba</w:t>
      </w:r>
      <w:r w:rsidR="00931F16">
        <w:t>bly deposited in shallow lagoon</w:t>
      </w:r>
      <w:r>
        <w:t xml:space="preserve"> dominated by evaporitic carbonates. Based on the lower C</w:t>
      </w:r>
      <w:r>
        <w:rPr>
          <w:vertAlign w:val="subscript"/>
        </w:rPr>
        <w:t>26</w:t>
      </w:r>
      <w:r>
        <w:t>/C</w:t>
      </w:r>
      <w:r>
        <w:rPr>
          <w:vertAlign w:val="subscript"/>
        </w:rPr>
        <w:t xml:space="preserve">25 </w:t>
      </w:r>
      <w:r>
        <w:t xml:space="preserve">ratios and the </w:t>
      </w:r>
      <w:r w:rsidRPr="00305559">
        <w:t>C</w:t>
      </w:r>
      <w:r>
        <w:rPr>
          <w:vertAlign w:val="subscript"/>
        </w:rPr>
        <w:t>24</w:t>
      </w:r>
      <w:r>
        <w:t xml:space="preserve"> tetracyclic terpane concentrations in</w:t>
      </w:r>
      <w:r w:rsidRPr="00305559">
        <w:t xml:space="preserve"> </w:t>
      </w:r>
      <w:r>
        <w:t xml:space="preserve">the remaining source rock samples, a marine depositional environment with low to moderate salinity conditions prevailed in most of the sample locations in the Anadarko Basin. </w:t>
      </w:r>
    </w:p>
    <w:p w:rsidR="0099286C" w:rsidRDefault="0099286C" w:rsidP="0099286C">
      <w:pPr>
        <w:jc w:val="both"/>
      </w:pPr>
      <w:r>
        <w:lastRenderedPageBreak/>
        <w:tab/>
        <w:t>In the Kephart-I core, the average C</w:t>
      </w:r>
      <w:r>
        <w:rPr>
          <w:vertAlign w:val="subscript"/>
        </w:rPr>
        <w:t>19</w:t>
      </w:r>
      <w:r w:rsidRPr="002C36DA">
        <w:rPr>
          <w:sz w:val="28"/>
        </w:rPr>
        <w:t>/</w:t>
      </w:r>
      <w:r>
        <w:t>C</w:t>
      </w:r>
      <w:r>
        <w:rPr>
          <w:vertAlign w:val="subscript"/>
        </w:rPr>
        <w:t xml:space="preserve">23 </w:t>
      </w:r>
      <w:r>
        <w:t>and C</w:t>
      </w:r>
      <w:r>
        <w:rPr>
          <w:vertAlign w:val="subscript"/>
        </w:rPr>
        <w:t>20</w:t>
      </w:r>
      <w:r w:rsidRPr="002C36DA">
        <w:rPr>
          <w:sz w:val="28"/>
        </w:rPr>
        <w:t>/</w:t>
      </w:r>
      <w:r>
        <w:t>C</w:t>
      </w:r>
      <w:r>
        <w:rPr>
          <w:vertAlign w:val="subscript"/>
        </w:rPr>
        <w:t xml:space="preserve">23 </w:t>
      </w:r>
      <w:r>
        <w:t>and C</w:t>
      </w:r>
      <w:r>
        <w:rPr>
          <w:vertAlign w:val="subscript"/>
        </w:rPr>
        <w:t>23</w:t>
      </w:r>
      <w:r>
        <w:t>/C</w:t>
      </w:r>
      <w:r>
        <w:rPr>
          <w:vertAlign w:val="subscript"/>
        </w:rPr>
        <w:t xml:space="preserve">30 </w:t>
      </w:r>
      <w:r w:rsidR="00D02D0B">
        <w:t>values are 0.81, 0.94, and 1.02,</w:t>
      </w:r>
      <w:r>
        <w:t xml:space="preserve"> respectively. The fluctuations in the ratios through the core demonstrate the changes in the type of organic matter inp</w:t>
      </w:r>
      <w:r w:rsidR="00954092">
        <w:t>ut over time (Figure 31; Table 6</w:t>
      </w:r>
      <w:r>
        <w:t xml:space="preserve">). The results indicate that the Kephart-I well was deposited at the transitional/nearshore environment </w:t>
      </w:r>
    </w:p>
    <w:p w:rsidR="0099286C" w:rsidRDefault="0099286C" w:rsidP="007C591A">
      <w:pPr>
        <w:jc w:val="center"/>
      </w:pPr>
      <w:bookmarkStart w:id="95" w:name="_Toc504658500"/>
      <w:bookmarkStart w:id="96" w:name="_Toc504658627"/>
      <w:bookmarkStart w:id="97" w:name="_Toc504658794"/>
      <w:bookmarkStart w:id="98" w:name="_Toc505292512"/>
      <w:bookmarkStart w:id="99" w:name="_Toc505292563"/>
      <w:bookmarkStart w:id="100" w:name="_Toc507349396"/>
      <w:bookmarkStart w:id="101" w:name="_Toc507409533"/>
      <w:bookmarkStart w:id="102" w:name="_Toc507506650"/>
      <w:r w:rsidRPr="004C21B6">
        <w:rPr>
          <w:rStyle w:val="Balk2Char"/>
          <w:noProof/>
          <w:lang w:val="tr-TR" w:eastAsia="tr-TR" w:bidi="ar-SA"/>
        </w:rPr>
        <w:drawing>
          <wp:inline distT="0" distB="0" distL="0" distR="0" wp14:anchorId="5F5403A3" wp14:editId="351C664C">
            <wp:extent cx="5283743" cy="6000750"/>
            <wp:effectExtent l="19050" t="19050" r="12700" b="19050"/>
            <wp:docPr id="8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16651" cy="6038124"/>
                    </a:xfrm>
                    <a:prstGeom prst="rect">
                      <a:avLst/>
                    </a:prstGeom>
                    <a:noFill/>
                    <a:ln>
                      <a:solidFill>
                        <a:schemeClr val="tx1"/>
                      </a:solidFill>
                    </a:ln>
                  </pic:spPr>
                </pic:pic>
              </a:graphicData>
            </a:graphic>
          </wp:inline>
        </w:drawing>
      </w:r>
      <w:bookmarkEnd w:id="95"/>
      <w:bookmarkEnd w:id="96"/>
      <w:bookmarkEnd w:id="97"/>
      <w:bookmarkEnd w:id="98"/>
      <w:bookmarkEnd w:id="99"/>
      <w:bookmarkEnd w:id="100"/>
      <w:bookmarkEnd w:id="101"/>
      <w:bookmarkEnd w:id="102"/>
    </w:p>
    <w:p w:rsidR="0099286C" w:rsidRPr="00210361" w:rsidRDefault="0099286C" w:rsidP="0099286C">
      <w:pPr>
        <w:pStyle w:val="ResimYazs"/>
        <w:rPr>
          <w:noProof/>
          <w:szCs w:val="24"/>
        </w:rPr>
      </w:pPr>
      <w:bookmarkStart w:id="103" w:name="_Toc507509079"/>
      <w:r>
        <w:t xml:space="preserve">Figure </w:t>
      </w:r>
      <w:fldSimple w:instr=" SEQ Figure \* ARABIC ">
        <w:r w:rsidR="003F6459">
          <w:rPr>
            <w:noProof/>
          </w:rPr>
          <w:t>31</w:t>
        </w:r>
      </w:fldSimple>
      <w:r>
        <w:t xml:space="preserve">. </w:t>
      </w:r>
      <w:r w:rsidRPr="00653D66">
        <w:rPr>
          <w:b w:val="0"/>
        </w:rPr>
        <w:t>Previously discussed</w:t>
      </w:r>
      <w:r>
        <w:t xml:space="preserve"> </w:t>
      </w:r>
      <w:r w:rsidRPr="00653D66">
        <w:rPr>
          <w:b w:val="0"/>
        </w:rPr>
        <w:t>Tricyclic Terpane Ratios of the Kephart-I Well</w:t>
      </w:r>
      <w:r>
        <w:rPr>
          <w:b w:val="0"/>
        </w:rPr>
        <w:t xml:space="preserve">. </w:t>
      </w:r>
      <w:r w:rsidRPr="00653D66">
        <w:rPr>
          <w:b w:val="0"/>
        </w:rPr>
        <w:t>Note the variations of the ratios through the core.</w:t>
      </w:r>
      <w:bookmarkEnd w:id="103"/>
    </w:p>
    <w:p w:rsidR="0099286C" w:rsidRDefault="001968DE" w:rsidP="0099286C">
      <w:pPr>
        <w:jc w:val="both"/>
      </w:pPr>
      <w:r>
        <w:lastRenderedPageBreak/>
        <w:t xml:space="preserve">which </w:t>
      </w:r>
      <w:r w:rsidR="0099286C">
        <w:t>periodically received a source contribution from higher plants. The C</w:t>
      </w:r>
      <w:r w:rsidR="0099286C">
        <w:rPr>
          <w:vertAlign w:val="subscript"/>
        </w:rPr>
        <w:t>26</w:t>
      </w:r>
      <w:r w:rsidR="0099286C">
        <w:t>/C</w:t>
      </w:r>
      <w:r w:rsidR="0099286C">
        <w:rPr>
          <w:vertAlign w:val="subscript"/>
        </w:rPr>
        <w:t xml:space="preserve">25 </w:t>
      </w:r>
      <w:r w:rsidR="0099286C">
        <w:t>value of 0.83 also indicates a marine depositional environment with low salinity for the Kephart-I core (Tao et al., 2015). The absence</w:t>
      </w:r>
      <w:r>
        <w:t>,</w:t>
      </w:r>
      <w:r w:rsidR="0099286C">
        <w:t xml:space="preserve"> or very low concentration</w:t>
      </w:r>
      <w:r>
        <w:t xml:space="preserve"> of gammacerane, </w:t>
      </w:r>
      <w:r w:rsidR="0099286C">
        <w:t>a biomarker characteristic of hypersaline envi</w:t>
      </w:r>
      <w:r>
        <w:t xml:space="preserve">ronments, in all of the </w:t>
      </w:r>
      <w:r w:rsidR="0099286C">
        <w:t>samples also supports the fact that the Morrow is general</w:t>
      </w:r>
      <w:r>
        <w:t xml:space="preserve">ly deposited under low salinity </w:t>
      </w:r>
      <w:r w:rsidR="00954092">
        <w:t>conditions.</w:t>
      </w:r>
    </w:p>
    <w:p w:rsidR="0099286C" w:rsidRDefault="0099286C" w:rsidP="0099286C">
      <w:pPr>
        <w:ind w:firstLine="720"/>
        <w:jc w:val="both"/>
      </w:pPr>
      <w:r>
        <w:t>The tricyclic terpane ratios for the two core samples from the Laverne-State-I well indicate that the terrestrial environment prevailed during the deposition of the Morrow Shale in Harper County. The abnormally high C</w:t>
      </w:r>
      <w:r>
        <w:rPr>
          <w:vertAlign w:val="subscript"/>
        </w:rPr>
        <w:t>19</w:t>
      </w:r>
      <w:r w:rsidRPr="002C36DA">
        <w:rPr>
          <w:sz w:val="28"/>
        </w:rPr>
        <w:t>/</w:t>
      </w:r>
      <w:r>
        <w:t>C</w:t>
      </w:r>
      <w:r>
        <w:rPr>
          <w:vertAlign w:val="subscript"/>
        </w:rPr>
        <w:t xml:space="preserve">23 </w:t>
      </w:r>
      <w:r>
        <w:t>and C</w:t>
      </w:r>
      <w:r>
        <w:rPr>
          <w:vertAlign w:val="subscript"/>
        </w:rPr>
        <w:t>20</w:t>
      </w:r>
      <w:r w:rsidRPr="002C36DA">
        <w:rPr>
          <w:sz w:val="28"/>
        </w:rPr>
        <w:t>/</w:t>
      </w:r>
      <w:r>
        <w:t>C</w:t>
      </w:r>
      <w:r>
        <w:rPr>
          <w:vertAlign w:val="subscript"/>
        </w:rPr>
        <w:t xml:space="preserve">23 </w:t>
      </w:r>
      <w:r>
        <w:t>ratios (average of 2.17 and 2.88; respectively) combined with very low C</w:t>
      </w:r>
      <w:r>
        <w:rPr>
          <w:vertAlign w:val="subscript"/>
        </w:rPr>
        <w:t>23</w:t>
      </w:r>
      <w:r>
        <w:t>/C</w:t>
      </w:r>
      <w:r>
        <w:rPr>
          <w:vertAlign w:val="subscript"/>
        </w:rPr>
        <w:t xml:space="preserve">30 </w:t>
      </w:r>
      <w:r>
        <w:t xml:space="preserve">values (average of 0.05) suggest that the terrestrial higher plants were the </w:t>
      </w:r>
      <w:r w:rsidR="001968DE">
        <w:t>major</w:t>
      </w:r>
      <w:r>
        <w:t xml:space="preserve"> input of the organic matter during the deposition of</w:t>
      </w:r>
      <w:r w:rsidR="007673C1">
        <w:t xml:space="preserve"> the</w:t>
      </w:r>
      <w:r>
        <w:t xml:space="preserve"> Morrow in Harper County. </w:t>
      </w:r>
    </w:p>
    <w:p w:rsidR="00D02D0B" w:rsidRPr="00B66D80" w:rsidRDefault="00D02D0B" w:rsidP="0099286C">
      <w:pPr>
        <w:ind w:firstLine="720"/>
        <w:jc w:val="both"/>
      </w:pPr>
    </w:p>
    <w:p w:rsidR="0099286C" w:rsidRDefault="0099286C" w:rsidP="0099286C">
      <w:pPr>
        <w:pStyle w:val="Balk3"/>
      </w:pPr>
      <w:bookmarkStart w:id="104" w:name="_Toc504658455"/>
      <w:bookmarkStart w:id="105" w:name="_Toc507506651"/>
      <w:r>
        <w:rPr>
          <w:rStyle w:val="Balk2Char"/>
          <w:b/>
        </w:rPr>
        <w:t>4</w:t>
      </w:r>
      <w:r w:rsidRPr="004C21B6">
        <w:rPr>
          <w:rStyle w:val="Balk2Char"/>
          <w:b/>
        </w:rPr>
        <w:t>.3.4 The Pentacyclic Terpanes</w:t>
      </w:r>
      <w:bookmarkEnd w:id="104"/>
      <w:bookmarkEnd w:id="105"/>
    </w:p>
    <w:p w:rsidR="0099286C" w:rsidRPr="0055052F" w:rsidRDefault="001968DE" w:rsidP="0099286C">
      <w:pPr>
        <w:ind w:firstLine="720"/>
        <w:jc w:val="both"/>
      </w:pPr>
      <w:r>
        <w:t>The pentacyclic terpanes (</w:t>
      </w:r>
      <w:r w:rsidR="0099286C">
        <w:t>hopanes</w:t>
      </w:r>
      <w:r>
        <w:t xml:space="preserve">; </w:t>
      </w:r>
      <w:r w:rsidR="00BA22B4" w:rsidRPr="00BA22B4">
        <w:rPr>
          <w:b/>
        </w:rPr>
        <w:t>VIII</w:t>
      </w:r>
      <w:r w:rsidR="00BA22B4">
        <w:t>)</w:t>
      </w:r>
      <w:r>
        <w:t xml:space="preserve"> originate</w:t>
      </w:r>
      <w:r w:rsidR="0099286C" w:rsidRPr="009107A5">
        <w:t xml:space="preserve"> from prokaryotic organisms and higher plants (</w:t>
      </w:r>
      <w:r w:rsidR="00E15E12">
        <w:t>Ourisson et al., 1987</w:t>
      </w:r>
      <w:r w:rsidR="0099286C">
        <w:t xml:space="preserve">). </w:t>
      </w:r>
      <w:r w:rsidR="0099286C" w:rsidRPr="009107A5">
        <w:t>The</w:t>
      </w:r>
      <w:r w:rsidR="0099286C">
        <w:t xml:space="preserve"> bacterial organisms are the main source of hopanoids that produce hopanes (O</w:t>
      </w:r>
      <w:r>
        <w:t>urisson et al., 1987). Since</w:t>
      </w:r>
      <w:r w:rsidR="0099286C">
        <w:t xml:space="preserve"> bacteria are</w:t>
      </w:r>
      <w:r w:rsidR="00FF2164">
        <w:t xml:space="preserve"> ubiquitous in almost all</w:t>
      </w:r>
      <w:r w:rsidR="0099286C">
        <w:t xml:space="preserve"> oils and sedimentary rocks, they were proposed to be the most abundant source of organic matter on earth (Ourisson and </w:t>
      </w:r>
      <w:r w:rsidR="0099286C" w:rsidRPr="0055052F">
        <w:t>Albrecht, 1992; Peters et al.</w:t>
      </w:r>
      <w:r w:rsidR="0099286C">
        <w:t>,</w:t>
      </w:r>
      <w:r w:rsidR="0099286C" w:rsidRPr="0055052F">
        <w:t xml:space="preserve"> 2005). The hopanes are </w:t>
      </w:r>
      <w:r w:rsidR="0099286C">
        <w:t xml:space="preserve">a </w:t>
      </w:r>
      <w:r w:rsidR="0099286C" w:rsidRPr="0055052F">
        <w:t xml:space="preserve">very useful biomarker group </w:t>
      </w:r>
      <w:r w:rsidR="0099286C">
        <w:t xml:space="preserve">for making </w:t>
      </w:r>
      <w:r w:rsidR="0099286C" w:rsidRPr="0055052F">
        <w:t>correlation</w:t>
      </w:r>
      <w:r w:rsidR="0099286C">
        <w:t>s</w:t>
      </w:r>
      <w:r w:rsidR="0099286C" w:rsidRPr="0055052F">
        <w:t xml:space="preserve"> and to assess the maturity, depositional environment, source input and biodegradation. They appear </w:t>
      </w:r>
      <w:r w:rsidR="0099286C">
        <w:t>in the</w:t>
      </w:r>
      <w:r w:rsidR="0099286C" w:rsidRPr="0055052F">
        <w:t xml:space="preserve"> m/z 191 ion chromatogram together with the tricyclic and tetracyclic terpanes and can be identified using both GCMS and GCMS-MS. </w:t>
      </w:r>
    </w:p>
    <w:p w:rsidR="0099286C" w:rsidRDefault="0099286C" w:rsidP="0099286C">
      <w:pPr>
        <w:ind w:firstLine="720"/>
        <w:jc w:val="both"/>
      </w:pPr>
      <w:r w:rsidRPr="009107A5">
        <w:lastRenderedPageBreak/>
        <w:t xml:space="preserve">The distribution of the pentacyclic hopanes in </w:t>
      </w:r>
      <w:r w:rsidR="00FF2164">
        <w:t xml:space="preserve">the </w:t>
      </w:r>
      <w:r w:rsidRPr="009107A5">
        <w:t xml:space="preserve">Morrow Shale was identified </w:t>
      </w:r>
      <w:r>
        <w:t xml:space="preserve">from the </w:t>
      </w:r>
      <w:r w:rsidRPr="009107A5">
        <w:t xml:space="preserve">m/z 191 chromatograms </w:t>
      </w:r>
      <w:r w:rsidR="00FF2164">
        <w:t xml:space="preserve">as </w:t>
      </w:r>
      <w:r>
        <w:t>shown</w:t>
      </w:r>
      <w:r w:rsidRPr="009107A5">
        <w:t xml:space="preserve"> in Figure 32</w:t>
      </w:r>
      <w:r w:rsidR="00FF2164">
        <w:t xml:space="preserve"> with the peak identifications</w:t>
      </w:r>
      <w:r>
        <w:t xml:space="preserve"> given in </w:t>
      </w:r>
      <w:r w:rsidRPr="0055052F">
        <w:t>Table</w:t>
      </w:r>
      <w:r>
        <w:t xml:space="preserve"> 8</w:t>
      </w:r>
      <w:r w:rsidRPr="0055052F">
        <w:t>.  The most abundant compounds in the m/z 191 ion chromatogram</w:t>
      </w:r>
      <w:r>
        <w:t>s are</w:t>
      </w:r>
      <w:r w:rsidRPr="0055052F">
        <w:t xml:space="preserve"> the C</w:t>
      </w:r>
      <w:r w:rsidRPr="0055052F">
        <w:rPr>
          <w:vertAlign w:val="subscript"/>
        </w:rPr>
        <w:t xml:space="preserve">30 </w:t>
      </w:r>
      <w:r w:rsidRPr="0055052F">
        <w:t>and C</w:t>
      </w:r>
      <w:r w:rsidRPr="0055052F">
        <w:rPr>
          <w:vertAlign w:val="subscript"/>
        </w:rPr>
        <w:t xml:space="preserve">29 </w:t>
      </w:r>
      <w:r w:rsidRPr="0055052F">
        <w:t>17(</w:t>
      </w:r>
      <w:r w:rsidRPr="0055052F">
        <w:rPr>
          <w:rFonts w:cstheme="minorHAnsi"/>
        </w:rPr>
        <w:t>α</w:t>
      </w:r>
      <w:r w:rsidRPr="0055052F">
        <w:t>)-hopane</w:t>
      </w:r>
      <w:r>
        <w:t>s</w:t>
      </w:r>
      <w:r w:rsidRPr="0055052F">
        <w:t>. The oils and sedimentary extracts</w:t>
      </w:r>
      <w:r w:rsidRPr="0055052F">
        <w:rPr>
          <w:vertAlign w:val="subscript"/>
        </w:rPr>
        <w:t xml:space="preserve"> </w:t>
      </w:r>
      <w:r w:rsidRPr="0055052F">
        <w:t>with C</w:t>
      </w:r>
      <w:r w:rsidRPr="0055052F">
        <w:rPr>
          <w:vertAlign w:val="subscript"/>
        </w:rPr>
        <w:t>29</w:t>
      </w:r>
      <w:r w:rsidR="009B6159">
        <w:t>/</w:t>
      </w:r>
      <w:r w:rsidRPr="0055052F">
        <w:t>C</w:t>
      </w:r>
      <w:r w:rsidRPr="0055052F">
        <w:rPr>
          <w:vertAlign w:val="subscript"/>
        </w:rPr>
        <w:t xml:space="preserve">30 </w:t>
      </w:r>
      <w:r w:rsidRPr="0055052F">
        <w:t>17(</w:t>
      </w:r>
      <w:r w:rsidRPr="0055052F">
        <w:rPr>
          <w:rFonts w:cstheme="minorHAnsi"/>
        </w:rPr>
        <w:t>α</w:t>
      </w:r>
      <w:r w:rsidRPr="0055052F">
        <w:t>)-hopane</w:t>
      </w:r>
      <w:r w:rsidRPr="0055052F">
        <w:rPr>
          <w:vertAlign w:val="subscript"/>
        </w:rPr>
        <w:t xml:space="preserve"> </w:t>
      </w:r>
      <w:r w:rsidRPr="0055052F">
        <w:t xml:space="preserve">ratio greater than 1.0 are </w:t>
      </w:r>
      <w:r>
        <w:t xml:space="preserve">generally </w:t>
      </w:r>
      <w:r w:rsidRPr="0055052F">
        <w:t>asso</w:t>
      </w:r>
      <w:r>
        <w:t xml:space="preserve">ciated with anoxic carbonates, evaporites or marl source rocks (Connan et al., 1986). </w:t>
      </w:r>
      <w:r w:rsidRPr="00FB1948">
        <w:t xml:space="preserve">Riva et al. (1988) suggested that this ratio can be used as a scale for carbonate richness </w:t>
      </w:r>
      <w:r w:rsidR="00FF2164">
        <w:t>where</w:t>
      </w:r>
      <w:r w:rsidRPr="00FB1948">
        <w:t xml:space="preserve"> ra</w:t>
      </w:r>
      <w:r w:rsidR="00FF2164">
        <w:t>tios greater than one indicate</w:t>
      </w:r>
      <w:r w:rsidRPr="00FB1948">
        <w:t xml:space="preserve"> </w:t>
      </w:r>
      <w:r w:rsidR="00C4354B">
        <w:t>an anoxic carbonate-</w:t>
      </w:r>
      <w:r w:rsidRPr="00FB1948">
        <w:t>rich depositional environment.</w:t>
      </w:r>
      <w:r>
        <w:t xml:space="preserve"> Although none of the analyzed samples have C</w:t>
      </w:r>
      <w:r>
        <w:rPr>
          <w:vertAlign w:val="subscript"/>
        </w:rPr>
        <w:t>29</w:t>
      </w:r>
      <w:r>
        <w:t>/C</w:t>
      </w:r>
      <w:r>
        <w:rPr>
          <w:vertAlign w:val="subscript"/>
        </w:rPr>
        <w:t xml:space="preserve">30 </w:t>
      </w:r>
      <w:r>
        <w:t>17(</w:t>
      </w:r>
      <w:r>
        <w:rPr>
          <w:rFonts w:cstheme="minorHAnsi"/>
        </w:rPr>
        <w:t>α</w:t>
      </w:r>
      <w:r w:rsidR="009B6159">
        <w:t>)-hopane ratio greater than 1.0,</w:t>
      </w:r>
      <w:r>
        <w:t xml:space="preserve"> some of them (MOR-57, MOR-74, MOR-75) have significantly higher values than the others. The higher C</w:t>
      </w:r>
      <w:r>
        <w:rPr>
          <w:vertAlign w:val="subscript"/>
        </w:rPr>
        <w:t>29</w:t>
      </w:r>
      <w:r>
        <w:t>/C</w:t>
      </w:r>
      <w:r>
        <w:rPr>
          <w:vertAlign w:val="subscript"/>
        </w:rPr>
        <w:t xml:space="preserve">30 </w:t>
      </w:r>
      <w:r>
        <w:t>17(</w:t>
      </w:r>
      <w:r>
        <w:rPr>
          <w:rFonts w:cstheme="minorHAnsi"/>
        </w:rPr>
        <w:t>α</w:t>
      </w:r>
      <w:r>
        <w:t>)-hopane ratio in these samples may be related to an increase in carbonate content or evaporitic conditions prevailing during deposition. This interpretation for the MOR-57, MOR-75 samples is also supported with tricyclic terpane ratios as discussed in the previous part.</w:t>
      </w:r>
    </w:p>
    <w:p w:rsidR="0099286C" w:rsidRDefault="0099286C" w:rsidP="0099286C">
      <w:pPr>
        <w:ind w:firstLine="720"/>
        <w:jc w:val="both"/>
      </w:pPr>
      <w:r>
        <w:t>Another characteristic of the m/z 191 ion chromatograms for the Morrow s</w:t>
      </w:r>
      <w:r w:rsidR="00FF2164">
        <w:t>amples is the low concentration</w:t>
      </w:r>
      <w:r>
        <w:t xml:space="preserve"> of extended hopanes (C</w:t>
      </w:r>
      <w:r>
        <w:rPr>
          <w:vertAlign w:val="subscript"/>
        </w:rPr>
        <w:t>31</w:t>
      </w:r>
      <w:r>
        <w:t>-C</w:t>
      </w:r>
      <w:r>
        <w:rPr>
          <w:vertAlign w:val="subscript"/>
        </w:rPr>
        <w:t>35</w:t>
      </w:r>
      <w:r>
        <w:t>) compared to the C</w:t>
      </w:r>
      <w:r>
        <w:rPr>
          <w:vertAlign w:val="subscript"/>
        </w:rPr>
        <w:t xml:space="preserve">30 </w:t>
      </w:r>
      <w:r>
        <w:t>17(</w:t>
      </w:r>
      <w:r>
        <w:rPr>
          <w:rFonts w:cstheme="minorHAnsi"/>
        </w:rPr>
        <w:t>α</w:t>
      </w:r>
      <w:r>
        <w:t>)-hopane. The C</w:t>
      </w:r>
      <w:r>
        <w:rPr>
          <w:vertAlign w:val="subscript"/>
        </w:rPr>
        <w:t>31</w:t>
      </w:r>
      <w:r>
        <w:t xml:space="preserve"> is the most dominant homohopane among the other extended hopanes and C</w:t>
      </w:r>
      <w:r>
        <w:rPr>
          <w:vertAlign w:val="subscript"/>
        </w:rPr>
        <w:t xml:space="preserve">35 </w:t>
      </w:r>
      <w:r>
        <w:t xml:space="preserve">is either </w:t>
      </w:r>
      <w:r w:rsidRPr="0055052F">
        <w:t>absent or in very lo</w:t>
      </w:r>
      <w:r w:rsidR="00FF2164">
        <w:t>w concentration</w:t>
      </w:r>
      <w:r>
        <w:t xml:space="preserve"> in the Morrow s</w:t>
      </w:r>
      <w:r w:rsidRPr="0055052F">
        <w:t>amples. The 22R and 22S configuration</w:t>
      </w:r>
      <w:r w:rsidR="00FF2164">
        <w:t>s</w:t>
      </w:r>
      <w:r w:rsidRPr="0055052F">
        <w:t xml:space="preserve"> of the homohopanes are useful for maturity assessment. The 22R epimer is biologically derived and converted into 22S with the increasing maturity (Peters et al.</w:t>
      </w:r>
      <w:r>
        <w:t>,</w:t>
      </w:r>
      <w:r w:rsidRPr="0055052F">
        <w:t xml:space="preserve"> 2005). In </w:t>
      </w:r>
      <w:r>
        <w:t xml:space="preserve">the Wang (1993) Morrow </w:t>
      </w:r>
      <w:r w:rsidRPr="0055052F">
        <w:t>samples, the average C</w:t>
      </w:r>
      <w:r w:rsidRPr="0055052F">
        <w:rPr>
          <w:vertAlign w:val="subscript"/>
        </w:rPr>
        <w:t xml:space="preserve">31 </w:t>
      </w:r>
      <w:r>
        <w:t>22S/</w:t>
      </w:r>
      <w:r w:rsidRPr="0055052F">
        <w:t>C</w:t>
      </w:r>
      <w:r w:rsidRPr="0055052F">
        <w:rPr>
          <w:vertAlign w:val="subscript"/>
        </w:rPr>
        <w:t xml:space="preserve">31 </w:t>
      </w:r>
      <w:r w:rsidRPr="0055052F">
        <w:t xml:space="preserve">(22S+22R) ratio is 0.53 while this ratio is 0.58 in the Kephart-I Well and 0.59 for the Laverne-State-I Well.  According to Peters et al. </w:t>
      </w:r>
      <w:r w:rsidR="00C7411B">
        <w:t>(</w:t>
      </w:r>
      <w:r w:rsidRPr="0055052F">
        <w:t>2005</w:t>
      </w:r>
      <w:r w:rsidR="00C7411B">
        <w:t>)</w:t>
      </w:r>
      <w:r w:rsidRPr="0055052F">
        <w:t xml:space="preserve">, the range between 0.50 and </w:t>
      </w:r>
      <w:r w:rsidR="00FF2164" w:rsidRPr="0055052F">
        <w:t>0.54 indicates</w:t>
      </w:r>
      <w:r w:rsidR="00FF2164">
        <w:t xml:space="preserve"> </w:t>
      </w:r>
      <w:r w:rsidR="00D02D0B">
        <w:t xml:space="preserve">a </w:t>
      </w:r>
      <w:r w:rsidR="00FF2164" w:rsidRPr="0055052F">
        <w:t>very early</w:t>
      </w:r>
    </w:p>
    <w:p w:rsidR="0099286C" w:rsidRDefault="0099286C" w:rsidP="0099286C">
      <w:pPr>
        <w:jc w:val="both"/>
      </w:pPr>
      <w:r w:rsidRPr="00897B85">
        <w:rPr>
          <w:noProof/>
          <w:lang w:val="tr-TR" w:eastAsia="tr-TR" w:bidi="ar-SA"/>
        </w:rPr>
        <w:lastRenderedPageBreak/>
        <w:drawing>
          <wp:inline distT="0" distB="0" distL="0" distR="0" wp14:anchorId="218A782E" wp14:editId="583144B7">
            <wp:extent cx="5435600" cy="7747462"/>
            <wp:effectExtent l="12700" t="12700" r="12700" b="12700"/>
            <wp:docPr id="176" name="Resi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Resim 175"/>
                    <pic:cNvPicPr>
                      <a:picLocks noChangeAspect="1"/>
                    </pic:cNvPicPr>
                  </pic:nvPicPr>
                  <pic:blipFill rotWithShape="1">
                    <a:blip r:embed="rId56"/>
                    <a:srcRect r="9083"/>
                    <a:stretch/>
                  </pic:blipFill>
                  <pic:spPr bwMode="auto">
                    <a:xfrm>
                      <a:off x="0" y="0"/>
                      <a:ext cx="5485415" cy="78184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9286C" w:rsidRPr="009107A5" w:rsidRDefault="0099286C" w:rsidP="0099286C">
      <w:pPr>
        <w:pStyle w:val="ResimYazs"/>
        <w:rPr>
          <w:b w:val="0"/>
          <w:noProof/>
          <w:szCs w:val="24"/>
        </w:rPr>
      </w:pPr>
      <w:bookmarkStart w:id="106" w:name="_Toc507509080"/>
      <w:r>
        <w:t xml:space="preserve">Figure </w:t>
      </w:r>
      <w:fldSimple w:instr=" SEQ Figure \* ARABIC ">
        <w:r w:rsidR="003F6459">
          <w:rPr>
            <w:noProof/>
          </w:rPr>
          <w:t>32</w:t>
        </w:r>
      </w:fldSimple>
      <w:r>
        <w:t xml:space="preserve">. </w:t>
      </w:r>
      <w:r w:rsidRPr="00897B85">
        <w:rPr>
          <w:b w:val="0"/>
        </w:rPr>
        <w:t>m/z 191 ion chromatogram showing the distribution of terpanes</w:t>
      </w:r>
      <w:bookmarkEnd w:id="106"/>
    </w:p>
    <w:p w:rsidR="0099286C" w:rsidRDefault="007601BC" w:rsidP="007601BC">
      <w:pPr>
        <w:pStyle w:val="ResimYazs"/>
        <w:keepNext/>
        <w:ind w:left="720"/>
      </w:pPr>
      <w:r>
        <w:lastRenderedPageBreak/>
        <w:t xml:space="preserve"> </w:t>
      </w:r>
      <w:bookmarkStart w:id="107" w:name="_Toc507508798"/>
      <w:r w:rsidR="0099286C" w:rsidRPr="007601BC">
        <w:t xml:space="preserve">Table </w:t>
      </w:r>
      <w:fldSimple w:instr=" SEQ Table \* ARABIC ">
        <w:r w:rsidR="003F6459">
          <w:rPr>
            <w:noProof/>
          </w:rPr>
          <w:t>8</w:t>
        </w:r>
      </w:fldSimple>
      <w:r w:rsidR="0099286C" w:rsidRPr="007601BC">
        <w:t xml:space="preserve">. </w:t>
      </w:r>
      <w:r w:rsidR="0099286C" w:rsidRPr="007601BC">
        <w:rPr>
          <w:b w:val="0"/>
        </w:rPr>
        <w:t>m/z 191 Terpane Compound Identification</w:t>
      </w:r>
      <w:bookmarkEnd w:id="107"/>
    </w:p>
    <w:p w:rsidR="00954092" w:rsidRDefault="00954092" w:rsidP="007601BC">
      <w:pPr>
        <w:jc w:val="center"/>
      </w:pPr>
      <w:r w:rsidRPr="00954092">
        <w:rPr>
          <w:noProof/>
          <w:lang w:val="tr-TR" w:eastAsia="tr-TR" w:bidi="ar-SA"/>
        </w:rPr>
        <w:drawing>
          <wp:inline distT="0" distB="0" distL="0" distR="0" wp14:anchorId="2DE20465" wp14:editId="7770ED5D">
            <wp:extent cx="4338955" cy="5417389"/>
            <wp:effectExtent l="19050" t="19050" r="23495" b="12065"/>
            <wp:docPr id="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rotWithShape="1">
                    <a:blip r:embed="rId57"/>
                    <a:srcRect r="19571" b="3215"/>
                    <a:stretch/>
                  </pic:blipFill>
                  <pic:spPr bwMode="auto">
                    <a:xfrm>
                      <a:off x="0" y="0"/>
                      <a:ext cx="4339086" cy="541755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9286C" w:rsidRDefault="0099286C" w:rsidP="0099286C">
      <w:pPr>
        <w:jc w:val="both"/>
      </w:pPr>
      <w:r w:rsidRPr="0055052F">
        <w:t>oil window while the range between 0.57 and</w:t>
      </w:r>
      <w:r>
        <w:t xml:space="preserve"> 0.62 indicates that late oil window. Moreover, in Ke</w:t>
      </w:r>
      <w:r w:rsidR="00FF2164">
        <w:t xml:space="preserve">phart-I Well, this ratio shows </w:t>
      </w:r>
      <w:r>
        <w:t xml:space="preserve">little or no variation indicating that the thermal maturity does not fluctuate significantly through the </w:t>
      </w:r>
      <w:r w:rsidRPr="00736991">
        <w:t>core (Figure 33</w:t>
      </w:r>
      <w:r w:rsidR="00954092">
        <w:t>, Table 6</w:t>
      </w:r>
      <w:r w:rsidRPr="00736991">
        <w:t>).</w:t>
      </w:r>
      <w:r>
        <w:t xml:space="preserve"> </w:t>
      </w:r>
    </w:p>
    <w:p w:rsidR="0099286C" w:rsidRDefault="00FF2164" w:rsidP="00FF2164">
      <w:pPr>
        <w:ind w:firstLine="720"/>
        <w:jc w:val="both"/>
      </w:pPr>
      <w:r>
        <w:t xml:space="preserve">The ratio of </w:t>
      </w:r>
      <w:r w:rsidR="0099286C">
        <w:t>18(</w:t>
      </w:r>
      <w:r w:rsidR="0099286C">
        <w:rPr>
          <w:rFonts w:cstheme="minorHAnsi"/>
        </w:rPr>
        <w:t>α</w:t>
      </w:r>
      <w:r w:rsidR="0099286C">
        <w:t>)-trisnorhopane(Ts</w:t>
      </w:r>
      <w:r>
        <w:t>;</w:t>
      </w:r>
      <w:r w:rsidR="00ED00AA" w:rsidRPr="00ED00AA">
        <w:rPr>
          <w:b/>
        </w:rPr>
        <w:t>IX</w:t>
      </w:r>
      <w:r w:rsidR="0099286C">
        <w:t>)/17(</w:t>
      </w:r>
      <w:r w:rsidR="0099286C">
        <w:rPr>
          <w:rFonts w:cstheme="minorHAnsi"/>
        </w:rPr>
        <w:t>α</w:t>
      </w:r>
      <w:r w:rsidR="0099286C">
        <w:t>)-trisnorhopane(Tm</w:t>
      </w:r>
      <w:r>
        <w:t>;</w:t>
      </w:r>
      <w:r w:rsidR="00ED00AA" w:rsidRPr="00ED00AA">
        <w:rPr>
          <w:b/>
        </w:rPr>
        <w:t>X</w:t>
      </w:r>
      <w:r w:rsidR="009B6159">
        <w:t xml:space="preserve">) </w:t>
      </w:r>
      <w:r w:rsidR="0099286C">
        <w:t xml:space="preserve">or Ts/Ts+Tm provides another maturity assessment in the immature to postmature range. Ts is more stable than Tm thus the ratio is expected to increase with increasing maturity. </w:t>
      </w:r>
    </w:p>
    <w:p w:rsidR="0099286C" w:rsidRDefault="0099286C" w:rsidP="0099286C">
      <w:pPr>
        <w:jc w:val="center"/>
      </w:pPr>
      <w:r>
        <w:rPr>
          <w:noProof/>
          <w:lang w:val="tr-TR" w:eastAsia="tr-TR" w:bidi="ar-SA"/>
        </w:rPr>
        <w:lastRenderedPageBreak/>
        <w:drawing>
          <wp:inline distT="0" distB="0" distL="0" distR="0" wp14:anchorId="7C06842B" wp14:editId="210958DD">
            <wp:extent cx="4386531" cy="5186853"/>
            <wp:effectExtent l="19050" t="19050" r="14605" b="1397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43140" cy="5253790"/>
                    </a:xfrm>
                    <a:prstGeom prst="rect">
                      <a:avLst/>
                    </a:prstGeom>
                    <a:noFill/>
                    <a:ln>
                      <a:solidFill>
                        <a:schemeClr val="tx1"/>
                      </a:solidFill>
                    </a:ln>
                  </pic:spPr>
                </pic:pic>
              </a:graphicData>
            </a:graphic>
          </wp:inline>
        </w:drawing>
      </w:r>
    </w:p>
    <w:p w:rsidR="0099286C" w:rsidRPr="00736991" w:rsidRDefault="0099286C" w:rsidP="0099286C">
      <w:pPr>
        <w:pStyle w:val="ResimYazs"/>
        <w:jc w:val="both"/>
        <w:rPr>
          <w:b w:val="0"/>
        </w:rPr>
      </w:pPr>
      <w:bookmarkStart w:id="108" w:name="_Toc507509081"/>
      <w:r>
        <w:t xml:space="preserve">Figure </w:t>
      </w:r>
      <w:fldSimple w:instr=" SEQ Figure \* ARABIC ">
        <w:r w:rsidR="003F6459">
          <w:rPr>
            <w:noProof/>
          </w:rPr>
          <w:t>33</w:t>
        </w:r>
      </w:fldSimple>
      <w:r>
        <w:t xml:space="preserve">. </w:t>
      </w:r>
      <w:r w:rsidRPr="00A60FF3">
        <w:rPr>
          <w:b w:val="0"/>
        </w:rPr>
        <w:t>C</w:t>
      </w:r>
      <w:r w:rsidR="001A52E3">
        <w:rPr>
          <w:b w:val="0"/>
          <w:vertAlign w:val="subscript"/>
        </w:rPr>
        <w:t>31</w:t>
      </w:r>
      <w:r w:rsidR="00A60FF3">
        <w:rPr>
          <w:b w:val="0"/>
        </w:rPr>
        <w:t>22S/</w:t>
      </w:r>
      <w:r w:rsidRPr="00A60FF3">
        <w:rPr>
          <w:b w:val="0"/>
        </w:rPr>
        <w:t>C</w:t>
      </w:r>
      <w:r w:rsidR="001A52E3">
        <w:rPr>
          <w:b w:val="0"/>
          <w:vertAlign w:val="subscript"/>
        </w:rPr>
        <w:t>31</w:t>
      </w:r>
      <w:r w:rsidRPr="00A60FF3">
        <w:rPr>
          <w:b w:val="0"/>
        </w:rPr>
        <w:t>(22S+22R) and T</w:t>
      </w:r>
      <w:r w:rsidRPr="00A60FF3">
        <w:rPr>
          <w:b w:val="0"/>
          <w:vertAlign w:val="subscript"/>
        </w:rPr>
        <w:t>s</w:t>
      </w:r>
      <w:r w:rsidR="001A52E3">
        <w:rPr>
          <w:b w:val="0"/>
        </w:rPr>
        <w:t>/</w:t>
      </w:r>
      <w:r w:rsidRPr="00A60FF3">
        <w:rPr>
          <w:b w:val="0"/>
        </w:rPr>
        <w:t>T</w:t>
      </w:r>
      <w:r w:rsidRPr="00A60FF3">
        <w:rPr>
          <w:b w:val="0"/>
          <w:vertAlign w:val="subscript"/>
        </w:rPr>
        <w:t>s</w:t>
      </w:r>
      <w:r w:rsidR="001A52E3">
        <w:rPr>
          <w:b w:val="0"/>
        </w:rPr>
        <w:t>+</w:t>
      </w:r>
      <w:r w:rsidRPr="00A60FF3">
        <w:rPr>
          <w:b w:val="0"/>
        </w:rPr>
        <w:t>T</w:t>
      </w:r>
      <w:r w:rsidRPr="00A60FF3">
        <w:rPr>
          <w:b w:val="0"/>
          <w:vertAlign w:val="subscript"/>
        </w:rPr>
        <w:t xml:space="preserve">m </w:t>
      </w:r>
      <w:r w:rsidRPr="00A60FF3">
        <w:rPr>
          <w:b w:val="0"/>
        </w:rPr>
        <w:t xml:space="preserve">logs </w:t>
      </w:r>
      <w:r w:rsidR="007B0878">
        <w:rPr>
          <w:b w:val="0"/>
        </w:rPr>
        <w:t>vs.</w:t>
      </w:r>
      <w:r w:rsidRPr="00A60FF3">
        <w:rPr>
          <w:b w:val="0"/>
        </w:rPr>
        <w:t xml:space="preserve"> depth showing the maturity variation through the Kephart-1 Well</w:t>
      </w:r>
      <w:r w:rsidR="00A60FF3">
        <w:rPr>
          <w:b w:val="0"/>
        </w:rPr>
        <w:t>.</w:t>
      </w:r>
      <w:bookmarkEnd w:id="108"/>
    </w:p>
    <w:p w:rsidR="0099286C" w:rsidRDefault="0099286C" w:rsidP="0099286C">
      <w:pPr>
        <w:spacing w:line="276" w:lineRule="auto"/>
        <w:jc w:val="both"/>
      </w:pPr>
    </w:p>
    <w:p w:rsidR="0099286C" w:rsidRDefault="0099286C" w:rsidP="0099286C">
      <w:pPr>
        <w:jc w:val="both"/>
      </w:pPr>
      <w:r>
        <w:t>However, this ratio is highly dependent on the facies change and should only be used as a maturity indicator when the source rock is composed of consistent organic facies (Waples and Machihara, 1991). In the source rock samples from</w:t>
      </w:r>
      <w:r w:rsidRPr="003F60C3">
        <w:t xml:space="preserve"> </w:t>
      </w:r>
      <w:r>
        <w:t xml:space="preserve">Wang (1993), the average Ts/Ts+Tm ratio is 0.5 ranging between 0.06 and 0.74. The results demonstrate that the maturity of the Morrow varies significantly in the Anadarko Basin as it was discussed </w:t>
      </w:r>
      <w:r w:rsidR="008038F4">
        <w:t>above</w:t>
      </w:r>
      <w:r>
        <w:t xml:space="preserve">. In Kephart-I well, </w:t>
      </w:r>
      <w:r w:rsidR="008038F4">
        <w:t>Ts/Ts+Tm ratio</w:t>
      </w:r>
      <w:r>
        <w:t xml:space="preserve"> shows </w:t>
      </w:r>
      <w:r w:rsidR="00FF2164">
        <w:t>only</w:t>
      </w:r>
      <w:r>
        <w:t xml:space="preserve"> slight variations until 8545 ft., and after that depth it </w:t>
      </w:r>
      <w:r w:rsidR="00FF2164">
        <w:t>shows a significant</w:t>
      </w:r>
      <w:r>
        <w:t xml:space="preserve"> increasing </w:t>
      </w:r>
      <w:r w:rsidR="00FF2164">
        <w:t xml:space="preserve">compared to the </w:t>
      </w:r>
      <w:r w:rsidRPr="0055052F">
        <w:t>C</w:t>
      </w:r>
      <w:r w:rsidRPr="0055052F">
        <w:rPr>
          <w:vertAlign w:val="subscript"/>
        </w:rPr>
        <w:t xml:space="preserve">31 </w:t>
      </w:r>
      <w:r>
        <w:t>22S/</w:t>
      </w:r>
      <w:r w:rsidRPr="0055052F">
        <w:t>C</w:t>
      </w:r>
      <w:r w:rsidRPr="0055052F">
        <w:rPr>
          <w:vertAlign w:val="subscript"/>
        </w:rPr>
        <w:t xml:space="preserve">31 </w:t>
      </w:r>
      <w:r w:rsidRPr="0055052F">
        <w:lastRenderedPageBreak/>
        <w:t>(22S+22R)</w:t>
      </w:r>
      <w:r>
        <w:t xml:space="preserve"> plot. The increasing trend in</w:t>
      </w:r>
      <w:r w:rsidR="00D02D0B">
        <w:t xml:space="preserve"> the</w:t>
      </w:r>
      <w:r>
        <w:t xml:space="preserve"> Ts/Ts+Tm plot might be related to </w:t>
      </w:r>
      <w:r w:rsidR="00D02D0B">
        <w:t xml:space="preserve">a </w:t>
      </w:r>
      <w:r>
        <w:t>sudden increase in maturity although such an abrupt change</w:t>
      </w:r>
      <w:r w:rsidR="000F24D1">
        <w:t xml:space="preserve"> </w:t>
      </w:r>
      <w:r w:rsidR="000F24D1" w:rsidRPr="000F24D1">
        <w:t xml:space="preserve">in </w:t>
      </w:r>
      <w:r w:rsidR="000F24D1">
        <w:t xml:space="preserve">maturity in a </w:t>
      </w:r>
      <w:r w:rsidR="000F24D1" w:rsidRPr="000F24D1">
        <w:t>60</w:t>
      </w:r>
      <w:r w:rsidR="007601BC">
        <w:t xml:space="preserve"> feet</w:t>
      </w:r>
      <w:r w:rsidR="000F24D1" w:rsidRPr="000F24D1">
        <w:t xml:space="preserve"> core</w:t>
      </w:r>
      <w:r>
        <w:t xml:space="preserve"> is quite </w:t>
      </w:r>
      <w:r w:rsidR="000F24D1">
        <w:t>unexpected</w:t>
      </w:r>
      <w:r>
        <w:t xml:space="preserve">. </w:t>
      </w:r>
      <w:r w:rsidR="00D02D0B">
        <w:t>I</w:t>
      </w:r>
      <w:r>
        <w:t>t might</w:t>
      </w:r>
      <w:r w:rsidR="00D02D0B">
        <w:t xml:space="preserve"> also</w:t>
      </w:r>
      <w:r>
        <w:t xml:space="preserve"> be related to facies change as Ts/Ts+Tm is highly susceptible to facies change and </w:t>
      </w:r>
      <w:r w:rsidR="00D02D0B">
        <w:t>given</w:t>
      </w:r>
      <w:r>
        <w:t xml:space="preserve"> the fact that</w:t>
      </w:r>
      <w:r w:rsidR="00D02D0B">
        <w:t xml:space="preserve"> the</w:t>
      </w:r>
      <w:r>
        <w:t xml:space="preserve"> Morrow was deposited under highly variable, dynamic conditions might lead to different facies association</w:t>
      </w:r>
      <w:r w:rsidR="00C4354B">
        <w:t>s</w:t>
      </w:r>
      <w:r>
        <w:t xml:space="preserve"> through the core.</w:t>
      </w:r>
    </w:p>
    <w:p w:rsidR="0099286C" w:rsidRDefault="0099286C" w:rsidP="0099286C">
      <w:pPr>
        <w:pStyle w:val="Balk4"/>
        <w:rPr>
          <w:i/>
          <w:sz w:val="24"/>
          <w:szCs w:val="24"/>
        </w:rPr>
      </w:pPr>
      <w:bookmarkStart w:id="109" w:name="_Toc507506652"/>
      <w:r w:rsidRPr="002A232B">
        <w:rPr>
          <w:i/>
          <w:sz w:val="24"/>
          <w:szCs w:val="24"/>
        </w:rPr>
        <w:t>4.3.4.1 Rearranged Hopanes</w:t>
      </w:r>
      <w:bookmarkEnd w:id="109"/>
    </w:p>
    <w:p w:rsidR="0099286C" w:rsidRDefault="0099286C" w:rsidP="0099286C">
      <w:pPr>
        <w:ind w:firstLine="720"/>
        <w:jc w:val="both"/>
      </w:pPr>
      <w:r>
        <w:t xml:space="preserve">Another feature of the m/z 191 ion chromatograms is the </w:t>
      </w:r>
      <w:r w:rsidR="000F24D1">
        <w:t xml:space="preserve">relatively </w:t>
      </w:r>
      <w:r>
        <w:t>high concentration of rearranged hopanes such as 18(</w:t>
      </w:r>
      <w:r>
        <w:rPr>
          <w:rFonts w:cstheme="minorHAnsi"/>
        </w:rPr>
        <w:t>α</w:t>
      </w:r>
      <w:r>
        <w:t>)-30-norneohopane</w:t>
      </w:r>
      <w:r w:rsidR="00ED00AA">
        <w:t xml:space="preserve"> (</w:t>
      </w:r>
      <w:r w:rsidR="00ED00AA" w:rsidRPr="00ED00AA">
        <w:rPr>
          <w:b/>
        </w:rPr>
        <w:t>XI</w:t>
      </w:r>
      <w:r w:rsidR="00ED00AA">
        <w:t>)</w:t>
      </w:r>
      <w:r w:rsidRPr="00896AAA">
        <w:t xml:space="preserve"> and </w:t>
      </w:r>
      <w:r>
        <w:t>17(</w:t>
      </w:r>
      <w:r>
        <w:rPr>
          <w:rFonts w:cstheme="minorHAnsi"/>
        </w:rPr>
        <w:t>α</w:t>
      </w:r>
      <w:r>
        <w:t>)-diahopane</w:t>
      </w:r>
      <w:r w:rsidR="00ED00AA">
        <w:t xml:space="preserve"> (</w:t>
      </w:r>
      <w:r w:rsidR="00ED00AA" w:rsidRPr="00ED00AA">
        <w:rPr>
          <w:b/>
        </w:rPr>
        <w:t>XII</w:t>
      </w:r>
      <w:r w:rsidR="00ED00AA">
        <w:t>)</w:t>
      </w:r>
      <w:r>
        <w:t xml:space="preserve">. The </w:t>
      </w:r>
      <w:r w:rsidRPr="0055052F">
        <w:t>rearranged hopanes and the regular hopanes have identical carbon skeleton</w:t>
      </w:r>
      <w:r w:rsidR="00D02D0B">
        <w:t>s</w:t>
      </w:r>
      <w:r w:rsidRPr="0055052F">
        <w:t xml:space="preserve"> </w:t>
      </w:r>
      <w:r w:rsidR="00A078A0">
        <w:t>with different</w:t>
      </w:r>
      <w:r w:rsidRPr="0055052F">
        <w:t xml:space="preserve"> </w:t>
      </w:r>
      <w:r w:rsidR="00FA2759">
        <w:t>methyl</w:t>
      </w:r>
      <w:r w:rsidR="00A078A0">
        <w:t xml:space="preserve"> </w:t>
      </w:r>
      <w:r w:rsidRPr="0055052F">
        <w:t xml:space="preserve">side chain </w:t>
      </w:r>
      <w:r w:rsidR="00A078A0">
        <w:t xml:space="preserve">carbon </w:t>
      </w:r>
      <w:r w:rsidRPr="0055052F">
        <w:t>position</w:t>
      </w:r>
      <w:r w:rsidR="00A078A0">
        <w:t xml:space="preserve">s </w:t>
      </w:r>
      <w:r w:rsidRPr="0055052F">
        <w:t>(</w:t>
      </w:r>
      <w:r w:rsidR="00A078A0">
        <w:t>Peters and Moldowan, 1993).</w:t>
      </w:r>
      <w:r w:rsidRPr="0055052F">
        <w:t xml:space="preserve"> So far, there have been several studies conducted on </w:t>
      </w:r>
      <w:r w:rsidR="000F24D1">
        <w:t xml:space="preserve">the geochemical significance of </w:t>
      </w:r>
      <w:r w:rsidRPr="0055052F">
        <w:t>17(</w:t>
      </w:r>
      <w:r w:rsidRPr="0055052F">
        <w:rPr>
          <w:rFonts w:cstheme="minorHAnsi"/>
        </w:rPr>
        <w:t>α</w:t>
      </w:r>
      <w:r>
        <w:t>)-d</w:t>
      </w:r>
      <w:r w:rsidRPr="0055052F">
        <w:t xml:space="preserve">iahopane, however its origin and geochemical significance is still disputed (Yang et al., 2016). For </w:t>
      </w:r>
      <w:r w:rsidR="00D02D0B">
        <w:t>example</w:t>
      </w:r>
      <w:r w:rsidRPr="0055052F">
        <w:t>, Moldowan et al. (1991</w:t>
      </w:r>
      <w:r>
        <w:t>a</w:t>
      </w:r>
      <w:r w:rsidRPr="0055052F">
        <w:t>) suggested that the 17(</w:t>
      </w:r>
      <w:r w:rsidRPr="0055052F">
        <w:rPr>
          <w:rFonts w:cstheme="minorHAnsi"/>
        </w:rPr>
        <w:t>α</w:t>
      </w:r>
      <w:r>
        <w:t>)-d</w:t>
      </w:r>
      <w:r w:rsidRPr="0055052F">
        <w:t>iahopanes resulted from the rearrangement of hopanoid</w:t>
      </w:r>
      <w:r w:rsidR="0086393B">
        <w:t>s</w:t>
      </w:r>
      <w:r w:rsidRPr="0055052F">
        <w:t xml:space="preserve"> with </w:t>
      </w:r>
      <w:r w:rsidR="0086393B">
        <w:t xml:space="preserve">a </w:t>
      </w:r>
      <w:r w:rsidR="00D02D0B">
        <w:t>functional group</w:t>
      </w:r>
      <w:r w:rsidRPr="0055052F">
        <w:t xml:space="preserve"> </w:t>
      </w:r>
      <w:r w:rsidR="0086393B">
        <w:t>in</w:t>
      </w:r>
      <w:r w:rsidRPr="0055052F">
        <w:t xml:space="preserve"> the D-ring and share common </w:t>
      </w:r>
      <w:r w:rsidR="00C71D66">
        <w:t xml:space="preserve">structural </w:t>
      </w:r>
      <w:r w:rsidRPr="0055052F">
        <w:t xml:space="preserve">features with </w:t>
      </w:r>
      <w:r w:rsidRPr="0055052F">
        <w:rPr>
          <w:sz w:val="28"/>
        </w:rPr>
        <w:t>C</w:t>
      </w:r>
      <w:r w:rsidRPr="0055052F">
        <w:rPr>
          <w:vertAlign w:val="subscript"/>
        </w:rPr>
        <w:t>27</w:t>
      </w:r>
      <w:r w:rsidRPr="0055052F">
        <w:t>-</w:t>
      </w:r>
      <w:r w:rsidRPr="0055052F">
        <w:rPr>
          <w:sz w:val="28"/>
        </w:rPr>
        <w:t>C</w:t>
      </w:r>
      <w:r w:rsidRPr="0055052F">
        <w:rPr>
          <w:vertAlign w:val="subscript"/>
        </w:rPr>
        <w:t xml:space="preserve">30 </w:t>
      </w:r>
      <w:r w:rsidRPr="0055052F">
        <w:t>17(</w:t>
      </w:r>
      <w:r w:rsidRPr="0055052F">
        <w:rPr>
          <w:rFonts w:cstheme="minorHAnsi"/>
        </w:rPr>
        <w:t>α</w:t>
      </w:r>
      <w:r>
        <w:t>)-h</w:t>
      </w:r>
      <w:r w:rsidRPr="0055052F">
        <w:t>opanes</w:t>
      </w:r>
      <w:r>
        <w:t xml:space="preserve"> (Zhang et al., 2009</w:t>
      </w:r>
      <w:r w:rsidR="0086393B">
        <w:t xml:space="preserve">). </w:t>
      </w:r>
      <w:r w:rsidR="001565B4" w:rsidRPr="0055052F">
        <w:t>Peters et al.</w:t>
      </w:r>
      <w:r w:rsidR="001565B4">
        <w:t xml:space="preserve"> (</w:t>
      </w:r>
      <w:r w:rsidR="001565B4" w:rsidRPr="0055052F">
        <w:t>2005</w:t>
      </w:r>
      <w:r w:rsidR="001565B4">
        <w:t xml:space="preserve">) mentioned </w:t>
      </w:r>
      <w:r w:rsidRPr="0055052F">
        <w:t>that 17(</w:t>
      </w:r>
      <w:r w:rsidRPr="0055052F">
        <w:rPr>
          <w:rFonts w:cstheme="minorHAnsi"/>
        </w:rPr>
        <w:t>α</w:t>
      </w:r>
      <w:r>
        <w:t>)-d</w:t>
      </w:r>
      <w:r w:rsidRPr="0055052F">
        <w:t xml:space="preserve">iahopane and </w:t>
      </w:r>
      <w:r w:rsidRPr="0055052F">
        <w:rPr>
          <w:sz w:val="28"/>
        </w:rPr>
        <w:t>C</w:t>
      </w:r>
      <w:r w:rsidRPr="0055052F">
        <w:rPr>
          <w:vertAlign w:val="subscript"/>
        </w:rPr>
        <w:t>27</w:t>
      </w:r>
      <w:r w:rsidRPr="0055052F">
        <w:t>-</w:t>
      </w:r>
      <w:r w:rsidRPr="0055052F">
        <w:rPr>
          <w:sz w:val="28"/>
        </w:rPr>
        <w:t>C</w:t>
      </w:r>
      <w:r w:rsidRPr="0055052F">
        <w:rPr>
          <w:vertAlign w:val="subscript"/>
        </w:rPr>
        <w:t xml:space="preserve">30 </w:t>
      </w:r>
      <w:r w:rsidRPr="0055052F">
        <w:t>17(</w:t>
      </w:r>
      <w:r w:rsidRPr="0055052F">
        <w:rPr>
          <w:rFonts w:cstheme="minorHAnsi"/>
        </w:rPr>
        <w:t>α</w:t>
      </w:r>
      <w:r>
        <w:t>)-h</w:t>
      </w:r>
      <w:r w:rsidR="0086393B">
        <w:t>opanes originate</w:t>
      </w:r>
      <w:r w:rsidRPr="0055052F">
        <w:t xml:space="preserve"> from </w:t>
      </w:r>
      <w:r>
        <w:t>a</w:t>
      </w:r>
      <w:r w:rsidR="001565B4">
        <w:t xml:space="preserve"> common bacterial precursor</w:t>
      </w:r>
      <w:r w:rsidRPr="0055052F">
        <w:t>. Philp and Gilbert (1986) suggested that they are associated with</w:t>
      </w:r>
      <w:r w:rsidR="00D02D0B">
        <w:t xml:space="preserve"> a</w:t>
      </w:r>
      <w:r w:rsidRPr="0055052F">
        <w:t xml:space="preserve"> terrestrial environment due to their occurrence</w:t>
      </w:r>
      <w:r>
        <w:t xml:space="preserve"> in coals and oils derived from </w:t>
      </w:r>
      <w:r w:rsidR="0086393B">
        <w:t>terrigenous source material</w:t>
      </w:r>
      <w:r>
        <w:t xml:space="preserve">.  </w:t>
      </w:r>
      <w:r w:rsidR="00D02D0B">
        <w:t>Alternatively</w:t>
      </w:r>
      <w:r>
        <w:t>, Zhang et al. (2009) proposed that this compound m</w:t>
      </w:r>
      <w:r w:rsidR="00FF1279">
        <w:t>ight</w:t>
      </w:r>
      <w:r>
        <w:t xml:space="preserve"> be related t</w:t>
      </w:r>
      <w:r w:rsidR="00C71D66">
        <w:t>o the red algae derived from a</w:t>
      </w:r>
      <w:r>
        <w:t xml:space="preserve"> marine environment. The most consistent interpretation about the origin of the 17(</w:t>
      </w:r>
      <w:r>
        <w:rPr>
          <w:rFonts w:cstheme="minorHAnsi"/>
        </w:rPr>
        <w:t>α</w:t>
      </w:r>
      <w:r w:rsidR="007601BC">
        <w:t>)-diahopane, however,</w:t>
      </w:r>
      <w:r>
        <w:t xml:space="preserve"> is the fact that they are most probably </w:t>
      </w:r>
      <w:r w:rsidRPr="0016615D">
        <w:t xml:space="preserve">derived from the rearrangement </w:t>
      </w:r>
      <w:r w:rsidR="001565B4" w:rsidRPr="0016615D">
        <w:t>of hopanoids</w:t>
      </w:r>
      <w:r>
        <w:t xml:space="preserve"> </w:t>
      </w:r>
      <w:r w:rsidR="00C71D66">
        <w:t>in</w:t>
      </w:r>
      <w:r>
        <w:t xml:space="preserve"> clay </w:t>
      </w:r>
      <w:r w:rsidR="00C71D66">
        <w:t>rich</w:t>
      </w:r>
      <w:r>
        <w:t xml:space="preserve"> environment</w:t>
      </w:r>
      <w:r w:rsidR="00C71D66">
        <w:t>s</w:t>
      </w:r>
      <w:r>
        <w:t xml:space="preserve"> </w:t>
      </w:r>
      <w:r w:rsidR="00C71D66">
        <w:t>under oxic condition</w:t>
      </w:r>
      <w:r w:rsidR="00D02D0B">
        <w:t>s</w:t>
      </w:r>
      <w:r>
        <w:t xml:space="preserve"> during diagenesis (Moldowan et al., 1991a; Yang et </w:t>
      </w:r>
      <w:r>
        <w:lastRenderedPageBreak/>
        <w:t>al., 2016). Jiang et al. (2018) mentioned that occurrence of the 18(</w:t>
      </w:r>
      <w:r>
        <w:rPr>
          <w:rFonts w:cstheme="minorHAnsi"/>
        </w:rPr>
        <w:t>α</w:t>
      </w:r>
      <w:r>
        <w:t>)-30-norneohopane</w:t>
      </w:r>
      <w:r w:rsidRPr="00896AAA">
        <w:t xml:space="preserve"> and </w:t>
      </w:r>
      <w:r>
        <w:t>17(</w:t>
      </w:r>
      <w:r>
        <w:rPr>
          <w:rFonts w:cstheme="minorHAnsi"/>
        </w:rPr>
        <w:t>α</w:t>
      </w:r>
      <w:r>
        <w:t>)-diahopane is mainly controlled by redox conditions of th</w:t>
      </w:r>
      <w:r w:rsidR="00C71D66">
        <w:t>e depositional environment and</w:t>
      </w:r>
      <w:r>
        <w:t xml:space="preserve"> salinity of the water. Anoxic conditions are the least favorable for their occurrence, while suboxic environment</w:t>
      </w:r>
      <w:r w:rsidR="00C71D66">
        <w:t>s</w:t>
      </w:r>
      <w:r>
        <w:t xml:space="preserve"> and brackish waters are the most favorable depositional conditions for their occurrence (Jiang et al., 2018). Besides its association with the depositional conditions, 17(</w:t>
      </w:r>
      <w:r>
        <w:rPr>
          <w:rFonts w:cstheme="minorHAnsi"/>
        </w:rPr>
        <w:t>α</w:t>
      </w:r>
      <w:r>
        <w:t>)-diahopane has been also associated with increasing thermal maturity (Kolaczkowska et al., 1990; Moldowan et al., 1991a). Horstad et al. (1990) suggested that 17(</w:t>
      </w:r>
      <w:r>
        <w:rPr>
          <w:rFonts w:cstheme="minorHAnsi"/>
        </w:rPr>
        <w:t>α</w:t>
      </w:r>
      <w:r>
        <w:t>)-diahopane is more stable than 18(</w:t>
      </w:r>
      <w:r>
        <w:rPr>
          <w:rFonts w:cstheme="minorHAnsi"/>
        </w:rPr>
        <w:t>α</w:t>
      </w:r>
      <w:r>
        <w:t>)-30-norneohopane and 17(</w:t>
      </w:r>
      <w:r>
        <w:rPr>
          <w:rFonts w:cstheme="minorHAnsi"/>
        </w:rPr>
        <w:t>α</w:t>
      </w:r>
      <w:r>
        <w:t xml:space="preserve">)-hopane and added that increasing maturity should result in an increase </w:t>
      </w:r>
      <w:r w:rsidR="00C71D66">
        <w:t>of</w:t>
      </w:r>
      <w:r>
        <w:t xml:space="preserve"> the 17(</w:t>
      </w:r>
      <w:r>
        <w:rPr>
          <w:rFonts w:cstheme="minorHAnsi"/>
        </w:rPr>
        <w:t>α</w:t>
      </w:r>
      <w:r>
        <w:t>)-diahopane/(17(</w:t>
      </w:r>
      <w:r>
        <w:rPr>
          <w:rFonts w:cstheme="minorHAnsi"/>
        </w:rPr>
        <w:t>α</w:t>
      </w:r>
      <w:r>
        <w:t>)-diahopane+17(</w:t>
      </w:r>
      <w:r>
        <w:rPr>
          <w:rFonts w:cstheme="minorHAnsi"/>
        </w:rPr>
        <w:t>α</w:t>
      </w:r>
      <w:r>
        <w:t>)-hopane) ratio. However, it does not necessarily mean that all highly mature source rocks and oils will contain 17(</w:t>
      </w:r>
      <w:r>
        <w:rPr>
          <w:rFonts w:cstheme="minorHAnsi"/>
        </w:rPr>
        <w:t>α</w:t>
      </w:r>
      <w:r>
        <w:t>)-diahopane as its occurrence can be effected by various other geological factors (Yang et al., 2016).</w:t>
      </w:r>
    </w:p>
    <w:p w:rsidR="002A232B" w:rsidRPr="0016615D" w:rsidRDefault="0099286C" w:rsidP="00C71D66">
      <w:pPr>
        <w:ind w:firstLine="720"/>
        <w:jc w:val="both"/>
        <w:rPr>
          <w:highlight w:val="yellow"/>
        </w:rPr>
      </w:pPr>
      <w:r>
        <w:t xml:space="preserve">Almost all of the samples in this study, with one exception, have </w:t>
      </w:r>
      <w:r w:rsidR="00C71D66">
        <w:t xml:space="preserve">relatively high concentrations </w:t>
      </w:r>
      <w:r>
        <w:t xml:space="preserve">of rearranged hopanes. Their </w:t>
      </w:r>
      <w:r w:rsidR="00C71D66">
        <w:t xml:space="preserve">relatively </w:t>
      </w:r>
      <w:r>
        <w:t xml:space="preserve">high abundance in the Morrow samples demonstrates that the Morrow was deposited under clay-rich hyposaline suboxic conditions. </w:t>
      </w:r>
      <w:r w:rsidRPr="0016615D">
        <w:t>MOR-75 is the only sample with no 18(</w:t>
      </w:r>
      <w:r w:rsidRPr="0016615D">
        <w:rPr>
          <w:rFonts w:cstheme="minorHAnsi"/>
        </w:rPr>
        <w:t>α</w:t>
      </w:r>
      <w:r w:rsidRPr="0016615D">
        <w:t>)-30-norneohopane and the highest C</w:t>
      </w:r>
      <w:r w:rsidRPr="0016615D">
        <w:rPr>
          <w:vertAlign w:val="subscript"/>
        </w:rPr>
        <w:t xml:space="preserve">29 </w:t>
      </w:r>
      <w:r w:rsidRPr="0016615D">
        <w:t>hopane concentration among the other samples which may be related to an increase in carbonate content or evaporitic</w:t>
      </w:r>
      <w:r>
        <w:t xml:space="preserve"> conditions prevailing during deposition.</w:t>
      </w:r>
    </w:p>
    <w:p w:rsidR="002A232B" w:rsidRPr="002A232B" w:rsidRDefault="002A232B" w:rsidP="002A232B">
      <w:pPr>
        <w:pStyle w:val="Balk4"/>
        <w:rPr>
          <w:i/>
          <w:sz w:val="24"/>
        </w:rPr>
      </w:pPr>
      <w:bookmarkStart w:id="110" w:name="_Toc507506653"/>
      <w:r>
        <w:rPr>
          <w:i/>
          <w:sz w:val="24"/>
        </w:rPr>
        <w:t>4</w:t>
      </w:r>
      <w:r w:rsidRPr="002A232B">
        <w:rPr>
          <w:i/>
          <w:sz w:val="24"/>
        </w:rPr>
        <w:t>.3.4.2 Oleanane</w:t>
      </w:r>
      <w:bookmarkEnd w:id="110"/>
    </w:p>
    <w:p w:rsidR="002A232B" w:rsidRDefault="002A232B" w:rsidP="002A232B">
      <w:pPr>
        <w:jc w:val="both"/>
        <w:rPr>
          <w:rFonts w:cstheme="minorHAnsi"/>
        </w:rPr>
      </w:pPr>
      <w:r>
        <w:tab/>
        <w:t xml:space="preserve">One of the most interesting </w:t>
      </w:r>
      <w:r w:rsidR="001C4470">
        <w:t>features</w:t>
      </w:r>
      <w:r>
        <w:t xml:space="preserve"> of the m/z 191 ion chromatogram</w:t>
      </w:r>
      <w:r w:rsidR="001C4470">
        <w:t>s</w:t>
      </w:r>
      <w:r>
        <w:t xml:space="preserve"> was the unusual occurr</w:t>
      </w:r>
      <w:r w:rsidR="00983452">
        <w:t>ence of oleanane in the Morrow s</w:t>
      </w:r>
      <w:r>
        <w:t>amples. 18</w:t>
      </w:r>
      <w:r>
        <w:rPr>
          <w:rFonts w:cstheme="minorHAnsi"/>
        </w:rPr>
        <w:t>α(H)-</w:t>
      </w:r>
      <w:r w:rsidR="00A60FF3">
        <w:rPr>
          <w:rFonts w:cstheme="minorHAnsi"/>
        </w:rPr>
        <w:t>O</w:t>
      </w:r>
      <w:r>
        <w:rPr>
          <w:rFonts w:cstheme="minorHAnsi"/>
        </w:rPr>
        <w:t xml:space="preserve">leanane </w:t>
      </w:r>
      <w:r w:rsidR="00ED00AA">
        <w:rPr>
          <w:rFonts w:cstheme="minorHAnsi"/>
        </w:rPr>
        <w:t>(</w:t>
      </w:r>
      <w:r w:rsidR="00ED00AA" w:rsidRPr="00ED00AA">
        <w:rPr>
          <w:rFonts w:cstheme="minorHAnsi"/>
          <w:b/>
        </w:rPr>
        <w:t>XII</w:t>
      </w:r>
      <w:r w:rsidR="00ED00AA">
        <w:rPr>
          <w:rFonts w:cstheme="minorHAnsi"/>
          <w:b/>
        </w:rPr>
        <w:t>I</w:t>
      </w:r>
      <w:r w:rsidR="00ED00AA">
        <w:rPr>
          <w:rFonts w:cstheme="minorHAnsi"/>
        </w:rPr>
        <w:t xml:space="preserve">) </w:t>
      </w:r>
      <w:r>
        <w:rPr>
          <w:rFonts w:cstheme="minorHAnsi"/>
        </w:rPr>
        <w:t xml:space="preserve">has </w:t>
      </w:r>
      <w:r>
        <w:rPr>
          <w:rFonts w:cstheme="minorHAnsi"/>
        </w:rPr>
        <w:lastRenderedPageBreak/>
        <w:t>been identified tentativ</w:t>
      </w:r>
      <w:r w:rsidR="001C4470">
        <w:rPr>
          <w:rFonts w:cstheme="minorHAnsi"/>
        </w:rPr>
        <w:t>ely in most of the Wang (1993) source r</w:t>
      </w:r>
      <w:r>
        <w:rPr>
          <w:rFonts w:cstheme="minorHAnsi"/>
        </w:rPr>
        <w:t>ock</w:t>
      </w:r>
      <w:r w:rsidR="001C4470">
        <w:rPr>
          <w:rFonts w:cstheme="minorHAnsi"/>
        </w:rPr>
        <w:t>s and the Kephart-I core s</w:t>
      </w:r>
      <w:r>
        <w:rPr>
          <w:rFonts w:cstheme="minorHAnsi"/>
        </w:rPr>
        <w:t>amples</w:t>
      </w:r>
      <w:r w:rsidR="00D2175C">
        <w:rPr>
          <w:rFonts w:cstheme="minorHAnsi"/>
        </w:rPr>
        <w:t xml:space="preserve"> </w:t>
      </w:r>
      <w:r>
        <w:rPr>
          <w:rFonts w:cstheme="minorHAnsi"/>
        </w:rPr>
        <w:t xml:space="preserve">(Figure </w:t>
      </w:r>
      <w:r w:rsidR="00D2175C">
        <w:rPr>
          <w:rFonts w:cstheme="minorHAnsi"/>
        </w:rPr>
        <w:t>34</w:t>
      </w:r>
      <w:r w:rsidR="007601BC">
        <w:rPr>
          <w:rFonts w:cstheme="minorHAnsi"/>
        </w:rPr>
        <w:t>; Table 9</w:t>
      </w:r>
      <w:r w:rsidR="00D2175C">
        <w:rPr>
          <w:rFonts w:cstheme="minorHAnsi"/>
        </w:rPr>
        <w:t>).</w:t>
      </w:r>
    </w:p>
    <w:p w:rsidR="00D2175C" w:rsidRDefault="00506C1C" w:rsidP="000F4852">
      <w:pPr>
        <w:keepNext/>
        <w:jc w:val="center"/>
      </w:pPr>
      <w:r w:rsidRPr="00506C1C">
        <w:rPr>
          <w:noProof/>
          <w:lang w:val="tr-TR" w:eastAsia="tr-TR" w:bidi="ar-SA"/>
        </w:rPr>
        <w:drawing>
          <wp:inline distT="0" distB="0" distL="0" distR="0" wp14:anchorId="5715E1DB" wp14:editId="28D89D4C">
            <wp:extent cx="5200527" cy="4130565"/>
            <wp:effectExtent l="0" t="0" r="635" b="0"/>
            <wp:docPr id="5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im 13"/>
                    <pic:cNvPicPr>
                      <a:picLocks noChangeAspect="1"/>
                    </pic:cNvPicPr>
                  </pic:nvPicPr>
                  <pic:blipFill rotWithShape="1">
                    <a:blip r:embed="rId59"/>
                    <a:srcRect t="10497" r="48799" b="3148"/>
                    <a:stretch/>
                  </pic:blipFill>
                  <pic:spPr bwMode="auto">
                    <a:xfrm>
                      <a:off x="0" y="0"/>
                      <a:ext cx="5208819" cy="4137151"/>
                    </a:xfrm>
                    <a:prstGeom prst="rect">
                      <a:avLst/>
                    </a:prstGeom>
                    <a:ln>
                      <a:noFill/>
                    </a:ln>
                    <a:extLst>
                      <a:ext uri="{53640926-AAD7-44D8-BBD7-CCE9431645EC}">
                        <a14:shadowObscured xmlns:a14="http://schemas.microsoft.com/office/drawing/2010/main"/>
                      </a:ext>
                    </a:extLst>
                  </pic:spPr>
                </pic:pic>
              </a:graphicData>
            </a:graphic>
          </wp:inline>
        </w:drawing>
      </w:r>
    </w:p>
    <w:p w:rsidR="00D2175C" w:rsidRDefault="00D2175C" w:rsidP="00D2175C">
      <w:pPr>
        <w:pStyle w:val="ResimYazs"/>
        <w:jc w:val="both"/>
        <w:rPr>
          <w:rFonts w:cstheme="minorHAnsi"/>
        </w:rPr>
      </w:pPr>
      <w:bookmarkStart w:id="111" w:name="_Toc507509082"/>
      <w:r>
        <w:t xml:space="preserve">Figure </w:t>
      </w:r>
      <w:fldSimple w:instr=" SEQ Figure \* ARABIC ">
        <w:r w:rsidR="003F6459">
          <w:rPr>
            <w:noProof/>
          </w:rPr>
          <w:t>34</w:t>
        </w:r>
      </w:fldSimple>
      <w:r>
        <w:t xml:space="preserve">. </w:t>
      </w:r>
      <w:r w:rsidRPr="00D2175C">
        <w:rPr>
          <w:b w:val="0"/>
        </w:rPr>
        <w:t>Rep</w:t>
      </w:r>
      <w:r>
        <w:rPr>
          <w:b w:val="0"/>
        </w:rPr>
        <w:t>resentative m/z 191 pentacyclic terpane distribution of the Morrow sample</w:t>
      </w:r>
      <w:bookmarkEnd w:id="111"/>
    </w:p>
    <w:p w:rsidR="00432509" w:rsidRDefault="00432509" w:rsidP="002A232B">
      <w:pPr>
        <w:ind w:firstLine="720"/>
        <w:jc w:val="both"/>
      </w:pPr>
    </w:p>
    <w:p w:rsidR="00DE665F" w:rsidRDefault="002A232B" w:rsidP="002A232B">
      <w:pPr>
        <w:ind w:firstLine="720"/>
        <w:jc w:val="both"/>
        <w:rPr>
          <w:rFonts w:cstheme="minorHAnsi"/>
        </w:rPr>
      </w:pPr>
      <w:r>
        <w:t xml:space="preserve"> Oleanane</w:t>
      </w:r>
      <w:r>
        <w:rPr>
          <w:rFonts w:cstheme="minorHAnsi"/>
        </w:rPr>
        <w:t xml:space="preserve"> is a pentacyclic triterpenoid derived by the alteration of the β-amyrin, </w:t>
      </w:r>
      <w:r w:rsidR="00414D63">
        <w:rPr>
          <w:rFonts w:cstheme="minorHAnsi"/>
        </w:rPr>
        <w:t>derived from</w:t>
      </w:r>
      <w:r>
        <w:rPr>
          <w:rFonts w:cstheme="minorHAnsi"/>
        </w:rPr>
        <w:t xml:space="preserve"> angiosperm</w:t>
      </w:r>
      <w:r w:rsidR="00414D63">
        <w:rPr>
          <w:rFonts w:cstheme="minorHAnsi"/>
        </w:rPr>
        <w:t xml:space="preserve">s (Armstroff et al., 2006; </w:t>
      </w:r>
      <w:r>
        <w:rPr>
          <w:rFonts w:cstheme="minorHAnsi"/>
        </w:rPr>
        <w:t xml:space="preserve">Udo and Ekweozor, 1990). The fossil records show that the angiosperms evolved and flourished in the early Cretaceous Period, which is why </w:t>
      </w:r>
      <w:r>
        <w:t>oleanane</w:t>
      </w:r>
      <w:r>
        <w:rPr>
          <w:rFonts w:cstheme="minorHAnsi"/>
        </w:rPr>
        <w:t xml:space="preserve"> </w:t>
      </w:r>
      <w:r w:rsidR="00414D63">
        <w:rPr>
          <w:rFonts w:cstheme="minorHAnsi"/>
        </w:rPr>
        <w:t>has been</w:t>
      </w:r>
      <w:r>
        <w:rPr>
          <w:rFonts w:cstheme="minorHAnsi"/>
        </w:rPr>
        <w:t xml:space="preserve"> widely used as an age-specific biomarker for the Cretaceous and younger rocks and oils (Riva et al.</w:t>
      </w:r>
      <w:r w:rsidR="00414D63">
        <w:rPr>
          <w:rFonts w:cstheme="minorHAnsi"/>
        </w:rPr>
        <w:t>,</w:t>
      </w:r>
      <w:r w:rsidR="00A60FF3">
        <w:rPr>
          <w:rFonts w:cstheme="minorHAnsi"/>
        </w:rPr>
        <w:t xml:space="preserve"> </w:t>
      </w:r>
      <w:r>
        <w:rPr>
          <w:rFonts w:cstheme="minorHAnsi"/>
        </w:rPr>
        <w:t>1988; Moldowan et al.</w:t>
      </w:r>
      <w:r w:rsidR="00414D63">
        <w:rPr>
          <w:rFonts w:cstheme="minorHAnsi"/>
        </w:rPr>
        <w:t>,</w:t>
      </w:r>
      <w:r>
        <w:rPr>
          <w:rFonts w:cstheme="minorHAnsi"/>
        </w:rPr>
        <w:t xml:space="preserve"> 1994). However, the absence of </w:t>
      </w:r>
      <w:r>
        <w:t>oleanane</w:t>
      </w:r>
      <w:r>
        <w:rPr>
          <w:rFonts w:cstheme="minorHAnsi"/>
        </w:rPr>
        <w:t xml:space="preserve"> does not necessarily mean that the petroleum was derived from the Lower Cretaceous </w:t>
      </w:r>
      <w:r w:rsidR="00C71D66">
        <w:rPr>
          <w:rFonts w:cstheme="minorHAnsi"/>
        </w:rPr>
        <w:t>or</w:t>
      </w:r>
      <w:r>
        <w:rPr>
          <w:rFonts w:cstheme="minorHAnsi"/>
        </w:rPr>
        <w:t xml:space="preserve"> older source rock</w:t>
      </w:r>
      <w:r w:rsidR="00C71D66">
        <w:rPr>
          <w:rFonts w:cstheme="minorHAnsi"/>
        </w:rPr>
        <w:t>s</w:t>
      </w:r>
      <w:r>
        <w:rPr>
          <w:rFonts w:cstheme="minorHAnsi"/>
        </w:rPr>
        <w:t xml:space="preserve"> as t</w:t>
      </w:r>
      <w:r w:rsidR="00414D63">
        <w:rPr>
          <w:rFonts w:cstheme="minorHAnsi"/>
        </w:rPr>
        <w:t>he depositional conditions play</w:t>
      </w:r>
      <w:r>
        <w:rPr>
          <w:rFonts w:cstheme="minorHAnsi"/>
        </w:rPr>
        <w:t xml:space="preserve"> an important role </w:t>
      </w:r>
      <w:r w:rsidR="00C71D66">
        <w:rPr>
          <w:rFonts w:cstheme="minorHAnsi"/>
        </w:rPr>
        <w:t>in</w:t>
      </w:r>
      <w:r>
        <w:rPr>
          <w:rFonts w:cstheme="minorHAnsi"/>
        </w:rPr>
        <w:t xml:space="preserve"> the preservation of </w:t>
      </w:r>
      <w:r>
        <w:t>oleanane</w:t>
      </w:r>
      <w:r>
        <w:rPr>
          <w:rFonts w:cstheme="minorHAnsi"/>
        </w:rPr>
        <w:t xml:space="preserve"> (Al-Ameri et al.</w:t>
      </w:r>
      <w:r w:rsidR="00414D63">
        <w:rPr>
          <w:rFonts w:cstheme="minorHAnsi"/>
        </w:rPr>
        <w:t>,</w:t>
      </w:r>
      <w:r w:rsidR="00DE665F">
        <w:rPr>
          <w:rFonts w:cstheme="minorHAnsi"/>
        </w:rPr>
        <w:t xml:space="preserve"> 2010). </w:t>
      </w:r>
    </w:p>
    <w:p w:rsidR="00DE665F" w:rsidRDefault="00DE665F" w:rsidP="00DE665F">
      <w:pPr>
        <w:pStyle w:val="ResimYazs"/>
        <w:keepNext/>
        <w:jc w:val="both"/>
        <w:rPr>
          <w:b w:val="0"/>
        </w:rPr>
      </w:pPr>
      <w:bookmarkStart w:id="112" w:name="_Toc507508799"/>
      <w:r w:rsidRPr="007601BC">
        <w:lastRenderedPageBreak/>
        <w:t xml:space="preserve">Table </w:t>
      </w:r>
      <w:fldSimple w:instr=" SEQ Table \* ARABIC ">
        <w:r w:rsidR="003F6459">
          <w:rPr>
            <w:noProof/>
          </w:rPr>
          <w:t>9</w:t>
        </w:r>
      </w:fldSimple>
      <w:r w:rsidRPr="007601BC">
        <w:t xml:space="preserve">. </w:t>
      </w:r>
      <w:r w:rsidRPr="007601BC">
        <w:rPr>
          <w:b w:val="0"/>
        </w:rPr>
        <w:t>Calculated concentrations of 1,2,8-TMP, 1,2,7-TMN, oleanane, 25-NHP, 25,28,30-TNH, 25,30-BNH in Kephart-1 Well</w:t>
      </w:r>
      <w:r>
        <w:rPr>
          <w:b w:val="0"/>
        </w:rPr>
        <w:t>.</w:t>
      </w:r>
      <w:bookmarkEnd w:id="112"/>
      <w:r>
        <w:rPr>
          <w:b w:val="0"/>
        </w:rPr>
        <w:t xml:space="preserve"> </w:t>
      </w:r>
    </w:p>
    <w:p w:rsidR="00DE665F" w:rsidRDefault="00FE6D6A" w:rsidP="00DE665F">
      <w:pPr>
        <w:jc w:val="both"/>
      </w:pPr>
      <w:r w:rsidRPr="00FE6D6A">
        <w:rPr>
          <w:noProof/>
          <w:lang w:val="tr-TR" w:eastAsia="tr-TR" w:bidi="ar-SA"/>
        </w:rPr>
        <w:drawing>
          <wp:inline distT="0" distB="0" distL="0" distR="0">
            <wp:extent cx="5394325" cy="7010400"/>
            <wp:effectExtent l="0" t="0" r="0" b="0"/>
            <wp:docPr id="72"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98531" cy="7015866"/>
                    </a:xfrm>
                    <a:prstGeom prst="rect">
                      <a:avLst/>
                    </a:prstGeom>
                    <a:noFill/>
                    <a:ln>
                      <a:noFill/>
                    </a:ln>
                  </pic:spPr>
                </pic:pic>
              </a:graphicData>
            </a:graphic>
          </wp:inline>
        </w:drawing>
      </w:r>
    </w:p>
    <w:p w:rsidR="005A6BDB" w:rsidRDefault="005A6BDB" w:rsidP="00DE665F">
      <w:pPr>
        <w:jc w:val="both"/>
      </w:pPr>
    </w:p>
    <w:p w:rsidR="002A232B" w:rsidRPr="0055052F" w:rsidRDefault="00DE665F" w:rsidP="00DE665F">
      <w:pPr>
        <w:jc w:val="both"/>
        <w:rPr>
          <w:rFonts w:cstheme="minorHAnsi"/>
        </w:rPr>
      </w:pPr>
      <w:r>
        <w:rPr>
          <w:rFonts w:cstheme="minorHAnsi"/>
        </w:rPr>
        <w:lastRenderedPageBreak/>
        <w:t xml:space="preserve">For </w:t>
      </w:r>
      <w:r w:rsidR="002A232B">
        <w:rPr>
          <w:rFonts w:cstheme="minorHAnsi"/>
        </w:rPr>
        <w:t xml:space="preserve">instance, hypersaline conditions were suggested to minimize the diagenetic alteration of oleanane while </w:t>
      </w:r>
      <w:r w:rsidR="00C71D66">
        <w:rPr>
          <w:rFonts w:cstheme="minorHAnsi"/>
        </w:rPr>
        <w:t>freshwater conditions prompt</w:t>
      </w:r>
      <w:r w:rsidR="002A232B">
        <w:rPr>
          <w:rFonts w:cstheme="minorHAnsi"/>
        </w:rPr>
        <w:t xml:space="preserve"> the degradation and aromatization of the </w:t>
      </w:r>
      <w:r w:rsidR="002A232B">
        <w:t>o</w:t>
      </w:r>
      <w:r w:rsidR="002A232B">
        <w:rPr>
          <w:rFonts w:cstheme="minorHAnsi"/>
        </w:rPr>
        <w:t xml:space="preserve">leanane (McCaffrey et al., 1994; Murray et al., 1997a; Al-Ameri et al., 2010). Murray et al. (1997b) found that the diagenetic contact between oleanane and the </w:t>
      </w:r>
      <w:r w:rsidR="002A232B" w:rsidRPr="0055052F">
        <w:rPr>
          <w:rFonts w:cstheme="minorHAnsi"/>
        </w:rPr>
        <w:t>seawater surface improves the hydrogenation and helps t</w:t>
      </w:r>
      <w:r w:rsidR="00414D63">
        <w:rPr>
          <w:rFonts w:cstheme="minorHAnsi"/>
        </w:rPr>
        <w:t xml:space="preserve">he preservation of oleanane. </w:t>
      </w:r>
      <w:r w:rsidR="002A232B" w:rsidRPr="0055052F">
        <w:rPr>
          <w:rFonts w:cstheme="minorHAnsi"/>
        </w:rPr>
        <w:t>They further suggested that the deltaic environments influenced by marine waters during early diagenesis are the best preservation condition</w:t>
      </w:r>
      <w:r w:rsidR="00414D63">
        <w:rPr>
          <w:rFonts w:cstheme="minorHAnsi"/>
        </w:rPr>
        <w:t xml:space="preserve"> for </w:t>
      </w:r>
      <w:r w:rsidR="002A232B" w:rsidRPr="0055052F">
        <w:t>o</w:t>
      </w:r>
      <w:r w:rsidR="002A232B" w:rsidRPr="0055052F">
        <w:rPr>
          <w:rFonts w:cstheme="minorHAnsi"/>
        </w:rPr>
        <w:t>leanane and other related compounds</w:t>
      </w:r>
      <w:r w:rsidR="002A232B">
        <w:rPr>
          <w:rFonts w:cstheme="minorHAnsi"/>
        </w:rPr>
        <w:t xml:space="preserve"> (Murray et al., 1997a)</w:t>
      </w:r>
      <w:r w:rsidR="002A232B" w:rsidRPr="0055052F">
        <w:rPr>
          <w:rFonts w:cstheme="minorHAnsi"/>
        </w:rPr>
        <w:t>.  This phenomena was also supported by the Peters et al. (2000) study in which</w:t>
      </w:r>
      <w:r w:rsidR="00D02D0B">
        <w:rPr>
          <w:rFonts w:cstheme="minorHAnsi"/>
        </w:rPr>
        <w:t xml:space="preserve"> the</w:t>
      </w:r>
      <w:r w:rsidR="002A232B" w:rsidRPr="0055052F">
        <w:rPr>
          <w:rFonts w:cstheme="minorHAnsi"/>
        </w:rPr>
        <w:t xml:space="preserve"> o</w:t>
      </w:r>
      <w:r w:rsidR="00414D63">
        <w:rPr>
          <w:rFonts w:cstheme="minorHAnsi"/>
        </w:rPr>
        <w:t>leanane ratio in Mahakam Delta o</w:t>
      </w:r>
      <w:r w:rsidR="002A232B" w:rsidRPr="0055052F">
        <w:rPr>
          <w:rFonts w:cstheme="minorHAnsi"/>
        </w:rPr>
        <w:t>ils generally increase</w:t>
      </w:r>
      <w:r w:rsidR="00C71D66">
        <w:rPr>
          <w:rFonts w:cstheme="minorHAnsi"/>
        </w:rPr>
        <w:t>d</w:t>
      </w:r>
      <w:r w:rsidR="002A232B" w:rsidRPr="0055052F">
        <w:rPr>
          <w:rFonts w:cstheme="minorHAnsi"/>
        </w:rPr>
        <w:t xml:space="preserve"> in </w:t>
      </w:r>
      <w:r w:rsidR="00C71D66">
        <w:rPr>
          <w:rFonts w:cstheme="minorHAnsi"/>
        </w:rPr>
        <w:t xml:space="preserve">an </w:t>
      </w:r>
      <w:r w:rsidR="002A232B" w:rsidRPr="0055052F">
        <w:rPr>
          <w:rFonts w:cstheme="minorHAnsi"/>
        </w:rPr>
        <w:t>offshore direction rather than an onshore</w:t>
      </w:r>
      <w:r w:rsidR="00C4354B">
        <w:rPr>
          <w:rFonts w:cstheme="minorHAnsi"/>
        </w:rPr>
        <w:t xml:space="preserve"> one</w:t>
      </w:r>
      <w:r w:rsidR="001565B4">
        <w:rPr>
          <w:rFonts w:cstheme="minorHAnsi"/>
        </w:rPr>
        <w:t>.</w:t>
      </w:r>
      <w:r w:rsidR="002A232B" w:rsidRPr="0055052F">
        <w:rPr>
          <w:rFonts w:cstheme="minorHAnsi"/>
        </w:rPr>
        <w:t xml:space="preserve"> </w:t>
      </w:r>
    </w:p>
    <w:p w:rsidR="007601BC" w:rsidRPr="007601BC" w:rsidRDefault="00D4451D" w:rsidP="007601BC">
      <w:pPr>
        <w:ind w:firstLine="720"/>
        <w:jc w:val="both"/>
      </w:pPr>
      <w:r w:rsidRPr="0055052F">
        <w:rPr>
          <w:rFonts w:cstheme="minorHAnsi"/>
        </w:rPr>
        <w:t xml:space="preserve">Oleanane has two isomers as </w:t>
      </w:r>
      <w:r w:rsidR="001C4470">
        <w:t>18α(H)-oleanane and 18β(H)-o</w:t>
      </w:r>
      <w:r w:rsidRPr="0055052F">
        <w:t xml:space="preserve">leanane </w:t>
      </w:r>
      <w:r w:rsidR="00DC3478">
        <w:t>(Figure 35</w:t>
      </w:r>
      <w:r w:rsidRPr="00D4451D">
        <w:t>; Riva et al., 1988; Mahm</w:t>
      </w:r>
      <w:r w:rsidR="001C4470">
        <w:t xml:space="preserve">oodi </w:t>
      </w:r>
      <w:r w:rsidR="00B204DF">
        <w:t xml:space="preserve">and </w:t>
      </w:r>
      <w:r w:rsidR="00436E1E">
        <w:t>Bhattacharya</w:t>
      </w:r>
      <w:r w:rsidR="001C4470">
        <w:t xml:space="preserve"> 2013). The 18β(H)-o</w:t>
      </w:r>
      <w:r w:rsidRPr="00D4451D">
        <w:t>leanane co-</w:t>
      </w:r>
      <w:r w:rsidR="00414D63">
        <w:t>elutes with 18α(H)-o</w:t>
      </w:r>
      <w:r>
        <w:t>leanane i</w:t>
      </w:r>
      <w:r w:rsidR="00414D63">
        <w:t>n conventional non-specialized gas c</w:t>
      </w:r>
      <w:r>
        <w:t>hromatography thus their analytical separation is technically very difficult (Riva et al., 1988). The complete a</w:t>
      </w:r>
      <w:r w:rsidR="001C4470">
        <w:t>nalytical separation of 18α(H)-oleanane and 18β(H)-o</w:t>
      </w:r>
      <w:r>
        <w:t>leanane was first achieved by Riva et al.  (1988), who identified the latter occurred peak in</w:t>
      </w:r>
      <w:r w:rsidR="00D02D0B">
        <w:t xml:space="preserve"> the</w:t>
      </w:r>
      <w:r>
        <w:t xml:space="preserve"> m/z 191 ion chromatog</w:t>
      </w:r>
      <w:r w:rsidR="001C4470">
        <w:t>ram as 18β(H)-oleanane. 18α(H)-o</w:t>
      </w:r>
      <w:r>
        <w:t>leanane is thermal</w:t>
      </w:r>
      <w:r w:rsidR="001C4470">
        <w:t>ly more stable than the 18β(H)-o</w:t>
      </w:r>
      <w:r>
        <w:t xml:space="preserve">leanane and </w:t>
      </w:r>
      <w:r w:rsidR="00414D63">
        <w:t>is the more predominant</w:t>
      </w:r>
      <w:r>
        <w:t xml:space="preserve"> isomer in mature rock e</w:t>
      </w:r>
      <w:r w:rsidR="00436E1E">
        <w:t>xtracts and oils (Alberdi and Ló</w:t>
      </w:r>
      <w:r>
        <w:t>pez, 2000)</w:t>
      </w:r>
      <w:r w:rsidR="001C4470">
        <w:t>. The separation of 18α(H)-o</w:t>
      </w:r>
      <w:r>
        <w:t>leanane and 18</w:t>
      </w:r>
      <w:r>
        <w:rPr>
          <w:rFonts w:cstheme="minorHAnsi"/>
        </w:rPr>
        <w:t>β</w:t>
      </w:r>
      <w:r w:rsidR="001C4470">
        <w:t>(H)-o</w:t>
      </w:r>
      <w:r>
        <w:t>leanane could not be achieved in this study because of the inadequate lab</w:t>
      </w:r>
      <w:r w:rsidR="00414D63">
        <w:t>oratory</w:t>
      </w:r>
      <w:r>
        <w:t xml:space="preserve"> procedures or non-specialized gas chr</w:t>
      </w:r>
      <w:r w:rsidR="00414D63">
        <w:t>omatography, so</w:t>
      </w:r>
      <w:r w:rsidR="001C4470">
        <w:t xml:space="preserve"> only 18α(H)-o</w:t>
      </w:r>
      <w:r>
        <w:t xml:space="preserve">leanane isomer will be </w:t>
      </w:r>
      <w:r w:rsidR="00C71D66">
        <w:t xml:space="preserve">referred </w:t>
      </w:r>
      <w:r w:rsidR="00D02D0B">
        <w:t xml:space="preserve">to </w:t>
      </w:r>
      <w:r w:rsidR="00C71D66">
        <w:t>in the remaining</w:t>
      </w:r>
      <w:r w:rsidR="00414D63">
        <w:t xml:space="preserve"> parts of the thesis.</w:t>
      </w:r>
    </w:p>
    <w:p w:rsidR="00DC3478" w:rsidRDefault="00DC3478" w:rsidP="00DC3478">
      <w:pPr>
        <w:keepNext/>
        <w:jc w:val="both"/>
      </w:pPr>
      <w:r>
        <w:rPr>
          <w:noProof/>
          <w:lang w:val="tr-TR" w:eastAsia="tr-TR" w:bidi="ar-SA"/>
        </w:rPr>
        <w:lastRenderedPageBreak/>
        <w:drawing>
          <wp:inline distT="0" distB="0" distL="0" distR="0" wp14:anchorId="32D3FAFE" wp14:editId="0950A603">
            <wp:extent cx="5319667" cy="3348841"/>
            <wp:effectExtent l="19050" t="19050" r="0" b="4445"/>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62190" cy="3375610"/>
                    </a:xfrm>
                    <a:prstGeom prst="rect">
                      <a:avLst/>
                    </a:prstGeom>
                    <a:noFill/>
                    <a:ln>
                      <a:solidFill>
                        <a:schemeClr val="tx1"/>
                      </a:solidFill>
                    </a:ln>
                  </pic:spPr>
                </pic:pic>
              </a:graphicData>
            </a:graphic>
          </wp:inline>
        </w:drawing>
      </w:r>
    </w:p>
    <w:p w:rsidR="00DC3478" w:rsidRDefault="00DC3478" w:rsidP="00DC3478">
      <w:pPr>
        <w:pStyle w:val="ResimYazs"/>
        <w:jc w:val="both"/>
        <w:rPr>
          <w:b w:val="0"/>
        </w:rPr>
      </w:pPr>
      <w:bookmarkStart w:id="113" w:name="_Toc507509083"/>
      <w:r>
        <w:t xml:space="preserve">Figure </w:t>
      </w:r>
      <w:fldSimple w:instr=" SEQ Figure \* ARABIC ">
        <w:r w:rsidR="003F6459">
          <w:rPr>
            <w:noProof/>
          </w:rPr>
          <w:t>35</w:t>
        </w:r>
      </w:fldSimple>
      <w:r>
        <w:t xml:space="preserve">. </w:t>
      </w:r>
      <w:r>
        <w:rPr>
          <w:b w:val="0"/>
        </w:rPr>
        <w:t>Scheme showing the</w:t>
      </w:r>
      <w:r w:rsidRPr="00CA70B5">
        <w:rPr>
          <w:b w:val="0"/>
        </w:rPr>
        <w:t xml:space="preserve"> diagenesis and early cata</w:t>
      </w:r>
      <w:r>
        <w:rPr>
          <w:b w:val="0"/>
        </w:rPr>
        <w:t>genesis and precursor relation</w:t>
      </w:r>
      <w:r w:rsidR="00436E1E">
        <w:rPr>
          <w:b w:val="0"/>
        </w:rPr>
        <w:t>ship of oleanane (Alberdi and Ló</w:t>
      </w:r>
      <w:r>
        <w:rPr>
          <w:b w:val="0"/>
        </w:rPr>
        <w:t>pez</w:t>
      </w:r>
      <w:r w:rsidR="008F029C">
        <w:rPr>
          <w:b w:val="0"/>
        </w:rPr>
        <w:t>, 2000)</w:t>
      </w:r>
      <w:bookmarkEnd w:id="113"/>
    </w:p>
    <w:p w:rsidR="00DC3478" w:rsidRPr="00DC3478" w:rsidRDefault="00DC3478" w:rsidP="00DC3478"/>
    <w:p w:rsidR="007601BC" w:rsidRDefault="00D4451D" w:rsidP="00FF3225">
      <w:pPr>
        <w:ind w:firstLine="720"/>
        <w:jc w:val="both"/>
      </w:pPr>
      <w:r>
        <w:t xml:space="preserve">Oleanane can be identified by using the m/z 191 and 412 ions </w:t>
      </w:r>
      <w:r w:rsidR="00414D63">
        <w:t xml:space="preserve">when analyzing </w:t>
      </w:r>
      <w:r>
        <w:t xml:space="preserve">the saturate fractions </w:t>
      </w:r>
      <w:r w:rsidR="00414D63">
        <w:t>of</w:t>
      </w:r>
      <w:r>
        <w:t xml:space="preserve"> the rock e</w:t>
      </w:r>
      <w:r w:rsidR="00436E1E">
        <w:t>xtracts and oils (Alberdi and Ló</w:t>
      </w:r>
      <w:r>
        <w:t>pez, 2000; Nytoft et al., 2002). However, ole</w:t>
      </w:r>
      <w:r w:rsidR="00414D63">
        <w:t>anane is susceptible to co-elution</w:t>
      </w:r>
      <w:r>
        <w:t xml:space="preserve"> with another terpane</w:t>
      </w:r>
      <w:r w:rsidR="00414D63">
        <w:t>s such as</w:t>
      </w:r>
      <w:r>
        <w:t xml:space="preserve"> </w:t>
      </w:r>
      <w:r w:rsidRPr="0016615D">
        <w:t>lupanes (</w:t>
      </w:r>
      <w:r w:rsidR="00ED00AA" w:rsidRPr="00ED00AA">
        <w:rPr>
          <w:b/>
        </w:rPr>
        <w:t>XIV</w:t>
      </w:r>
      <w:r w:rsidR="00ED00AA">
        <w:t xml:space="preserve">; </w:t>
      </w:r>
      <w:r w:rsidRPr="0016615D">
        <w:t>Nytoft et al</w:t>
      </w:r>
      <w:r w:rsidR="008F029C">
        <w:t>., 1997; Nytoft et al., 2002</w:t>
      </w:r>
      <w:r w:rsidR="00414D63" w:rsidRPr="0016615D">
        <w:t xml:space="preserve">), </w:t>
      </w:r>
      <w:r w:rsidRPr="0016615D">
        <w:t>some other C</w:t>
      </w:r>
      <w:r w:rsidRPr="0016615D">
        <w:rPr>
          <w:vertAlign w:val="subscript"/>
        </w:rPr>
        <w:t xml:space="preserve">30 </w:t>
      </w:r>
      <w:r w:rsidRPr="0016615D">
        <w:t xml:space="preserve">hopanes and demethylated hopanes of </w:t>
      </w:r>
      <w:r w:rsidR="00414D63" w:rsidRPr="0016615D">
        <w:t xml:space="preserve"> </w:t>
      </w:r>
      <w:r w:rsidRPr="0016615D">
        <w:t>25-nor-17a-(H)-hopane in m/z 191 and 412 chromatogram</w:t>
      </w:r>
      <w:r w:rsidR="00414D63" w:rsidRPr="0016615D">
        <w:t>s</w:t>
      </w:r>
      <w:r w:rsidR="00436E1E">
        <w:t xml:space="preserve"> (Alberdi and Ló</w:t>
      </w:r>
      <w:r w:rsidRPr="0016615D">
        <w:t>pez, 2000). In order to eliminate this possibility, it is essential to use GC-MS-MS in order to see the parent daughter relationship. For instance, m/z 412 to 191 parent-daughter transition corresponds to</w:t>
      </w:r>
      <w:r w:rsidR="00F50AA5">
        <w:t xml:space="preserve"> the</w:t>
      </w:r>
      <w:r w:rsidRPr="0016615D">
        <w:t xml:space="preserve"> potential occurrence of both oleanane and lupane</w:t>
      </w:r>
      <w:r w:rsidR="00F50AA5">
        <w:t>,</w:t>
      </w:r>
      <w:r w:rsidRPr="0016615D">
        <w:t xml:space="preserve"> while m/z 412 to 369 parent-daughter transition </w:t>
      </w:r>
      <w:r w:rsidR="00F50AA5">
        <w:t>can</w:t>
      </w:r>
      <w:r w:rsidRPr="0016615D">
        <w:t xml:space="preserve"> only </w:t>
      </w:r>
      <w:r w:rsidR="00F50AA5">
        <w:t xml:space="preserve">be </w:t>
      </w:r>
      <w:r w:rsidRPr="0016615D">
        <w:t>attribute</w:t>
      </w:r>
      <w:r w:rsidR="00F50AA5">
        <w:t>d to</w:t>
      </w:r>
      <w:r w:rsidRPr="0016615D">
        <w:t xml:space="preserve"> the presence of lupane as oleanane does not have an adequate sidechain and hence does not produce the m/z 369 fragment (</w:t>
      </w:r>
      <w:r w:rsidR="0016615D" w:rsidRPr="0016615D">
        <w:t>Figur</w:t>
      </w:r>
      <w:r w:rsidR="00A60FF3">
        <w:t>e 3</w:t>
      </w:r>
      <w:r w:rsidR="00DC3478">
        <w:t>6</w:t>
      </w:r>
      <w:r w:rsidR="0016615D" w:rsidRPr="0016615D">
        <w:t xml:space="preserve">; </w:t>
      </w:r>
      <w:r w:rsidRPr="0016615D">
        <w:t>Nytoft et</w:t>
      </w:r>
      <w:r w:rsidR="00436E1E">
        <w:t xml:space="preserve"> al., 2002</w:t>
      </w:r>
      <w:r w:rsidR="009B5555">
        <w:t xml:space="preserve">). </w:t>
      </w:r>
      <w:r w:rsidR="00F4754F" w:rsidRPr="0016615D">
        <w:t xml:space="preserve">In this study, </w:t>
      </w:r>
      <w:r w:rsidR="000A2259">
        <w:t xml:space="preserve">the </w:t>
      </w:r>
      <w:r w:rsidR="00F4754F" w:rsidRPr="0016615D">
        <w:t xml:space="preserve">presence </w:t>
      </w:r>
    </w:p>
    <w:p w:rsidR="0091669A" w:rsidRDefault="007601BC" w:rsidP="0091669A">
      <w:pPr>
        <w:keepNext/>
        <w:jc w:val="both"/>
      </w:pPr>
      <w:r>
        <w:rPr>
          <w:noProof/>
          <w:sz w:val="23"/>
          <w:szCs w:val="23"/>
          <w:lang w:val="tr-TR" w:eastAsia="tr-TR" w:bidi="ar-SA"/>
        </w:rPr>
        <w:lastRenderedPageBreak/>
        <w:drawing>
          <wp:inline distT="0" distB="0" distL="0" distR="0" wp14:anchorId="152E1F47" wp14:editId="257294E0">
            <wp:extent cx="5398224" cy="6877050"/>
            <wp:effectExtent l="19050" t="19050" r="12065" b="1905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37492" cy="6927075"/>
                    </a:xfrm>
                    <a:prstGeom prst="rect">
                      <a:avLst/>
                    </a:prstGeom>
                    <a:noFill/>
                    <a:ln>
                      <a:solidFill>
                        <a:schemeClr val="tx1"/>
                      </a:solidFill>
                    </a:ln>
                  </pic:spPr>
                </pic:pic>
              </a:graphicData>
            </a:graphic>
          </wp:inline>
        </w:drawing>
      </w:r>
    </w:p>
    <w:p w:rsidR="0091669A" w:rsidRDefault="0091669A" w:rsidP="0091669A">
      <w:pPr>
        <w:pStyle w:val="ResimYazs"/>
        <w:jc w:val="both"/>
        <w:rPr>
          <w:b w:val="0"/>
        </w:rPr>
      </w:pPr>
      <w:bookmarkStart w:id="114" w:name="_Toc507509084"/>
      <w:r>
        <w:t xml:space="preserve">Figure </w:t>
      </w:r>
      <w:fldSimple w:instr=" SEQ Figure \* ARABIC ">
        <w:r w:rsidR="003F6459">
          <w:rPr>
            <w:noProof/>
          </w:rPr>
          <w:t>36</w:t>
        </w:r>
      </w:fldSimple>
      <w:r>
        <w:t>.</w:t>
      </w:r>
      <w:r w:rsidRPr="0091669A">
        <w:rPr>
          <w:b w:val="0"/>
        </w:rPr>
        <w:t xml:space="preserve"> </w:t>
      </w:r>
      <w:r>
        <w:rPr>
          <w:b w:val="0"/>
        </w:rPr>
        <w:t xml:space="preserve">Mass spectra of lupane and </w:t>
      </w:r>
      <w:r w:rsidRPr="00B906FE">
        <w:rPr>
          <w:b w:val="0"/>
        </w:rPr>
        <w:t>oleanane</w:t>
      </w:r>
      <w:r>
        <w:rPr>
          <w:b w:val="0"/>
        </w:rPr>
        <w:t>, their structures and fragmentation patterns (Nytoft et al. 2002). Note that both of the compounds have very</w:t>
      </w:r>
      <w:r w:rsidRPr="004D4F5D">
        <w:rPr>
          <w:b w:val="0"/>
        </w:rPr>
        <w:t xml:space="preserve"> </w:t>
      </w:r>
      <w:r>
        <w:rPr>
          <w:b w:val="0"/>
        </w:rPr>
        <w:t xml:space="preserve">similar chemical structure and mass spectra and lupane differs from </w:t>
      </w:r>
      <w:r w:rsidRPr="00D83C3D">
        <w:rPr>
          <w:b w:val="0"/>
        </w:rPr>
        <w:t>18α(H)-oleanane</w:t>
      </w:r>
      <w:r>
        <w:rPr>
          <w:b w:val="0"/>
        </w:rPr>
        <w:t xml:space="preserve"> with the presence of m/z 369 fragment.</w:t>
      </w:r>
      <w:bookmarkEnd w:id="114"/>
    </w:p>
    <w:p w:rsidR="0091669A" w:rsidRPr="0091669A" w:rsidRDefault="0091669A" w:rsidP="0091669A"/>
    <w:p w:rsidR="00B906FE" w:rsidRDefault="00F50AA5" w:rsidP="007601BC">
      <w:pPr>
        <w:jc w:val="both"/>
      </w:pPr>
      <w:r w:rsidRPr="0016615D">
        <w:lastRenderedPageBreak/>
        <w:t>of 18α(H)-</w:t>
      </w:r>
      <w:r w:rsidR="00F4754F" w:rsidRPr="0016615D">
        <w:t xml:space="preserve">oleanane was </w:t>
      </w:r>
      <w:r w:rsidR="00C71D66">
        <w:t>determined</w:t>
      </w:r>
      <w:r w:rsidR="00F4754F" w:rsidRPr="0016615D">
        <w:t xml:space="preserve"> by GC-MS-MS </w:t>
      </w:r>
      <w:r w:rsidR="006C6E03">
        <w:t xml:space="preserve">and monitoring the </w:t>
      </w:r>
      <w:r w:rsidR="00F4754F" w:rsidRPr="0016615D">
        <w:t xml:space="preserve">m/z 412 to </w:t>
      </w:r>
      <w:r w:rsidR="00F4754F">
        <w:t>191</w:t>
      </w:r>
      <w:r w:rsidR="00F4754F" w:rsidRPr="0016615D">
        <w:t xml:space="preserve"> and 412 to </w:t>
      </w:r>
      <w:r w:rsidR="00F4754F">
        <w:t>369</w:t>
      </w:r>
      <w:r w:rsidR="00F4754F" w:rsidRPr="0016615D">
        <w:t xml:space="preserve"> parent-daughter transition</w:t>
      </w:r>
      <w:r w:rsidR="006C6E03">
        <w:t>s</w:t>
      </w:r>
      <w:r w:rsidR="00F4754F">
        <w:t xml:space="preserve"> (Figure </w:t>
      </w:r>
      <w:r w:rsidR="00FF3225">
        <w:t>3</w:t>
      </w:r>
      <w:r w:rsidR="00DC3478">
        <w:t>7</w:t>
      </w:r>
      <w:r w:rsidR="00F4754F">
        <w:t>)</w:t>
      </w:r>
      <w:r w:rsidR="00F4754F" w:rsidRPr="0016615D">
        <w:t>.</w:t>
      </w:r>
      <w:r w:rsidR="00F4754F">
        <w:t xml:space="preserve"> </w:t>
      </w:r>
      <w:r w:rsidR="000A2259">
        <w:t>M</w:t>
      </w:r>
      <w:r w:rsidR="009B5555">
        <w:t xml:space="preserve">/z 412 to 369 </w:t>
      </w:r>
      <w:r w:rsidR="009B5555" w:rsidRPr="0016615D">
        <w:t>parent-daughter transition</w:t>
      </w:r>
      <w:r w:rsidR="007C65D2">
        <w:t xml:space="preserve"> of the GC-MS-MS</w:t>
      </w:r>
      <w:r w:rsidR="009B5555">
        <w:t xml:space="preserve">, tentatively confirms the presence of lupane in the Morrow source rocks. However, </w:t>
      </w:r>
      <w:r w:rsidR="007C65D2">
        <w:t>the presence of lupane</w:t>
      </w:r>
      <w:r w:rsidR="009B5555">
        <w:t xml:space="preserve"> does not necessarily mean that oleanane is absent in these samples since oleanane and lupane </w:t>
      </w:r>
      <w:r w:rsidR="005676F6">
        <w:t>are two</w:t>
      </w:r>
      <w:r w:rsidR="009B5555">
        <w:t xml:space="preserve"> </w:t>
      </w:r>
      <w:r w:rsidR="008D5926">
        <w:t>structurally related</w:t>
      </w:r>
      <w:r w:rsidR="004960E6">
        <w:t xml:space="preserve"> compounds </w:t>
      </w:r>
      <w:r w:rsidR="00453DD3">
        <w:t xml:space="preserve">that are </w:t>
      </w:r>
      <w:r w:rsidR="000A2259">
        <w:t>proposed to be</w:t>
      </w:r>
      <w:r w:rsidR="005A2559">
        <w:t xml:space="preserve"> </w:t>
      </w:r>
      <w:r w:rsidR="00914ECE">
        <w:t>produced by angiosperms (Nytoft et al., 2002)</w:t>
      </w:r>
      <w:r w:rsidR="005355E7">
        <w:t xml:space="preserve"> and </w:t>
      </w:r>
      <w:r w:rsidR="007C65D2">
        <w:t xml:space="preserve">are </w:t>
      </w:r>
      <w:r w:rsidR="005A2559">
        <w:t xml:space="preserve">expected to </w:t>
      </w:r>
      <w:r w:rsidR="007C65D2">
        <w:t>occur together</w:t>
      </w:r>
      <w:r w:rsidR="005A2559">
        <w:t xml:space="preserve"> in the rock extracts.</w:t>
      </w:r>
      <w:r w:rsidR="00A60FF3">
        <w:t xml:space="preserve"> </w:t>
      </w:r>
      <w:r w:rsidR="000A2259">
        <w:t>T</w:t>
      </w:r>
      <w:r w:rsidR="00A60FF3">
        <w:t xml:space="preserve">he peak height ratios of </w:t>
      </w:r>
      <w:r w:rsidR="005355E7">
        <w:t xml:space="preserve">the </w:t>
      </w:r>
      <w:r w:rsidR="00A60FF3">
        <w:t xml:space="preserve">lupane/hopane (in m/z </w:t>
      </w:r>
      <w:r w:rsidR="001D048C">
        <w:t xml:space="preserve">412 to </w:t>
      </w:r>
      <w:r w:rsidR="00A60FF3">
        <w:t xml:space="preserve">369) and </w:t>
      </w:r>
      <w:r w:rsidR="001D048C">
        <w:t>(</w:t>
      </w:r>
      <w:r w:rsidR="005355E7">
        <w:t>oleanane + lupane</w:t>
      </w:r>
      <w:r w:rsidR="001D048C">
        <w:t>)</w:t>
      </w:r>
      <w:r w:rsidR="00A60FF3">
        <w:t xml:space="preserve">/hopane (in m/z </w:t>
      </w:r>
      <w:r w:rsidR="001D048C">
        <w:t xml:space="preserve">412 to </w:t>
      </w:r>
      <w:r w:rsidR="00A60FF3">
        <w:t>191)</w:t>
      </w:r>
      <w:r w:rsidR="001D048C">
        <w:t xml:space="preserve"> in GC-MS-MS are calculated as 0.25 and </w:t>
      </w:r>
      <w:r w:rsidR="005355E7">
        <w:t>0.44</w:t>
      </w:r>
      <w:r w:rsidR="001D048C">
        <w:t>; respectively</w:t>
      </w:r>
      <w:r w:rsidR="005355E7">
        <w:t xml:space="preserve"> in MOR-74 source rock sample</w:t>
      </w:r>
      <w:r w:rsidR="001D048C">
        <w:t xml:space="preserve">. </w:t>
      </w:r>
      <w:r w:rsidR="000A2259">
        <w:t xml:space="preserve">The results confirm the tentative presence of the </w:t>
      </w:r>
      <w:r w:rsidR="000A2259" w:rsidRPr="0016615D">
        <w:t>18α(H)-oleanane</w:t>
      </w:r>
      <w:r w:rsidR="000A2259">
        <w:t xml:space="preserve"> in the Morrow source rocks and</w:t>
      </w:r>
      <w:r w:rsidR="001D048C">
        <w:t xml:space="preserve"> might suggest that </w:t>
      </w:r>
      <w:r w:rsidR="000A2259">
        <w:t>“</w:t>
      </w:r>
      <w:r w:rsidR="001D048C">
        <w:t>the peak</w:t>
      </w:r>
      <w:r w:rsidR="000A2259">
        <w:t>”</w:t>
      </w:r>
      <w:r w:rsidR="001D048C">
        <w:t xml:space="preserve"> is comp</w:t>
      </w:r>
      <w:r w:rsidR="000A2259">
        <w:t>rised</w:t>
      </w:r>
      <w:r w:rsidR="001D048C">
        <w:t xml:space="preserve"> of </w:t>
      </w:r>
      <w:r w:rsidR="005355E7" w:rsidRPr="0016615D">
        <w:t>18α(H)-oleanane</w:t>
      </w:r>
      <w:r w:rsidR="005355E7">
        <w:t xml:space="preserve"> and lupane</w:t>
      </w:r>
      <w:r w:rsidR="000A2259">
        <w:t xml:space="preserve"> in </w:t>
      </w:r>
      <w:r w:rsidR="006C6E03">
        <w:t xml:space="preserve">varying </w:t>
      </w:r>
      <w:r w:rsidR="000A2259">
        <w:t>pr</w:t>
      </w:r>
      <w:r w:rsidR="00AC796D">
        <w:t>oportions</w:t>
      </w:r>
      <w:r w:rsidR="006C6E03">
        <w:t xml:space="preserve">. </w:t>
      </w:r>
    </w:p>
    <w:p w:rsidR="0091669A" w:rsidRDefault="0091669A" w:rsidP="0091669A">
      <w:pPr>
        <w:keepNext/>
        <w:jc w:val="center"/>
      </w:pPr>
      <w:r w:rsidRPr="00FF3225">
        <w:rPr>
          <w:noProof/>
          <w:lang w:val="tr-TR" w:eastAsia="tr-TR" w:bidi="ar-SA"/>
        </w:rPr>
        <w:drawing>
          <wp:inline distT="0" distB="0" distL="0" distR="0" wp14:anchorId="154D1383" wp14:editId="48F23C5D">
            <wp:extent cx="4277802" cy="3450571"/>
            <wp:effectExtent l="0" t="0" r="8890" b="0"/>
            <wp:docPr id="35"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16"/>
                    <pic:cNvPicPr>
                      <a:picLocks noChangeAspect="1"/>
                    </pic:cNvPicPr>
                  </pic:nvPicPr>
                  <pic:blipFill rotWithShape="1">
                    <a:blip r:embed="rId63"/>
                    <a:srcRect r="7272"/>
                    <a:stretch/>
                  </pic:blipFill>
                  <pic:spPr bwMode="auto">
                    <a:xfrm>
                      <a:off x="0" y="0"/>
                      <a:ext cx="4290334" cy="3460680"/>
                    </a:xfrm>
                    <a:prstGeom prst="rect">
                      <a:avLst/>
                    </a:prstGeom>
                    <a:ln>
                      <a:noFill/>
                    </a:ln>
                    <a:extLst>
                      <a:ext uri="{53640926-AAD7-44D8-BBD7-CCE9431645EC}">
                        <a14:shadowObscured xmlns:a14="http://schemas.microsoft.com/office/drawing/2010/main"/>
                      </a:ext>
                    </a:extLst>
                  </pic:spPr>
                </pic:pic>
              </a:graphicData>
            </a:graphic>
          </wp:inline>
        </w:drawing>
      </w:r>
    </w:p>
    <w:p w:rsidR="0091669A" w:rsidRDefault="0091669A" w:rsidP="0091669A">
      <w:pPr>
        <w:pStyle w:val="ResimYazs"/>
        <w:jc w:val="both"/>
      </w:pPr>
      <w:bookmarkStart w:id="115" w:name="_Toc507509085"/>
      <w:r>
        <w:t xml:space="preserve">Figure </w:t>
      </w:r>
      <w:fldSimple w:instr=" SEQ Figure \* ARABIC ">
        <w:r w:rsidR="003F6459">
          <w:rPr>
            <w:noProof/>
          </w:rPr>
          <w:t>37</w:t>
        </w:r>
      </w:fldSimple>
      <w:r>
        <w:t xml:space="preserve">. </w:t>
      </w:r>
      <w:r w:rsidRPr="00FF3225">
        <w:rPr>
          <w:b w:val="0"/>
        </w:rPr>
        <w:t>G</w:t>
      </w:r>
      <w:r w:rsidR="007B0878">
        <w:rPr>
          <w:b w:val="0"/>
        </w:rPr>
        <w:t>C</w:t>
      </w:r>
      <w:r w:rsidRPr="00FF3225">
        <w:rPr>
          <w:b w:val="0"/>
        </w:rPr>
        <w:t>MS-MS transitions of m/z 412 to 369 and m/z 412 to 191 showing the presence of the</w:t>
      </w:r>
      <w:r>
        <w:rPr>
          <w:b w:val="0"/>
        </w:rPr>
        <w:t xml:space="preserve"> lupane and oleanane (see discussion above) in the Morrow samples</w:t>
      </w:r>
      <w:bookmarkEnd w:id="115"/>
    </w:p>
    <w:p w:rsidR="004D4F5D" w:rsidRPr="00FF3225" w:rsidRDefault="004D4F5D" w:rsidP="00FF3225">
      <w:pPr>
        <w:ind w:firstLine="720"/>
        <w:jc w:val="both"/>
        <w:rPr>
          <w:sz w:val="23"/>
          <w:szCs w:val="23"/>
        </w:rPr>
      </w:pPr>
      <w:r>
        <w:rPr>
          <w:rFonts w:cstheme="minorHAnsi"/>
        </w:rPr>
        <w:lastRenderedPageBreak/>
        <w:t xml:space="preserve">Although the presence of </w:t>
      </w:r>
      <w:r>
        <w:t>18</w:t>
      </w:r>
      <w:r>
        <w:rPr>
          <w:rFonts w:cstheme="minorHAnsi"/>
        </w:rPr>
        <w:t xml:space="preserve">α(H)-oleanane in pre-Cretaceous source rock samples is unusual, there have been other studies that confirmed the presence of </w:t>
      </w:r>
      <w:r>
        <w:t>18</w:t>
      </w:r>
      <w:r>
        <w:rPr>
          <w:rFonts w:cstheme="minorHAnsi"/>
        </w:rPr>
        <w:t xml:space="preserve">α(H)-oleanane in pre-Cretaceous rocks. For instance, Wood confirmed the tentative presence of </w:t>
      </w:r>
      <w:r>
        <w:t>18</w:t>
      </w:r>
      <w:r>
        <w:rPr>
          <w:rFonts w:cstheme="minorHAnsi"/>
        </w:rPr>
        <w:t xml:space="preserve">α(H)-oleanane in the Chesterian Limestone in the Anadarko Basin in his unpublished MS thesis (2017). Moldowan et al. (1994) identified </w:t>
      </w:r>
      <w:r>
        <w:t>18</w:t>
      </w:r>
      <w:r>
        <w:rPr>
          <w:rFonts w:cstheme="minorHAnsi"/>
        </w:rPr>
        <w:t xml:space="preserve">α(H)-oleanane in both Middle Jurassic marine siltstones of Tyumen Formation from West Siberia, Russia and in a Pennsylvanian coal ball from Illinois, USA. Peters et al. (1999) identified </w:t>
      </w:r>
      <w:r>
        <w:t>18</w:t>
      </w:r>
      <w:r>
        <w:rPr>
          <w:rFonts w:cstheme="minorHAnsi"/>
        </w:rPr>
        <w:t xml:space="preserve">α(H)-oleanane in a Middle Jurassic Brora coal in Scotland. Moreover, Taylor et al. (2006) identified </w:t>
      </w:r>
      <w:r>
        <w:t>18</w:t>
      </w:r>
      <w:r>
        <w:rPr>
          <w:rFonts w:cstheme="minorHAnsi"/>
        </w:rPr>
        <w:t>α(H)-</w:t>
      </w:r>
      <w:r w:rsidRPr="004D4F5D">
        <w:rPr>
          <w:rFonts w:cstheme="minorHAnsi"/>
        </w:rPr>
        <w:t xml:space="preserve"> </w:t>
      </w:r>
      <w:r>
        <w:rPr>
          <w:rFonts w:cstheme="minorHAnsi"/>
        </w:rPr>
        <w:t>oleanane in</w:t>
      </w:r>
      <w:r w:rsidRPr="004D4F5D">
        <w:rPr>
          <w:rFonts w:cstheme="minorHAnsi"/>
        </w:rPr>
        <w:t xml:space="preserve"> </w:t>
      </w:r>
      <w:r>
        <w:rPr>
          <w:rFonts w:cstheme="minorHAnsi"/>
        </w:rPr>
        <w:t>the Upper Permian rock extracts from Guizhou Province, China.</w:t>
      </w:r>
      <w:r w:rsidRPr="004D4F5D">
        <w:rPr>
          <w:rFonts w:cstheme="minorHAnsi"/>
        </w:rPr>
        <w:t xml:space="preserve"> </w:t>
      </w:r>
      <w:r>
        <w:rPr>
          <w:rFonts w:cstheme="minorHAnsi"/>
        </w:rPr>
        <w:t>These</w:t>
      </w:r>
      <w:r w:rsidRPr="004D4F5D">
        <w:rPr>
          <w:rFonts w:cstheme="minorHAnsi"/>
        </w:rPr>
        <w:t xml:space="preserve"> </w:t>
      </w:r>
      <w:r w:rsidRPr="00C32BB1">
        <w:rPr>
          <w:rFonts w:cstheme="minorHAnsi"/>
        </w:rPr>
        <w:t xml:space="preserve">tentative identifications of </w:t>
      </w:r>
      <w:r w:rsidRPr="00C32BB1">
        <w:t>18</w:t>
      </w:r>
      <w:r w:rsidRPr="00C32BB1">
        <w:rPr>
          <w:rFonts w:cstheme="minorHAnsi"/>
        </w:rPr>
        <w:t xml:space="preserve">α(H)-oleanane even in low concentrations clearly show that the presence of </w:t>
      </w:r>
      <w:r w:rsidRPr="00C32BB1">
        <w:t>18</w:t>
      </w:r>
      <w:r w:rsidRPr="00C32BB1">
        <w:rPr>
          <w:rFonts w:cstheme="minorHAnsi"/>
        </w:rPr>
        <w:t xml:space="preserve">α(H)-oleanane is not indisputable </w:t>
      </w:r>
      <w:r>
        <w:rPr>
          <w:rFonts w:cstheme="minorHAnsi"/>
        </w:rPr>
        <w:t>evidence</w:t>
      </w:r>
      <w:r w:rsidRPr="00C32BB1">
        <w:rPr>
          <w:rFonts w:cstheme="minorHAnsi"/>
        </w:rPr>
        <w:t xml:space="preserve"> for the Cretaceous or younger aged source rocks and oils</w:t>
      </w:r>
      <w:r>
        <w:rPr>
          <w:rFonts w:cstheme="minorHAnsi"/>
        </w:rPr>
        <w:t xml:space="preserve"> (Peters et al., 1999)</w:t>
      </w:r>
      <w:r w:rsidRPr="00C32BB1">
        <w:rPr>
          <w:rFonts w:cstheme="minorHAnsi"/>
        </w:rPr>
        <w:t>.</w:t>
      </w:r>
    </w:p>
    <w:p w:rsidR="00D4451D" w:rsidRPr="00D1784C" w:rsidRDefault="00D4451D" w:rsidP="00D4451D">
      <w:pPr>
        <w:jc w:val="both"/>
        <w:rPr>
          <w:rFonts w:ascii="Times New Roman" w:hAnsi="Times New Roman"/>
        </w:rPr>
      </w:pPr>
      <w:r w:rsidRPr="001E67BD">
        <w:rPr>
          <w:rFonts w:ascii="Times New Roman" w:hAnsi="Times New Roman"/>
          <w:color w:val="111111"/>
          <w:szCs w:val="21"/>
          <w:shd w:val="clear" w:color="auto" w:fill="FFFFFF"/>
        </w:rPr>
        <w:t> </w:t>
      </w:r>
      <w:r w:rsidRPr="001E67BD">
        <w:rPr>
          <w:rFonts w:ascii="Times New Roman" w:hAnsi="Times New Roman"/>
          <w:color w:val="111111"/>
          <w:szCs w:val="21"/>
          <w:shd w:val="clear" w:color="auto" w:fill="FFFFFF"/>
        </w:rPr>
        <w:tab/>
      </w:r>
      <w:r>
        <w:rPr>
          <w:rFonts w:ascii="Times New Roman" w:hAnsi="Times New Roman"/>
          <w:color w:val="111111"/>
          <w:szCs w:val="21"/>
          <w:shd w:val="clear" w:color="auto" w:fill="FFFFFF"/>
        </w:rPr>
        <w:t xml:space="preserve">In this study, </w:t>
      </w:r>
      <w:r w:rsidR="006576D0">
        <w:rPr>
          <w:rFonts w:ascii="Times New Roman" w:hAnsi="Times New Roman"/>
          <w:color w:val="111111"/>
          <w:szCs w:val="21"/>
          <w:shd w:val="clear" w:color="auto" w:fill="FFFFFF"/>
        </w:rPr>
        <w:t xml:space="preserve">the </w:t>
      </w:r>
      <w:r>
        <w:rPr>
          <w:rFonts w:ascii="Times New Roman" w:hAnsi="Times New Roman"/>
          <w:color w:val="111111"/>
          <w:szCs w:val="21"/>
          <w:shd w:val="clear" w:color="auto" w:fill="FFFFFF"/>
        </w:rPr>
        <w:t xml:space="preserve">tentative presence of </w:t>
      </w:r>
      <w:r>
        <w:t>18</w:t>
      </w:r>
      <w:r w:rsidR="001C4470">
        <w:rPr>
          <w:rFonts w:cstheme="minorHAnsi"/>
        </w:rPr>
        <w:t>α(H)-o</w:t>
      </w:r>
      <w:r>
        <w:rPr>
          <w:rFonts w:cstheme="minorHAnsi"/>
        </w:rPr>
        <w:t xml:space="preserve">leanane has </w:t>
      </w:r>
      <w:r w:rsidR="006C6E03">
        <w:rPr>
          <w:rFonts w:cstheme="minorHAnsi"/>
        </w:rPr>
        <w:t xml:space="preserve">also </w:t>
      </w:r>
      <w:r>
        <w:rPr>
          <w:rFonts w:cstheme="minorHAnsi"/>
        </w:rPr>
        <w:t xml:space="preserve">been identified in </w:t>
      </w:r>
      <w:r>
        <w:rPr>
          <w:rFonts w:ascii="Times New Roman" w:hAnsi="Times New Roman"/>
          <w:color w:val="111111"/>
          <w:szCs w:val="21"/>
          <w:shd w:val="clear" w:color="auto" w:fill="FFFFFF"/>
        </w:rPr>
        <w:t xml:space="preserve">several </w:t>
      </w:r>
      <w:r w:rsidR="006576D0">
        <w:rPr>
          <w:rFonts w:ascii="Times New Roman" w:hAnsi="Times New Roman"/>
          <w:color w:val="111111"/>
          <w:szCs w:val="21"/>
          <w:shd w:val="clear" w:color="auto" w:fill="FFFFFF"/>
        </w:rPr>
        <w:t xml:space="preserve">of the </w:t>
      </w:r>
      <w:r>
        <w:rPr>
          <w:rFonts w:ascii="Times New Roman" w:hAnsi="Times New Roman"/>
          <w:color w:val="111111"/>
          <w:szCs w:val="21"/>
          <w:shd w:val="clear" w:color="auto" w:fill="FFFFFF"/>
        </w:rPr>
        <w:t xml:space="preserve">Wang (1993) samples and Kephart-I core samples. There are few possible explanations in the literature </w:t>
      </w:r>
      <w:r w:rsidR="006576D0">
        <w:rPr>
          <w:rFonts w:ascii="Times New Roman" w:hAnsi="Times New Roman"/>
          <w:color w:val="111111"/>
          <w:szCs w:val="21"/>
          <w:shd w:val="clear" w:color="auto" w:fill="FFFFFF"/>
        </w:rPr>
        <w:t>for</w:t>
      </w:r>
      <w:r>
        <w:rPr>
          <w:rFonts w:ascii="Times New Roman" w:hAnsi="Times New Roman"/>
          <w:color w:val="111111"/>
          <w:szCs w:val="21"/>
          <w:shd w:val="clear" w:color="auto" w:fill="FFFFFF"/>
        </w:rPr>
        <w:t xml:space="preserve"> the unexpected occurrence of </w:t>
      </w:r>
      <w:r>
        <w:t>18</w:t>
      </w:r>
      <w:r w:rsidR="001C4470">
        <w:rPr>
          <w:rFonts w:cstheme="minorHAnsi"/>
        </w:rPr>
        <w:t>α(H)-o</w:t>
      </w:r>
      <w:r w:rsidR="001A4D74">
        <w:rPr>
          <w:rFonts w:cstheme="minorHAnsi"/>
        </w:rPr>
        <w:t>leanane in the p</w:t>
      </w:r>
      <w:r>
        <w:rPr>
          <w:rFonts w:cstheme="minorHAnsi"/>
        </w:rPr>
        <w:t xml:space="preserve">re-Cretaceous sediments. Taylor et al. (2006) developed a method that uses zeolite in order to eliminate the potential co-elution of hopanes with the oleanane and then confirmed the presence of </w:t>
      </w:r>
      <w:r>
        <w:t>18</w:t>
      </w:r>
      <w:r w:rsidR="001C4470">
        <w:rPr>
          <w:rFonts w:cstheme="minorHAnsi"/>
        </w:rPr>
        <w:t>α(H)-o</w:t>
      </w:r>
      <w:r>
        <w:rPr>
          <w:rFonts w:cstheme="minorHAnsi"/>
        </w:rPr>
        <w:t xml:space="preserve">leanane in non-angiosperm seed plant fossils of Cretaceous Bennettitales and the Permian Gigantoptridales. </w:t>
      </w:r>
      <w:r w:rsidR="006576D0">
        <w:rPr>
          <w:rFonts w:cstheme="minorHAnsi"/>
        </w:rPr>
        <w:t>Since</w:t>
      </w:r>
      <w:r>
        <w:rPr>
          <w:rFonts w:cstheme="minorHAnsi"/>
        </w:rPr>
        <w:t xml:space="preserve"> these non-angiosperm seed plants share significant common characteristics with the angiosperms, they have been suggested to be a sister group</w:t>
      </w:r>
      <w:r w:rsidR="006576D0">
        <w:rPr>
          <w:rFonts w:cstheme="minorHAnsi"/>
        </w:rPr>
        <w:t>,</w:t>
      </w:r>
      <w:r>
        <w:rPr>
          <w:rFonts w:cstheme="minorHAnsi"/>
        </w:rPr>
        <w:t xml:space="preserve"> or a member of the angiosperms (Taylor et al., 2006). </w:t>
      </w:r>
      <w:r w:rsidR="006576D0">
        <w:rPr>
          <w:rFonts w:cstheme="minorHAnsi"/>
        </w:rPr>
        <w:t>The result</w:t>
      </w:r>
      <w:r w:rsidR="006C6E03">
        <w:rPr>
          <w:rFonts w:cstheme="minorHAnsi"/>
        </w:rPr>
        <w:t>s</w:t>
      </w:r>
      <w:r w:rsidR="006576D0">
        <w:rPr>
          <w:rFonts w:cstheme="minorHAnsi"/>
        </w:rPr>
        <w:t xml:space="preserve"> of the Taylor et al.</w:t>
      </w:r>
      <w:r>
        <w:rPr>
          <w:rFonts w:cstheme="minorHAnsi"/>
        </w:rPr>
        <w:t xml:space="preserve"> (2006) study indicates that the oleanane identified in this and previously mentioned studies could have originated from the non-angiosperm seed </w:t>
      </w:r>
      <w:r>
        <w:rPr>
          <w:rFonts w:cstheme="minorHAnsi"/>
        </w:rPr>
        <w:lastRenderedPageBreak/>
        <w:t xml:space="preserve">plants </w:t>
      </w:r>
      <w:r w:rsidR="006C6E03">
        <w:rPr>
          <w:rFonts w:cstheme="minorHAnsi"/>
        </w:rPr>
        <w:t xml:space="preserve">that </w:t>
      </w:r>
      <w:r>
        <w:rPr>
          <w:rFonts w:cstheme="minorHAnsi"/>
        </w:rPr>
        <w:t xml:space="preserve">evolved </w:t>
      </w:r>
      <w:r w:rsidR="006576D0">
        <w:rPr>
          <w:rFonts w:cstheme="minorHAnsi"/>
        </w:rPr>
        <w:t>during</w:t>
      </w:r>
      <w:r>
        <w:rPr>
          <w:rFonts w:cstheme="minorHAnsi"/>
        </w:rPr>
        <w:t xml:space="preserve"> the Late Paleozoic, suggesting </w:t>
      </w:r>
      <w:r>
        <w:rPr>
          <w:rFonts w:ascii="Times New Roman" w:hAnsi="Times New Roman"/>
        </w:rPr>
        <w:t xml:space="preserve">a </w:t>
      </w:r>
      <w:r w:rsidRPr="00FB3C0B">
        <w:rPr>
          <w:rFonts w:ascii="Times New Roman" w:hAnsi="Times New Roman"/>
        </w:rPr>
        <w:t>different plant group as a precursor of oleanane</w:t>
      </w:r>
      <w:r>
        <w:rPr>
          <w:rFonts w:cstheme="minorHAnsi"/>
        </w:rPr>
        <w:t xml:space="preserve">. Nevertheless, the other possible explanation is </w:t>
      </w:r>
      <w:r w:rsidR="006576D0">
        <w:rPr>
          <w:rFonts w:cstheme="minorHAnsi"/>
        </w:rPr>
        <w:t xml:space="preserve">that </w:t>
      </w:r>
      <w:r>
        <w:rPr>
          <w:rFonts w:cstheme="minorHAnsi"/>
        </w:rPr>
        <w:t xml:space="preserve">angiosperms could </w:t>
      </w:r>
      <w:r>
        <w:rPr>
          <w:rFonts w:ascii="Times New Roman" w:hAnsi="Times New Roman"/>
        </w:rPr>
        <w:t>have evolved from other seed plant</w:t>
      </w:r>
      <w:r w:rsidRPr="00FB3C0B">
        <w:rPr>
          <w:rFonts w:ascii="Times New Roman" w:hAnsi="Times New Roman"/>
        </w:rPr>
        <w:t xml:space="preserve"> lineage</w:t>
      </w:r>
      <w:r w:rsidR="006576D0">
        <w:rPr>
          <w:rFonts w:ascii="Times New Roman" w:hAnsi="Times New Roman"/>
        </w:rPr>
        <w:t>s</w:t>
      </w:r>
      <w:r w:rsidRPr="00FB3C0B">
        <w:rPr>
          <w:rFonts w:ascii="Times New Roman" w:hAnsi="Times New Roman"/>
        </w:rPr>
        <w:t xml:space="preserve"> long before</w:t>
      </w:r>
      <w:r>
        <w:rPr>
          <w:rFonts w:ascii="Times New Roman" w:hAnsi="Times New Roman"/>
        </w:rPr>
        <w:t xml:space="preserve"> the</w:t>
      </w:r>
      <w:r w:rsidRPr="00FB3C0B">
        <w:rPr>
          <w:rFonts w:ascii="Times New Roman" w:hAnsi="Times New Roman"/>
        </w:rPr>
        <w:t xml:space="preserve"> Early Cretaceous</w:t>
      </w:r>
      <w:r>
        <w:rPr>
          <w:rFonts w:ascii="Times New Roman" w:hAnsi="Times New Roman"/>
        </w:rPr>
        <w:t xml:space="preserve"> (</w:t>
      </w:r>
      <w:r>
        <w:rPr>
          <w:rFonts w:cstheme="minorHAnsi"/>
        </w:rPr>
        <w:t xml:space="preserve">Taylor et al., 2006). </w:t>
      </w:r>
    </w:p>
    <w:p w:rsidR="000F04D2" w:rsidRDefault="00D4451D" w:rsidP="00D4451D">
      <w:pPr>
        <w:jc w:val="both"/>
        <w:rPr>
          <w:rFonts w:ascii="Times New Roman" w:hAnsi="Times New Roman"/>
        </w:rPr>
      </w:pPr>
      <w:r>
        <w:tab/>
      </w:r>
      <w:r w:rsidRPr="00C32BB1">
        <w:t>Molecular phylogeny analysis h</w:t>
      </w:r>
      <w:r w:rsidR="006C6E03">
        <w:t>as</w:t>
      </w:r>
      <w:r w:rsidRPr="00C32BB1">
        <w:t xml:space="preserve"> been widely</w:t>
      </w:r>
      <w:r w:rsidR="00F50AA5">
        <w:t xml:space="preserve"> used</w:t>
      </w:r>
      <w:r w:rsidRPr="00C32BB1">
        <w:t xml:space="preserve"> to observe molecular differences in DNA sequences and to assess the organism’s evolutionary pathway. Increasing availability of the molecular data has aided several attempts to make the age estimate of angiosperms by use of molecular clock analysis. However, most of the authors proposed different age estimates </w:t>
      </w:r>
      <w:r w:rsidR="006C6E03">
        <w:t>for evolution of the</w:t>
      </w:r>
      <w:r w:rsidRPr="00C32BB1">
        <w:t xml:space="preserve"> angiosperms while</w:t>
      </w:r>
      <w:r w:rsidR="002D0AA0">
        <w:t xml:space="preserve"> several of them have agreed </w:t>
      </w:r>
      <w:r w:rsidR="00FF41CA">
        <w:t xml:space="preserve">that </w:t>
      </w:r>
      <w:r w:rsidR="002D0AA0">
        <w:t xml:space="preserve">the </w:t>
      </w:r>
      <w:r w:rsidR="00FF41CA">
        <w:t xml:space="preserve">earliest form of the </w:t>
      </w:r>
      <w:r w:rsidRPr="00C32BB1">
        <w:t>angiosperms</w:t>
      </w:r>
      <w:r w:rsidR="002D0AA0">
        <w:t xml:space="preserve"> should have occurred </w:t>
      </w:r>
      <w:r w:rsidR="00FF41CA">
        <w:t>long before</w:t>
      </w:r>
      <w:r w:rsidR="002D0AA0">
        <w:t xml:space="preserve"> </w:t>
      </w:r>
      <w:r w:rsidR="00FF41CA">
        <w:t>Cretaceous</w:t>
      </w:r>
      <w:r w:rsidRPr="00C32BB1">
        <w:t xml:space="preserve"> </w:t>
      </w:r>
      <w:r w:rsidR="00FF41CA">
        <w:t xml:space="preserve">time </w:t>
      </w:r>
      <w:r w:rsidRPr="00C32BB1">
        <w:t>(Ramshaw et al., 1972; Brandl et al., 1</w:t>
      </w:r>
      <w:r w:rsidR="00436E1E">
        <w:t>992; Smith et al., 2011; Magalló</w:t>
      </w:r>
      <w:r w:rsidRPr="00C32BB1">
        <w:t>n et al.</w:t>
      </w:r>
      <w:r w:rsidR="00A7104D">
        <w:t>,</w:t>
      </w:r>
      <w:r w:rsidRPr="00C32BB1">
        <w:t xml:space="preserve"> 2013</w:t>
      </w:r>
      <w:r w:rsidR="00F37EA1" w:rsidRPr="00C32BB1">
        <w:t>). For instance, Ramshaw et al.</w:t>
      </w:r>
      <w:r w:rsidRPr="00C32BB1">
        <w:t xml:space="preserve"> (1972) utilized a protein sequence of a plant mitochondria and used it to determine the age of angiosperms. As a</w:t>
      </w:r>
      <w:r>
        <w:t xml:space="preserve"> </w:t>
      </w:r>
      <w:r w:rsidR="00F37EA1">
        <w:t>result, Ramshaw et al.</w:t>
      </w:r>
      <w:r>
        <w:t xml:space="preserve"> (1972) suggested that the molecular age of the angiosperms is several geological periods before the Cretaceous Period (520-40</w:t>
      </w:r>
      <w:r w:rsidR="00F37EA1">
        <w:t>0 Mya). Moreover, Martin et al.</w:t>
      </w:r>
      <w:r>
        <w:t xml:space="preserve"> (1989) used the glycolytic enzyme of glyceraldehyde 3-phosphate dehydrogenase (GAPDH) in the angiosperm plants to estimate the age when this enzyme was first synthesized by the organisms (</w:t>
      </w:r>
      <w:r>
        <w:rPr>
          <w:rFonts w:cstheme="minorHAnsi"/>
        </w:rPr>
        <w:t>Friis et al., 2011</w:t>
      </w:r>
      <w:r>
        <w:t>). The results wer</w:t>
      </w:r>
      <w:r w:rsidR="00F37EA1">
        <w:t>e supportive of the work of Ramshaw et al.</w:t>
      </w:r>
      <w:r>
        <w:t xml:space="preserve"> (1972) with the estimated molecular age determination of ~ 319 Mya </w:t>
      </w:r>
      <w:r>
        <w:rPr>
          <w:rFonts w:cstheme="minorHAnsi"/>
        </w:rPr>
        <w:t>±33</w:t>
      </w:r>
      <w:r w:rsidR="006C6E03">
        <w:rPr>
          <w:rFonts w:cstheme="minorHAnsi"/>
        </w:rPr>
        <w:t xml:space="preserve"> Mya</w:t>
      </w:r>
      <w:r>
        <w:rPr>
          <w:rFonts w:cstheme="minorHAnsi"/>
        </w:rPr>
        <w:t>. (Friis et al., 2011</w:t>
      </w:r>
      <w:r>
        <w:t xml:space="preserve">). </w:t>
      </w:r>
      <w:r w:rsidRPr="009B2E34">
        <w:t xml:space="preserve">In conclusion, several molecular phylogeny </w:t>
      </w:r>
      <w:r w:rsidR="00F37EA1">
        <w:t>studies support an</w:t>
      </w:r>
      <w:r w:rsidRPr="009B2E34">
        <w:t xml:space="preserve"> earlier evolution </w:t>
      </w:r>
      <w:r w:rsidR="00F37EA1">
        <w:t>for</w:t>
      </w:r>
      <w:r w:rsidRPr="009B2E34">
        <w:t xml:space="preserve"> the angiosperms reaching back to </w:t>
      </w:r>
      <w:r w:rsidR="00F37EA1">
        <w:t xml:space="preserve">the </w:t>
      </w:r>
      <w:r w:rsidRPr="009B2E34">
        <w:t xml:space="preserve">Early Carboniferous. These studies suggest that the oleanane found in the pre-Cretaceous rocks, including this study, may be derived from the earliest angiosperms which evolved long before </w:t>
      </w:r>
      <w:r w:rsidR="00F37EA1">
        <w:t xml:space="preserve">the </w:t>
      </w:r>
      <w:r w:rsidR="006C6E03">
        <w:t>Cretaceous and/or</w:t>
      </w:r>
      <w:r w:rsidRPr="009B2E34">
        <w:t xml:space="preserve"> </w:t>
      </w:r>
      <w:r w:rsidRPr="009B2E34">
        <w:rPr>
          <w:rFonts w:cstheme="minorHAnsi"/>
        </w:rPr>
        <w:t xml:space="preserve">originated from </w:t>
      </w:r>
      <w:r w:rsidRPr="009B2E34">
        <w:rPr>
          <w:rFonts w:cstheme="minorHAnsi"/>
        </w:rPr>
        <w:lastRenderedPageBreak/>
        <w:t xml:space="preserve">non-angiosperm seed plants that share significant common characteristics with the angiosperms. Another possible explanation of the tentative presence of oleanane in </w:t>
      </w:r>
      <w:r w:rsidRPr="009B2E34">
        <w:t>pre-Cretaceous rocks</w:t>
      </w:r>
      <w:r w:rsidRPr="009B2E34">
        <w:rPr>
          <w:rFonts w:cstheme="minorHAnsi"/>
        </w:rPr>
        <w:t xml:space="preserve"> may be a </w:t>
      </w:r>
      <w:r w:rsidRPr="009B2E34">
        <w:rPr>
          <w:rFonts w:ascii="Times New Roman" w:hAnsi="Times New Roman"/>
        </w:rPr>
        <w:t xml:space="preserve">different plant group as a precursor </w:t>
      </w:r>
      <w:r w:rsidR="00F37EA1">
        <w:rPr>
          <w:rFonts w:ascii="Times New Roman" w:hAnsi="Times New Roman"/>
        </w:rPr>
        <w:t>for</w:t>
      </w:r>
      <w:r w:rsidRPr="009B2E34">
        <w:rPr>
          <w:rFonts w:ascii="Times New Roman" w:hAnsi="Times New Roman"/>
        </w:rPr>
        <w:t xml:space="preserve"> oleanane. However, this explanation</w:t>
      </w:r>
      <w:r w:rsidR="00F37EA1">
        <w:rPr>
          <w:rFonts w:ascii="Times New Roman" w:hAnsi="Times New Roman"/>
        </w:rPr>
        <w:t xml:space="preserve"> is</w:t>
      </w:r>
      <w:r w:rsidRPr="009B2E34">
        <w:rPr>
          <w:rFonts w:ascii="Times New Roman" w:hAnsi="Times New Roman"/>
        </w:rPr>
        <w:t xml:space="preserve"> quite unlikely due to the lack of evidence in the literature that relates any other plant group with oleanane.</w:t>
      </w:r>
    </w:p>
    <w:p w:rsidR="00D4451D" w:rsidRPr="00921A04" w:rsidRDefault="00D4451D" w:rsidP="00D4451D">
      <w:pPr>
        <w:pStyle w:val="Balk4"/>
        <w:rPr>
          <w:i/>
          <w:sz w:val="24"/>
          <w:shd w:val="clear" w:color="auto" w:fill="FFFFFF"/>
        </w:rPr>
      </w:pPr>
      <w:bookmarkStart w:id="116" w:name="_Toc507506654"/>
      <w:r w:rsidRPr="00921A04">
        <w:rPr>
          <w:i/>
          <w:sz w:val="24"/>
          <w:shd w:val="clear" w:color="auto" w:fill="FFFFFF"/>
        </w:rPr>
        <w:t>4.3.4.3 Demethylated Hopanes</w:t>
      </w:r>
      <w:bookmarkEnd w:id="116"/>
    </w:p>
    <w:p w:rsidR="005B27AD" w:rsidRDefault="000B6985" w:rsidP="00C11CD4">
      <w:pPr>
        <w:ind w:firstLine="720"/>
        <w:jc w:val="both"/>
        <w:rPr>
          <w:szCs w:val="28"/>
        </w:rPr>
      </w:pPr>
      <w:r>
        <w:t xml:space="preserve">Demethylated hopanes </w:t>
      </w:r>
      <w:r w:rsidR="00F37EA1">
        <w:t>occur as a</w:t>
      </w:r>
      <w:r>
        <w:t xml:space="preserve"> series of C</w:t>
      </w:r>
      <w:r w:rsidRPr="006437D1">
        <w:rPr>
          <w:vertAlign w:val="subscript"/>
        </w:rPr>
        <w:t xml:space="preserve">27 </w:t>
      </w:r>
      <w:r>
        <w:t>– C</w:t>
      </w:r>
      <w:r w:rsidRPr="006437D1">
        <w:rPr>
          <w:vertAlign w:val="subscript"/>
        </w:rPr>
        <w:t xml:space="preserve">35 </w:t>
      </w:r>
      <w:r>
        <w:t>hopanes that structurally differ from the hopanes with the absence of methyl group at the A/B ring (</w:t>
      </w:r>
      <w:r w:rsidR="00FF41CA">
        <w:t>Rullkötter and Wendisch, 1982; Volkman et al., 1983</w:t>
      </w:r>
      <w:r>
        <w:t xml:space="preserve">). </w:t>
      </w:r>
      <w:r w:rsidR="009E67AA">
        <w:t xml:space="preserve">They can be identified in both </w:t>
      </w:r>
      <w:r>
        <w:t xml:space="preserve">m/z 171 </w:t>
      </w:r>
      <w:r w:rsidR="009E67AA">
        <w:t>and</w:t>
      </w:r>
      <w:r>
        <w:t xml:space="preserve"> m/z 191 ion</w:t>
      </w:r>
      <w:r w:rsidR="009E67AA">
        <w:t>s of the saturate fractions</w:t>
      </w:r>
      <w:r>
        <w:t>. The demethylated hopanes are formed from the bacterial transformation of the hopanes and they are widely associated with the heavy biodegr</w:t>
      </w:r>
      <w:r w:rsidR="00B71DA5">
        <w:t xml:space="preserve">adation (Volkman et al., 1983). </w:t>
      </w:r>
      <w:r>
        <w:t>They are commonly found in the biodegraded oils and their presence in the rock extracts is unusual as they are not observed in the pyrolysis products of the kerogen or asphaltene (</w:t>
      </w:r>
      <w:r w:rsidR="001565B4">
        <w:t>Noble et al., 1985</w:t>
      </w:r>
      <w:r>
        <w:t>). However, this study confirms the tentative presence of de</w:t>
      </w:r>
      <w:r w:rsidR="001C4470">
        <w:t>methylated hopanes (such as 25-n</w:t>
      </w:r>
      <w:r>
        <w:t>orhopanes (NHP</w:t>
      </w:r>
      <w:r w:rsidR="00ED00AA">
        <w:t xml:space="preserve">; </w:t>
      </w:r>
      <w:r w:rsidR="00ED00AA" w:rsidRPr="00ED00AA">
        <w:rPr>
          <w:b/>
        </w:rPr>
        <w:t>XV</w:t>
      </w:r>
      <w:r>
        <w:t>), 25,2</w:t>
      </w:r>
      <w:r w:rsidR="00ED00AA">
        <w:t>8,30-tr</w:t>
      </w:r>
      <w:r w:rsidR="001C4470">
        <w:t>isnorh</w:t>
      </w:r>
      <w:r w:rsidR="00ED00AA">
        <w:t>opane (T</w:t>
      </w:r>
      <w:r w:rsidR="009E67AA">
        <w:t>NH</w:t>
      </w:r>
      <w:r w:rsidR="00ED00AA">
        <w:t xml:space="preserve">; </w:t>
      </w:r>
      <w:r w:rsidR="00ED00AA" w:rsidRPr="00ED00AA">
        <w:rPr>
          <w:b/>
        </w:rPr>
        <w:t>XVI</w:t>
      </w:r>
      <w:r w:rsidR="009E67AA">
        <w:t>), 25,30-bisnorhopane</w:t>
      </w:r>
      <w:r w:rsidR="00ED00AA">
        <w:t xml:space="preserve"> (BNH; </w:t>
      </w:r>
      <w:r w:rsidR="00ED00AA" w:rsidRPr="00ED00AA">
        <w:rPr>
          <w:b/>
        </w:rPr>
        <w:t>XVII</w:t>
      </w:r>
      <w:r w:rsidR="00ED00AA">
        <w:t>)</w:t>
      </w:r>
      <w:r>
        <w:t xml:space="preserve"> in multiple source rock samples</w:t>
      </w:r>
      <w:r w:rsidR="003C53FA">
        <w:t xml:space="preserve"> (Fig</w:t>
      </w:r>
      <w:r w:rsidR="004D4F5D">
        <w:t>ure 38</w:t>
      </w:r>
      <w:r w:rsidR="003C53FA">
        <w:t>)</w:t>
      </w:r>
      <w:r>
        <w:t>. Identifying demethylated hopanes in the Morrow rock ex</w:t>
      </w:r>
      <w:r w:rsidR="00F50AA5">
        <w:t>tracts was somewhat surprising. However,</w:t>
      </w:r>
      <w:r>
        <w:t xml:space="preserve"> there are several other studies that reported </w:t>
      </w:r>
      <w:r w:rsidR="00F50AA5">
        <w:t xml:space="preserve">the </w:t>
      </w:r>
      <w:r>
        <w:t>presence of demethylated hopanes in source rock extracts. Curiale et al. (1985) identified high concentration</w:t>
      </w:r>
      <w:r w:rsidR="006C6E03">
        <w:t>s</w:t>
      </w:r>
      <w:r>
        <w:t xml:space="preserve"> of 25-NHP and 25,28,30 TNH in the Monterey rock extracts and in certain San </w:t>
      </w:r>
      <w:r w:rsidR="00B71DA5">
        <w:t xml:space="preserve">Joaquin Basin oils and extracts. </w:t>
      </w:r>
      <w:r w:rsidR="00A7104D">
        <w:rPr>
          <w:szCs w:val="28"/>
        </w:rPr>
        <w:t>Noble et al.</w:t>
      </w:r>
      <w:r w:rsidRPr="006437D1">
        <w:rPr>
          <w:szCs w:val="28"/>
        </w:rPr>
        <w:t xml:space="preserve"> (1985) identified 25,28,30 TNH, 25,30-BNH and 25-NHP in the Australian shales </w:t>
      </w:r>
      <w:r w:rsidR="0095365A" w:rsidRPr="006437D1">
        <w:rPr>
          <w:szCs w:val="28"/>
        </w:rPr>
        <w:t xml:space="preserve">and </w:t>
      </w:r>
      <w:r w:rsidR="0095365A">
        <w:rPr>
          <w:szCs w:val="28"/>
        </w:rPr>
        <w:t>noted</w:t>
      </w:r>
      <w:r w:rsidR="0095365A" w:rsidRPr="006437D1">
        <w:rPr>
          <w:szCs w:val="28"/>
        </w:rPr>
        <w:t xml:space="preserve"> that they are </w:t>
      </w:r>
      <w:r w:rsidR="0095365A" w:rsidRPr="00012878">
        <w:rPr>
          <w:szCs w:val="28"/>
        </w:rPr>
        <w:t xml:space="preserve">not present in the </w:t>
      </w:r>
      <w:r w:rsidR="0095365A">
        <w:rPr>
          <w:szCs w:val="28"/>
        </w:rPr>
        <w:t xml:space="preserve">laboratory </w:t>
      </w:r>
      <w:r w:rsidR="0095365A" w:rsidRPr="00012878">
        <w:rPr>
          <w:szCs w:val="28"/>
        </w:rPr>
        <w:t>pyrolysates products of the extracted sediments.</w:t>
      </w:r>
      <w:r w:rsidR="0095365A">
        <w:rPr>
          <w:szCs w:val="28"/>
        </w:rPr>
        <w:t xml:space="preserve"> This </w:t>
      </w:r>
      <w:r w:rsidR="0095365A">
        <w:rPr>
          <w:szCs w:val="28"/>
        </w:rPr>
        <w:lastRenderedPageBreak/>
        <w:t>suggests that the demethylated hopanes</w:t>
      </w:r>
      <w:r w:rsidR="00C11CD4">
        <w:rPr>
          <w:szCs w:val="28"/>
        </w:rPr>
        <w:t xml:space="preserve"> are not boun</w:t>
      </w:r>
      <w:r w:rsidR="0095365A">
        <w:rPr>
          <w:szCs w:val="28"/>
        </w:rPr>
        <w:t>ded to kerogen</w:t>
      </w:r>
      <w:r w:rsidR="00C11CD4">
        <w:rPr>
          <w:szCs w:val="28"/>
        </w:rPr>
        <w:t xml:space="preserve"> and </w:t>
      </w:r>
      <w:r w:rsidR="00012878">
        <w:rPr>
          <w:szCs w:val="28"/>
        </w:rPr>
        <w:t xml:space="preserve">should be present in the sediments as free hydrocarbon </w:t>
      </w:r>
      <w:r w:rsidR="00C11CD4">
        <w:rPr>
          <w:szCs w:val="28"/>
        </w:rPr>
        <w:t>as they are not produced by thermal breakdown of the kerogen.</w:t>
      </w:r>
      <w:r w:rsidR="00012878">
        <w:rPr>
          <w:szCs w:val="28"/>
        </w:rPr>
        <w:t xml:space="preserve"> </w:t>
      </w:r>
      <w:r w:rsidR="00C11CD4">
        <w:rPr>
          <w:szCs w:val="28"/>
        </w:rPr>
        <w:t xml:space="preserve">In other words, the demethylated hopanes are allocthonous and </w:t>
      </w:r>
      <w:r w:rsidRPr="006437D1">
        <w:rPr>
          <w:szCs w:val="28"/>
        </w:rPr>
        <w:t xml:space="preserve">their presence in the Australian Shales was related to either paleo-seepage of a heavily biodegraded oil into the source rock or biodegradation of the </w:t>
      </w:r>
      <w:r w:rsidRPr="00F50AA5">
        <w:rPr>
          <w:i/>
          <w:szCs w:val="28"/>
        </w:rPr>
        <w:t>in-situ</w:t>
      </w:r>
      <w:r w:rsidRPr="006437D1">
        <w:rPr>
          <w:szCs w:val="28"/>
        </w:rPr>
        <w:t xml:space="preserve"> petroleum that might be trapped in the fractures of the shales during migration (N</w:t>
      </w:r>
      <w:r w:rsidR="00012878">
        <w:rPr>
          <w:szCs w:val="28"/>
        </w:rPr>
        <w:t xml:space="preserve">oble et al., 1985). </w:t>
      </w:r>
    </w:p>
    <w:p w:rsidR="004D4F5D" w:rsidRDefault="004D4F5D" w:rsidP="004D4F5D">
      <w:pPr>
        <w:jc w:val="center"/>
        <w:rPr>
          <w:szCs w:val="28"/>
        </w:rPr>
      </w:pPr>
      <w:r w:rsidRPr="004701B4">
        <w:rPr>
          <w:noProof/>
          <w:szCs w:val="28"/>
          <w:lang w:val="tr-TR" w:eastAsia="tr-TR" w:bidi="ar-SA"/>
        </w:rPr>
        <w:drawing>
          <wp:inline distT="0" distB="0" distL="0" distR="0" wp14:anchorId="6A71D2BB" wp14:editId="2BAE3CCE">
            <wp:extent cx="5216055" cy="4465047"/>
            <wp:effectExtent l="0" t="0" r="3810" b="0"/>
            <wp:docPr id="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pic:cNvPicPr>
                      <a:picLocks noChangeAspect="1"/>
                    </pic:cNvPicPr>
                  </pic:nvPicPr>
                  <pic:blipFill rotWithShape="1">
                    <a:blip r:embed="rId64"/>
                    <a:srcRect l="8107" r="3165"/>
                    <a:stretch/>
                  </pic:blipFill>
                  <pic:spPr bwMode="auto">
                    <a:xfrm>
                      <a:off x="0" y="0"/>
                      <a:ext cx="5263933" cy="4506031"/>
                    </a:xfrm>
                    <a:prstGeom prst="rect">
                      <a:avLst/>
                    </a:prstGeom>
                    <a:ln>
                      <a:noFill/>
                    </a:ln>
                    <a:extLst>
                      <a:ext uri="{53640926-AAD7-44D8-BBD7-CCE9431645EC}">
                        <a14:shadowObscured xmlns:a14="http://schemas.microsoft.com/office/drawing/2010/main"/>
                      </a:ext>
                    </a:extLst>
                  </pic:spPr>
                </pic:pic>
              </a:graphicData>
            </a:graphic>
          </wp:inline>
        </w:drawing>
      </w:r>
    </w:p>
    <w:p w:rsidR="004D4F5D" w:rsidRPr="004701B4" w:rsidRDefault="004D4F5D" w:rsidP="004D4F5D">
      <w:pPr>
        <w:pStyle w:val="ResimYazs"/>
        <w:jc w:val="both"/>
        <w:rPr>
          <w:b w:val="0"/>
          <w:szCs w:val="28"/>
        </w:rPr>
      </w:pPr>
      <w:bookmarkStart w:id="117" w:name="_Toc507509086"/>
      <w:r>
        <w:t xml:space="preserve">Figure </w:t>
      </w:r>
      <w:fldSimple w:instr=" SEQ Figure \* ARABIC ">
        <w:r w:rsidR="003F6459">
          <w:rPr>
            <w:noProof/>
          </w:rPr>
          <w:t>38</w:t>
        </w:r>
      </w:fldSimple>
      <w:r>
        <w:t xml:space="preserve">. </w:t>
      </w:r>
      <w:r w:rsidRPr="004701B4">
        <w:rPr>
          <w:b w:val="0"/>
        </w:rPr>
        <w:t>M/z 191 and m/z 177 ion chromatograms showing the identifications of the 25,28,30 TNH, 25,30 BNH and 25-norhopane.</w:t>
      </w:r>
      <w:bookmarkEnd w:id="117"/>
    </w:p>
    <w:p w:rsidR="004D4F5D" w:rsidRDefault="004D4F5D" w:rsidP="004D4F5D">
      <w:pPr>
        <w:spacing w:line="276" w:lineRule="auto"/>
        <w:jc w:val="both"/>
        <w:rPr>
          <w:szCs w:val="28"/>
        </w:rPr>
      </w:pPr>
    </w:p>
    <w:p w:rsidR="00344BCE" w:rsidRPr="004D4F5D" w:rsidRDefault="005B27AD" w:rsidP="004D4F5D">
      <w:pPr>
        <w:ind w:firstLine="720"/>
        <w:jc w:val="both"/>
        <w:rPr>
          <w:szCs w:val="28"/>
        </w:rPr>
      </w:pPr>
      <w:r>
        <w:rPr>
          <w:szCs w:val="28"/>
        </w:rPr>
        <w:t>The origin of the 25-norhopanes and its high concentration in heavily biodegraded oils have been a controve</w:t>
      </w:r>
      <w:r w:rsidR="001565B4">
        <w:rPr>
          <w:szCs w:val="28"/>
        </w:rPr>
        <w:t xml:space="preserve">rsial issue for several decades (Moldowan and McCaffrey, 1995). </w:t>
      </w:r>
      <w:r w:rsidR="009A03FF">
        <w:rPr>
          <w:szCs w:val="28"/>
        </w:rPr>
        <w:t xml:space="preserve">There are </w:t>
      </w:r>
      <w:r w:rsidR="004D4F5D">
        <w:rPr>
          <w:szCs w:val="28"/>
        </w:rPr>
        <w:t xml:space="preserve">three </w:t>
      </w:r>
      <w:r w:rsidR="006C6E03">
        <w:rPr>
          <w:szCs w:val="28"/>
        </w:rPr>
        <w:t xml:space="preserve">main </w:t>
      </w:r>
      <w:r w:rsidR="00F50AA5">
        <w:rPr>
          <w:szCs w:val="28"/>
        </w:rPr>
        <w:t>hypothese</w:t>
      </w:r>
      <w:r w:rsidR="004D4F5D">
        <w:rPr>
          <w:szCs w:val="28"/>
        </w:rPr>
        <w:t xml:space="preserve">s </w:t>
      </w:r>
      <w:r w:rsidR="006C6E03">
        <w:rPr>
          <w:szCs w:val="28"/>
        </w:rPr>
        <w:t>for</w:t>
      </w:r>
      <w:r w:rsidR="004D4F5D">
        <w:rPr>
          <w:szCs w:val="28"/>
        </w:rPr>
        <w:t xml:space="preserve"> th</w:t>
      </w:r>
      <w:r w:rsidR="00A7104D">
        <w:rPr>
          <w:szCs w:val="28"/>
        </w:rPr>
        <w:t>e origin of the 25-norhopanes: I</w:t>
      </w:r>
      <w:r w:rsidR="004D4F5D">
        <w:rPr>
          <w:szCs w:val="28"/>
        </w:rPr>
        <w:t xml:space="preserve">) They are </w:t>
      </w:r>
      <w:r w:rsidR="004D4F5D">
        <w:rPr>
          <w:szCs w:val="28"/>
        </w:rPr>
        <w:lastRenderedPageBreak/>
        <w:t xml:space="preserve">produced as </w:t>
      </w:r>
      <w:r w:rsidR="009A03FF">
        <w:rPr>
          <w:szCs w:val="28"/>
        </w:rPr>
        <w:t xml:space="preserve">a result </w:t>
      </w:r>
      <w:r w:rsidR="009A03FF" w:rsidRPr="006755B2">
        <w:rPr>
          <w:szCs w:val="28"/>
        </w:rPr>
        <w:t>of microbial degradation but t</w:t>
      </w:r>
      <w:r w:rsidR="005D78D9" w:rsidRPr="006755B2">
        <w:rPr>
          <w:szCs w:val="28"/>
        </w:rPr>
        <w:t>hey are masked by the hopanes. T</w:t>
      </w:r>
      <w:r w:rsidR="009A03FF" w:rsidRPr="006755B2">
        <w:rPr>
          <w:szCs w:val="28"/>
        </w:rPr>
        <w:t>hey become enriched with the increasing biodegradation</w:t>
      </w:r>
      <w:r w:rsidR="00A7104D" w:rsidRPr="006755B2">
        <w:rPr>
          <w:szCs w:val="28"/>
        </w:rPr>
        <w:t xml:space="preserve"> as the hopanes are removed. II</w:t>
      </w:r>
      <w:r w:rsidR="005D78D9" w:rsidRPr="006755B2">
        <w:rPr>
          <w:szCs w:val="28"/>
        </w:rPr>
        <w:t xml:space="preserve">) They </w:t>
      </w:r>
      <w:r w:rsidR="006C6E03" w:rsidRPr="006755B2">
        <w:rPr>
          <w:szCs w:val="28"/>
        </w:rPr>
        <w:t>originate</w:t>
      </w:r>
      <w:r w:rsidR="005D78D9" w:rsidRPr="006755B2">
        <w:rPr>
          <w:szCs w:val="28"/>
        </w:rPr>
        <w:t xml:space="preserve"> from the </w:t>
      </w:r>
      <w:r w:rsidR="005D78D9" w:rsidRPr="006755B2">
        <w:t>demethylation of hopanes by the removal of the methyl group at C-10 in the hopane struc</w:t>
      </w:r>
      <w:r w:rsidR="00A7104D" w:rsidRPr="006755B2">
        <w:t>ture. III</w:t>
      </w:r>
      <w:r w:rsidR="006755B2" w:rsidRPr="006755B2">
        <w:t xml:space="preserve">) </w:t>
      </w:r>
      <w:r w:rsidR="006755B2">
        <w:t>T</w:t>
      </w:r>
      <w:r w:rsidR="006755B2" w:rsidRPr="006755B2">
        <w:t xml:space="preserve">hey are not degradation products of hopanes </w:t>
      </w:r>
      <w:r w:rsidR="006755B2">
        <w:t>but t</w:t>
      </w:r>
      <w:r w:rsidR="006755B2" w:rsidRPr="006755B2">
        <w:t>he microorganisms produce 25-norhopanes</w:t>
      </w:r>
      <w:r w:rsidR="006755B2">
        <w:t xml:space="preserve"> </w:t>
      </w:r>
      <w:r w:rsidR="005D78D9" w:rsidRPr="006755B2">
        <w:t xml:space="preserve">(Peters et al., 2005). As this compound is closely associated with reservoir biodegradation, its occurrence in the source rock extracts is unexpected. </w:t>
      </w:r>
      <w:r w:rsidR="000B6985" w:rsidRPr="006755B2">
        <w:rPr>
          <w:szCs w:val="28"/>
        </w:rPr>
        <w:t xml:space="preserve">Blanc and Connan (1992) </w:t>
      </w:r>
      <w:r w:rsidRPr="006755B2">
        <w:rPr>
          <w:szCs w:val="28"/>
        </w:rPr>
        <w:t xml:space="preserve">identified </w:t>
      </w:r>
      <w:r w:rsidR="000B6985" w:rsidRPr="006755B2">
        <w:rPr>
          <w:szCs w:val="28"/>
        </w:rPr>
        <w:t>25-NHP</w:t>
      </w:r>
      <w:r w:rsidR="006C6E03" w:rsidRPr="006755B2">
        <w:rPr>
          <w:szCs w:val="28"/>
        </w:rPr>
        <w:t>s</w:t>
      </w:r>
      <w:r w:rsidR="000B6985" w:rsidRPr="006437D1">
        <w:rPr>
          <w:szCs w:val="28"/>
        </w:rPr>
        <w:t xml:space="preserve"> in several rock samples and proposed that 25-NHP</w:t>
      </w:r>
      <w:r w:rsidR="006C6E03">
        <w:rPr>
          <w:szCs w:val="28"/>
        </w:rPr>
        <w:t>s</w:t>
      </w:r>
      <w:r w:rsidR="000B6985" w:rsidRPr="006437D1">
        <w:rPr>
          <w:szCs w:val="28"/>
        </w:rPr>
        <w:t xml:space="preserve"> are more likely to occur in marine and lacustrine </w:t>
      </w:r>
      <w:r w:rsidR="000B6985" w:rsidRPr="00DD475E">
        <w:rPr>
          <w:szCs w:val="28"/>
        </w:rPr>
        <w:t>source rocks that are deposited under dysoxic and hypersaline conditions. Philp (1983)</w:t>
      </w:r>
      <w:r w:rsidR="000B6985" w:rsidRPr="006437D1">
        <w:rPr>
          <w:szCs w:val="28"/>
        </w:rPr>
        <w:t xml:space="preserve"> proposed that 25-NHP might be deriving from specific source beds and not necessarily associated with biodegradation since they are not readily present in some heavily </w:t>
      </w:r>
      <w:r w:rsidR="000B6985">
        <w:t xml:space="preserve">biodegraded oils. </w:t>
      </w:r>
    </w:p>
    <w:p w:rsidR="00D4451D" w:rsidRPr="0086050B" w:rsidRDefault="00344BCE" w:rsidP="0086050B">
      <w:pPr>
        <w:ind w:firstLine="720"/>
        <w:jc w:val="both"/>
      </w:pPr>
      <w:r w:rsidRPr="0086050B">
        <w:t xml:space="preserve">The concentration of the demethylated hopanes </w:t>
      </w:r>
      <w:r w:rsidR="007B0878">
        <w:t>vs.</w:t>
      </w:r>
      <w:r w:rsidRPr="0086050B">
        <w:t xml:space="preserve"> depth in Kephart-1 Well is presented in </w:t>
      </w:r>
      <w:r w:rsidR="004B727F" w:rsidRPr="0086050B">
        <w:t>Figure 3</w:t>
      </w:r>
      <w:r w:rsidR="004D4F5D">
        <w:t>9</w:t>
      </w:r>
      <w:r w:rsidR="00593307" w:rsidRPr="0086050B">
        <w:t xml:space="preserve">, and the corresponding calculated concentrations are given in </w:t>
      </w:r>
      <w:r w:rsidR="007601BC">
        <w:t>Table 9</w:t>
      </w:r>
      <w:r w:rsidRPr="0086050B">
        <w:t xml:space="preserve">. The </w:t>
      </w:r>
      <w:r w:rsidR="003C53FA">
        <w:t>plot</w:t>
      </w:r>
      <w:r w:rsidRPr="0086050B">
        <w:t xml:space="preserve"> demonstrates that the demethylated hopanes </w:t>
      </w:r>
      <w:r w:rsidR="005D78D9" w:rsidRPr="0086050B">
        <w:t>show similar variations through the</w:t>
      </w:r>
      <w:r w:rsidRPr="0086050B">
        <w:t xml:space="preserve"> core indicating that they were most likely derived </w:t>
      </w:r>
      <w:r w:rsidR="005D78D9" w:rsidRPr="0086050B">
        <w:t>by the</w:t>
      </w:r>
      <w:r w:rsidRPr="0086050B">
        <w:t xml:space="preserve"> same mechanism</w:t>
      </w:r>
      <w:r w:rsidR="0086050B" w:rsidRPr="0086050B">
        <w:t>. T</w:t>
      </w:r>
      <w:r w:rsidR="000B6985" w:rsidRPr="0086050B">
        <w:t>he tentative presence of the 25-NHP, 25,2</w:t>
      </w:r>
      <w:r w:rsidR="006C6E03">
        <w:t>8,30-T</w:t>
      </w:r>
      <w:r w:rsidR="003C53FA">
        <w:t xml:space="preserve">NH, 25,30-BNH </w:t>
      </w:r>
      <w:r w:rsidR="000B6985" w:rsidRPr="0086050B">
        <w:t xml:space="preserve">in </w:t>
      </w:r>
      <w:r w:rsidR="007673C1">
        <w:t xml:space="preserve">the </w:t>
      </w:r>
      <w:r w:rsidR="000B6985" w:rsidRPr="0086050B">
        <w:t>Pennsylvanian Morrow Shales m</w:t>
      </w:r>
      <w:r w:rsidR="00F7011D">
        <w:t>ight</w:t>
      </w:r>
      <w:r w:rsidR="000B6985" w:rsidRPr="0086050B">
        <w:t xml:space="preserve"> be explained by several mechanisms</w:t>
      </w:r>
      <w:r w:rsidR="000B6985" w:rsidRPr="00335CE0">
        <w:rPr>
          <w:color w:val="FF0000"/>
        </w:rPr>
        <w:t xml:space="preserve">. </w:t>
      </w:r>
      <w:r w:rsidR="00F7011D">
        <w:t>Since</w:t>
      </w:r>
      <w:r w:rsidR="000B6985">
        <w:t xml:space="preserve"> </w:t>
      </w:r>
      <w:r w:rsidR="00F7011D">
        <w:t xml:space="preserve">they </w:t>
      </w:r>
      <w:r w:rsidR="0086050B">
        <w:t xml:space="preserve">are not found in the pyrolysates of </w:t>
      </w:r>
      <w:r w:rsidR="006755B2">
        <w:t xml:space="preserve">the Australian </w:t>
      </w:r>
      <w:r w:rsidR="0086050B">
        <w:t>source rocks</w:t>
      </w:r>
      <w:r w:rsidR="002065B4">
        <w:t xml:space="preserve"> (Noble et al.</w:t>
      </w:r>
      <w:r w:rsidR="009A3378">
        <w:t>, 1985</w:t>
      </w:r>
      <w:r w:rsidR="006755B2">
        <w:t>)</w:t>
      </w:r>
      <w:r w:rsidR="0086050B">
        <w:t xml:space="preserve"> </w:t>
      </w:r>
      <w:r w:rsidR="003C53FA">
        <w:t>and are abundant in biodegraded oils</w:t>
      </w:r>
      <w:r w:rsidR="00F7011D">
        <w:t>,</w:t>
      </w:r>
      <w:r w:rsidR="000B6985">
        <w:t xml:space="preserve"> </w:t>
      </w:r>
      <w:r w:rsidR="00F7011D">
        <w:t xml:space="preserve">their presence in the Morrow rocks </w:t>
      </w:r>
      <w:r w:rsidR="002065B4" w:rsidRPr="004C667E">
        <w:t>might be</w:t>
      </w:r>
      <w:r w:rsidR="00F7011D" w:rsidRPr="004C667E">
        <w:t xml:space="preserve"> </w:t>
      </w:r>
      <w:r w:rsidR="002065B4" w:rsidRPr="004C667E">
        <w:t>related to</w:t>
      </w:r>
      <w:r w:rsidR="00F7011D" w:rsidRPr="004C667E">
        <w:t xml:space="preserve"> </w:t>
      </w:r>
      <w:r w:rsidR="002065B4" w:rsidRPr="004C667E">
        <w:t xml:space="preserve">sedimentary re-working. </w:t>
      </w:r>
      <w:r w:rsidR="004C667E">
        <w:t>For instance,</w:t>
      </w:r>
      <w:r w:rsidR="000B6985">
        <w:t xml:space="preserve"> </w:t>
      </w:r>
      <w:r w:rsidR="000B6985">
        <w:rPr>
          <w:rFonts w:ascii="Times New Roman" w:hAnsi="Times New Roman"/>
        </w:rPr>
        <w:t>heavily bio</w:t>
      </w:r>
      <w:r w:rsidR="000B6985" w:rsidRPr="006437D1">
        <w:rPr>
          <w:rFonts w:ascii="Times New Roman" w:hAnsi="Times New Roman"/>
        </w:rPr>
        <w:t>degraded hydrocarbon</w:t>
      </w:r>
      <w:r w:rsidR="000B6985">
        <w:rPr>
          <w:rFonts w:ascii="Times New Roman" w:hAnsi="Times New Roman"/>
        </w:rPr>
        <w:t>s</w:t>
      </w:r>
      <w:r w:rsidR="000B6985" w:rsidRPr="006437D1">
        <w:rPr>
          <w:rFonts w:ascii="Times New Roman" w:hAnsi="Times New Roman"/>
        </w:rPr>
        <w:t xml:space="preserve"> </w:t>
      </w:r>
      <w:r w:rsidR="000B6985">
        <w:rPr>
          <w:rFonts w:ascii="Times New Roman" w:hAnsi="Times New Roman"/>
        </w:rPr>
        <w:t xml:space="preserve">such as tar-sands or asphalt deposits from an ancient reservoir could </w:t>
      </w:r>
      <w:r w:rsidR="00335CE0">
        <w:rPr>
          <w:rFonts w:ascii="Times New Roman" w:hAnsi="Times New Roman"/>
        </w:rPr>
        <w:t xml:space="preserve">have been </w:t>
      </w:r>
      <w:r w:rsidR="000B6985">
        <w:rPr>
          <w:rFonts w:ascii="Times New Roman" w:hAnsi="Times New Roman"/>
        </w:rPr>
        <w:t>transport</w:t>
      </w:r>
      <w:r w:rsidR="00335CE0">
        <w:rPr>
          <w:rFonts w:ascii="Times New Roman" w:hAnsi="Times New Roman"/>
        </w:rPr>
        <w:t>ed</w:t>
      </w:r>
      <w:r w:rsidR="000B6985" w:rsidRPr="006437D1">
        <w:rPr>
          <w:rFonts w:ascii="Times New Roman" w:hAnsi="Times New Roman"/>
        </w:rPr>
        <w:t xml:space="preserve"> </w:t>
      </w:r>
      <w:r w:rsidR="004C667E">
        <w:rPr>
          <w:rFonts w:ascii="Times New Roman" w:hAnsi="Times New Roman"/>
        </w:rPr>
        <w:t xml:space="preserve">and entered </w:t>
      </w:r>
      <w:r w:rsidR="000B6985">
        <w:rPr>
          <w:rFonts w:ascii="Times New Roman" w:hAnsi="Times New Roman"/>
        </w:rPr>
        <w:t>into the</w:t>
      </w:r>
      <w:r w:rsidR="000B6985" w:rsidRPr="006437D1">
        <w:rPr>
          <w:rFonts w:ascii="Times New Roman" w:hAnsi="Times New Roman"/>
        </w:rPr>
        <w:t xml:space="preserve"> </w:t>
      </w:r>
      <w:r w:rsidR="000B6985">
        <w:rPr>
          <w:rFonts w:ascii="Times New Roman" w:hAnsi="Times New Roman"/>
        </w:rPr>
        <w:t xml:space="preserve">Morrow source rocks at the time of deposition </w:t>
      </w:r>
      <w:r w:rsidR="004C667E">
        <w:rPr>
          <w:rFonts w:ascii="Times New Roman" w:hAnsi="Times New Roman"/>
        </w:rPr>
        <w:t xml:space="preserve">(Noble et al., 1985). </w:t>
      </w:r>
      <w:r w:rsidR="00F50AA5">
        <w:rPr>
          <w:rFonts w:ascii="Times New Roman" w:hAnsi="Times New Roman"/>
        </w:rPr>
        <w:t>Alternatively</w:t>
      </w:r>
      <w:r w:rsidR="000B6985">
        <w:rPr>
          <w:rFonts w:ascii="Times New Roman" w:hAnsi="Times New Roman"/>
        </w:rPr>
        <w:t>, oil could have migrated from an ancient reservoir but</w:t>
      </w:r>
      <w:r w:rsidR="00F50AA5">
        <w:rPr>
          <w:rFonts w:ascii="Times New Roman" w:hAnsi="Times New Roman"/>
        </w:rPr>
        <w:t xml:space="preserve"> was</w:t>
      </w:r>
      <w:r w:rsidR="000B6985">
        <w:rPr>
          <w:rFonts w:ascii="Times New Roman" w:hAnsi="Times New Roman"/>
        </w:rPr>
        <w:t xml:space="preserve"> trapped in the cracks of t</w:t>
      </w:r>
      <w:r w:rsidR="00335CE0">
        <w:rPr>
          <w:rFonts w:ascii="Times New Roman" w:hAnsi="Times New Roman"/>
        </w:rPr>
        <w:t xml:space="preserve">he </w:t>
      </w:r>
      <w:r w:rsidR="00335CE0">
        <w:rPr>
          <w:rFonts w:ascii="Times New Roman" w:hAnsi="Times New Roman"/>
        </w:rPr>
        <w:lastRenderedPageBreak/>
        <w:t>Morrow source r</w:t>
      </w:r>
      <w:r w:rsidR="000B6985">
        <w:rPr>
          <w:rFonts w:ascii="Times New Roman" w:hAnsi="Times New Roman"/>
        </w:rPr>
        <w:t xml:space="preserve">ocks and biodegraded </w:t>
      </w:r>
      <w:r w:rsidR="000B6985" w:rsidRPr="00F50AA5">
        <w:rPr>
          <w:rFonts w:ascii="Times New Roman" w:hAnsi="Times New Roman"/>
          <w:i/>
        </w:rPr>
        <w:t>in-situ</w:t>
      </w:r>
      <w:r w:rsidR="000B6985">
        <w:rPr>
          <w:rFonts w:ascii="Times New Roman" w:hAnsi="Times New Roman"/>
        </w:rPr>
        <w:t xml:space="preserve"> (Noble et al., 1985). Finally, as </w:t>
      </w:r>
      <w:r w:rsidR="000B6985" w:rsidRPr="004C667E">
        <w:rPr>
          <w:rFonts w:ascii="Times New Roman" w:hAnsi="Times New Roman"/>
        </w:rPr>
        <w:t xml:space="preserve">Peters et al. (2005) suggested, their presence </w:t>
      </w:r>
      <w:r w:rsidR="002C6431" w:rsidRPr="004C667E">
        <w:rPr>
          <w:rFonts w:ascii="Times New Roman" w:hAnsi="Times New Roman"/>
        </w:rPr>
        <w:t>could</w:t>
      </w:r>
      <w:r w:rsidR="005B7D97">
        <w:rPr>
          <w:rFonts w:ascii="Times New Roman" w:hAnsi="Times New Roman"/>
        </w:rPr>
        <w:t xml:space="preserve"> be</w:t>
      </w:r>
      <w:r w:rsidR="002C6431" w:rsidRPr="004C667E">
        <w:rPr>
          <w:rFonts w:ascii="Times New Roman" w:hAnsi="Times New Roman"/>
        </w:rPr>
        <w:t xml:space="preserve"> also</w:t>
      </w:r>
      <w:r w:rsidR="000B6985" w:rsidRPr="004C667E">
        <w:rPr>
          <w:rFonts w:ascii="Times New Roman" w:hAnsi="Times New Roman"/>
        </w:rPr>
        <w:t xml:space="preserve"> related to a very uncommon bacterial reworking of the organic matter.</w:t>
      </w:r>
    </w:p>
    <w:p w:rsidR="004D4F5D" w:rsidRDefault="0091669A" w:rsidP="004D4F5D">
      <w:pPr>
        <w:keepNext/>
        <w:jc w:val="both"/>
      </w:pPr>
      <w:r w:rsidRPr="0091669A">
        <w:rPr>
          <w:noProof/>
          <w:lang w:val="tr-TR" w:eastAsia="tr-TR" w:bidi="ar-SA"/>
        </w:rPr>
        <w:drawing>
          <wp:inline distT="0" distB="0" distL="0" distR="0" wp14:anchorId="036D7A50" wp14:editId="24E774D6">
            <wp:extent cx="5394960" cy="5286375"/>
            <wp:effectExtent l="19050" t="19050" r="15240" b="28575"/>
            <wp:docPr id="205"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8"/>
                    <pic:cNvPicPr>
                      <a:picLocks noChangeAspect="1"/>
                    </pic:cNvPicPr>
                  </pic:nvPicPr>
                  <pic:blipFill rotWithShape="1">
                    <a:blip r:embed="rId65"/>
                    <a:srcRect b="2926"/>
                    <a:stretch/>
                  </pic:blipFill>
                  <pic:spPr bwMode="auto">
                    <a:xfrm>
                      <a:off x="0" y="0"/>
                      <a:ext cx="5394960" cy="52863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B727F" w:rsidRDefault="004D4F5D" w:rsidP="004D4F5D">
      <w:pPr>
        <w:pStyle w:val="ResimYazs"/>
        <w:jc w:val="both"/>
        <w:rPr>
          <w:b w:val="0"/>
        </w:rPr>
      </w:pPr>
      <w:bookmarkStart w:id="118" w:name="_Toc507509087"/>
      <w:r w:rsidRPr="0091669A">
        <w:t xml:space="preserve">Figure </w:t>
      </w:r>
      <w:fldSimple w:instr=" SEQ Figure \* ARABIC ">
        <w:r w:rsidR="003F6459">
          <w:rPr>
            <w:noProof/>
          </w:rPr>
          <w:t>39</w:t>
        </w:r>
      </w:fldSimple>
      <w:r w:rsidRPr="0091669A">
        <w:t xml:space="preserve">. </w:t>
      </w:r>
      <w:r w:rsidRPr="0091669A">
        <w:rPr>
          <w:b w:val="0"/>
        </w:rPr>
        <w:t>The cr</w:t>
      </w:r>
      <w:r w:rsidR="00B6685E" w:rsidRPr="0091669A">
        <w:rPr>
          <w:b w:val="0"/>
        </w:rPr>
        <w:t>oss plot of demethylated hopane concentrations</w:t>
      </w:r>
      <w:r w:rsidRPr="0091669A">
        <w:rPr>
          <w:b w:val="0"/>
        </w:rPr>
        <w:t xml:space="preserve"> </w:t>
      </w:r>
      <w:r w:rsidR="007B0878">
        <w:rPr>
          <w:b w:val="0"/>
        </w:rPr>
        <w:t>vs.</w:t>
      </w:r>
      <w:r w:rsidRPr="0091669A">
        <w:rPr>
          <w:b w:val="0"/>
        </w:rPr>
        <w:t xml:space="preserve"> depth in the Kephart-1 Well</w:t>
      </w:r>
      <w:bookmarkEnd w:id="118"/>
      <w:r w:rsidR="00B6685E">
        <w:rPr>
          <w:b w:val="0"/>
        </w:rPr>
        <w:t xml:space="preserve"> </w:t>
      </w:r>
    </w:p>
    <w:p w:rsidR="004D4F5D" w:rsidRPr="004D4F5D" w:rsidRDefault="004D4F5D" w:rsidP="004D4F5D">
      <w:pPr>
        <w:spacing w:line="276" w:lineRule="auto"/>
      </w:pPr>
    </w:p>
    <w:p w:rsidR="000B6985" w:rsidRDefault="000B6985" w:rsidP="000B6985">
      <w:pPr>
        <w:pStyle w:val="Balk3"/>
      </w:pPr>
      <w:bookmarkStart w:id="119" w:name="_Toc504658456"/>
      <w:bookmarkStart w:id="120" w:name="_Toc507506655"/>
      <w:r>
        <w:t>4.3.5 Steranes</w:t>
      </w:r>
      <w:bookmarkEnd w:id="119"/>
      <w:bookmarkEnd w:id="120"/>
    </w:p>
    <w:p w:rsidR="000B6985" w:rsidRDefault="00335CE0" w:rsidP="000B6985">
      <w:pPr>
        <w:ind w:firstLine="720"/>
        <w:jc w:val="both"/>
      </w:pPr>
      <w:r>
        <w:t>Steranes in the Morrow source r</w:t>
      </w:r>
      <w:r w:rsidR="000B6985">
        <w:t>ock samples were identified</w:t>
      </w:r>
      <w:r>
        <w:t xml:space="preserve"> in the</w:t>
      </w:r>
      <w:r w:rsidR="000B6985">
        <w:t xml:space="preserve"> m/z 217 ion </w:t>
      </w:r>
      <w:r w:rsidR="000B6985" w:rsidRPr="00C62C77">
        <w:t xml:space="preserve">chromatogram as </w:t>
      </w:r>
      <w:r>
        <w:t>shown</w:t>
      </w:r>
      <w:r w:rsidR="000B6985" w:rsidRPr="00C62C77">
        <w:t xml:space="preserve"> in Figure </w:t>
      </w:r>
      <w:r w:rsidR="00B83476">
        <w:t>40</w:t>
      </w:r>
      <w:r w:rsidR="000B6985" w:rsidRPr="00C62C77">
        <w:t xml:space="preserve"> </w:t>
      </w:r>
      <w:r w:rsidR="002C6431">
        <w:t>with</w:t>
      </w:r>
      <w:r w:rsidR="000B6985" w:rsidRPr="00C62C77">
        <w:t xml:space="preserve"> peak identifications given in Table </w:t>
      </w:r>
      <w:r w:rsidR="007601BC">
        <w:t>10</w:t>
      </w:r>
      <w:r w:rsidR="000B6985" w:rsidRPr="00C62C77">
        <w:t>.</w:t>
      </w:r>
    </w:p>
    <w:p w:rsidR="00432509" w:rsidRDefault="00432509" w:rsidP="00432509">
      <w:pPr>
        <w:ind w:firstLine="720"/>
        <w:jc w:val="both"/>
        <w:sectPr w:rsidR="00432509" w:rsidSect="00803C02">
          <w:footerReference w:type="default" r:id="rId66"/>
          <w:pgSz w:w="12240" w:h="15840" w:code="1"/>
          <w:pgMar w:top="1440" w:right="1440" w:bottom="1440" w:left="2304" w:header="720" w:footer="720" w:gutter="0"/>
          <w:cols w:space="720"/>
          <w:docGrid w:linePitch="360"/>
        </w:sectPr>
      </w:pPr>
    </w:p>
    <w:p w:rsidR="001474A3" w:rsidRDefault="001474A3" w:rsidP="001474A3">
      <w:pPr>
        <w:keepNext/>
        <w:jc w:val="right"/>
      </w:pPr>
      <w:r>
        <w:rPr>
          <w:noProof/>
          <w:lang w:val="tr-TR" w:eastAsia="tr-TR" w:bidi="ar-SA"/>
        </w:rPr>
        <w:lastRenderedPageBreak/>
        <mc:AlternateContent>
          <mc:Choice Requires="wps">
            <w:drawing>
              <wp:anchor distT="45720" distB="45720" distL="114300" distR="114300" simplePos="0" relativeHeight="251754496" behindDoc="0" locked="0" layoutInCell="1" allowOverlap="1">
                <wp:simplePos x="0" y="0"/>
                <wp:positionH relativeFrom="margin">
                  <wp:align>right</wp:align>
                </wp:positionH>
                <wp:positionV relativeFrom="paragraph">
                  <wp:posOffset>3958590</wp:posOffset>
                </wp:positionV>
                <wp:extent cx="8180070" cy="283210"/>
                <wp:effectExtent l="5080" t="0" r="0" b="0"/>
                <wp:wrapSquare wrapText="bothSides"/>
                <wp:docPr id="5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80070" cy="283210"/>
                        </a:xfrm>
                        <a:prstGeom prst="rect">
                          <a:avLst/>
                        </a:prstGeom>
                        <a:solidFill>
                          <a:srgbClr val="FFFFFF"/>
                        </a:solidFill>
                        <a:ln w="9525">
                          <a:noFill/>
                          <a:miter lim="800000"/>
                          <a:headEnd/>
                          <a:tailEnd/>
                        </a:ln>
                      </wps:spPr>
                      <wps:txbx>
                        <w:txbxContent>
                          <w:p w:rsidR="008875B3" w:rsidRPr="001474A3" w:rsidRDefault="008875B3" w:rsidP="001474A3">
                            <w:pPr>
                              <w:pStyle w:val="ResimYazs"/>
                              <w:rPr>
                                <w:b w:val="0"/>
                                <w:noProof/>
                                <w:lang w:val="tr-TR" w:eastAsia="tr-TR" w:bidi="ar-SA"/>
                              </w:rPr>
                            </w:pPr>
                            <w:bookmarkStart w:id="121" w:name="_Toc507509088"/>
                            <w:r>
                              <w:t xml:space="preserve">Figure </w:t>
                            </w:r>
                            <w:fldSimple w:instr=" SEQ Figure \* ARABIC ">
                              <w:r w:rsidR="003F6459">
                                <w:rPr>
                                  <w:noProof/>
                                </w:rPr>
                                <w:t>40</w:t>
                              </w:r>
                            </w:fldSimple>
                            <w:r>
                              <w:t xml:space="preserve">. </w:t>
                            </w:r>
                            <w:r w:rsidRPr="00717C2B">
                              <w:rPr>
                                <w:b w:val="0"/>
                              </w:rPr>
                              <w:t>Partial fragmentogram of the m/z 217 showing sterane distribution</w:t>
                            </w:r>
                            <w:bookmarkEnd w:id="121"/>
                          </w:p>
                          <w:p w:rsidR="008875B3" w:rsidRDefault="008875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92.9pt;margin-top:311.7pt;width:644.1pt;height:22.3pt;rotation:-90;z-index:251754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" stroked="f">
                <v:textbox>
                  <w:txbxContent>
                    <w:p w:rsidR="008875B3" w:rsidRPr="001474A3" w:rsidRDefault="008875B3" w:rsidP="001474A3">
                      <w:pPr>
                        <w:pStyle w:val="ResimYazs"/>
                        <w:rPr>
                          <w:b w:val="0"/>
                          <w:noProof/>
                          <w:lang w:val="tr-TR" w:eastAsia="tr-TR" w:bidi="ar-SA"/>
                        </w:rPr>
                      </w:pPr>
                      <w:bookmarkStart w:id="122" w:name="_Toc507509088"/>
                      <w:r>
                        <w:t xml:space="preserve">Figure </w:t>
                      </w:r>
                      <w:fldSimple w:instr=" SEQ Figure \* ARABIC ">
                        <w:r w:rsidR="003F6459">
                          <w:rPr>
                            <w:noProof/>
                          </w:rPr>
                          <w:t>40</w:t>
                        </w:r>
                      </w:fldSimple>
                      <w:r>
                        <w:t xml:space="preserve">. </w:t>
                      </w:r>
                      <w:r w:rsidRPr="00717C2B">
                        <w:rPr>
                          <w:b w:val="0"/>
                        </w:rPr>
                        <w:t>Partial fragmentogram of the m/z 217 showing sterane distribution</w:t>
                      </w:r>
                      <w:bookmarkEnd w:id="122"/>
                    </w:p>
                    <w:p w:rsidR="008875B3" w:rsidRDefault="008875B3"/>
                  </w:txbxContent>
                </v:textbox>
                <w10:wrap type="square" anchorx="margin"/>
              </v:shape>
            </w:pict>
          </mc:Fallback>
        </mc:AlternateContent>
      </w:r>
      <w:r>
        <w:rPr>
          <w:noProof/>
          <w:lang w:val="tr-TR" w:eastAsia="tr-TR" w:bidi="ar-SA"/>
        </w:rPr>
        <w:drawing>
          <wp:inline distT="0" distB="0" distL="0" distR="0" wp14:anchorId="7C27BDE5" wp14:editId="1BACE737">
            <wp:extent cx="8048523" cy="4751487"/>
            <wp:effectExtent l="0" t="8890" r="1270" b="1270"/>
            <wp:docPr id="73" name="Resi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67">
                      <a:extLst>
                        <a:ext uri="{28A0092B-C50C-407E-A947-70E740481C1C}">
                          <a14:useLocalDpi xmlns:a14="http://schemas.microsoft.com/office/drawing/2010/main" val="0"/>
                        </a:ext>
                      </a:extLst>
                    </a:blip>
                    <a:srcRect r="4200"/>
                    <a:stretch/>
                  </pic:blipFill>
                  <pic:spPr bwMode="auto">
                    <a:xfrm rot="16200000">
                      <a:off x="0" y="0"/>
                      <a:ext cx="8059153" cy="4757763"/>
                    </a:xfrm>
                    <a:prstGeom prst="rect">
                      <a:avLst/>
                    </a:prstGeom>
                    <a:noFill/>
                    <a:ln>
                      <a:noFill/>
                    </a:ln>
                    <a:extLst>
                      <a:ext uri="{53640926-AAD7-44D8-BBD7-CCE9431645EC}">
                        <a14:shadowObscured xmlns:a14="http://schemas.microsoft.com/office/drawing/2010/main"/>
                      </a:ext>
                    </a:extLst>
                  </pic:spPr>
                </pic:pic>
              </a:graphicData>
            </a:graphic>
          </wp:inline>
        </w:drawing>
      </w:r>
    </w:p>
    <w:p w:rsidR="009A45CA" w:rsidRPr="009A45CA" w:rsidRDefault="009A45CA" w:rsidP="009A45CA">
      <w:pPr>
        <w:pStyle w:val="ResimYazs"/>
        <w:keepNext/>
        <w:rPr>
          <w:b w:val="0"/>
        </w:rPr>
      </w:pPr>
      <w:bookmarkStart w:id="123" w:name="_Toc507508800"/>
      <w:r w:rsidRPr="0091669A">
        <w:lastRenderedPageBreak/>
        <w:t xml:space="preserve">Table </w:t>
      </w:r>
      <w:fldSimple w:instr=" SEQ Table \* ARABIC ">
        <w:r w:rsidR="003F6459">
          <w:rPr>
            <w:noProof/>
          </w:rPr>
          <w:t>10</w:t>
        </w:r>
      </w:fldSimple>
      <w:r w:rsidRPr="0091669A">
        <w:t xml:space="preserve">. </w:t>
      </w:r>
      <w:r w:rsidRPr="0091669A">
        <w:rPr>
          <w:b w:val="0"/>
        </w:rPr>
        <w:t>Sterane</w:t>
      </w:r>
      <w:r w:rsidRPr="0091669A">
        <w:t xml:space="preserve"> </w:t>
      </w:r>
      <w:r w:rsidRPr="0091669A">
        <w:rPr>
          <w:b w:val="0"/>
        </w:rPr>
        <w:t>compound identification</w:t>
      </w:r>
      <w:r w:rsidR="00D557B3" w:rsidRPr="0091669A">
        <w:rPr>
          <w:b w:val="0"/>
        </w:rPr>
        <w:t xml:space="preserve"> in the m/z 217 chromatogram</w:t>
      </w:r>
      <w:bookmarkEnd w:id="123"/>
    </w:p>
    <w:p w:rsidR="000F04D2" w:rsidRDefault="0091669A" w:rsidP="000F04D2">
      <w:r w:rsidRPr="0091669A">
        <w:rPr>
          <w:noProof/>
          <w:lang w:val="tr-TR" w:eastAsia="tr-TR" w:bidi="ar-SA"/>
        </w:rPr>
        <w:drawing>
          <wp:inline distT="0" distB="0" distL="0" distR="0" wp14:anchorId="6A8D3177" wp14:editId="7B9BA927">
            <wp:extent cx="5406887" cy="4239552"/>
            <wp:effectExtent l="0" t="0" r="3810" b="8890"/>
            <wp:docPr id="20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pic:cNvPicPr>
                      <a:picLocks noChangeAspect="1"/>
                    </pic:cNvPicPr>
                  </pic:nvPicPr>
                  <pic:blipFill rotWithShape="1">
                    <a:blip r:embed="rId68"/>
                    <a:srcRect r="5078"/>
                    <a:stretch/>
                  </pic:blipFill>
                  <pic:spPr bwMode="auto">
                    <a:xfrm>
                      <a:off x="0" y="0"/>
                      <a:ext cx="5423369" cy="4252475"/>
                    </a:xfrm>
                    <a:prstGeom prst="rect">
                      <a:avLst/>
                    </a:prstGeom>
                    <a:ln>
                      <a:noFill/>
                    </a:ln>
                    <a:extLst>
                      <a:ext uri="{53640926-AAD7-44D8-BBD7-CCE9431645EC}">
                        <a14:shadowObscured xmlns:a14="http://schemas.microsoft.com/office/drawing/2010/main"/>
                      </a:ext>
                    </a:extLst>
                  </pic:spPr>
                </pic:pic>
              </a:graphicData>
            </a:graphic>
          </wp:inline>
        </w:drawing>
      </w:r>
    </w:p>
    <w:p w:rsidR="00B83476" w:rsidRPr="000B6985" w:rsidRDefault="00B83476" w:rsidP="00B83476">
      <w:pPr>
        <w:pStyle w:val="Balk4"/>
        <w:rPr>
          <w:i/>
          <w:sz w:val="24"/>
        </w:rPr>
      </w:pPr>
      <w:bookmarkStart w:id="124" w:name="_Toc507506656"/>
      <w:r>
        <w:rPr>
          <w:i/>
          <w:sz w:val="24"/>
        </w:rPr>
        <w:t>4</w:t>
      </w:r>
      <w:r w:rsidRPr="000B6985">
        <w:rPr>
          <w:i/>
          <w:sz w:val="24"/>
        </w:rPr>
        <w:t xml:space="preserve">.3.5.1 Steranes as </w:t>
      </w:r>
      <w:r w:rsidR="002C6431">
        <w:rPr>
          <w:i/>
          <w:sz w:val="24"/>
        </w:rPr>
        <w:t xml:space="preserve">Indicators of </w:t>
      </w:r>
      <w:r w:rsidRPr="000B6985">
        <w:rPr>
          <w:i/>
          <w:sz w:val="24"/>
        </w:rPr>
        <w:t>Depositional Environment and Organic Facies</w:t>
      </w:r>
      <w:bookmarkEnd w:id="124"/>
      <w:r w:rsidRPr="000B6985">
        <w:rPr>
          <w:i/>
          <w:sz w:val="24"/>
        </w:rPr>
        <w:t xml:space="preserve"> </w:t>
      </w:r>
    </w:p>
    <w:p w:rsidR="00B83476" w:rsidRPr="00692696" w:rsidRDefault="00B83476" w:rsidP="00B83476">
      <w:pPr>
        <w:ind w:firstLine="720"/>
        <w:jc w:val="both"/>
        <w:rPr>
          <w:rFonts w:ascii="Times New Roman" w:hAnsi="Times New Roman"/>
        </w:rPr>
      </w:pPr>
      <w:r w:rsidRPr="00ED3CEB">
        <w:rPr>
          <w:rFonts w:ascii="Times New Roman" w:hAnsi="Times New Roman"/>
        </w:rPr>
        <w:t xml:space="preserve">Steranes are derived from sterols which are produced by higher plants, animals, algae and </w:t>
      </w:r>
      <w:r>
        <w:rPr>
          <w:rFonts w:ascii="Times New Roman" w:hAnsi="Times New Roman"/>
        </w:rPr>
        <w:t>occasionally</w:t>
      </w:r>
      <w:r w:rsidRPr="00ED3CEB">
        <w:rPr>
          <w:rFonts w:ascii="Times New Roman" w:hAnsi="Times New Roman"/>
        </w:rPr>
        <w:t xml:space="preserve"> by prokaryotic organisms (Waples and Machihara, 1991). There </w:t>
      </w:r>
      <w:r>
        <w:rPr>
          <w:rFonts w:ascii="Times New Roman" w:hAnsi="Times New Roman"/>
        </w:rPr>
        <w:t>are four main families</w:t>
      </w:r>
      <w:r w:rsidRPr="00ED3CEB">
        <w:rPr>
          <w:rFonts w:ascii="Times New Roman" w:hAnsi="Times New Roman"/>
        </w:rPr>
        <w:t xml:space="preserve"> of sterols </w:t>
      </w:r>
      <w:r>
        <w:rPr>
          <w:rFonts w:ascii="Times New Roman" w:hAnsi="Times New Roman"/>
        </w:rPr>
        <w:t>with 27, 28, 29 or 30 carbon atoms</w:t>
      </w:r>
      <w:r w:rsidRPr="00ED3CEB">
        <w:rPr>
          <w:rFonts w:ascii="Times New Roman" w:hAnsi="Times New Roman"/>
          <w:vertAlign w:val="subscript"/>
        </w:rPr>
        <w:t xml:space="preserve"> </w:t>
      </w:r>
      <w:r w:rsidRPr="00ED3CEB">
        <w:rPr>
          <w:rFonts w:ascii="Times New Roman" w:hAnsi="Times New Roman"/>
        </w:rPr>
        <w:t>that are converted into regular steranes by diagenetic alteration. Huang and Meinschein (1979) originally proposed that each ecological system has its own specific sterol contributions from biological sources therefore C</w:t>
      </w:r>
      <w:r w:rsidRPr="00ED3CEB">
        <w:rPr>
          <w:rFonts w:ascii="Times New Roman" w:hAnsi="Times New Roman"/>
          <w:vertAlign w:val="subscript"/>
        </w:rPr>
        <w:t>27</w:t>
      </w:r>
      <w:r w:rsidRPr="00ED3CEB">
        <w:rPr>
          <w:rFonts w:ascii="Times New Roman" w:hAnsi="Times New Roman"/>
        </w:rPr>
        <w:t>, C</w:t>
      </w:r>
      <w:r w:rsidRPr="00ED3CEB">
        <w:rPr>
          <w:rFonts w:ascii="Times New Roman" w:hAnsi="Times New Roman"/>
          <w:vertAlign w:val="subscript"/>
        </w:rPr>
        <w:t>28</w:t>
      </w:r>
      <w:r w:rsidRPr="00ED3CEB">
        <w:rPr>
          <w:rFonts w:ascii="Times New Roman" w:hAnsi="Times New Roman"/>
        </w:rPr>
        <w:t xml:space="preserve"> and C</w:t>
      </w:r>
      <w:r w:rsidRPr="00ED3CEB">
        <w:rPr>
          <w:rFonts w:ascii="Times New Roman" w:hAnsi="Times New Roman"/>
          <w:vertAlign w:val="subscript"/>
        </w:rPr>
        <w:t xml:space="preserve">29 </w:t>
      </w:r>
      <w:r w:rsidRPr="00ED3CEB">
        <w:rPr>
          <w:rFonts w:ascii="Times New Roman" w:hAnsi="Times New Roman"/>
        </w:rPr>
        <w:t>sterol homologs derived from different organisms can be used</w:t>
      </w:r>
      <w:r w:rsidRPr="000B6985">
        <w:rPr>
          <w:rFonts w:ascii="Times New Roman" w:hAnsi="Times New Roman"/>
        </w:rPr>
        <w:t xml:space="preserve"> </w:t>
      </w:r>
      <w:r w:rsidRPr="00ED3CEB">
        <w:rPr>
          <w:rFonts w:ascii="Times New Roman" w:hAnsi="Times New Roman"/>
        </w:rPr>
        <w:t>to differentiate depositional environments</w:t>
      </w:r>
      <w:r>
        <w:rPr>
          <w:rFonts w:ascii="Times New Roman" w:hAnsi="Times New Roman"/>
        </w:rPr>
        <w:t xml:space="preserve"> by use of a ternary diagram</w:t>
      </w:r>
      <w:r w:rsidRPr="00ED3CEB">
        <w:rPr>
          <w:rFonts w:ascii="Times New Roman" w:hAnsi="Times New Roman"/>
        </w:rPr>
        <w:t>. The authors also suggested that the same a</w:t>
      </w:r>
      <w:r>
        <w:rPr>
          <w:rFonts w:ascii="Times New Roman" w:hAnsi="Times New Roman"/>
        </w:rPr>
        <w:t>pproach</w:t>
      </w:r>
      <w:r w:rsidRPr="00ED3CEB">
        <w:rPr>
          <w:rFonts w:ascii="Times New Roman" w:hAnsi="Times New Roman"/>
        </w:rPr>
        <w:t xml:space="preserve"> with steranes can also provide valuable</w:t>
      </w:r>
      <w:r w:rsidRPr="000B6985">
        <w:rPr>
          <w:rFonts w:ascii="Times New Roman" w:hAnsi="Times New Roman"/>
        </w:rPr>
        <w:t xml:space="preserve"> </w:t>
      </w:r>
      <w:r>
        <w:rPr>
          <w:rFonts w:ascii="Times New Roman" w:hAnsi="Times New Roman"/>
        </w:rPr>
        <w:t>paleoenvironmental information.</w:t>
      </w:r>
    </w:p>
    <w:p w:rsidR="00B83476" w:rsidRDefault="00B83476" w:rsidP="00B83476">
      <w:pPr>
        <w:ind w:firstLine="720"/>
        <w:jc w:val="both"/>
      </w:pPr>
      <w:r w:rsidRPr="00ED3CEB">
        <w:rPr>
          <w:rFonts w:ascii="Times New Roman" w:hAnsi="Times New Roman"/>
        </w:rPr>
        <w:lastRenderedPageBreak/>
        <w:t>For instance, C</w:t>
      </w:r>
      <w:r w:rsidRPr="00ED3CEB">
        <w:rPr>
          <w:rFonts w:ascii="Times New Roman" w:hAnsi="Times New Roman"/>
          <w:vertAlign w:val="subscript"/>
        </w:rPr>
        <w:t xml:space="preserve">27 </w:t>
      </w:r>
      <w:r w:rsidRPr="00ED3CEB">
        <w:rPr>
          <w:rFonts w:ascii="Times New Roman" w:hAnsi="Times New Roman"/>
        </w:rPr>
        <w:t>steranes (or sterols</w:t>
      </w:r>
      <w:r>
        <w:rPr>
          <w:rFonts w:ascii="Times New Roman" w:hAnsi="Times New Roman"/>
        </w:rPr>
        <w:t xml:space="preserve">; </w:t>
      </w:r>
      <w:r w:rsidRPr="00ED00AA">
        <w:rPr>
          <w:rFonts w:ascii="Times New Roman" w:hAnsi="Times New Roman"/>
          <w:b/>
        </w:rPr>
        <w:t>XVIII</w:t>
      </w:r>
      <w:r w:rsidRPr="00ED3CEB">
        <w:rPr>
          <w:rFonts w:ascii="Times New Roman" w:hAnsi="Times New Roman"/>
        </w:rPr>
        <w:t xml:space="preserve">) are associated </w:t>
      </w:r>
      <w:r w:rsidR="00CA3516">
        <w:rPr>
          <w:rFonts w:ascii="Times New Roman" w:hAnsi="Times New Roman"/>
        </w:rPr>
        <w:t xml:space="preserve">with </w:t>
      </w:r>
      <w:r w:rsidRPr="00ED3CEB">
        <w:rPr>
          <w:rFonts w:ascii="Times New Roman" w:hAnsi="Times New Roman"/>
        </w:rPr>
        <w:t>marine phytoplankton</w:t>
      </w:r>
      <w:r>
        <w:rPr>
          <w:rFonts w:ascii="Times New Roman" w:hAnsi="Times New Roman"/>
        </w:rPr>
        <w:t xml:space="preserve"> a</w:t>
      </w:r>
      <w:r w:rsidR="00CA3516">
        <w:rPr>
          <w:rFonts w:ascii="Times New Roman" w:hAnsi="Times New Roman"/>
        </w:rPr>
        <w:t xml:space="preserve">nd are indicators of red algae. </w:t>
      </w:r>
      <w:r w:rsidRPr="00ED3CEB">
        <w:rPr>
          <w:rFonts w:ascii="Times New Roman" w:hAnsi="Times New Roman"/>
        </w:rPr>
        <w:t>C</w:t>
      </w:r>
      <w:r w:rsidRPr="00ED3CEB">
        <w:rPr>
          <w:rFonts w:ascii="Times New Roman" w:hAnsi="Times New Roman"/>
          <w:vertAlign w:val="subscript"/>
        </w:rPr>
        <w:t>28</w:t>
      </w:r>
      <w:r>
        <w:rPr>
          <w:rFonts w:ascii="Times New Roman" w:hAnsi="Times New Roman"/>
          <w:vertAlign w:val="subscript"/>
        </w:rPr>
        <w:t xml:space="preserve"> </w:t>
      </w:r>
      <w:r>
        <w:rPr>
          <w:rFonts w:ascii="Times New Roman" w:hAnsi="Times New Roman"/>
        </w:rPr>
        <w:t>steranes</w:t>
      </w:r>
      <w:r w:rsidRPr="00ED3CEB">
        <w:rPr>
          <w:rFonts w:ascii="Times New Roman" w:hAnsi="Times New Roman"/>
          <w:vertAlign w:val="subscript"/>
        </w:rPr>
        <w:t xml:space="preserve"> </w:t>
      </w:r>
      <w:r w:rsidRPr="00ED3CEB">
        <w:rPr>
          <w:rFonts w:ascii="Times New Roman" w:hAnsi="Times New Roman"/>
        </w:rPr>
        <w:t>(or sterols</w:t>
      </w:r>
      <w:r>
        <w:rPr>
          <w:rFonts w:ascii="Times New Roman" w:hAnsi="Times New Roman"/>
        </w:rPr>
        <w:t xml:space="preserve">; </w:t>
      </w:r>
      <w:r w:rsidRPr="00ED00AA">
        <w:rPr>
          <w:rFonts w:ascii="Times New Roman" w:hAnsi="Times New Roman"/>
          <w:b/>
        </w:rPr>
        <w:t>XIX</w:t>
      </w:r>
      <w:r w:rsidRPr="00ED3CEB">
        <w:rPr>
          <w:rFonts w:ascii="Times New Roman" w:hAnsi="Times New Roman"/>
        </w:rPr>
        <w:t>) are</w:t>
      </w:r>
      <w:r>
        <w:rPr>
          <w:rFonts w:ascii="Times New Roman" w:hAnsi="Times New Roman"/>
        </w:rPr>
        <w:t xml:space="preserve"> relatively more dominant in</w:t>
      </w:r>
      <w:r w:rsidRPr="00ED3CEB">
        <w:rPr>
          <w:rFonts w:ascii="Times New Roman" w:hAnsi="Times New Roman"/>
        </w:rPr>
        <w:t xml:space="preserve"> lacustrine </w:t>
      </w:r>
      <w:r>
        <w:rPr>
          <w:rFonts w:ascii="Times New Roman" w:hAnsi="Times New Roman"/>
        </w:rPr>
        <w:t xml:space="preserve">green </w:t>
      </w:r>
      <w:r w:rsidRPr="00ED3CEB">
        <w:rPr>
          <w:rFonts w:ascii="Times New Roman" w:hAnsi="Times New Roman"/>
        </w:rPr>
        <w:t>algae, while C</w:t>
      </w:r>
      <w:r w:rsidRPr="00ED3CEB">
        <w:rPr>
          <w:rFonts w:ascii="Times New Roman" w:hAnsi="Times New Roman"/>
          <w:vertAlign w:val="subscript"/>
        </w:rPr>
        <w:t xml:space="preserve">29 </w:t>
      </w:r>
      <w:r w:rsidRPr="00ED3CEB">
        <w:rPr>
          <w:rFonts w:ascii="Times New Roman" w:hAnsi="Times New Roman"/>
        </w:rPr>
        <w:t>steranes (or sterols</w:t>
      </w:r>
      <w:r>
        <w:rPr>
          <w:rFonts w:ascii="Times New Roman" w:hAnsi="Times New Roman"/>
        </w:rPr>
        <w:t xml:space="preserve">; </w:t>
      </w:r>
      <w:r w:rsidRPr="00ED00AA">
        <w:rPr>
          <w:rFonts w:ascii="Times New Roman" w:hAnsi="Times New Roman"/>
          <w:b/>
        </w:rPr>
        <w:t>XX</w:t>
      </w:r>
      <w:r w:rsidRPr="00ED3CEB">
        <w:rPr>
          <w:rFonts w:ascii="Times New Roman" w:hAnsi="Times New Roman"/>
        </w:rPr>
        <w:t>)</w:t>
      </w:r>
      <w:r>
        <w:rPr>
          <w:rFonts w:ascii="Times New Roman" w:hAnsi="Times New Roman"/>
        </w:rPr>
        <w:t xml:space="preserve"> might</w:t>
      </w:r>
      <w:r w:rsidRPr="00ED3CEB">
        <w:rPr>
          <w:rFonts w:ascii="Times New Roman" w:hAnsi="Times New Roman"/>
        </w:rPr>
        <w:t xml:space="preserve"> indicate</w:t>
      </w:r>
      <w:r>
        <w:rPr>
          <w:rFonts w:ascii="Times New Roman" w:hAnsi="Times New Roman"/>
        </w:rPr>
        <w:t xml:space="preserve"> terrestrial </w:t>
      </w:r>
      <w:r w:rsidRPr="00692696">
        <w:rPr>
          <w:rFonts w:ascii="Times New Roman" w:hAnsi="Times New Roman"/>
        </w:rPr>
        <w:t xml:space="preserve">higher plants and brown and green algae </w:t>
      </w:r>
      <w:r>
        <w:rPr>
          <w:rFonts w:ascii="Times New Roman" w:hAnsi="Times New Roman"/>
        </w:rPr>
        <w:t>(Huang and Meinschein,</w:t>
      </w:r>
      <w:r w:rsidRPr="00ED3CEB">
        <w:rPr>
          <w:rFonts w:ascii="Times New Roman" w:hAnsi="Times New Roman"/>
        </w:rPr>
        <w:t xml:space="preserve"> 1979; Moldowan et al.</w:t>
      </w:r>
      <w:r>
        <w:rPr>
          <w:rFonts w:ascii="Times New Roman" w:hAnsi="Times New Roman"/>
        </w:rPr>
        <w:t>,</w:t>
      </w:r>
      <w:r w:rsidRPr="00ED3CEB">
        <w:rPr>
          <w:rFonts w:ascii="Times New Roman" w:hAnsi="Times New Roman"/>
        </w:rPr>
        <w:t xml:space="preserve"> 1985</w:t>
      </w:r>
      <w:r>
        <w:rPr>
          <w:rFonts w:ascii="Times New Roman" w:hAnsi="Times New Roman"/>
        </w:rPr>
        <w:t>;</w:t>
      </w:r>
      <w:r w:rsidRPr="00692696">
        <w:rPr>
          <w:rFonts w:ascii="Times New Roman" w:hAnsi="Times New Roman"/>
        </w:rPr>
        <w:t xml:space="preserve"> </w:t>
      </w:r>
      <w:r>
        <w:rPr>
          <w:rFonts w:ascii="Times New Roman" w:hAnsi="Times New Roman"/>
        </w:rPr>
        <w:t>Volk</w:t>
      </w:r>
      <w:r w:rsidR="00DD475E">
        <w:rPr>
          <w:rFonts w:ascii="Times New Roman" w:hAnsi="Times New Roman"/>
        </w:rPr>
        <w:t>m</w:t>
      </w:r>
      <w:r>
        <w:rPr>
          <w:rFonts w:ascii="Times New Roman" w:hAnsi="Times New Roman"/>
        </w:rPr>
        <w:t xml:space="preserve">an 1986; Volkman, 2003; </w:t>
      </w:r>
      <w:r w:rsidRPr="00717C2B">
        <w:rPr>
          <w:rFonts w:ascii="Times New Roman" w:hAnsi="Times New Roman"/>
        </w:rPr>
        <w:t>Schwark and Empt, 2006</w:t>
      </w:r>
      <w:r w:rsidRPr="00ED3CEB">
        <w:rPr>
          <w:rFonts w:ascii="Times New Roman" w:hAnsi="Times New Roman"/>
        </w:rPr>
        <w:t xml:space="preserve">). However, using the </w:t>
      </w:r>
      <w:r w:rsidR="002C6431">
        <w:rPr>
          <w:rFonts w:ascii="Times New Roman" w:hAnsi="Times New Roman"/>
        </w:rPr>
        <w:t xml:space="preserve">abundance of </w:t>
      </w:r>
      <w:r w:rsidR="002C6431" w:rsidRPr="00ED3CEB">
        <w:rPr>
          <w:rFonts w:ascii="Times New Roman" w:hAnsi="Times New Roman"/>
        </w:rPr>
        <w:t>regular sterane</w:t>
      </w:r>
      <w:r w:rsidR="00F50AA5">
        <w:rPr>
          <w:rFonts w:ascii="Times New Roman" w:hAnsi="Times New Roman"/>
        </w:rPr>
        <w:t>s</w:t>
      </w:r>
      <w:r w:rsidRPr="00ED3CEB">
        <w:rPr>
          <w:rFonts w:ascii="Times New Roman" w:hAnsi="Times New Roman"/>
        </w:rPr>
        <w:t xml:space="preserve"> on a ternary diagram to differentiat</w:t>
      </w:r>
      <w:r>
        <w:rPr>
          <w:rFonts w:ascii="Times New Roman" w:hAnsi="Times New Roman"/>
        </w:rPr>
        <w:t>e depositional environments has</w:t>
      </w:r>
      <w:r w:rsidRPr="00ED3CEB">
        <w:rPr>
          <w:rFonts w:ascii="Times New Roman" w:hAnsi="Times New Roman"/>
        </w:rPr>
        <w:t xml:space="preserve"> met</w:t>
      </w:r>
      <w:r w:rsidR="00F50AA5">
        <w:rPr>
          <w:rFonts w:ascii="Times New Roman" w:hAnsi="Times New Roman"/>
        </w:rPr>
        <w:t xml:space="preserve"> with</w:t>
      </w:r>
      <w:r w:rsidRPr="00ED3CEB">
        <w:rPr>
          <w:rFonts w:ascii="Times New Roman" w:hAnsi="Times New Roman"/>
        </w:rPr>
        <w:t xml:space="preserve"> only limited success since steranes lose most of their specificity during their conver</w:t>
      </w:r>
      <w:r w:rsidR="00CC7EEC">
        <w:rPr>
          <w:rFonts w:ascii="Times New Roman" w:hAnsi="Times New Roman"/>
        </w:rPr>
        <w:t>sion from sterols (Volkman 1986</w:t>
      </w:r>
      <w:r w:rsidRPr="00ED3CEB">
        <w:rPr>
          <w:rFonts w:ascii="Times New Roman" w:hAnsi="Times New Roman"/>
        </w:rPr>
        <w:t>). Nevertheless, Peters et al. (2005) suggested that the ternary diagram of the C</w:t>
      </w:r>
      <w:r w:rsidRPr="00ED3CEB">
        <w:rPr>
          <w:rFonts w:ascii="Times New Roman" w:hAnsi="Times New Roman"/>
          <w:vertAlign w:val="subscript"/>
        </w:rPr>
        <w:t>27</w:t>
      </w:r>
      <w:r w:rsidRPr="00ED3CEB">
        <w:rPr>
          <w:rFonts w:ascii="Times New Roman" w:hAnsi="Times New Roman"/>
        </w:rPr>
        <w:t>, C</w:t>
      </w:r>
      <w:r w:rsidRPr="00ED3CEB">
        <w:rPr>
          <w:rFonts w:ascii="Times New Roman" w:hAnsi="Times New Roman"/>
          <w:vertAlign w:val="subscript"/>
        </w:rPr>
        <w:t>28</w:t>
      </w:r>
      <w:r w:rsidRPr="00ED3CEB">
        <w:rPr>
          <w:rFonts w:ascii="Times New Roman" w:hAnsi="Times New Roman"/>
        </w:rPr>
        <w:t xml:space="preserve"> and C</w:t>
      </w:r>
      <w:r w:rsidRPr="00ED3CEB">
        <w:rPr>
          <w:rFonts w:ascii="Times New Roman" w:hAnsi="Times New Roman"/>
          <w:vertAlign w:val="subscript"/>
        </w:rPr>
        <w:t xml:space="preserve">29 </w:t>
      </w:r>
      <w:r w:rsidRPr="00ED3CEB">
        <w:rPr>
          <w:rFonts w:ascii="Times New Roman" w:hAnsi="Times New Roman"/>
        </w:rPr>
        <w:t>regular steranes is useful to differentiate not only different groups of oils from different source rocks but also different organic facies of the same source rock.</w:t>
      </w:r>
      <w:r>
        <w:rPr>
          <w:rFonts w:ascii="Times New Roman" w:hAnsi="Times New Roman"/>
        </w:rPr>
        <w:t xml:space="preserve"> </w:t>
      </w:r>
      <w:r>
        <w:t xml:space="preserve">The ternary diagram of the regular steranes in </w:t>
      </w:r>
      <w:r w:rsidR="007673C1">
        <w:t xml:space="preserve">the </w:t>
      </w:r>
      <w:r>
        <w:t>Morrow Shales is presented in Figure 41 and the corresponding values are shown in Table 11</w:t>
      </w:r>
      <w:r w:rsidRPr="00C62C77">
        <w:t>.</w:t>
      </w:r>
      <w:r>
        <w:t xml:space="preserve"> It illustrates that the</w:t>
      </w:r>
      <w:r w:rsidRPr="00B83476">
        <w:t xml:space="preserve"> </w:t>
      </w:r>
      <w:r>
        <w:t>Morrow samples plot within a dispersed area but</w:t>
      </w:r>
      <w:r w:rsidRPr="00432509">
        <w:t xml:space="preserve"> </w:t>
      </w:r>
      <w:r>
        <w:t>tend to generally fall between the estuarine to marine environments</w:t>
      </w:r>
      <w:r w:rsidRPr="00432509">
        <w:t xml:space="preserve"> </w:t>
      </w:r>
      <w:r>
        <w:t>which supports the geological interpretation proposed for the Morrow</w:t>
      </w:r>
    </w:p>
    <w:p w:rsidR="00B83476" w:rsidRDefault="00D557B3" w:rsidP="00C62C77">
      <w:pPr>
        <w:ind w:firstLine="720"/>
        <w:jc w:val="both"/>
      </w:pPr>
      <w:r>
        <w:t>In general, the Morrow s</w:t>
      </w:r>
      <w:r w:rsidR="00C62C77">
        <w:t xml:space="preserve">ource rock samples </w:t>
      </w:r>
      <w:r>
        <w:t xml:space="preserve">from the </w:t>
      </w:r>
      <w:r w:rsidR="00C62C77">
        <w:t xml:space="preserve">Wang (1993) study and Laverne-State-I core samples are characterized by relatively higher concentrations of </w:t>
      </w:r>
      <w:r>
        <w:t xml:space="preserve">the </w:t>
      </w:r>
      <w:r w:rsidR="00C62C77">
        <w:t>C</w:t>
      </w:r>
      <w:r w:rsidR="00C62C77">
        <w:rPr>
          <w:vertAlign w:val="subscript"/>
        </w:rPr>
        <w:t xml:space="preserve">27 </w:t>
      </w:r>
      <w:r w:rsidR="00C62C77">
        <w:t xml:space="preserve">regular steranes compared to </w:t>
      </w:r>
      <w:r>
        <w:t xml:space="preserve">the </w:t>
      </w:r>
      <w:r w:rsidR="00C62C77">
        <w:t>C</w:t>
      </w:r>
      <w:r w:rsidR="00C62C77">
        <w:rPr>
          <w:vertAlign w:val="subscript"/>
        </w:rPr>
        <w:t xml:space="preserve">28 </w:t>
      </w:r>
      <w:r w:rsidR="00C62C77">
        <w:t>and C</w:t>
      </w:r>
      <w:r w:rsidR="00C62C77">
        <w:rPr>
          <w:vertAlign w:val="subscript"/>
        </w:rPr>
        <w:t xml:space="preserve">29 </w:t>
      </w:r>
      <w:r w:rsidR="00C62C77">
        <w:t xml:space="preserve">steranes indicating the dominance of </w:t>
      </w:r>
      <w:r>
        <w:t xml:space="preserve">the </w:t>
      </w:r>
      <w:r w:rsidR="00C62C77">
        <w:t xml:space="preserve">marine organic matter contribution. </w:t>
      </w:r>
      <w:r w:rsidR="00C62C77" w:rsidRPr="006B10ED">
        <w:t xml:space="preserve">However, MOR-11, MOR-39, MOR-41 and MOR-75 </w:t>
      </w:r>
      <w:r w:rsidR="002C6431" w:rsidRPr="006B10ED">
        <w:t>samples</w:t>
      </w:r>
      <w:r w:rsidR="001C2DC5">
        <w:t>, which are from different areas of the basin,</w:t>
      </w:r>
      <w:r w:rsidR="002C6431" w:rsidRPr="006B10ED">
        <w:t xml:space="preserve"> </w:t>
      </w:r>
      <w:r w:rsidR="00C62C77" w:rsidRPr="006B10ED">
        <w:t>are mainly dominated with C</w:t>
      </w:r>
      <w:r w:rsidR="00C62C77" w:rsidRPr="006B10ED">
        <w:rPr>
          <w:vertAlign w:val="subscript"/>
        </w:rPr>
        <w:t xml:space="preserve">29 </w:t>
      </w:r>
      <w:r w:rsidR="00C62C77" w:rsidRPr="006B10ED">
        <w:t>steranes</w:t>
      </w:r>
      <w:r w:rsidR="001C2DC5">
        <w:t xml:space="preserve"> </w:t>
      </w:r>
      <w:r w:rsidR="00C62C77" w:rsidRPr="006B10ED">
        <w:t>indicating that the terrestrial higher</w:t>
      </w:r>
      <w:r w:rsidR="00C62C77" w:rsidRPr="00692696">
        <w:t xml:space="preserve"> plant input might be more dominant </w:t>
      </w:r>
      <w:r w:rsidRPr="00692696">
        <w:t xml:space="preserve">during </w:t>
      </w:r>
      <w:r w:rsidR="00C62C77" w:rsidRPr="00692696">
        <w:t>deposition</w:t>
      </w:r>
      <w:r w:rsidRPr="00692696">
        <w:t xml:space="preserve"> in these regions</w:t>
      </w:r>
      <w:r w:rsidR="00B956A9">
        <w:t xml:space="preserve"> as it is</w:t>
      </w:r>
      <w:r w:rsidR="006B10ED">
        <w:t xml:space="preserve"> also supported by the </w:t>
      </w:r>
      <w:r w:rsidR="00B956A9">
        <w:t>high C</w:t>
      </w:r>
      <w:r w:rsidR="00B956A9">
        <w:rPr>
          <w:vertAlign w:val="subscript"/>
        </w:rPr>
        <w:t xml:space="preserve">19 </w:t>
      </w:r>
      <w:r w:rsidR="00B956A9">
        <w:t>and C</w:t>
      </w:r>
      <w:r w:rsidR="00B956A9">
        <w:rPr>
          <w:vertAlign w:val="subscript"/>
        </w:rPr>
        <w:t>20</w:t>
      </w:r>
      <w:r w:rsidR="00B956A9">
        <w:t xml:space="preserve"> </w:t>
      </w:r>
      <w:r w:rsidR="006B10ED">
        <w:t xml:space="preserve">tricyclic terpane </w:t>
      </w:r>
      <w:r w:rsidR="00B956A9">
        <w:lastRenderedPageBreak/>
        <w:t>concentrations relative to C</w:t>
      </w:r>
      <w:r w:rsidR="00B956A9">
        <w:rPr>
          <w:vertAlign w:val="subscript"/>
        </w:rPr>
        <w:t>23</w:t>
      </w:r>
      <w:r w:rsidR="006B10ED">
        <w:t xml:space="preserve">. </w:t>
      </w:r>
      <w:r w:rsidR="00F50AA5">
        <w:t>The Kephart-I Well</w:t>
      </w:r>
      <w:r w:rsidR="002C6431" w:rsidRPr="00692696">
        <w:t xml:space="preserve"> is</w:t>
      </w:r>
      <w:r w:rsidR="002C6431">
        <w:t xml:space="preserve"> mainly</w:t>
      </w:r>
      <w:r w:rsidR="002C6431" w:rsidRPr="00692696">
        <w:t xml:space="preserve"> dominated</w:t>
      </w:r>
      <w:r w:rsidR="002C6431">
        <w:t xml:space="preserve"> by</w:t>
      </w:r>
      <w:r w:rsidR="002C6431" w:rsidRPr="00692696">
        <w:t xml:space="preserve"> C</w:t>
      </w:r>
      <w:r w:rsidR="002C6431" w:rsidRPr="00692696">
        <w:rPr>
          <w:vertAlign w:val="subscript"/>
        </w:rPr>
        <w:t xml:space="preserve">29 </w:t>
      </w:r>
      <w:r w:rsidR="002C6431" w:rsidRPr="00692696">
        <w:t>regular steranes</w:t>
      </w:r>
      <w:r w:rsidR="002C6431">
        <w:t xml:space="preserve"> </w:t>
      </w:r>
      <w:r w:rsidR="002C6431" w:rsidRPr="00692696">
        <w:t>which might</w:t>
      </w:r>
      <w:r w:rsidR="00A67E0B">
        <w:t xml:space="preserve"> </w:t>
      </w:r>
      <w:r w:rsidR="00A67E0B" w:rsidRPr="00692696">
        <w:t xml:space="preserve">indicate </w:t>
      </w:r>
      <w:r w:rsidR="00A67E0B">
        <w:t xml:space="preserve">either </w:t>
      </w:r>
      <w:r w:rsidR="00A67E0B" w:rsidRPr="00692696">
        <w:t xml:space="preserve">terrestrial </w:t>
      </w:r>
      <w:r w:rsidR="00A67E0B">
        <w:t xml:space="preserve">higher plant </w:t>
      </w:r>
      <w:r w:rsidR="00A67E0B" w:rsidRPr="00692696">
        <w:t>contribution</w:t>
      </w:r>
      <w:r w:rsidR="00F50AA5">
        <w:t xml:space="preserve"> was dominant</w:t>
      </w:r>
    </w:p>
    <w:p w:rsidR="00B83476" w:rsidRDefault="00B83476" w:rsidP="00B83476">
      <w:pPr>
        <w:keepNext/>
      </w:pPr>
      <w:r w:rsidRPr="00C62C77">
        <w:rPr>
          <w:noProof/>
          <w:lang w:val="tr-TR" w:eastAsia="tr-TR" w:bidi="ar-SA"/>
        </w:rPr>
        <w:drawing>
          <wp:inline distT="0" distB="0" distL="0" distR="0" wp14:anchorId="6D071D92" wp14:editId="450653C3">
            <wp:extent cx="5408774" cy="3880236"/>
            <wp:effectExtent l="19050" t="19050" r="20955" b="2540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62998" cy="3919136"/>
                    </a:xfrm>
                    <a:prstGeom prst="rect">
                      <a:avLst/>
                    </a:prstGeom>
                    <a:noFill/>
                    <a:ln>
                      <a:solidFill>
                        <a:schemeClr val="tx1"/>
                      </a:solidFill>
                    </a:ln>
                  </pic:spPr>
                </pic:pic>
              </a:graphicData>
            </a:graphic>
          </wp:inline>
        </w:drawing>
      </w:r>
    </w:p>
    <w:p w:rsidR="00B83476" w:rsidRDefault="00B83476" w:rsidP="001A52E3">
      <w:pPr>
        <w:pStyle w:val="ResimYazs"/>
        <w:jc w:val="both"/>
        <w:rPr>
          <w:b w:val="0"/>
        </w:rPr>
      </w:pPr>
      <w:bookmarkStart w:id="125" w:name="_Toc507509089"/>
      <w:r>
        <w:t xml:space="preserve">Figure </w:t>
      </w:r>
      <w:fldSimple w:instr=" SEQ Figure \* ARABIC ">
        <w:r w:rsidR="003F6459">
          <w:rPr>
            <w:noProof/>
          </w:rPr>
          <w:t>41</w:t>
        </w:r>
      </w:fldSimple>
      <w:r>
        <w:t xml:space="preserve">. </w:t>
      </w:r>
      <w:r>
        <w:rPr>
          <w:b w:val="0"/>
        </w:rPr>
        <w:t>Steranes</w:t>
      </w:r>
      <w:r w:rsidR="00C7411B">
        <w:rPr>
          <w:b w:val="0"/>
        </w:rPr>
        <w:t xml:space="preserve"> ternary diagram of the Morrow S</w:t>
      </w:r>
      <w:r>
        <w:rPr>
          <w:b w:val="0"/>
        </w:rPr>
        <w:t>hale s</w:t>
      </w:r>
      <w:r w:rsidRPr="00241BA3">
        <w:rPr>
          <w:b w:val="0"/>
        </w:rPr>
        <w:t>amples</w:t>
      </w:r>
      <w:r>
        <w:t xml:space="preserve"> </w:t>
      </w:r>
      <w:r w:rsidRPr="00241BA3">
        <w:rPr>
          <w:b w:val="0"/>
        </w:rPr>
        <w:t>(</w:t>
      </w:r>
      <w:r>
        <w:rPr>
          <w:b w:val="0"/>
        </w:rPr>
        <w:t xml:space="preserve">Modified </w:t>
      </w:r>
      <w:r w:rsidRPr="00241BA3">
        <w:rPr>
          <w:b w:val="0"/>
        </w:rPr>
        <w:t xml:space="preserve">after </w:t>
      </w:r>
      <w:r>
        <w:rPr>
          <w:b w:val="0"/>
        </w:rPr>
        <w:t>Shanmugam, 1985)</w:t>
      </w:r>
      <w:bookmarkEnd w:id="125"/>
    </w:p>
    <w:p w:rsidR="00B83476" w:rsidRPr="00B83476" w:rsidRDefault="00B83476" w:rsidP="00B83476">
      <w:pPr>
        <w:spacing w:line="276" w:lineRule="auto"/>
      </w:pPr>
    </w:p>
    <w:p w:rsidR="0091669A" w:rsidRDefault="009C7351" w:rsidP="009C7351">
      <w:pPr>
        <w:jc w:val="both"/>
      </w:pPr>
      <w:r>
        <w:t xml:space="preserve">in this region or brown and/or green </w:t>
      </w:r>
      <w:r w:rsidR="00692696">
        <w:t xml:space="preserve">algae contribution </w:t>
      </w:r>
      <w:r w:rsidR="00984BD6">
        <w:t>in</w:t>
      </w:r>
      <w:r w:rsidR="00960533">
        <w:t>to the depositional environment</w:t>
      </w:r>
      <w:r w:rsidR="00C62C77" w:rsidRPr="00692696">
        <w:t xml:space="preserve">. </w:t>
      </w:r>
      <w:r w:rsidR="00C62C77">
        <w:t>Furthermore, the presence of C</w:t>
      </w:r>
      <w:r w:rsidR="00C62C77">
        <w:rPr>
          <w:vertAlign w:val="subscript"/>
        </w:rPr>
        <w:t xml:space="preserve">30 </w:t>
      </w:r>
      <w:r w:rsidR="00C62C77">
        <w:t>steranes</w:t>
      </w:r>
      <w:r w:rsidR="00ED00AA">
        <w:t xml:space="preserve"> (</w:t>
      </w:r>
      <w:r w:rsidR="00ED00AA" w:rsidRPr="00ED00AA">
        <w:rPr>
          <w:b/>
        </w:rPr>
        <w:t>XXI</w:t>
      </w:r>
      <w:r w:rsidR="00ED00AA">
        <w:t>)</w:t>
      </w:r>
      <w:r w:rsidR="00C62C77">
        <w:t>, such as 24-</w:t>
      </w:r>
      <w:r w:rsidR="00C62C77" w:rsidRPr="00DF53D8">
        <w:rPr>
          <w:i/>
        </w:rPr>
        <w:t>n</w:t>
      </w:r>
      <w:r w:rsidR="00C62C77">
        <w:t>-propylcholestanes derived from Chrysophyte algae (Moldowan et al., 1990), in most of the studied samples confirms the marine input to the deposi</w:t>
      </w:r>
      <w:r w:rsidR="001828EA">
        <w:t xml:space="preserve">tional environment. </w:t>
      </w:r>
      <w:r w:rsidR="001828EA" w:rsidRPr="00E03924">
        <w:t>Hays et al.</w:t>
      </w:r>
      <w:r w:rsidR="00C62C77" w:rsidRPr="00E03924">
        <w:t xml:space="preserve"> (2012) proposed that </w:t>
      </w:r>
      <w:r w:rsidR="00D557B3" w:rsidRPr="00E03924">
        <w:t xml:space="preserve">a </w:t>
      </w:r>
      <w:r w:rsidR="00C62C77" w:rsidRPr="00E03924">
        <w:t>C</w:t>
      </w:r>
      <w:r w:rsidR="00C62C77" w:rsidRPr="00E03924">
        <w:rPr>
          <w:vertAlign w:val="subscript"/>
        </w:rPr>
        <w:t xml:space="preserve">30 </w:t>
      </w:r>
      <w:r w:rsidR="00C62C77" w:rsidRPr="00E03924">
        <w:t>sterane index (C</w:t>
      </w:r>
      <w:r w:rsidR="00C62C77" w:rsidRPr="00E03924">
        <w:rPr>
          <w:vertAlign w:val="subscript"/>
        </w:rPr>
        <w:t>30</w:t>
      </w:r>
      <w:r w:rsidR="00CA3516">
        <w:t>/</w:t>
      </w:r>
      <w:r w:rsidR="00C62C77" w:rsidRPr="00E03924">
        <w:t>C</w:t>
      </w:r>
      <w:r w:rsidR="00C62C77" w:rsidRPr="00E03924">
        <w:rPr>
          <w:vertAlign w:val="subscript"/>
        </w:rPr>
        <w:t>27</w:t>
      </w:r>
      <w:r w:rsidR="00CA3516">
        <w:t>-</w:t>
      </w:r>
      <w:r w:rsidR="00C62C77" w:rsidRPr="00E03924">
        <w:t>C</w:t>
      </w:r>
      <w:r w:rsidR="00C62C77" w:rsidRPr="00E03924">
        <w:rPr>
          <w:vertAlign w:val="subscript"/>
        </w:rPr>
        <w:t>30</w:t>
      </w:r>
      <w:r w:rsidR="00C62C77" w:rsidRPr="00E03924">
        <w:t xml:space="preserve"> steranes) &gt; 4% indicates </w:t>
      </w:r>
      <w:r w:rsidR="00D557B3" w:rsidRPr="00E03924">
        <w:t>a</w:t>
      </w:r>
      <w:r w:rsidR="00C62C77" w:rsidRPr="00E03924">
        <w:t xml:space="preserve"> significant marine contribution to the organic matter. In </w:t>
      </w:r>
      <w:r w:rsidR="00D557B3" w:rsidRPr="00E03924">
        <w:t xml:space="preserve">the </w:t>
      </w:r>
      <w:r w:rsidR="00C62C77" w:rsidRPr="00E03924">
        <w:t>Wang (1993) source rock samples, the average C</w:t>
      </w:r>
      <w:r w:rsidR="00C62C77" w:rsidRPr="00E03924">
        <w:rPr>
          <w:vertAlign w:val="subscript"/>
        </w:rPr>
        <w:t xml:space="preserve">30 </w:t>
      </w:r>
      <w:r w:rsidR="00D557B3" w:rsidRPr="00E03924">
        <w:t>sterane index is 4</w:t>
      </w:r>
      <w:r w:rsidR="00C62C77" w:rsidRPr="00E03924">
        <w:t>% that ranges between 2%-6% while in Kephart-I Well the average C</w:t>
      </w:r>
      <w:r w:rsidR="00C62C77" w:rsidRPr="00E03924">
        <w:rPr>
          <w:vertAlign w:val="subscript"/>
        </w:rPr>
        <w:t xml:space="preserve">30 </w:t>
      </w:r>
      <w:r w:rsidR="00D557B3" w:rsidRPr="00E03924">
        <w:t xml:space="preserve">sterane index </w:t>
      </w:r>
      <w:r w:rsidR="00CA3516" w:rsidRPr="00E03924">
        <w:t xml:space="preserve">is </w:t>
      </w:r>
      <w:r w:rsidR="00CA3516">
        <w:t xml:space="preserve">19%. </w:t>
      </w:r>
      <w:r w:rsidR="00CA3516" w:rsidRPr="00E03924">
        <w:t>The C</w:t>
      </w:r>
      <w:r w:rsidR="00CA3516" w:rsidRPr="00E03924">
        <w:rPr>
          <w:vertAlign w:val="subscript"/>
        </w:rPr>
        <w:t xml:space="preserve">30 </w:t>
      </w:r>
      <w:r w:rsidR="00CA3516" w:rsidRPr="00E03924">
        <w:t>sterane index for</w:t>
      </w:r>
      <w:r w:rsidR="00CA3516">
        <w:t xml:space="preserve"> </w:t>
      </w:r>
      <w:r w:rsidR="00CA3516" w:rsidRPr="00E03924">
        <w:t>the H-2</w:t>
      </w:r>
      <w:r w:rsidR="00CA3516">
        <w:t xml:space="preserve"> </w:t>
      </w:r>
      <w:r w:rsidR="00F50AA5" w:rsidRPr="00E03924">
        <w:t>and H-3 samples</w:t>
      </w:r>
      <w:r w:rsidR="00F50AA5">
        <w:t xml:space="preserve"> from Laverne-State-I</w:t>
      </w:r>
      <w:r w:rsidR="00F50AA5" w:rsidRPr="00F50AA5">
        <w:t xml:space="preserve"> </w:t>
      </w:r>
      <w:r w:rsidR="00F50AA5">
        <w:t>Well are</w:t>
      </w:r>
    </w:p>
    <w:p w:rsidR="0091669A" w:rsidRDefault="0091669A" w:rsidP="0091669A">
      <w:pPr>
        <w:pStyle w:val="ResimYazs"/>
        <w:keepNext/>
        <w:rPr>
          <w:noProof/>
          <w:lang w:val="tr-TR" w:eastAsia="tr-TR" w:bidi="ar-SA"/>
        </w:rPr>
      </w:pPr>
      <w:bookmarkStart w:id="126" w:name="_Toc507508801"/>
      <w:r>
        <w:lastRenderedPageBreak/>
        <w:t xml:space="preserve">Table </w:t>
      </w:r>
      <w:fldSimple w:instr=" SEQ Table \* ARABIC ">
        <w:r w:rsidR="003F6459">
          <w:rPr>
            <w:noProof/>
          </w:rPr>
          <w:t>11</w:t>
        </w:r>
      </w:fldSimple>
      <w:r>
        <w:t xml:space="preserve">. </w:t>
      </w:r>
      <w:r>
        <w:rPr>
          <w:b w:val="0"/>
        </w:rPr>
        <w:t>Calculated sterane and diasterane</w:t>
      </w:r>
      <w:r w:rsidRPr="006E6DA1">
        <w:rPr>
          <w:b w:val="0"/>
        </w:rPr>
        <w:t xml:space="preserve"> ratios using peak areas </w:t>
      </w:r>
      <w:r>
        <w:rPr>
          <w:b w:val="0"/>
        </w:rPr>
        <w:t>for the Morrow s</w:t>
      </w:r>
      <w:r w:rsidRPr="006E6DA1">
        <w:rPr>
          <w:b w:val="0"/>
        </w:rPr>
        <w:t>amples</w:t>
      </w:r>
      <w:bookmarkEnd w:id="126"/>
    </w:p>
    <w:p w:rsidR="005A6BDB" w:rsidRPr="005A6BDB" w:rsidRDefault="005A6BDB" w:rsidP="005A6BDB">
      <w:pPr>
        <w:rPr>
          <w:lang w:val="tr-TR" w:eastAsia="tr-TR" w:bidi="ar-SA"/>
        </w:rPr>
      </w:pPr>
      <w:r w:rsidRPr="005A6BDB">
        <w:rPr>
          <w:noProof/>
          <w:lang w:val="tr-TR" w:eastAsia="tr-TR" w:bidi="ar-SA"/>
        </w:rPr>
        <w:drawing>
          <wp:inline distT="0" distB="0" distL="0" distR="0">
            <wp:extent cx="5394960" cy="7662428"/>
            <wp:effectExtent l="0" t="0" r="0" b="0"/>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94960" cy="7662428"/>
                    </a:xfrm>
                    <a:prstGeom prst="rect">
                      <a:avLst/>
                    </a:prstGeom>
                    <a:noFill/>
                    <a:ln>
                      <a:noFill/>
                    </a:ln>
                  </pic:spPr>
                </pic:pic>
              </a:graphicData>
            </a:graphic>
          </wp:inline>
        </w:drawing>
      </w:r>
    </w:p>
    <w:p w:rsidR="000F04D2" w:rsidRDefault="00C62C77" w:rsidP="009C7351">
      <w:pPr>
        <w:jc w:val="both"/>
      </w:pPr>
      <w:r>
        <w:lastRenderedPageBreak/>
        <w:t>15% and 9%, respectively</w:t>
      </w:r>
      <w:r w:rsidR="006E6DA1">
        <w:t xml:space="preserve"> </w:t>
      </w:r>
      <w:r w:rsidR="0080411B">
        <w:t>(Table 11</w:t>
      </w:r>
      <w:r w:rsidR="006E6DA1">
        <w:t>)</w:t>
      </w:r>
      <w:r w:rsidR="00960533">
        <w:t xml:space="preserve">. The </w:t>
      </w:r>
      <w:r w:rsidR="00984BD6">
        <w:t>high C</w:t>
      </w:r>
      <w:r w:rsidR="00984BD6">
        <w:rPr>
          <w:vertAlign w:val="subscript"/>
        </w:rPr>
        <w:t xml:space="preserve">29 </w:t>
      </w:r>
      <w:r w:rsidR="00984BD6">
        <w:t>sterane concentrations and C</w:t>
      </w:r>
      <w:r w:rsidR="00984BD6">
        <w:rPr>
          <w:vertAlign w:val="subscript"/>
        </w:rPr>
        <w:t>30</w:t>
      </w:r>
      <w:r w:rsidR="00984BD6">
        <w:t xml:space="preserve"> sterane index values of the samples </w:t>
      </w:r>
      <w:r>
        <w:t xml:space="preserve">suggest that the Morrow </w:t>
      </w:r>
      <w:r w:rsidR="00D557B3">
        <w:t>source r</w:t>
      </w:r>
      <w:r>
        <w:t>ocks are c</w:t>
      </w:r>
      <w:r w:rsidR="00D557B3">
        <w:t xml:space="preserve">omposed of </w:t>
      </w:r>
      <w:r w:rsidR="00960533">
        <w:t>mixed type</w:t>
      </w:r>
      <w:r w:rsidR="00F50AA5">
        <w:t>s</w:t>
      </w:r>
      <w:r w:rsidR="00960533">
        <w:t xml:space="preserve"> of organic matter with terrestrial organic matter being the more dominant. </w:t>
      </w:r>
      <w:r w:rsidR="00D557B3">
        <w:t xml:space="preserve"> </w:t>
      </w:r>
    </w:p>
    <w:p w:rsidR="00C62C77" w:rsidRPr="00C62C77" w:rsidRDefault="00C62C77" w:rsidP="00C62C77">
      <w:pPr>
        <w:pStyle w:val="Balk4"/>
        <w:rPr>
          <w:i/>
          <w:sz w:val="24"/>
        </w:rPr>
      </w:pPr>
      <w:bookmarkStart w:id="127" w:name="_Toc507506657"/>
      <w:r w:rsidRPr="00C62C77">
        <w:rPr>
          <w:i/>
          <w:sz w:val="24"/>
        </w:rPr>
        <w:t>4.3.5.2 Steranes as Maturity Indicator</w:t>
      </w:r>
      <w:r w:rsidR="002C6431">
        <w:rPr>
          <w:i/>
          <w:sz w:val="24"/>
        </w:rPr>
        <w:t>s</w:t>
      </w:r>
      <w:bookmarkEnd w:id="127"/>
    </w:p>
    <w:p w:rsidR="00960533" w:rsidRPr="00960533" w:rsidRDefault="00C62C77" w:rsidP="0005709E">
      <w:pPr>
        <w:ind w:firstLine="720"/>
        <w:jc w:val="both"/>
      </w:pPr>
      <w:r>
        <w:t xml:space="preserve">Waples and Machihara (1991) suggested that 20R and 20S epimers of the steranes provide a very important maturity assessment among the other biomarkers. The ratios of both 20S/20R and 20S/20S+20R gives highly specific results for </w:t>
      </w:r>
      <w:r w:rsidR="00D557B3">
        <w:t>the extent</w:t>
      </w:r>
      <w:r>
        <w:t xml:space="preserve"> of </w:t>
      </w:r>
      <w:r w:rsidR="00A51953">
        <w:t xml:space="preserve">maturity ranging from </w:t>
      </w:r>
      <w:r w:rsidRPr="00960533">
        <w:t>immature to mature rocks (Peters et al., 2005). It was proposed that</w:t>
      </w:r>
      <w:r w:rsidR="002C6431">
        <w:t xml:space="preserve"> the</w:t>
      </w:r>
      <w:r w:rsidRPr="00960533">
        <w:t xml:space="preserve"> </w:t>
      </w:r>
      <w:r w:rsidRPr="00960533">
        <w:rPr>
          <w:rFonts w:cstheme="minorHAnsi"/>
        </w:rPr>
        <w:t>ααα</w:t>
      </w:r>
      <w:r w:rsidRPr="00960533">
        <w:t xml:space="preserve"> form </w:t>
      </w:r>
      <w:r w:rsidR="002C6431">
        <w:t>of</w:t>
      </w:r>
      <w:r w:rsidRPr="00960533">
        <w:t xml:space="preserve"> the 20 R configuration is the biologically derived form of the steranes and with increasing maturity, 20R configuration decomposes with increasing 20S concentration (Waples and Machihara, 1991). Figure </w:t>
      </w:r>
      <w:r w:rsidR="00E91CE8">
        <w:t>42</w:t>
      </w:r>
      <w:r w:rsidRPr="00960533">
        <w:t xml:space="preserve"> shows the C</w:t>
      </w:r>
      <w:r w:rsidRPr="00960533">
        <w:rPr>
          <w:vertAlign w:val="subscript"/>
        </w:rPr>
        <w:t xml:space="preserve">29 </w:t>
      </w:r>
      <w:r w:rsidRPr="00960533">
        <w:t>(20</w:t>
      </w:r>
      <w:r w:rsidRPr="00960533">
        <w:rPr>
          <w:rFonts w:cstheme="minorHAnsi"/>
        </w:rPr>
        <w:t>ααα</w:t>
      </w:r>
      <w:r w:rsidRPr="00960533">
        <w:t>S/20</w:t>
      </w:r>
      <w:r w:rsidRPr="00960533">
        <w:rPr>
          <w:rFonts w:cstheme="minorHAnsi"/>
        </w:rPr>
        <w:t>ααα</w:t>
      </w:r>
      <w:r w:rsidRPr="00960533">
        <w:t>S+20</w:t>
      </w:r>
      <w:r w:rsidRPr="00960533">
        <w:rPr>
          <w:rFonts w:cstheme="minorHAnsi"/>
        </w:rPr>
        <w:t>ααα</w:t>
      </w:r>
      <w:r w:rsidRPr="00960533">
        <w:t xml:space="preserve">R) steranes variations with the depth. However, the data shows scattered distribution with no specific maturity trend. </w:t>
      </w:r>
      <w:r w:rsidR="00960533">
        <w:t>There might be p</w:t>
      </w:r>
      <w:r w:rsidRPr="00960533">
        <w:t xml:space="preserve">ossible </w:t>
      </w:r>
      <w:r w:rsidR="00960533">
        <w:t xml:space="preserve">explanations of the scattered </w:t>
      </w:r>
      <w:r w:rsidR="00960533" w:rsidRPr="00960533">
        <w:t>C</w:t>
      </w:r>
      <w:r w:rsidR="00960533" w:rsidRPr="00960533">
        <w:rPr>
          <w:vertAlign w:val="subscript"/>
        </w:rPr>
        <w:t xml:space="preserve">29 </w:t>
      </w:r>
      <w:r w:rsidR="00960533" w:rsidRPr="00960533">
        <w:t>(20</w:t>
      </w:r>
      <w:r w:rsidR="00960533" w:rsidRPr="00960533">
        <w:rPr>
          <w:rFonts w:cstheme="minorHAnsi"/>
        </w:rPr>
        <w:t>ααα</w:t>
      </w:r>
      <w:r w:rsidR="00960533" w:rsidRPr="00960533">
        <w:t>S/20</w:t>
      </w:r>
      <w:r w:rsidR="00960533" w:rsidRPr="00960533">
        <w:rPr>
          <w:rFonts w:cstheme="minorHAnsi"/>
        </w:rPr>
        <w:t>ααα</w:t>
      </w:r>
      <w:r w:rsidR="00960533" w:rsidRPr="00960533">
        <w:t>S+20</w:t>
      </w:r>
      <w:r w:rsidR="00960533" w:rsidRPr="00960533">
        <w:rPr>
          <w:rFonts w:cstheme="minorHAnsi"/>
        </w:rPr>
        <w:t>ααα</w:t>
      </w:r>
      <w:r w:rsidR="00960533" w:rsidRPr="00960533">
        <w:t xml:space="preserve">R) </w:t>
      </w:r>
      <w:r w:rsidR="00960533">
        <w:t>data</w:t>
      </w:r>
      <w:r w:rsidR="0005709E">
        <w:t xml:space="preserve">. </w:t>
      </w:r>
      <w:r w:rsidR="00960533" w:rsidRPr="0005709E">
        <w:t xml:space="preserve">To begin with, </w:t>
      </w:r>
      <w:r w:rsidR="00492A38" w:rsidRPr="0005709E">
        <w:t xml:space="preserve">as previously discussed, the Morrow </w:t>
      </w:r>
      <w:r w:rsidR="0005709E">
        <w:t xml:space="preserve">can be </w:t>
      </w:r>
      <w:r w:rsidR="00960533" w:rsidRPr="0005709E">
        <w:t>composed of different lithofacies</w:t>
      </w:r>
      <w:r w:rsidR="0005709E">
        <w:t xml:space="preserve"> even </w:t>
      </w:r>
      <w:r w:rsidR="00F50AA5">
        <w:t>over</w:t>
      </w:r>
      <w:r w:rsidR="005B6F3E">
        <w:t xml:space="preserve"> short distances, which</w:t>
      </w:r>
      <w:r w:rsidR="0005709E">
        <w:t xml:space="preserve"> </w:t>
      </w:r>
      <w:r w:rsidR="00492A38" w:rsidRPr="0005709E">
        <w:t>might result in such a scattered maturity graph. S</w:t>
      </w:r>
      <w:r w:rsidR="00492A38">
        <w:t xml:space="preserve">econdly, </w:t>
      </w:r>
      <w:r w:rsidR="00F50AA5">
        <w:t xml:space="preserve">the </w:t>
      </w:r>
      <w:r w:rsidR="00492A38">
        <w:t>presence of demethylated hopanes in the Morrow suggests</w:t>
      </w:r>
      <w:r w:rsidR="002C6431">
        <w:t xml:space="preserve"> possible</w:t>
      </w:r>
      <w:r w:rsidR="00492A38">
        <w:t xml:space="preserve"> paleo-seepage from an ancient reservoir</w:t>
      </w:r>
      <w:r w:rsidR="0023451B">
        <w:t xml:space="preserve"> as discussed above. </w:t>
      </w:r>
      <w:r w:rsidR="0023451B" w:rsidRPr="0005709E">
        <w:t>R</w:t>
      </w:r>
      <w:r w:rsidR="00492A38" w:rsidRPr="0005709E">
        <w:t>e-w</w:t>
      </w:r>
      <w:r w:rsidR="0023451B" w:rsidRPr="0005709E">
        <w:t xml:space="preserve">orking of </w:t>
      </w:r>
      <w:r w:rsidR="00492A38" w:rsidRPr="0005709E">
        <w:t xml:space="preserve">organic matter from more mature </w:t>
      </w:r>
      <w:r w:rsidR="0023451B" w:rsidRPr="0005709E">
        <w:t>ancient rock might</w:t>
      </w:r>
      <w:r w:rsidR="00492A38" w:rsidRPr="0005709E">
        <w:t xml:space="preserve"> result in such </w:t>
      </w:r>
      <w:r w:rsidR="0005709E" w:rsidRPr="0005709E">
        <w:t>a scattered</w:t>
      </w:r>
      <w:r w:rsidR="00492A38" w:rsidRPr="0005709E">
        <w:t xml:space="preserve"> maturity log plot. </w:t>
      </w:r>
      <w:r w:rsidR="0023451B" w:rsidRPr="0005709E">
        <w:t xml:space="preserve">Finally, </w:t>
      </w:r>
      <w:r w:rsidRPr="0005709E">
        <w:t xml:space="preserve">oil staining from drilling additives </w:t>
      </w:r>
      <w:r w:rsidR="0023451B" w:rsidRPr="0005709E">
        <w:t>can be another reason as previously discussed in Chapter 4.1</w:t>
      </w:r>
      <w:r w:rsidR="009C7351" w:rsidRPr="0005709E">
        <w:t xml:space="preserve"> (Waples and Machihara,</w:t>
      </w:r>
      <w:r w:rsidRPr="0005709E">
        <w:t xml:space="preserve"> 1991; Peters et al., 2005).</w:t>
      </w:r>
    </w:p>
    <w:p w:rsidR="00E91CE8" w:rsidRDefault="00E91CE8" w:rsidP="00C62C77">
      <w:pPr>
        <w:ind w:firstLine="720"/>
        <w:jc w:val="both"/>
      </w:pPr>
    </w:p>
    <w:p w:rsidR="00E91CE8" w:rsidRDefault="00E91CE8" w:rsidP="00E91CE8">
      <w:pPr>
        <w:keepNext/>
        <w:jc w:val="center"/>
      </w:pPr>
      <w:r>
        <w:rPr>
          <w:noProof/>
          <w:lang w:val="tr-TR" w:eastAsia="tr-TR" w:bidi="ar-SA"/>
        </w:rPr>
        <w:lastRenderedPageBreak/>
        <w:drawing>
          <wp:inline distT="0" distB="0" distL="0" distR="0" wp14:anchorId="22409D26" wp14:editId="23D97088">
            <wp:extent cx="2105025" cy="4200525"/>
            <wp:effectExtent l="19050" t="19050" r="28575" b="28575"/>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71">
                      <a:extLst>
                        <a:ext uri="{28A0092B-C50C-407E-A947-70E740481C1C}">
                          <a14:useLocalDpi xmlns:a14="http://schemas.microsoft.com/office/drawing/2010/main" val="0"/>
                        </a:ext>
                      </a:extLst>
                    </a:blip>
                    <a:srcRect b="7887"/>
                    <a:stretch/>
                  </pic:blipFill>
                  <pic:spPr bwMode="auto">
                    <a:xfrm>
                      <a:off x="0" y="0"/>
                      <a:ext cx="2115993" cy="42224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E91CE8" w:rsidRDefault="00E91CE8" w:rsidP="00A64672">
      <w:pPr>
        <w:pStyle w:val="ResimYazs"/>
        <w:jc w:val="both"/>
      </w:pPr>
      <w:bookmarkStart w:id="128" w:name="_Toc507509090"/>
      <w:r>
        <w:t xml:space="preserve">Figure </w:t>
      </w:r>
      <w:fldSimple w:instr=" SEQ Figure \* ARABIC ">
        <w:r w:rsidR="003F6459">
          <w:rPr>
            <w:noProof/>
          </w:rPr>
          <w:t>42</w:t>
        </w:r>
      </w:fldSimple>
      <w:r>
        <w:t>.</w:t>
      </w:r>
      <w:r w:rsidRPr="00B83476">
        <w:rPr>
          <w:b w:val="0"/>
        </w:rPr>
        <w:t xml:space="preserve"> </w:t>
      </w:r>
      <w:r w:rsidRPr="00F74C5D">
        <w:rPr>
          <w:b w:val="0"/>
        </w:rPr>
        <w:t>C</w:t>
      </w:r>
      <w:r w:rsidR="001A52E3">
        <w:rPr>
          <w:b w:val="0"/>
          <w:vertAlign w:val="subscript"/>
        </w:rPr>
        <w:t>29</w:t>
      </w:r>
      <w:r w:rsidRPr="00F74C5D">
        <w:rPr>
          <w:b w:val="0"/>
        </w:rPr>
        <w:t>(20</w:t>
      </w:r>
      <w:r w:rsidRPr="00F74C5D">
        <w:rPr>
          <w:rFonts w:cstheme="minorHAnsi"/>
          <w:b w:val="0"/>
        </w:rPr>
        <w:t>ααα</w:t>
      </w:r>
      <w:r w:rsidRPr="00F74C5D">
        <w:rPr>
          <w:b w:val="0"/>
        </w:rPr>
        <w:t>S/20</w:t>
      </w:r>
      <w:r w:rsidRPr="00F74C5D">
        <w:rPr>
          <w:rFonts w:cstheme="minorHAnsi"/>
          <w:b w:val="0"/>
        </w:rPr>
        <w:t>ααα</w:t>
      </w:r>
      <w:r w:rsidRPr="00F74C5D">
        <w:rPr>
          <w:b w:val="0"/>
        </w:rPr>
        <w:t>S+20</w:t>
      </w:r>
      <w:r w:rsidRPr="00F74C5D">
        <w:rPr>
          <w:rFonts w:cstheme="minorHAnsi"/>
          <w:b w:val="0"/>
        </w:rPr>
        <w:t>ααα</w:t>
      </w:r>
      <w:r w:rsidRPr="00F74C5D">
        <w:rPr>
          <w:b w:val="0"/>
        </w:rPr>
        <w:t>R)</w:t>
      </w:r>
      <w:r>
        <w:rPr>
          <w:b w:val="0"/>
        </w:rPr>
        <w:t xml:space="preserve"> </w:t>
      </w:r>
      <w:r w:rsidR="007B0878">
        <w:rPr>
          <w:b w:val="0"/>
        </w:rPr>
        <w:t>vs.</w:t>
      </w:r>
      <w:r>
        <w:rPr>
          <w:b w:val="0"/>
        </w:rPr>
        <w:t xml:space="preserve"> depth showing the maturity variation through the Kephart-1 Well</w:t>
      </w:r>
      <w:bookmarkEnd w:id="128"/>
      <w:r>
        <w:t xml:space="preserve"> </w:t>
      </w:r>
    </w:p>
    <w:p w:rsidR="00E91CE8" w:rsidRDefault="00E91CE8" w:rsidP="00E91CE8">
      <w:pPr>
        <w:spacing w:line="276" w:lineRule="auto"/>
        <w:jc w:val="both"/>
      </w:pPr>
    </w:p>
    <w:p w:rsidR="00F74C5D" w:rsidRDefault="00F50AA5" w:rsidP="00C62C77">
      <w:pPr>
        <w:ind w:firstLine="720"/>
        <w:jc w:val="both"/>
      </w:pPr>
      <w:r>
        <w:t xml:space="preserve">The </w:t>
      </w:r>
      <w:r w:rsidR="00F74C5D">
        <w:t>C</w:t>
      </w:r>
      <w:r w:rsidR="00F74C5D">
        <w:rPr>
          <w:vertAlign w:val="subscript"/>
        </w:rPr>
        <w:t>21</w:t>
      </w:r>
      <w:r w:rsidR="00F74C5D">
        <w:t xml:space="preserve"> and C</w:t>
      </w:r>
      <w:r w:rsidR="00F74C5D">
        <w:rPr>
          <w:vertAlign w:val="subscript"/>
        </w:rPr>
        <w:t xml:space="preserve">22 </w:t>
      </w:r>
      <w:r w:rsidR="00F74C5D">
        <w:t>short chain steranes, namely pregnanes</w:t>
      </w:r>
      <w:r w:rsidR="00ED00AA">
        <w:t xml:space="preserve"> (</w:t>
      </w:r>
      <w:r w:rsidR="00ED00AA" w:rsidRPr="00ED00AA">
        <w:rPr>
          <w:b/>
        </w:rPr>
        <w:t>XXII</w:t>
      </w:r>
      <w:r w:rsidR="00ED00AA">
        <w:rPr>
          <w:b/>
        </w:rPr>
        <w:t>)</w:t>
      </w:r>
      <w:r w:rsidR="00F74C5D">
        <w:t xml:space="preserve"> and homopregnanes</w:t>
      </w:r>
      <w:r w:rsidR="00ED00AA">
        <w:t xml:space="preserve"> (</w:t>
      </w:r>
      <w:r w:rsidR="00ED00AA" w:rsidRPr="00ED00AA">
        <w:rPr>
          <w:b/>
        </w:rPr>
        <w:t>XXIII</w:t>
      </w:r>
      <w:r w:rsidR="00ED00AA">
        <w:t>)</w:t>
      </w:r>
      <w:r w:rsidR="00F74C5D">
        <w:t xml:space="preserve"> have been identified in </w:t>
      </w:r>
      <w:r w:rsidR="00A51953">
        <w:t xml:space="preserve">relatively </w:t>
      </w:r>
      <w:r w:rsidR="00F74C5D">
        <w:t>high concentration</w:t>
      </w:r>
      <w:r w:rsidR="00A51953">
        <w:t>s in the Morrow source r</w:t>
      </w:r>
      <w:r w:rsidR="00F74C5D">
        <w:t>ock samples.</w:t>
      </w:r>
      <w:r w:rsidR="00A51953">
        <w:t xml:space="preserve"> t</w:t>
      </w:r>
      <w:r w:rsidR="009C7351">
        <w:t>en Haven et al.</w:t>
      </w:r>
      <w:r w:rsidR="00F74C5D">
        <w:t xml:space="preserve"> (1985) identified high concentration</w:t>
      </w:r>
      <w:r w:rsidR="0030156B">
        <w:t>s</w:t>
      </w:r>
      <w:r w:rsidR="00F74C5D">
        <w:t xml:space="preserve"> of these compound</w:t>
      </w:r>
      <w:r w:rsidR="0030156B">
        <w:t>s in the hydrocarbons originating</w:t>
      </w:r>
      <w:r w:rsidR="00F74C5D">
        <w:t xml:space="preserve"> from gypsum samples from the northern </w:t>
      </w:r>
      <w:r w:rsidR="00A51953">
        <w:t>A</w:t>
      </w:r>
      <w:r w:rsidR="00A51953" w:rsidRPr="00A51953">
        <w:t>pennines</w:t>
      </w:r>
      <w:r w:rsidR="00F74C5D">
        <w:t xml:space="preserve"> basin in Italy and proposed that these biomarkers </w:t>
      </w:r>
      <w:r w:rsidR="0030156B">
        <w:t xml:space="preserve">could </w:t>
      </w:r>
      <w:r w:rsidR="00F74C5D">
        <w:t xml:space="preserve">be used </w:t>
      </w:r>
      <w:r w:rsidR="00A51953">
        <w:t xml:space="preserve">as </w:t>
      </w:r>
      <w:r w:rsidR="0030156B">
        <w:t xml:space="preserve">a </w:t>
      </w:r>
      <w:r w:rsidR="00A51953">
        <w:t>characteristic for</w:t>
      </w:r>
      <w:r w:rsidR="00F74C5D">
        <w:t xml:space="preserve"> hypers</w:t>
      </w:r>
      <w:r w:rsidR="009C7351">
        <w:t>aline environments. Wang et al.</w:t>
      </w:r>
      <w:r w:rsidR="00F74C5D">
        <w:t xml:space="preserve"> (2015) more recently proposed a valuable approach in which </w:t>
      </w:r>
      <w:r w:rsidR="0030156B">
        <w:t xml:space="preserve">the occurrence of </w:t>
      </w:r>
      <w:r w:rsidR="00F74C5D">
        <w:t xml:space="preserve">pregnane and homopregnane </w:t>
      </w:r>
      <w:r w:rsidR="002A426E">
        <w:t xml:space="preserve">can </w:t>
      </w:r>
      <w:r w:rsidR="0030156B">
        <w:t>indicate</w:t>
      </w:r>
      <w:r w:rsidR="00F74C5D">
        <w:t xml:space="preserve"> </w:t>
      </w:r>
      <w:r w:rsidR="002A426E">
        <w:t xml:space="preserve">redox conditions, </w:t>
      </w:r>
      <w:r w:rsidR="00F74C5D">
        <w:t xml:space="preserve">facies </w:t>
      </w:r>
      <w:r w:rsidR="002A426E">
        <w:t xml:space="preserve">and mineral content of the source rock </w:t>
      </w:r>
      <w:r w:rsidR="00F74C5D">
        <w:t>when combined with regular steranes and diasteranes ratios</w:t>
      </w:r>
      <w:r w:rsidR="00FB3F87">
        <w:t xml:space="preserve">. </w:t>
      </w:r>
      <w:r w:rsidR="00F74C5D">
        <w:t xml:space="preserve">For </w:t>
      </w:r>
      <w:r>
        <w:t>example</w:t>
      </w:r>
      <w:r w:rsidR="00F74C5D">
        <w:t xml:space="preserve">, the samples with high diasteranes </w:t>
      </w:r>
      <w:r w:rsidR="00F74C5D">
        <w:lastRenderedPageBreak/>
        <w:t xml:space="preserve">and low pregnanes are associated with the increasing oxic conditions, significant terrigenous input, high clay content, and organic lean carbonate rocks (Wang et al., 2015). </w:t>
      </w:r>
      <w:r>
        <w:t>The</w:t>
      </w:r>
      <w:r w:rsidR="00F74C5D">
        <w:t xml:space="preserve"> samples with low diasteranes and high pregnanes are associated with clastic starved, </w:t>
      </w:r>
      <w:r w:rsidR="00F74C5D" w:rsidRPr="00F50AA5">
        <w:t xml:space="preserve">low Eh-high pH, </w:t>
      </w:r>
      <w:r w:rsidRPr="00F50AA5">
        <w:t>sulfur-</w:t>
      </w:r>
      <w:r w:rsidR="00F74C5D" w:rsidRPr="00F50AA5">
        <w:t>rich reducing depositional environments with low or no</w:t>
      </w:r>
      <w:r w:rsidR="00F74C5D">
        <w:t xml:space="preserve"> terrigenous input (Wang et al., 2015). Base</w:t>
      </w:r>
      <w:r w:rsidR="00C7411B">
        <w:t>d on this approach, the Morrow source r</w:t>
      </w:r>
      <w:r w:rsidR="00F74C5D">
        <w:t xml:space="preserve">ock samples were plotted on the cross plot of </w:t>
      </w:r>
      <w:r w:rsidR="00F74C5D" w:rsidRPr="00CF238D">
        <w:t>∑C</w:t>
      </w:r>
      <w:r w:rsidR="00F74C5D" w:rsidRPr="00CF238D">
        <w:rPr>
          <w:vertAlign w:val="subscript"/>
        </w:rPr>
        <w:t>21-22</w:t>
      </w:r>
      <w:r w:rsidR="00F74C5D" w:rsidRPr="00CF238D">
        <w:t>/∑C</w:t>
      </w:r>
      <w:r w:rsidR="00F74C5D" w:rsidRPr="00CF238D">
        <w:rPr>
          <w:vertAlign w:val="subscript"/>
        </w:rPr>
        <w:t xml:space="preserve">27-29 </w:t>
      </w:r>
      <w:r w:rsidR="00F74C5D" w:rsidRPr="00CF238D">
        <w:t>Steranes</w:t>
      </w:r>
      <w:r w:rsidR="00F74C5D">
        <w:t xml:space="preserve"> </w:t>
      </w:r>
      <w:r w:rsidR="007B0878">
        <w:t>vs.</w:t>
      </w:r>
      <w:r w:rsidR="00F74C5D">
        <w:t xml:space="preserve"> </w:t>
      </w:r>
      <w:r w:rsidR="00F74C5D" w:rsidRPr="00CF238D">
        <w:t>∑C</w:t>
      </w:r>
      <w:r w:rsidR="00F74C5D" w:rsidRPr="00CF238D">
        <w:rPr>
          <w:vertAlign w:val="subscript"/>
        </w:rPr>
        <w:t>27</w:t>
      </w:r>
      <w:r w:rsidR="00F74C5D">
        <w:t xml:space="preserve"> diasteranes /</w:t>
      </w:r>
      <w:r w:rsidR="00F74C5D" w:rsidRPr="00CF238D">
        <w:t>regular C</w:t>
      </w:r>
      <w:r w:rsidR="00F74C5D" w:rsidRPr="00CF238D">
        <w:rPr>
          <w:vertAlign w:val="subscript"/>
        </w:rPr>
        <w:t>27</w:t>
      </w:r>
      <w:r w:rsidR="00F74C5D" w:rsidRPr="00CF238D">
        <w:t xml:space="preserve"> </w:t>
      </w:r>
      <w:r w:rsidR="00F74C5D">
        <w:t>s</w:t>
      </w:r>
      <w:r w:rsidR="00F74C5D" w:rsidRPr="00CF238D">
        <w:t>teranes</w:t>
      </w:r>
      <w:r w:rsidR="00E91CE8">
        <w:t xml:space="preserve"> (Figure 43</w:t>
      </w:r>
      <w:r w:rsidR="006E6DA1">
        <w:t>;</w:t>
      </w:r>
      <w:r w:rsidR="0080411B">
        <w:t xml:space="preserve"> Table 11</w:t>
      </w:r>
      <w:r w:rsidR="00FB3F87">
        <w:t>)</w:t>
      </w:r>
      <w:r w:rsidR="00F74C5D">
        <w:t>. The samples fell in a zone that is between the clay and carbonate rich source rocks. Wang et al. (2015) defined this zone as the ‘‘overlap zone, which should be considered as a mixed type of source rock comprised of comparable carbonate and clay mineral contents such as marls”. Thus, the lithology of the Morrow samples can be interpreted as marl deposited under open, clay rich conditions.</w:t>
      </w:r>
    </w:p>
    <w:p w:rsidR="00E91CE8" w:rsidRDefault="00E91CE8" w:rsidP="00E91CE8">
      <w:pPr>
        <w:keepNext/>
      </w:pPr>
      <w:r w:rsidRPr="001B633C">
        <w:rPr>
          <w:noProof/>
          <w:lang w:val="tr-TR" w:eastAsia="tr-TR" w:bidi="ar-SA"/>
        </w:rPr>
        <w:drawing>
          <wp:inline distT="0" distB="0" distL="0" distR="0" wp14:anchorId="5BA4B514" wp14:editId="58C3AD96">
            <wp:extent cx="5166995" cy="3423372"/>
            <wp:effectExtent l="19050" t="19050" r="14605" b="24765"/>
            <wp:docPr id="48"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im 23"/>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243467" cy="3474038"/>
                    </a:xfrm>
                    <a:prstGeom prst="rect">
                      <a:avLst/>
                    </a:prstGeom>
                    <a:ln>
                      <a:solidFill>
                        <a:schemeClr val="tx1"/>
                      </a:solidFill>
                    </a:ln>
                  </pic:spPr>
                </pic:pic>
              </a:graphicData>
            </a:graphic>
          </wp:inline>
        </w:drawing>
      </w:r>
    </w:p>
    <w:p w:rsidR="00E91CE8" w:rsidRDefault="00E91CE8" w:rsidP="00E91CE8">
      <w:pPr>
        <w:pStyle w:val="ResimYazs"/>
        <w:rPr>
          <w:b w:val="0"/>
        </w:rPr>
      </w:pPr>
      <w:bookmarkStart w:id="129" w:name="_Toc507509091"/>
      <w:r>
        <w:t xml:space="preserve">Figure </w:t>
      </w:r>
      <w:fldSimple w:instr=" SEQ Figure \* ARABIC ">
        <w:r w:rsidR="003F6459">
          <w:rPr>
            <w:noProof/>
          </w:rPr>
          <w:t>43</w:t>
        </w:r>
      </w:fldSimple>
      <w:r>
        <w:t xml:space="preserve">. </w:t>
      </w:r>
      <w:r w:rsidRPr="00CF238D">
        <w:rPr>
          <w:b w:val="0"/>
        </w:rPr>
        <w:t xml:space="preserve">Plot of </w:t>
      </w:r>
      <w:r w:rsidRPr="00CF238D">
        <w:rPr>
          <w:b w:val="0"/>
          <w:lang w:val="tr-TR"/>
        </w:rPr>
        <w:t>∑C</w:t>
      </w:r>
      <w:r w:rsidRPr="00CF238D">
        <w:rPr>
          <w:b w:val="0"/>
          <w:vertAlign w:val="subscript"/>
          <w:lang w:val="tr-TR"/>
        </w:rPr>
        <w:t>21-22</w:t>
      </w:r>
      <w:r w:rsidRPr="00CF238D">
        <w:rPr>
          <w:b w:val="0"/>
          <w:lang w:val="tr-TR"/>
        </w:rPr>
        <w:t>/∑C</w:t>
      </w:r>
      <w:r w:rsidRPr="00CF238D">
        <w:rPr>
          <w:b w:val="0"/>
          <w:vertAlign w:val="subscript"/>
          <w:lang w:val="tr-TR"/>
        </w:rPr>
        <w:t>27-29</w:t>
      </w:r>
      <w:r w:rsidRPr="00CF238D">
        <w:rPr>
          <w:b w:val="0"/>
          <w:lang w:val="tr-TR"/>
        </w:rPr>
        <w:t xml:space="preserve"> Steranes </w:t>
      </w:r>
      <w:r w:rsidR="007B0878">
        <w:rPr>
          <w:b w:val="0"/>
          <w:lang w:val="tr-TR"/>
        </w:rPr>
        <w:t>vs.</w:t>
      </w:r>
      <w:r w:rsidRPr="00CF238D">
        <w:rPr>
          <w:b w:val="0"/>
          <w:lang w:val="tr-TR"/>
        </w:rPr>
        <w:t xml:space="preserve"> </w:t>
      </w:r>
      <w:r w:rsidRPr="00CF238D">
        <w:rPr>
          <w:b w:val="0"/>
        </w:rPr>
        <w:t>∑C</w:t>
      </w:r>
      <w:r w:rsidRPr="00CF238D">
        <w:rPr>
          <w:b w:val="0"/>
          <w:vertAlign w:val="subscript"/>
        </w:rPr>
        <w:t>27</w:t>
      </w:r>
      <w:r w:rsidRPr="00CF238D">
        <w:rPr>
          <w:b w:val="0"/>
        </w:rPr>
        <w:t xml:space="preserve"> diasteranes /∑regular C</w:t>
      </w:r>
      <w:r w:rsidRPr="00CF238D">
        <w:rPr>
          <w:b w:val="0"/>
          <w:vertAlign w:val="subscript"/>
        </w:rPr>
        <w:t>27</w:t>
      </w:r>
      <w:r w:rsidRPr="00CF238D">
        <w:rPr>
          <w:b w:val="0"/>
        </w:rPr>
        <w:t xml:space="preserve"> Steranes (Modified after Wang et a</w:t>
      </w:r>
      <w:r>
        <w:rPr>
          <w:b w:val="0"/>
        </w:rPr>
        <w:t>l., 2015)</w:t>
      </w:r>
      <w:bookmarkEnd w:id="129"/>
    </w:p>
    <w:p w:rsidR="00F74C5D" w:rsidRPr="00A51953" w:rsidRDefault="00F74C5D" w:rsidP="00F74C5D">
      <w:pPr>
        <w:pStyle w:val="Balk4"/>
        <w:rPr>
          <w:i/>
          <w:color w:val="FF0000"/>
          <w:sz w:val="24"/>
        </w:rPr>
      </w:pPr>
      <w:bookmarkStart w:id="130" w:name="_Toc507506658"/>
      <w:r>
        <w:rPr>
          <w:i/>
          <w:sz w:val="24"/>
        </w:rPr>
        <w:lastRenderedPageBreak/>
        <w:t>4</w:t>
      </w:r>
      <w:r w:rsidRPr="00863869">
        <w:rPr>
          <w:i/>
          <w:sz w:val="24"/>
        </w:rPr>
        <w:t>.3.5.3 Diasteranes</w:t>
      </w:r>
      <w:bookmarkEnd w:id="130"/>
    </w:p>
    <w:p w:rsidR="00F74C5D" w:rsidRPr="00464DBD" w:rsidRDefault="00F74C5D" w:rsidP="00F74C5D">
      <w:pPr>
        <w:jc w:val="both"/>
        <w:rPr>
          <w:color w:val="FF0000"/>
        </w:rPr>
      </w:pPr>
      <w:r>
        <w:tab/>
        <w:t>Diasteranes or “rearranged steranes” are important for assessment of the lithology, redox conditions and the thermal maturity of source rock</w:t>
      </w:r>
      <w:r w:rsidR="00841B55">
        <w:t>s</w:t>
      </w:r>
      <w:r>
        <w:t xml:space="preserve"> (</w:t>
      </w:r>
      <w:r w:rsidR="00CC7EEC">
        <w:t>Kirk and Shaw, 1975; Moldowan et al. 1991</w:t>
      </w:r>
      <w:r w:rsidR="009C0E73">
        <w:t>a</w:t>
      </w:r>
      <w:r w:rsidR="00CC7EEC">
        <w:t>; Peters et al. 2005</w:t>
      </w:r>
      <w:r>
        <w:t xml:space="preserve">). </w:t>
      </w:r>
      <w:r w:rsidR="00841B55">
        <w:t>Their structure</w:t>
      </w:r>
      <w:r w:rsidR="00F50AA5">
        <w:t>s</w:t>
      </w:r>
      <w:r w:rsidR="00841B55">
        <w:t xml:space="preserve"> differ from regular steranes in that</w:t>
      </w:r>
      <w:r>
        <w:t xml:space="preserve"> they have </w:t>
      </w:r>
      <w:r w:rsidR="00841B55">
        <w:t xml:space="preserve">a </w:t>
      </w:r>
      <w:r>
        <w:t>methyl group attached to C-5 and C-14 and hydrogens attached to C-10 and C-13 (Waples and Machi</w:t>
      </w:r>
      <w:r w:rsidR="00841B55">
        <w:t xml:space="preserve">hara, 1991). Rubinstein et al. </w:t>
      </w:r>
      <w:r>
        <w:t>(1975) proposed that the diasteranes are most readily present in clastic sediments, and the acidic clays in them play the essential role for the conversion of the diasteranes from the regular stera</w:t>
      </w:r>
      <w:r w:rsidR="0030156B">
        <w:t>nes</w:t>
      </w:r>
      <w:r w:rsidR="00F50AA5">
        <w:t>. T</w:t>
      </w:r>
      <w:r w:rsidR="0078362F">
        <w:t>herefore</w:t>
      </w:r>
      <w:r w:rsidR="00F50AA5">
        <w:t>,</w:t>
      </w:r>
      <w:r w:rsidR="0078362F">
        <w:t xml:space="preserve"> they are </w:t>
      </w:r>
      <w:r>
        <w:t>useful for distinguishing carbonate source rocks from clastic source rocks (Wang et al.</w:t>
      </w:r>
      <w:r w:rsidR="00E91CE8">
        <w:t>,</w:t>
      </w:r>
      <w:r>
        <w:t xml:space="preserve"> 2015). </w:t>
      </w:r>
      <w:r w:rsidRPr="0078362F">
        <w:t>Moldowan et al. (1991b) noticed that the diasteranes are also abundant in the organic-lean Adriatic Basin carbonates deposited under low pH and high Eh conditions and therefore suggested that their presence may be also associated wi</w:t>
      </w:r>
      <w:r w:rsidR="00841B55" w:rsidRPr="0078362F">
        <w:t xml:space="preserve">th redox conditions. </w:t>
      </w:r>
      <w:r w:rsidR="004E37D4">
        <w:t xml:space="preserve">In the following years, </w:t>
      </w:r>
      <w:r w:rsidR="0078362F">
        <w:t>Moldowan et al. (1994) showed that there is a positive correlation between increasing Pr/(Pr+Ph) value and C</w:t>
      </w:r>
      <w:r w:rsidR="0078362F">
        <w:rPr>
          <w:vertAlign w:val="subscript"/>
        </w:rPr>
        <w:t xml:space="preserve">27 </w:t>
      </w:r>
      <w:r w:rsidR="0078362F">
        <w:t>diasteranes</w:t>
      </w:r>
      <w:r w:rsidR="00E91CE8">
        <w:t xml:space="preserve"> (</w:t>
      </w:r>
      <w:r w:rsidR="00E91CE8" w:rsidRPr="00ED00AA">
        <w:rPr>
          <w:b/>
        </w:rPr>
        <w:t>XXIV</w:t>
      </w:r>
      <w:r w:rsidR="00E91CE8">
        <w:t>)</w:t>
      </w:r>
      <w:r w:rsidR="0078362F">
        <w:t xml:space="preserve"> in Toarcian marine source rocks from southwest Germany</w:t>
      </w:r>
      <w:r w:rsidR="00A72152">
        <w:t xml:space="preserve">. </w:t>
      </w:r>
      <w:r w:rsidR="005B6F3E">
        <w:t>The authors</w:t>
      </w:r>
      <w:r w:rsidR="0078362F">
        <w:t xml:space="preserve"> proposed that oxicity and the clay content in the depositional environment are the two main factors </w:t>
      </w:r>
      <w:r w:rsidR="00464DBD">
        <w:t xml:space="preserve">controlling </w:t>
      </w:r>
      <w:r w:rsidR="0078362F">
        <w:t>such a pos</w:t>
      </w:r>
      <w:r w:rsidR="004E37D4">
        <w:t xml:space="preserve">itive correlation in a way that </w:t>
      </w:r>
      <w:r w:rsidR="003D60D4">
        <w:t>oxic</w:t>
      </w:r>
      <w:r w:rsidR="00464DBD">
        <w:t>/suboxic</w:t>
      </w:r>
      <w:r w:rsidR="003D60D4">
        <w:t xml:space="preserve"> </w:t>
      </w:r>
      <w:r w:rsidR="00464DBD">
        <w:t>shale strata</w:t>
      </w:r>
      <w:r w:rsidR="003D60D4">
        <w:t xml:space="preserve"> tend to have </w:t>
      </w:r>
      <w:r w:rsidR="00464DBD">
        <w:t>higher</w:t>
      </w:r>
      <w:r w:rsidR="003D60D4">
        <w:t xml:space="preserve"> </w:t>
      </w:r>
      <w:r w:rsidR="00464DBD" w:rsidRPr="00084AF9">
        <w:t>C</w:t>
      </w:r>
      <w:r w:rsidR="00464DBD" w:rsidRPr="00084AF9">
        <w:rPr>
          <w:vertAlign w:val="subscript"/>
        </w:rPr>
        <w:t>27</w:t>
      </w:r>
      <w:r w:rsidR="00464DBD">
        <w:t xml:space="preserve"> diasterane/</w:t>
      </w:r>
      <w:r w:rsidR="00464DBD" w:rsidRPr="00084AF9">
        <w:t>(C</w:t>
      </w:r>
      <w:r w:rsidR="00464DBD" w:rsidRPr="00084AF9">
        <w:rPr>
          <w:vertAlign w:val="subscript"/>
        </w:rPr>
        <w:t>27</w:t>
      </w:r>
      <w:r w:rsidR="003C1AF5">
        <w:t xml:space="preserve"> diasteranes+</w:t>
      </w:r>
      <w:r w:rsidR="00464DBD" w:rsidRPr="00084AF9">
        <w:t>C</w:t>
      </w:r>
      <w:r w:rsidR="00464DBD" w:rsidRPr="00084AF9">
        <w:rPr>
          <w:vertAlign w:val="subscript"/>
        </w:rPr>
        <w:t>27</w:t>
      </w:r>
      <w:r w:rsidR="00464DBD" w:rsidRPr="00084AF9">
        <w:t xml:space="preserve"> steranes)</w:t>
      </w:r>
      <w:r w:rsidR="00464DBD">
        <w:t xml:space="preserve"> and Pr/(Pr+Ph) value than the anoxic carbonates. </w:t>
      </w:r>
      <w:r w:rsidR="00841B55">
        <w:t>Besides their</w:t>
      </w:r>
      <w:r>
        <w:t xml:space="preserve"> utility as a facies indicator, diasteranes are also</w:t>
      </w:r>
      <w:r w:rsidR="001E786C">
        <w:t xml:space="preserve"> useful to assess</w:t>
      </w:r>
      <w:r>
        <w:t xml:space="preserve"> thermal maturity (Mackenzie et al.</w:t>
      </w:r>
      <w:r w:rsidR="00841B55">
        <w:t>,</w:t>
      </w:r>
      <w:r>
        <w:t xml:space="preserve"> 1980). </w:t>
      </w:r>
      <w:r w:rsidR="00841B55">
        <w:t>D</w:t>
      </w:r>
      <w:r>
        <w:t xml:space="preserve">iasteranes are more stable than regular steranes and therefore </w:t>
      </w:r>
      <w:r w:rsidR="00841B55">
        <w:t>become</w:t>
      </w:r>
      <w:r>
        <w:t xml:space="preserve"> more abundant with increasing maturity (Goodarzi et al.</w:t>
      </w:r>
      <w:r w:rsidR="00E91CE8">
        <w:t>,</w:t>
      </w:r>
      <w:r>
        <w:t xml:space="preserve"> 1989) and biodegradation (Waples and Machihara, 1991). However, their utility as a </w:t>
      </w:r>
      <w:r>
        <w:lastRenderedPageBreak/>
        <w:t xml:space="preserve">maturity indicator should be used with caution since lithology has a big impact on the diasterane conversion (Waples and Machihara, 1991). </w:t>
      </w:r>
    </w:p>
    <w:p w:rsidR="000F04D2" w:rsidRDefault="00841B55" w:rsidP="00F74C5D">
      <w:pPr>
        <w:ind w:firstLine="720"/>
        <w:jc w:val="both"/>
      </w:pPr>
      <w:r>
        <w:t>The Morrow source r</w:t>
      </w:r>
      <w:r w:rsidR="00F74C5D">
        <w:t>ocks, in general, are characterized with high concentration</w:t>
      </w:r>
      <w:r w:rsidR="0030156B">
        <w:t>s</w:t>
      </w:r>
      <w:r w:rsidR="00F74C5D">
        <w:t xml:space="preserve"> of diasteranes although their relative concentration is generally lower than the regular steranes.</w:t>
      </w:r>
      <w:r w:rsidR="001E60C0">
        <w:t xml:space="preserve"> The</w:t>
      </w:r>
      <w:r w:rsidR="00F74C5D">
        <w:t xml:space="preserve"> C</w:t>
      </w:r>
      <w:r w:rsidR="00F74C5D">
        <w:rPr>
          <w:vertAlign w:val="subscript"/>
        </w:rPr>
        <w:t xml:space="preserve">27 </w:t>
      </w:r>
      <w:r>
        <w:t>diasteranes are</w:t>
      </w:r>
      <w:r w:rsidR="00F74C5D">
        <w:t xml:space="preserve"> the most dominant among the others and in</w:t>
      </w:r>
      <w:r w:rsidR="00C4354B">
        <w:t xml:space="preserve"> a</w:t>
      </w:r>
      <w:r w:rsidR="00F74C5D">
        <w:t xml:space="preserve"> few samples </w:t>
      </w:r>
      <w:r>
        <w:t>their</w:t>
      </w:r>
      <w:r w:rsidR="00F74C5D">
        <w:t xml:space="preserve"> concentration</w:t>
      </w:r>
      <w:r>
        <w:t>s are</w:t>
      </w:r>
      <w:r w:rsidR="00F74C5D">
        <w:t xml:space="preserve"> even higher than the regular steranes such as</w:t>
      </w:r>
      <w:r>
        <w:t xml:space="preserve"> in</w:t>
      </w:r>
      <w:r w:rsidR="00F74C5D">
        <w:t xml:space="preserve"> MOR-2, MOR-57, MOR-68 and MOR-74. The high diasterane values in those samples is either maturity related </w:t>
      </w:r>
      <w:r w:rsidR="00A72152">
        <w:t>or related to</w:t>
      </w:r>
      <w:r w:rsidR="00F74C5D">
        <w:t xml:space="preserve"> high clay content and increasing oxic conditions in the deposition</w:t>
      </w:r>
      <w:r>
        <w:t xml:space="preserve">al environment. </w:t>
      </w:r>
    </w:p>
    <w:p w:rsidR="00FB3F87" w:rsidRDefault="00FB3F87" w:rsidP="00FB3F87">
      <w:pPr>
        <w:pStyle w:val="Balk3"/>
      </w:pPr>
      <w:bookmarkStart w:id="131" w:name="_Toc504658457"/>
      <w:bookmarkStart w:id="132" w:name="_Toc507506659"/>
      <w:r>
        <w:t>4.3.6. Polycyclic Aromatic Hydrocarbons</w:t>
      </w:r>
      <w:bookmarkEnd w:id="131"/>
      <w:bookmarkEnd w:id="132"/>
      <w:r>
        <w:tab/>
        <w:t xml:space="preserve"> </w:t>
      </w:r>
    </w:p>
    <w:p w:rsidR="00FB3F87" w:rsidRDefault="00FB3F87" w:rsidP="00FB3F87">
      <w:pPr>
        <w:ind w:firstLine="720"/>
        <w:jc w:val="both"/>
      </w:pPr>
      <w:r>
        <w:t>The polycyclic aromatic hydrocarbons (PAHs) of pyrolytic origin are the result of incomplete combustion of the organic matter present in the sediments and oils (</w:t>
      </w:r>
      <w:r w:rsidRPr="002C70D0">
        <w:t>Killops</w:t>
      </w:r>
      <w:r>
        <w:t xml:space="preserve"> and </w:t>
      </w:r>
      <w:r w:rsidRPr="002C70D0">
        <w:t>Massoud</w:t>
      </w:r>
      <w:r>
        <w:t>, 1992; Brewster et al.</w:t>
      </w:r>
      <w:r w:rsidR="00841B55">
        <w:t>,</w:t>
      </w:r>
      <w:r>
        <w:t xml:space="preserve"> 2017) while some of the PAHs are generated by the diagenetic and catagenetic alterations of the organic matter (Li et al., 2013). They are commonly found in high concentrations in the coals that derived from terrestrial higher plants </w:t>
      </w:r>
      <w:r w:rsidRPr="001527BE">
        <w:t>(Tissot and Welte, 1984</w:t>
      </w:r>
      <w:r>
        <w:t>; Armstroff et al.</w:t>
      </w:r>
      <w:r w:rsidR="00841B55">
        <w:t>,</w:t>
      </w:r>
      <w:r>
        <w:t xml:space="preserve"> 2006</w:t>
      </w:r>
      <w:r w:rsidRPr="001527BE">
        <w:t>)</w:t>
      </w:r>
      <w:r>
        <w:t xml:space="preserve"> and are widely found in the Late </w:t>
      </w:r>
      <w:r w:rsidRPr="00A22FDA">
        <w:t>Paleozoic sediments and oils due to the significant diversification and expansion of land plants during this period (Armstroff et al.</w:t>
      </w:r>
      <w:r w:rsidR="00841B55" w:rsidRPr="00A22FDA">
        <w:t>,</w:t>
      </w:r>
      <w:r w:rsidRPr="00A22FDA">
        <w:t xml:space="preserve"> 2006). </w:t>
      </w:r>
      <w:r w:rsidR="00A22FDA">
        <w:t xml:space="preserve">The main mechanisms that caused the generation of PAHs were </w:t>
      </w:r>
      <w:r w:rsidR="00A22FDA" w:rsidRPr="00A22FDA">
        <w:t>p</w:t>
      </w:r>
      <w:r w:rsidRPr="00A22FDA">
        <w:t>aleo-fires commenced with lig</w:t>
      </w:r>
      <w:r w:rsidR="00A22FDA">
        <w:t>htni</w:t>
      </w:r>
      <w:r w:rsidR="004277C5">
        <w:t xml:space="preserve">ng strikes (Chaloner, 1989), </w:t>
      </w:r>
      <w:r w:rsidRPr="00A22FDA">
        <w:t>igneous (Murchison and Raymond, 1989) and hydrothermal activi</w:t>
      </w:r>
      <w:r w:rsidR="00A22FDA" w:rsidRPr="00A22FDA">
        <w:t>t</w:t>
      </w:r>
      <w:r w:rsidR="00A22FDA">
        <w:t xml:space="preserve">ies (Kawka and </w:t>
      </w:r>
      <w:r w:rsidR="00A22FDA" w:rsidRPr="00A22FDA">
        <w:t xml:space="preserve">Simoneit, 1990) that result in </w:t>
      </w:r>
      <w:r w:rsidRPr="00A22FDA">
        <w:t xml:space="preserve">diagenetic and catagenetic alterations of the organic matter. </w:t>
      </w:r>
      <w:r>
        <w:t xml:space="preserve">Although the utility of PAHs in petroleum geochemistry is not as </w:t>
      </w:r>
      <w:r w:rsidR="00DE6717">
        <w:t>widespread</w:t>
      </w:r>
      <w:r>
        <w:t xml:space="preserve"> as aliphatic compounds</w:t>
      </w:r>
      <w:r w:rsidR="00DE6717">
        <w:t>,</w:t>
      </w:r>
      <w:r>
        <w:t xml:space="preserve"> they are widely accepted as maturity indicators,</w:t>
      </w:r>
      <w:r w:rsidR="00DE6717">
        <w:t xml:space="preserve"> and</w:t>
      </w:r>
      <w:r>
        <w:t xml:space="preserve"> can provide valuable information on the type of organic matter input, depositional environment, oil migration, </w:t>
      </w:r>
      <w:r>
        <w:lastRenderedPageBreak/>
        <w:t>paleo-wild fires, maturity or d</w:t>
      </w:r>
      <w:r w:rsidR="004277C5">
        <w:t xml:space="preserve">iagenesis of the organic matter </w:t>
      </w:r>
      <w:r>
        <w:t>(Sivan et al.</w:t>
      </w:r>
      <w:r w:rsidR="005020FB">
        <w:t>,</w:t>
      </w:r>
      <w:r>
        <w:t xml:space="preserve"> 2008). However, the identification and the interpretation of the PAHs should be made </w:t>
      </w:r>
      <w:r w:rsidR="001E60C0">
        <w:t>with</w:t>
      </w:r>
      <w:r>
        <w:t xml:space="preserve"> caution due to some uncertainties in their origin.</w:t>
      </w:r>
    </w:p>
    <w:p w:rsidR="00FB3F87" w:rsidRDefault="00FB3F87" w:rsidP="00FB3F87">
      <w:pPr>
        <w:ind w:firstLine="720"/>
        <w:jc w:val="both"/>
      </w:pPr>
      <w:r>
        <w:t>Since the i</w:t>
      </w:r>
      <w:r w:rsidRPr="00264985">
        <w:t>dentification</w:t>
      </w:r>
      <w:r>
        <w:t xml:space="preserve"> of</w:t>
      </w:r>
      <w:r w:rsidRPr="00264985">
        <w:t xml:space="preserve"> PAH</w:t>
      </w:r>
      <w:r>
        <w:t>s</w:t>
      </w:r>
      <w:r w:rsidRPr="00264985">
        <w:t xml:space="preserve"> </w:t>
      </w:r>
      <w:r w:rsidR="0030156B">
        <w:t xml:space="preserve">is difficult </w:t>
      </w:r>
      <w:r>
        <w:t>and they can be easily misidentified, a coal tar standard (</w:t>
      </w:r>
      <w:r w:rsidRPr="00264985">
        <w:t>S</w:t>
      </w:r>
      <w:r>
        <w:t xml:space="preserve">tandard Reference Material 1597 National Bureau of Standards) was used for the identification of the </w:t>
      </w:r>
      <w:r w:rsidRPr="00264985">
        <w:t xml:space="preserve">dibenzothiophenes, dibenzofurans, </w:t>
      </w:r>
      <w:r>
        <w:t>benzofluoranthenes, pyrenes, benzopyrenes, cadalene, chrysene</w:t>
      </w:r>
      <w:r w:rsidRPr="00264985">
        <w:t>, benzoanthracene, and triphenylene</w:t>
      </w:r>
      <w:r w:rsidR="00DE6717">
        <w:t xml:space="preserve"> compounds in the Morrow source r</w:t>
      </w:r>
      <w:r>
        <w:t>ock samples whose significance will be discussed in the following parts.</w:t>
      </w:r>
    </w:p>
    <w:p w:rsidR="00FB3F87" w:rsidRDefault="00FB3F87" w:rsidP="00FB3F87">
      <w:pPr>
        <w:pStyle w:val="Balk4"/>
        <w:rPr>
          <w:i/>
          <w:sz w:val="24"/>
        </w:rPr>
      </w:pPr>
      <w:bookmarkStart w:id="133" w:name="_Toc507506660"/>
      <w:r>
        <w:rPr>
          <w:i/>
          <w:sz w:val="24"/>
        </w:rPr>
        <w:t>4</w:t>
      </w:r>
      <w:r w:rsidRPr="00FB3F87">
        <w:rPr>
          <w:i/>
          <w:sz w:val="24"/>
        </w:rPr>
        <w:t>.3.6.1 PAHs as Depositional Environment and Source Indicator</w:t>
      </w:r>
      <w:bookmarkEnd w:id="133"/>
    </w:p>
    <w:p w:rsidR="00FB3F87" w:rsidRPr="00FB3F87" w:rsidRDefault="00FB3F87" w:rsidP="00FB3F87">
      <w:pPr>
        <w:pStyle w:val="Balk5"/>
        <w:rPr>
          <w:i w:val="0"/>
          <w:sz w:val="24"/>
        </w:rPr>
      </w:pPr>
      <w:bookmarkStart w:id="134" w:name="_Toc507506661"/>
      <w:r>
        <w:rPr>
          <w:i w:val="0"/>
          <w:sz w:val="24"/>
        </w:rPr>
        <w:t>4</w:t>
      </w:r>
      <w:r w:rsidRPr="00FB3F87">
        <w:rPr>
          <w:i w:val="0"/>
          <w:sz w:val="24"/>
        </w:rPr>
        <w:t>.3.6.1.1 Dibenzothiophene</w:t>
      </w:r>
      <w:bookmarkEnd w:id="134"/>
    </w:p>
    <w:p w:rsidR="00FB3F87" w:rsidRDefault="00FB3F87" w:rsidP="00FB3F87">
      <w:pPr>
        <w:jc w:val="both"/>
      </w:pPr>
      <w:r>
        <w:tab/>
        <w:t>Dibenzothiophene (DBT</w:t>
      </w:r>
      <w:r w:rsidR="00515F76">
        <w:t xml:space="preserve">; </w:t>
      </w:r>
      <w:r w:rsidR="00515F76" w:rsidRPr="00515F76">
        <w:rPr>
          <w:b/>
        </w:rPr>
        <w:t>XXV</w:t>
      </w:r>
      <w:r>
        <w:t>) is a sulfu</w:t>
      </w:r>
      <w:r w:rsidR="004277C5">
        <w:t xml:space="preserve">r-containing aromatic biomarker, </w:t>
      </w:r>
      <w:r>
        <w:t>which is highly resistant to biodegradation and increasing thermal maturity (Peters et al.</w:t>
      </w:r>
      <w:r w:rsidR="00DE6717">
        <w:t>,</w:t>
      </w:r>
      <w:r>
        <w:t xml:space="preserve"> 2005). It is widely associated with the H</w:t>
      </w:r>
      <w:r w:rsidRPr="002C2BC7">
        <w:rPr>
          <w:vertAlign w:val="subscript"/>
        </w:rPr>
        <w:t>2</w:t>
      </w:r>
      <w:r>
        <w:t>S rich anoxic conditions (</w:t>
      </w:r>
      <w:r w:rsidRPr="007325C9">
        <w:t>Hughes et al., 1995</w:t>
      </w:r>
      <w:r>
        <w:t>) and when coupled with another aromatic biomarker</w:t>
      </w:r>
      <w:r w:rsidR="00DE6717">
        <w:t xml:space="preserve">, </w:t>
      </w:r>
      <w:r>
        <w:t>phenanthrene (P</w:t>
      </w:r>
      <w:r w:rsidR="00515F76">
        <w:t xml:space="preserve">; </w:t>
      </w:r>
      <w:r w:rsidR="00515F76" w:rsidRPr="00515F76">
        <w:rPr>
          <w:b/>
        </w:rPr>
        <w:t>XXVI</w:t>
      </w:r>
      <w:r>
        <w:t xml:space="preserve">), it provides valuable information about the depositional environment. For instance, Hughes et al. (1995) proposed a depositional environment classification scheme in which </w:t>
      </w:r>
      <w:r w:rsidR="00DE6717">
        <w:t>the ratios of dibenzothiophene/phenanthrene and pristane/</w:t>
      </w:r>
      <w:r>
        <w:t xml:space="preserve">phytane were plotted </w:t>
      </w:r>
      <w:r w:rsidR="0030156B">
        <w:t>against</w:t>
      </w:r>
      <w:r>
        <w:t xml:space="preserve"> each other. The scheme is mainly divided into the five different depositional environments based on the redox conditions and the reduced sulfur amount present within the depositional environment (Hughes et al.</w:t>
      </w:r>
      <w:r w:rsidR="005020FB">
        <w:t>,</w:t>
      </w:r>
      <w:r>
        <w:t xml:space="preserve"> 1995). It provides a convenient and reliable approach to identify depositional environment</w:t>
      </w:r>
      <w:r w:rsidR="0030156B">
        <w:t>s</w:t>
      </w:r>
      <w:r>
        <w:t xml:space="preserve"> an</w:t>
      </w:r>
      <w:r w:rsidR="00DE6717">
        <w:t xml:space="preserve">d lithology of the source rocks since the ratios are </w:t>
      </w:r>
      <w:r>
        <w:t>resistant to biodegr</w:t>
      </w:r>
      <w:r w:rsidR="00DE6717">
        <w:t xml:space="preserve">adation and thermal alterations </w:t>
      </w:r>
      <w:r>
        <w:t>(Hughes et al.</w:t>
      </w:r>
      <w:r w:rsidR="00DE6717">
        <w:t>,</w:t>
      </w:r>
      <w:r>
        <w:t xml:space="preserve"> 1995). </w:t>
      </w:r>
    </w:p>
    <w:p w:rsidR="00FB3F87" w:rsidRDefault="00FB3F87" w:rsidP="00FB3F87">
      <w:pPr>
        <w:jc w:val="both"/>
      </w:pPr>
      <w:r>
        <w:lastRenderedPageBreak/>
        <w:tab/>
        <w:t>Dibenzothiophene and methyldibenzothiophenes (MDBT</w:t>
      </w:r>
      <w:r w:rsidR="00515F76">
        <w:t xml:space="preserve">; </w:t>
      </w:r>
      <w:r w:rsidR="00515F76" w:rsidRPr="00515F76">
        <w:rPr>
          <w:b/>
        </w:rPr>
        <w:t>XXVII</w:t>
      </w:r>
      <w:r>
        <w:t>)</w:t>
      </w:r>
      <w:r w:rsidR="00DE6717">
        <w:t xml:space="preserve"> were identified in the Morrow source r</w:t>
      </w:r>
      <w:r>
        <w:t xml:space="preserve">ock samples using m/z 184, m/z 198 and m/z 202 ion </w:t>
      </w:r>
      <w:r w:rsidRPr="00974AAF">
        <w:t xml:space="preserve">chromatograms as presented in the Figure </w:t>
      </w:r>
      <w:r w:rsidR="003C1AF5">
        <w:t>44</w:t>
      </w:r>
      <w:r w:rsidRPr="00974AAF">
        <w:t>. DBT and MDBT were detected in</w:t>
      </w:r>
      <w:r>
        <w:t xml:space="preserve"> considerabl</w:t>
      </w:r>
      <w:r w:rsidR="00DE6717">
        <w:t>e amounts in the Morrow source rock samples with</w:t>
      </w:r>
      <w:r>
        <w:t xml:space="preserve"> DBT being the most dominant and 1-MDBT being </w:t>
      </w:r>
      <w:r w:rsidRPr="00C15835">
        <w:t>the least abun</w:t>
      </w:r>
      <w:r w:rsidR="00DE6717">
        <w:t>dant dibenzothiophene homologue</w:t>
      </w:r>
      <w:r w:rsidR="00F832BC">
        <w:t xml:space="preserve">. Radke (1988) </w:t>
      </w:r>
      <w:r w:rsidRPr="00C15835">
        <w:t>suggested that</w:t>
      </w:r>
      <w:r>
        <w:t xml:space="preserve"> methyldibenzothiophenes </w:t>
      </w:r>
      <w:r w:rsidR="00DE6717">
        <w:t xml:space="preserve">were </w:t>
      </w:r>
      <w:r>
        <w:t xml:space="preserve">as useful as </w:t>
      </w:r>
      <w:r w:rsidR="001E60C0">
        <w:t xml:space="preserve">the </w:t>
      </w:r>
      <w:r>
        <w:t>methylphenanthrenes in terms of maturity assessment and added that 1-MDBT is thermally the least sta</w:t>
      </w:r>
      <w:r w:rsidR="00A553A1">
        <w:t xml:space="preserve">ble compound among other MDBTs. </w:t>
      </w:r>
      <w:r w:rsidR="00B76FB4">
        <w:t xml:space="preserve">Radke (1988) added that the calculated vitrinite reflectance (Rc%) is showing a strong correlation, as indicated by the correlation coefficient (r= 0.84), with the mean vitrinite reflectance value (Rm%) for the source rocks at the oil window. </w:t>
      </w:r>
      <w:r>
        <w:t xml:space="preserve">The proposed methyldibenzothiophenes ratio (MDR) and the equation for the mean </w:t>
      </w:r>
      <w:r w:rsidRPr="0005709E">
        <w:t xml:space="preserve">vitrinite reflectance value (Rm %) </w:t>
      </w:r>
      <w:r w:rsidR="00B76FB4" w:rsidRPr="0005709E">
        <w:t>are</w:t>
      </w:r>
      <w:r>
        <w:t xml:space="preserve"> as follows:</w:t>
      </w:r>
    </w:p>
    <w:p w:rsidR="00AF42CA" w:rsidRDefault="00AF42CA" w:rsidP="00FB3F87">
      <w:pPr>
        <w:jc w:val="both"/>
      </w:pPr>
    </w:p>
    <w:p w:rsidR="00FB3F87" w:rsidRPr="003C1AF5" w:rsidRDefault="00FB3F87" w:rsidP="00FB3F87">
      <w:pPr>
        <w:jc w:val="both"/>
      </w:pPr>
      <m:oMathPara>
        <m:oMathParaPr>
          <m:jc m:val="center"/>
        </m:oMathParaPr>
        <m:oMath>
          <m:r>
            <w:rPr>
              <w:rFonts w:ascii="Cambria Math" w:hAnsi="Cambria Math"/>
            </w:rPr>
            <m:t>MDR=</m:t>
          </m:r>
          <m:f>
            <m:fPr>
              <m:ctrlPr>
                <w:rPr>
                  <w:rFonts w:ascii="Cambria Math" w:hAnsi="Cambria Math"/>
                  <w:i/>
                </w:rPr>
              </m:ctrlPr>
            </m:fPr>
            <m:num>
              <m:r>
                <w:rPr>
                  <w:rFonts w:ascii="Cambria Math" w:hAnsi="Cambria Math"/>
                </w:rPr>
                <m:t>4-MDBT</m:t>
              </m:r>
            </m:num>
            <m:den>
              <m:r>
                <w:rPr>
                  <w:rFonts w:ascii="Cambria Math" w:hAnsi="Cambria Math"/>
                </w:rPr>
                <m:t>1-MDBT</m:t>
              </m:r>
            </m:den>
          </m:f>
        </m:oMath>
      </m:oMathPara>
    </w:p>
    <w:p w:rsidR="003C1AF5" w:rsidRDefault="003C1AF5" w:rsidP="00FB3F87">
      <w:pPr>
        <w:jc w:val="both"/>
      </w:pPr>
      <w:r>
        <w:rPr>
          <w:noProof/>
          <w:lang w:val="tr-TR" w:eastAsia="tr-TR" w:bidi="ar-SA"/>
        </w:rPr>
        <mc:AlternateContent>
          <mc:Choice Requires="wps">
            <w:drawing>
              <wp:anchor distT="45720" distB="45720" distL="114300" distR="114300" simplePos="0" relativeHeight="251677696" behindDoc="0" locked="0" layoutInCell="1" allowOverlap="1">
                <wp:simplePos x="0" y="0"/>
                <wp:positionH relativeFrom="margin">
                  <wp:posOffset>3585210</wp:posOffset>
                </wp:positionH>
                <wp:positionV relativeFrom="paragraph">
                  <wp:posOffset>66675</wp:posOffset>
                </wp:positionV>
                <wp:extent cx="1381125" cy="400050"/>
                <wp:effectExtent l="0" t="0" r="9525" b="0"/>
                <wp:wrapSquare wrapText="bothSides"/>
                <wp:docPr id="9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400050"/>
                        </a:xfrm>
                        <a:prstGeom prst="rect">
                          <a:avLst/>
                        </a:prstGeom>
                        <a:solidFill>
                          <a:srgbClr val="FFFFFF"/>
                        </a:solidFill>
                        <a:ln w="9525">
                          <a:noFill/>
                          <a:miter lim="800000"/>
                          <a:headEnd/>
                          <a:tailEnd/>
                        </a:ln>
                      </wps:spPr>
                      <wps:txbx>
                        <w:txbxContent>
                          <w:p w:rsidR="008875B3" w:rsidRDefault="008875B3" w:rsidP="00FB3F87">
                            <w:r>
                              <w:t>Radke (1988)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82.3pt;margin-top:5.25pt;width:108.75pt;height:31.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" stroked="f">
                <v:textbox>
                  <w:txbxContent>
                    <w:p w:rsidR="008875B3" w:rsidRDefault="008875B3" w:rsidP="00FB3F87">
                      <w:r>
                        <w:t>Radke (1988)</w:t>
                      </w:r>
                    </w:p>
                  </w:txbxContent>
                </v:textbox>
                <w10:wrap type="square" anchorx="margin"/>
              </v:shape>
            </w:pict>
          </mc:Fallback>
        </mc:AlternateContent>
      </w:r>
    </w:p>
    <w:p w:rsidR="003C1AF5" w:rsidRDefault="00A47647" w:rsidP="00FB3F87">
      <w:pPr>
        <w:jc w:val="both"/>
      </w:pPr>
      <w:r>
        <w:rPr>
          <w:noProof/>
          <w:lang w:val="tr-TR" w:eastAsia="tr-TR" w:bidi="ar-SA"/>
        </w:rPr>
        <mc:AlternateContent>
          <mc:Choice Requires="wps">
            <w:drawing>
              <wp:anchor distT="45720" distB="45720" distL="114300" distR="114300" simplePos="0" relativeHeight="251676672" behindDoc="0" locked="0" layoutInCell="1" allowOverlap="1">
                <wp:simplePos x="0" y="0"/>
                <wp:positionH relativeFrom="margin">
                  <wp:posOffset>3709201</wp:posOffset>
                </wp:positionH>
                <wp:positionV relativeFrom="paragraph">
                  <wp:posOffset>576800</wp:posOffset>
                </wp:positionV>
                <wp:extent cx="1076325" cy="400050"/>
                <wp:effectExtent l="0" t="0" r="9525" b="0"/>
                <wp:wrapSquare wrapText="bothSides"/>
                <wp:docPr id="9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00050"/>
                        </a:xfrm>
                        <a:prstGeom prst="rect">
                          <a:avLst/>
                        </a:prstGeom>
                        <a:solidFill>
                          <a:srgbClr val="FFFFFF"/>
                        </a:solidFill>
                        <a:ln w="9525">
                          <a:noFill/>
                          <a:miter lim="800000"/>
                          <a:headEnd/>
                          <a:tailEnd/>
                        </a:ln>
                      </wps:spPr>
                      <wps:txbx>
                        <w:txbxContent>
                          <w:p w:rsidR="008875B3" w:rsidRDefault="008875B3" w:rsidP="00FB3F87">
                            <w:r>
                              <w:t>Radke (1988)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92.05pt;margin-top:45.4pt;width:84.75pt;height:31.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" stroked="f">
                <v:textbox>
                  <w:txbxContent>
                    <w:p w:rsidR="008875B3" w:rsidRDefault="008875B3" w:rsidP="00FB3F87">
                      <w:r>
                        <w:t>Radke (1988)</w:t>
                      </w:r>
                    </w:p>
                  </w:txbxContent>
                </v:textbox>
                <w10:wrap type="square" anchorx="margin"/>
              </v:shape>
            </w:pict>
          </mc:Fallback>
        </mc:AlternateContent>
      </w:r>
    </w:p>
    <w:p w:rsidR="00B76FB4" w:rsidRPr="003C1AF5" w:rsidRDefault="00AF42CA" w:rsidP="00FB3F87">
      <w:pPr>
        <w:jc w:val="both"/>
      </w:pPr>
      <m:oMathPara>
        <m:oMathParaPr>
          <m:jc m:val="center"/>
        </m:oMathParaPr>
        <m:oMath>
          <m:r>
            <w:rPr>
              <w:rFonts w:ascii="Cambria Math" w:hAnsi="Cambria Math"/>
            </w:rPr>
            <m:t>Rm %=0.51+</m:t>
          </m:r>
          <m:d>
            <m:dPr>
              <m:ctrlPr>
                <w:rPr>
                  <w:rFonts w:ascii="Cambria Math" w:hAnsi="Cambria Math"/>
                  <w:i/>
                </w:rPr>
              </m:ctrlPr>
            </m:dPr>
            <m:e>
              <m:r>
                <w:rPr>
                  <w:rFonts w:ascii="Cambria Math" w:hAnsi="Cambria Math"/>
                </w:rPr>
                <m:t>0.073*MDR</m:t>
              </m:r>
            </m:e>
          </m:d>
        </m:oMath>
      </m:oMathPara>
    </w:p>
    <w:p w:rsidR="00A47647" w:rsidRDefault="00A47647" w:rsidP="00FB3F87">
      <w:pPr>
        <w:jc w:val="both"/>
      </w:pPr>
    </w:p>
    <w:p w:rsidR="00A47647" w:rsidRDefault="00A47647" w:rsidP="00A47647">
      <w:pPr>
        <w:ind w:firstLine="720"/>
      </w:pPr>
    </w:p>
    <w:p w:rsidR="00A47647" w:rsidRDefault="00A47647" w:rsidP="00F832BC">
      <w:pPr>
        <w:ind w:firstLine="720"/>
        <w:jc w:val="both"/>
      </w:pPr>
      <w:r w:rsidRPr="00CB219F">
        <w:t xml:space="preserve">The average MDR for the Wang (1993) source rock samples is 9.34 and the corresponding mean vitrinite reflectance, Rm%, value is 1.19 indicating that they are mainly in the late oil window. </w:t>
      </w:r>
      <w:r w:rsidR="001E60C0">
        <w:t xml:space="preserve">The </w:t>
      </w:r>
      <w:r w:rsidRPr="00CB219F">
        <w:t>average MDR of the Kephart-I Well</w:t>
      </w:r>
      <w:r w:rsidRPr="00A47647">
        <w:t xml:space="preserve"> </w:t>
      </w:r>
      <w:r w:rsidRPr="00CB219F">
        <w:t>is 4.05 and the corresponding Rm % value is 0.81 indicating that the Kephart-I</w:t>
      </w:r>
      <w:r w:rsidR="00F832BC">
        <w:t xml:space="preserve"> </w:t>
      </w:r>
      <w:r w:rsidR="00F832BC" w:rsidRPr="00CB219F">
        <w:t>is in the</w:t>
      </w:r>
      <w:r w:rsidR="00F832BC">
        <w:t xml:space="preserve"> </w:t>
      </w:r>
      <w:r w:rsidR="00F832BC" w:rsidRPr="00CB219F">
        <w:t>peak oil</w:t>
      </w:r>
    </w:p>
    <w:p w:rsidR="00A47647" w:rsidRPr="00A47647" w:rsidRDefault="00A47647" w:rsidP="00A47647">
      <w:pPr>
        <w:tabs>
          <w:tab w:val="left" w:pos="5071"/>
        </w:tabs>
      </w:pPr>
    </w:p>
    <w:p w:rsidR="003C1AF5" w:rsidRDefault="00974AAF" w:rsidP="003C1AF5">
      <w:pPr>
        <w:keepNext/>
        <w:jc w:val="center"/>
      </w:pPr>
      <w:r>
        <w:rPr>
          <w:noProof/>
          <w:lang w:val="tr-TR" w:eastAsia="tr-TR" w:bidi="ar-SA"/>
        </w:rPr>
        <w:drawing>
          <wp:inline distT="0" distB="0" distL="0" distR="0" wp14:anchorId="3A608DC1">
            <wp:extent cx="4162077" cy="4600575"/>
            <wp:effectExtent l="0" t="0" r="0" b="0"/>
            <wp:docPr id="88"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73">
                      <a:extLst>
                        <a:ext uri="{28A0092B-C50C-407E-A947-70E740481C1C}">
                          <a14:useLocalDpi xmlns:a14="http://schemas.microsoft.com/office/drawing/2010/main" val="0"/>
                        </a:ext>
                      </a:extLst>
                    </a:blip>
                    <a:srcRect l="17480" t="1012" r="12860" b="3147"/>
                    <a:stretch/>
                  </pic:blipFill>
                  <pic:spPr bwMode="auto">
                    <a:xfrm>
                      <a:off x="0" y="0"/>
                      <a:ext cx="4208672" cy="4652079"/>
                    </a:xfrm>
                    <a:prstGeom prst="rect">
                      <a:avLst/>
                    </a:prstGeom>
                    <a:noFill/>
                    <a:ln>
                      <a:noFill/>
                    </a:ln>
                    <a:extLst>
                      <a:ext uri="{53640926-AAD7-44D8-BBD7-CCE9431645EC}">
                        <a14:shadowObscured xmlns:a14="http://schemas.microsoft.com/office/drawing/2010/main"/>
                      </a:ext>
                    </a:extLst>
                  </pic:spPr>
                </pic:pic>
              </a:graphicData>
            </a:graphic>
          </wp:inline>
        </w:drawing>
      </w:r>
    </w:p>
    <w:p w:rsidR="00974AAF" w:rsidRDefault="003C1AF5" w:rsidP="003C1AF5">
      <w:pPr>
        <w:pStyle w:val="ResimYazs"/>
        <w:jc w:val="both"/>
      </w:pPr>
      <w:bookmarkStart w:id="135" w:name="_Toc507509092"/>
      <w:r>
        <w:t xml:space="preserve">Figure </w:t>
      </w:r>
      <w:fldSimple w:instr=" SEQ Figure \* ARABIC ">
        <w:r w:rsidR="003F6459">
          <w:rPr>
            <w:noProof/>
          </w:rPr>
          <w:t>44</w:t>
        </w:r>
      </w:fldSimple>
      <w:r>
        <w:t xml:space="preserve">. </w:t>
      </w:r>
      <w:r>
        <w:rPr>
          <w:b w:val="0"/>
        </w:rPr>
        <w:t>Identification of DBT</w:t>
      </w:r>
      <w:r w:rsidR="007B0878">
        <w:rPr>
          <w:b w:val="0"/>
        </w:rPr>
        <w:t>,</w:t>
      </w:r>
      <w:r>
        <w:rPr>
          <w:b w:val="0"/>
        </w:rPr>
        <w:t xml:space="preserve"> MDBT and DMDBT (a: 4-MDBT; b: 2-+3-MDBT; c: 1-MDBT)</w:t>
      </w:r>
      <w:bookmarkEnd w:id="135"/>
    </w:p>
    <w:p w:rsidR="000F04D2" w:rsidRDefault="000F04D2" w:rsidP="00A47647">
      <w:pPr>
        <w:spacing w:line="276" w:lineRule="auto"/>
      </w:pPr>
    </w:p>
    <w:p w:rsidR="00974AAF" w:rsidRDefault="00CB219F" w:rsidP="00974AAF">
      <w:pPr>
        <w:jc w:val="both"/>
      </w:pPr>
      <w:r w:rsidRPr="00CB219F">
        <w:t>generation window</w:t>
      </w:r>
      <w:r w:rsidR="00974AAF" w:rsidRPr="00CB219F">
        <w:t xml:space="preserve">. Finally, the average MDR of the Laverne-State-I Well is 3.04 and the corresponding Rm % is 0.74 indicating that the samples are thermally mature and in the early oil window. </w:t>
      </w:r>
      <w:r w:rsidR="00592A3F" w:rsidRPr="00CB219F">
        <w:t xml:space="preserve">The calculated MDR and Rm % values are given in the </w:t>
      </w:r>
      <w:r w:rsidR="00A67828" w:rsidRPr="00CB219F">
        <w:t>Table 1</w:t>
      </w:r>
      <w:r w:rsidR="00A47647">
        <w:t>2</w:t>
      </w:r>
      <w:r w:rsidR="00A67828" w:rsidRPr="00CB219F">
        <w:t>.</w:t>
      </w:r>
    </w:p>
    <w:p w:rsidR="00A47647" w:rsidRDefault="00DE6717" w:rsidP="00F832BC">
      <w:pPr>
        <w:ind w:firstLine="720"/>
        <w:jc w:val="both"/>
      </w:pPr>
      <w:r>
        <w:t>T</w:t>
      </w:r>
      <w:r w:rsidR="001A52E3">
        <w:t xml:space="preserve">he cross </w:t>
      </w:r>
      <w:r w:rsidR="00974AAF">
        <w:t>plot of the DBT/P</w:t>
      </w:r>
      <w:r>
        <w:t xml:space="preserve"> vs</w:t>
      </w:r>
      <w:r w:rsidR="007B0878">
        <w:t>.</w:t>
      </w:r>
      <w:r>
        <w:t xml:space="preserve"> Pr/Ph ratios of the Morrow source r</w:t>
      </w:r>
      <w:r w:rsidR="00974AAF">
        <w:t xml:space="preserve">ock samples are dispersed in three zones. For instance, </w:t>
      </w:r>
      <w:r>
        <w:t>the Wang (1993) s</w:t>
      </w:r>
      <w:r w:rsidR="00974AAF">
        <w:t xml:space="preserve">ource </w:t>
      </w:r>
      <w:r>
        <w:t>r</w:t>
      </w:r>
      <w:r w:rsidR="00974AAF" w:rsidRPr="00592A3F">
        <w:t xml:space="preserve">ock samples and the majority of the Kephart-I Well samples fall into Zone 3 which is associated with either </w:t>
      </w:r>
    </w:p>
    <w:p w:rsidR="00F832BC" w:rsidRDefault="00F832BC" w:rsidP="00974AAF">
      <w:pPr>
        <w:ind w:firstLine="720"/>
        <w:jc w:val="both"/>
      </w:pPr>
    </w:p>
    <w:p w:rsidR="00A47647" w:rsidRPr="00A47647" w:rsidRDefault="00A47647" w:rsidP="00A47647">
      <w:pPr>
        <w:pStyle w:val="ResimYazs"/>
      </w:pPr>
      <w:bookmarkStart w:id="136" w:name="_Toc507508802"/>
      <w:r w:rsidRPr="00A47647">
        <w:lastRenderedPageBreak/>
        <w:t xml:space="preserve">Table </w:t>
      </w:r>
      <w:fldSimple w:instr=" SEQ Table \* ARABIC ">
        <w:r w:rsidR="003F6459">
          <w:rPr>
            <w:noProof/>
          </w:rPr>
          <w:t>12</w:t>
        </w:r>
      </w:fldSimple>
      <w:r w:rsidRPr="00A47647">
        <w:t xml:space="preserve">. </w:t>
      </w:r>
      <w:r w:rsidRPr="00A47647">
        <w:rPr>
          <w:b w:val="0"/>
        </w:rPr>
        <w:t>Calculated ratios of DBT/P, MPI-1, Rc%, log(1,2,5-TMN/1,3,6-TMN), log(1,2,7-TMN/1,3,7-TMN), BaA/(BaA+Chrysene), MDR, Rm%</w:t>
      </w:r>
      <w:bookmarkEnd w:id="136"/>
    </w:p>
    <w:p w:rsidR="00A47647" w:rsidRDefault="005A6BDB" w:rsidP="00A47647">
      <w:pPr>
        <w:jc w:val="both"/>
      </w:pPr>
      <w:r w:rsidRPr="005A6BDB">
        <w:rPr>
          <w:noProof/>
          <w:lang w:val="tr-TR" w:eastAsia="tr-TR" w:bidi="ar-SA"/>
        </w:rPr>
        <w:drawing>
          <wp:inline distT="0" distB="0" distL="0" distR="0">
            <wp:extent cx="5394819" cy="7717809"/>
            <wp:effectExtent l="0" t="0" r="0" b="0"/>
            <wp:docPr id="76" name="Res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99406" cy="7724372"/>
                    </a:xfrm>
                    <a:prstGeom prst="rect">
                      <a:avLst/>
                    </a:prstGeom>
                    <a:noFill/>
                    <a:ln>
                      <a:noFill/>
                    </a:ln>
                  </pic:spPr>
                </pic:pic>
              </a:graphicData>
            </a:graphic>
          </wp:inline>
        </w:drawing>
      </w:r>
    </w:p>
    <w:p w:rsidR="00974AAF" w:rsidRDefault="00974AAF" w:rsidP="00A47647">
      <w:pPr>
        <w:jc w:val="both"/>
      </w:pPr>
      <w:r w:rsidRPr="00592A3F">
        <w:lastRenderedPageBreak/>
        <w:t xml:space="preserve">marine or lacustrine shales (Figure </w:t>
      </w:r>
      <w:r w:rsidR="00592A3F" w:rsidRPr="00592A3F">
        <w:t>4</w:t>
      </w:r>
      <w:r w:rsidR="003C1AF5">
        <w:t>5</w:t>
      </w:r>
      <w:r w:rsidRPr="00592A3F">
        <w:t>). However, the upper</w:t>
      </w:r>
      <w:r w:rsidR="0030156B">
        <w:t xml:space="preserve"> parts of the Kephart-I well have</w:t>
      </w:r>
      <w:r w:rsidRPr="00592A3F">
        <w:t xml:space="preserve"> lower Pr/Ph values that caused samples to fall into Zone 2 in the cross</w:t>
      </w:r>
      <w:r w:rsidR="001A52E3">
        <w:t xml:space="preserve"> </w:t>
      </w:r>
      <w:r w:rsidRPr="00592A3F">
        <w:t xml:space="preserve">plot. Zone-2 </w:t>
      </w:r>
      <w:r w:rsidR="00DE6717">
        <w:t>indicates a</w:t>
      </w:r>
      <w:r w:rsidRPr="00592A3F">
        <w:t xml:space="preserve"> sulfate-poor lacustrine depositional environment and</w:t>
      </w:r>
      <w:r w:rsidR="00DE6717">
        <w:t xml:space="preserve"> for the Morrow source r</w:t>
      </w:r>
      <w:r w:rsidRPr="00592A3F">
        <w:t xml:space="preserve">ocks it </w:t>
      </w:r>
      <w:r w:rsidR="00DE6717">
        <w:t>can also possibly be</w:t>
      </w:r>
      <w:r w:rsidRPr="00592A3F">
        <w:t xml:space="preserve"> interpreted as increasing carbonate content and reducing conditions in the depositional environment. The Laverne-State-I samples show different origins as </w:t>
      </w:r>
      <w:r w:rsidR="0084487F">
        <w:t xml:space="preserve">the </w:t>
      </w:r>
      <w:r w:rsidRPr="00592A3F">
        <w:t>H-3</w:t>
      </w:r>
      <w:r w:rsidR="0084487F">
        <w:t xml:space="preserve"> sample</w:t>
      </w:r>
      <w:r w:rsidRPr="00592A3F">
        <w:t xml:space="preserve"> fall into Zone 4 which is associated with the carbonaceous shale or coal deposited under fluvio-deltaic depositional environment, while </w:t>
      </w:r>
      <w:r w:rsidR="0084487F">
        <w:t xml:space="preserve">the </w:t>
      </w:r>
      <w:r w:rsidRPr="00592A3F">
        <w:t xml:space="preserve">H-2 </w:t>
      </w:r>
      <w:r w:rsidR="0084487F">
        <w:t xml:space="preserve">sample </w:t>
      </w:r>
      <w:r w:rsidRPr="00592A3F">
        <w:t>fall</w:t>
      </w:r>
      <w:r w:rsidR="00C4354B">
        <w:t>s</w:t>
      </w:r>
      <w:r w:rsidRPr="00592A3F">
        <w:t xml:space="preserve"> into Zone-3</w:t>
      </w:r>
      <w:r w:rsidR="00DE6717">
        <w:t xml:space="preserve"> as the majority of the Morrow source r</w:t>
      </w:r>
      <w:r w:rsidRPr="00592A3F">
        <w:t xml:space="preserve">ocks (Figure </w:t>
      </w:r>
      <w:r w:rsidR="003C1AF5">
        <w:t>45</w:t>
      </w:r>
      <w:r w:rsidR="00DE6717">
        <w:t>)</w:t>
      </w:r>
      <w:r w:rsidRPr="00592A3F">
        <w:t>.</w:t>
      </w:r>
      <w:r>
        <w:t xml:space="preserve"> </w:t>
      </w:r>
    </w:p>
    <w:p w:rsidR="001E60C0" w:rsidRDefault="001E60C0" w:rsidP="00A47647">
      <w:pPr>
        <w:jc w:val="both"/>
      </w:pPr>
    </w:p>
    <w:p w:rsidR="003C1AF5" w:rsidRDefault="00A553A1" w:rsidP="003C1AF5">
      <w:pPr>
        <w:keepNext/>
        <w:jc w:val="center"/>
      </w:pPr>
      <w:r w:rsidRPr="00A553A1">
        <w:rPr>
          <w:noProof/>
          <w:lang w:val="tr-TR" w:eastAsia="tr-TR" w:bidi="ar-SA"/>
        </w:rPr>
        <w:drawing>
          <wp:inline distT="0" distB="0" distL="0" distR="0" wp14:anchorId="7AA178DE" wp14:editId="5D514183">
            <wp:extent cx="5394960" cy="4095750"/>
            <wp:effectExtent l="19050" t="19050" r="15240" b="19050"/>
            <wp:docPr id="7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75"/>
                    <a:stretch>
                      <a:fillRect/>
                    </a:stretch>
                  </pic:blipFill>
                  <pic:spPr>
                    <a:xfrm>
                      <a:off x="0" y="0"/>
                      <a:ext cx="5394960" cy="4095750"/>
                    </a:xfrm>
                    <a:prstGeom prst="rect">
                      <a:avLst/>
                    </a:prstGeom>
                    <a:ln>
                      <a:solidFill>
                        <a:schemeClr val="tx1"/>
                      </a:solidFill>
                    </a:ln>
                  </pic:spPr>
                </pic:pic>
              </a:graphicData>
            </a:graphic>
          </wp:inline>
        </w:drawing>
      </w:r>
    </w:p>
    <w:p w:rsidR="00974AAF" w:rsidRDefault="003C1AF5" w:rsidP="003C1AF5">
      <w:pPr>
        <w:pStyle w:val="ResimYazs"/>
        <w:jc w:val="both"/>
        <w:rPr>
          <w:b w:val="0"/>
        </w:rPr>
      </w:pPr>
      <w:bookmarkStart w:id="137" w:name="_Toc507509093"/>
      <w:r>
        <w:t xml:space="preserve">Figure </w:t>
      </w:r>
      <w:fldSimple w:instr=" SEQ Figure \* ARABIC ">
        <w:r w:rsidR="003F6459">
          <w:rPr>
            <w:noProof/>
          </w:rPr>
          <w:t>45</w:t>
        </w:r>
      </w:fldSimple>
      <w:r>
        <w:t xml:space="preserve">. </w:t>
      </w:r>
      <w:r w:rsidR="001A52E3">
        <w:rPr>
          <w:b w:val="0"/>
        </w:rPr>
        <w:t xml:space="preserve">Cross </w:t>
      </w:r>
      <w:r w:rsidRPr="00592A3F">
        <w:rPr>
          <w:b w:val="0"/>
        </w:rPr>
        <w:t>plot of the DBT/P vs</w:t>
      </w:r>
      <w:r w:rsidR="007B0878">
        <w:rPr>
          <w:b w:val="0"/>
        </w:rPr>
        <w:t>.</w:t>
      </w:r>
      <w:r w:rsidRPr="00592A3F">
        <w:rPr>
          <w:b w:val="0"/>
        </w:rPr>
        <w:t xml:space="preserve"> Pr/Ph providing a novel and convenient way to identify source rock depositional environments and lithologies (Modified after Hughes et al., 1995).</w:t>
      </w:r>
      <w:bookmarkEnd w:id="137"/>
    </w:p>
    <w:p w:rsidR="00A47647" w:rsidRDefault="00A47647" w:rsidP="00A47647"/>
    <w:p w:rsidR="00592A3F" w:rsidRPr="00592A3F" w:rsidRDefault="00592A3F" w:rsidP="00592A3F">
      <w:pPr>
        <w:pStyle w:val="Balk5"/>
        <w:rPr>
          <w:i w:val="0"/>
          <w:sz w:val="24"/>
        </w:rPr>
      </w:pPr>
      <w:bookmarkStart w:id="138" w:name="_Toc507506662"/>
      <w:r>
        <w:rPr>
          <w:i w:val="0"/>
          <w:sz w:val="24"/>
        </w:rPr>
        <w:lastRenderedPageBreak/>
        <w:t>4</w:t>
      </w:r>
      <w:r w:rsidRPr="00592A3F">
        <w:rPr>
          <w:i w:val="0"/>
          <w:sz w:val="24"/>
        </w:rPr>
        <w:t>.3.6.1.2 Alkylnaphthalenes</w:t>
      </w:r>
      <w:bookmarkEnd w:id="138"/>
    </w:p>
    <w:p w:rsidR="00592A3F" w:rsidRDefault="00592A3F" w:rsidP="00592A3F">
      <w:pPr>
        <w:ind w:firstLine="720"/>
        <w:jc w:val="both"/>
      </w:pPr>
      <w:r>
        <w:t>High concentration</w:t>
      </w:r>
      <w:r w:rsidR="001250B8">
        <w:t>s</w:t>
      </w:r>
      <w:r>
        <w:t xml:space="preserve"> of alkylnaphthale</w:t>
      </w:r>
      <w:r w:rsidR="001250B8">
        <w:t>nes</w:t>
      </w:r>
      <w:r w:rsidR="00515F76">
        <w:t xml:space="preserve"> (</w:t>
      </w:r>
      <w:r w:rsidR="00515F76" w:rsidRPr="00515F76">
        <w:rPr>
          <w:b/>
        </w:rPr>
        <w:t>XXVIII</w:t>
      </w:r>
      <w:r w:rsidR="00515F76">
        <w:t>)</w:t>
      </w:r>
      <w:r w:rsidR="001250B8">
        <w:t xml:space="preserve"> are observed in the Morrow source rock samples and a </w:t>
      </w:r>
      <w:r>
        <w:t>representative distribution</w:t>
      </w:r>
      <w:r w:rsidRPr="00972381">
        <w:t xml:space="preserve"> of </w:t>
      </w:r>
      <w:r>
        <w:t xml:space="preserve">the alkyl naphthalenes is given in </w:t>
      </w:r>
      <w:r w:rsidRPr="005E71B4">
        <w:t>Figure 4</w:t>
      </w:r>
      <w:r w:rsidR="003C1AF5">
        <w:t>6</w:t>
      </w:r>
      <w:r w:rsidRPr="005E71B4">
        <w:t xml:space="preserve"> while Table </w:t>
      </w:r>
      <w:r w:rsidR="00593307">
        <w:t>1</w:t>
      </w:r>
      <w:r w:rsidR="00A47647">
        <w:t>3</w:t>
      </w:r>
      <w:r w:rsidRPr="005E71B4">
        <w:t xml:space="preserve"> sh</w:t>
      </w:r>
      <w:r w:rsidR="001250B8">
        <w:t xml:space="preserve">ows the compound identifications. </w:t>
      </w:r>
    </w:p>
    <w:p w:rsidR="003C1AF5" w:rsidRDefault="003C1AF5" w:rsidP="003C1AF5">
      <w:pPr>
        <w:keepNext/>
        <w:jc w:val="both"/>
      </w:pPr>
      <w:r>
        <w:rPr>
          <w:noProof/>
          <w:lang w:val="tr-TR" w:eastAsia="tr-TR" w:bidi="ar-SA"/>
        </w:rPr>
        <w:drawing>
          <wp:inline distT="0" distB="0" distL="0" distR="0" wp14:anchorId="10A1D7D7" wp14:editId="2BE206F5">
            <wp:extent cx="5132070" cy="6191250"/>
            <wp:effectExtent l="0" t="0" r="0" b="0"/>
            <wp:docPr id="92"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163173" cy="6228772"/>
                    </a:xfrm>
                    <a:prstGeom prst="rect">
                      <a:avLst/>
                    </a:prstGeom>
                    <a:noFill/>
                  </pic:spPr>
                </pic:pic>
              </a:graphicData>
            </a:graphic>
          </wp:inline>
        </w:drawing>
      </w:r>
    </w:p>
    <w:p w:rsidR="003C1AF5" w:rsidRDefault="003C1AF5" w:rsidP="003C1AF5">
      <w:pPr>
        <w:pStyle w:val="ResimYazs"/>
        <w:jc w:val="both"/>
        <w:rPr>
          <w:b w:val="0"/>
        </w:rPr>
      </w:pPr>
      <w:bookmarkStart w:id="139" w:name="_Toc507509094"/>
      <w:r>
        <w:t xml:space="preserve">Figure </w:t>
      </w:r>
      <w:fldSimple w:instr=" SEQ Figure \* ARABIC ">
        <w:r w:rsidR="003F6459">
          <w:rPr>
            <w:noProof/>
          </w:rPr>
          <w:t>46</w:t>
        </w:r>
      </w:fldSimple>
      <w:r w:rsidRPr="00045529">
        <w:t xml:space="preserve">. </w:t>
      </w:r>
      <w:r w:rsidRPr="00045529">
        <w:rPr>
          <w:b w:val="0"/>
        </w:rPr>
        <w:t>Mass chromatograms</w:t>
      </w:r>
      <w:r w:rsidRPr="00045529">
        <w:t xml:space="preserve"> (</w:t>
      </w:r>
      <w:r w:rsidRPr="00045529">
        <w:rPr>
          <w:b w:val="0"/>
        </w:rPr>
        <w:t xml:space="preserve">m/z </w:t>
      </w:r>
      <w:r w:rsidR="00045529" w:rsidRPr="00045529">
        <w:rPr>
          <w:b w:val="0"/>
        </w:rPr>
        <w:t>142+156+</w:t>
      </w:r>
      <w:r w:rsidRPr="00045529">
        <w:rPr>
          <w:b w:val="0"/>
        </w:rPr>
        <w:t>170+184+198+212) of the naphthalene compounds in the Morrow Shale</w:t>
      </w:r>
      <w:bookmarkEnd w:id="139"/>
    </w:p>
    <w:p w:rsidR="003C1AF5" w:rsidRPr="005E71B4" w:rsidRDefault="003C1AF5" w:rsidP="00FA1C38">
      <w:pPr>
        <w:pStyle w:val="ResimYazs"/>
        <w:keepNext/>
        <w:jc w:val="center"/>
        <w:rPr>
          <w:b w:val="0"/>
        </w:rPr>
      </w:pPr>
      <w:bookmarkStart w:id="140" w:name="_Toc507508803"/>
      <w:r>
        <w:lastRenderedPageBreak/>
        <w:t xml:space="preserve">Table </w:t>
      </w:r>
      <w:fldSimple w:instr=" SEQ Table \* ARABIC ">
        <w:r w:rsidR="003F6459">
          <w:rPr>
            <w:noProof/>
          </w:rPr>
          <w:t>13</w:t>
        </w:r>
      </w:fldSimple>
      <w:r>
        <w:t xml:space="preserve">. </w:t>
      </w:r>
      <w:r>
        <w:rPr>
          <w:b w:val="0"/>
        </w:rPr>
        <w:t xml:space="preserve">Naphthalene compound identification </w:t>
      </w:r>
      <w:r>
        <w:t>(</w:t>
      </w:r>
      <w:r>
        <w:rPr>
          <w:b w:val="0"/>
        </w:rPr>
        <w:t xml:space="preserve">m/z </w:t>
      </w:r>
      <w:r w:rsidR="00045529" w:rsidRPr="00045529">
        <w:rPr>
          <w:b w:val="0"/>
        </w:rPr>
        <w:t>142+156+170+184+198+212</w:t>
      </w:r>
      <w:r w:rsidRPr="00045529">
        <w:rPr>
          <w:b w:val="0"/>
        </w:rPr>
        <w:t>)</w:t>
      </w:r>
      <w:bookmarkEnd w:id="140"/>
    </w:p>
    <w:p w:rsidR="003C1AF5" w:rsidRDefault="00FB0E88" w:rsidP="00FA1C38">
      <w:pPr>
        <w:jc w:val="center"/>
      </w:pPr>
      <w:r w:rsidRPr="005E71B4">
        <w:rPr>
          <w:noProof/>
          <w:lang w:val="tr-TR"/>
        </w:rPr>
        <w:object w:dxaOrig="8753" w:dyaOrig="5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55pt;height:193.35pt" o:ole="">
            <v:imagedata r:id="rId77" o:title=""/>
          </v:shape>
          <o:OLEObject Type="Embed" ProgID="Excel.Sheet.12" ShapeID="_x0000_i1025" DrawAspect="Content" ObjectID="_1581311634" r:id="rId78"/>
        </w:object>
      </w:r>
    </w:p>
    <w:p w:rsidR="00592A3F" w:rsidRDefault="00592A3F" w:rsidP="003C1AF5">
      <w:pPr>
        <w:ind w:firstLine="720"/>
        <w:jc w:val="both"/>
      </w:pPr>
      <w:r>
        <w:t xml:space="preserve">Alkylnaphthalenes </w:t>
      </w:r>
      <w:r w:rsidR="001250B8">
        <w:t>mainly originate</w:t>
      </w:r>
      <w:r>
        <w:t xml:space="preserve"> from the cyclic triterpenoids that </w:t>
      </w:r>
      <w:r w:rsidR="001250B8">
        <w:t xml:space="preserve">are </w:t>
      </w:r>
      <w:r>
        <w:t>derived from the resins of the conifers and are closely related to terrestrial sources (Armstroff et al., 2006</w:t>
      </w:r>
      <w:r w:rsidR="001250B8">
        <w:t>; Sivan et al., 2008</w:t>
      </w:r>
      <w:r>
        <w:t xml:space="preserve">). For instance, </w:t>
      </w:r>
      <w:r w:rsidRPr="00463E1E">
        <w:t>Strachan et al. (1988)</w:t>
      </w:r>
      <w:r>
        <w:t xml:space="preserve"> observed significant amount</w:t>
      </w:r>
      <w:r w:rsidR="001250B8">
        <w:t>s of 1,2,5-t</w:t>
      </w:r>
      <w:r>
        <w:t>rimethyl</w:t>
      </w:r>
      <w:r w:rsidR="001250B8">
        <w:t>n</w:t>
      </w:r>
      <w:r w:rsidR="001250B8" w:rsidRPr="001250B8">
        <w:t>aphthalene</w:t>
      </w:r>
      <w:r>
        <w:t xml:space="preserve"> (1,2,5-TMN</w:t>
      </w:r>
      <w:r w:rsidR="00515F76">
        <w:t>;</w:t>
      </w:r>
      <w:r w:rsidR="00515F76" w:rsidRPr="00515F76">
        <w:rPr>
          <w:b/>
        </w:rPr>
        <w:t>XXIX</w:t>
      </w:r>
      <w:r>
        <w:t>) and 1,2,7-</w:t>
      </w:r>
      <w:r w:rsidR="001250B8">
        <w:t>t</w:t>
      </w:r>
      <w:r>
        <w:t>rimethylnaphthalene (1,2,7-TMN</w:t>
      </w:r>
      <w:r w:rsidR="00A47647">
        <w:t>;</w:t>
      </w:r>
      <w:r w:rsidR="00515F76" w:rsidRPr="00515F76">
        <w:rPr>
          <w:b/>
        </w:rPr>
        <w:t>XXX</w:t>
      </w:r>
      <w:r>
        <w:t xml:space="preserve">) in the samples having </w:t>
      </w:r>
      <w:r w:rsidR="001250B8">
        <w:t>a</w:t>
      </w:r>
      <w:r>
        <w:t xml:space="preserve"> Type-III kerogen and therefore proposed that the higher plants are the most likely precursor of 1,2,5-TMN and 1,2,7-TMN. Armstroff et al. (2006) suggested that 1,2,7-TMN </w:t>
      </w:r>
      <w:r w:rsidR="001250B8">
        <w:t>was</w:t>
      </w:r>
      <w:r>
        <w:t xml:space="preserve"> directly derived from oleanane-type triterpenoids present in angiosperms while 1,2,5-TMN </w:t>
      </w:r>
      <w:r w:rsidR="001250B8">
        <w:t xml:space="preserve">could be </w:t>
      </w:r>
      <w:r>
        <w:t xml:space="preserve">produced from the non-angiosperm </w:t>
      </w:r>
      <w:r w:rsidR="001250B8">
        <w:t xml:space="preserve">plants or dehydrogenation of </w:t>
      </w:r>
      <w:r>
        <w:t xml:space="preserve">agathic acid, </w:t>
      </w:r>
      <w:r w:rsidRPr="005E71B4">
        <w:t xml:space="preserve">communic acid and manool (Figure </w:t>
      </w:r>
      <w:r w:rsidR="005E71B4" w:rsidRPr="005E71B4">
        <w:t>4</w:t>
      </w:r>
      <w:r w:rsidR="00FA1C38">
        <w:t>7</w:t>
      </w:r>
      <w:r w:rsidRPr="005E71B4">
        <w:t>; Püttmann and Villar, 1987; Strachan et al.</w:t>
      </w:r>
      <w:r w:rsidR="00D765D4">
        <w:t>,</w:t>
      </w:r>
      <w:r>
        <w:t xml:space="preserve"> </w:t>
      </w:r>
      <w:r w:rsidRPr="00311B1D">
        <w:t>1</w:t>
      </w:r>
      <w:r>
        <w:t xml:space="preserve">988). Both </w:t>
      </w:r>
      <w:r w:rsidRPr="00463E1E">
        <w:t>Strachan et al. (1988)</w:t>
      </w:r>
      <w:r>
        <w:t xml:space="preserve"> and Armstroff et al. (2006) confirmed the presence of </w:t>
      </w:r>
      <w:r w:rsidR="001A4D74">
        <w:t>1,2,5-TMN and 1,2,7-TMN in the p</w:t>
      </w:r>
      <w:r>
        <w:t>re-Cretaceous samples</w:t>
      </w:r>
      <w:r w:rsidR="00C4354B">
        <w:t>,</w:t>
      </w:r>
      <w:r>
        <w:t xml:space="preserve"> however neither of them identified any oleanane in the samples which 1,2,5-TMN and 1,2,7-TMN were identified. Therefore, Armstroff </w:t>
      </w:r>
      <w:r w:rsidR="00436E1E">
        <w:t xml:space="preserve">et al. </w:t>
      </w:r>
      <w:r>
        <w:t>(2006) suggested that using 1,2,7-TMN as an angiosperm indicator</w:t>
      </w:r>
      <w:r w:rsidR="001250B8">
        <w:t xml:space="preserve"> is questionable since it may originate</w:t>
      </w:r>
      <w:r>
        <w:t xml:space="preserve"> from another yet unknown natural source. However,</w:t>
      </w:r>
      <w:r w:rsidR="001250B8">
        <w:t xml:space="preserve"> the presence </w:t>
      </w:r>
      <w:r w:rsidR="001250B8">
        <w:lastRenderedPageBreak/>
        <w:t>of oleanane in</w:t>
      </w:r>
      <w:r>
        <w:t xml:space="preserve"> pre-Cretaceous samples </w:t>
      </w:r>
      <w:r w:rsidR="001250B8">
        <w:t>described by</w:t>
      </w:r>
      <w:r>
        <w:t xml:space="preserve"> </w:t>
      </w:r>
      <w:r>
        <w:rPr>
          <w:rFonts w:cstheme="minorHAnsi"/>
        </w:rPr>
        <w:t xml:space="preserve">Moldowan et al. (1994), Peters et al. (1999) and </w:t>
      </w:r>
      <w:r w:rsidR="001250B8">
        <w:rPr>
          <w:rFonts w:cstheme="minorHAnsi"/>
        </w:rPr>
        <w:t xml:space="preserve">in the </w:t>
      </w:r>
      <w:r>
        <w:rPr>
          <w:rFonts w:cstheme="minorHAnsi"/>
        </w:rPr>
        <w:t xml:space="preserve">unpublished </w:t>
      </w:r>
      <w:r w:rsidR="001250B8">
        <w:rPr>
          <w:rFonts w:cstheme="minorHAnsi"/>
        </w:rPr>
        <w:t>MS</w:t>
      </w:r>
      <w:r w:rsidR="00FA1C38">
        <w:rPr>
          <w:rFonts w:cstheme="minorHAnsi"/>
        </w:rPr>
        <w:t xml:space="preserve"> t</w:t>
      </w:r>
      <w:r>
        <w:rPr>
          <w:rFonts w:cstheme="minorHAnsi"/>
        </w:rPr>
        <w:t xml:space="preserve">hesis of Wood (2017) supports </w:t>
      </w:r>
      <w:r w:rsidR="001250B8">
        <w:rPr>
          <w:rFonts w:cstheme="minorHAnsi"/>
        </w:rPr>
        <w:t>the concept</w:t>
      </w:r>
      <w:r w:rsidR="001E60C0">
        <w:rPr>
          <w:rFonts w:cstheme="minorHAnsi"/>
        </w:rPr>
        <w:t xml:space="preserve"> that</w:t>
      </w:r>
      <w:r>
        <w:rPr>
          <w:rFonts w:cstheme="minorHAnsi"/>
        </w:rPr>
        <w:t xml:space="preserve"> </w:t>
      </w:r>
      <w:r>
        <w:t xml:space="preserve">1,2,7-TMN and </w:t>
      </w:r>
      <w:r w:rsidR="001250B8">
        <w:rPr>
          <w:rFonts w:cstheme="minorHAnsi"/>
        </w:rPr>
        <w:t>18α(H)-o</w:t>
      </w:r>
      <w:r>
        <w:rPr>
          <w:rFonts w:cstheme="minorHAnsi"/>
        </w:rPr>
        <w:t xml:space="preserve">leanane are viable biomarkers associated with the angiosperms. </w:t>
      </w:r>
      <w:r>
        <w:t>This study also confirms that 1,2,7-TMN is found in significant</w:t>
      </w:r>
      <w:r w:rsidRPr="00592A3F">
        <w:t xml:space="preserve"> </w:t>
      </w:r>
      <w:r>
        <w:t xml:space="preserve">concentrations in all of the </w:t>
      </w:r>
      <w:r w:rsidR="001250B8">
        <w:t>Morrow source r</w:t>
      </w:r>
      <w:r>
        <w:t xml:space="preserve">ock samples </w:t>
      </w:r>
      <w:r w:rsidR="001E60C0">
        <w:t>that were</w:t>
      </w:r>
      <w:r>
        <w:t xml:space="preserve"> analyzed. </w:t>
      </w:r>
      <w:r w:rsidR="001250B8">
        <w:rPr>
          <w:rFonts w:cstheme="minorHAnsi"/>
        </w:rPr>
        <w:t>Their occurrence in the Morrow s</w:t>
      </w:r>
      <w:r>
        <w:rPr>
          <w:rFonts w:cstheme="minorHAnsi"/>
        </w:rPr>
        <w:t xml:space="preserve">amples is </w:t>
      </w:r>
      <w:r w:rsidR="001250B8">
        <w:rPr>
          <w:rFonts w:cstheme="minorHAnsi"/>
        </w:rPr>
        <w:t>supporting evidence for</w:t>
      </w:r>
      <w:r>
        <w:rPr>
          <w:rFonts w:cstheme="minorHAnsi"/>
        </w:rPr>
        <w:t xml:space="preserve"> </w:t>
      </w:r>
      <w:r>
        <w:t>18</w:t>
      </w:r>
      <w:r>
        <w:rPr>
          <w:rFonts w:cstheme="minorHAnsi"/>
        </w:rPr>
        <w:t>α</w:t>
      </w:r>
      <w:r w:rsidR="001250B8">
        <w:t xml:space="preserve">(H)-oleanane and </w:t>
      </w:r>
      <w:r>
        <w:t>1,2,7-TMN being related.</w:t>
      </w:r>
    </w:p>
    <w:p w:rsidR="00FA1C38" w:rsidRDefault="00FA1C38" w:rsidP="00FA1C38">
      <w:pPr>
        <w:keepNext/>
        <w:jc w:val="center"/>
      </w:pPr>
      <w:r>
        <w:rPr>
          <w:noProof/>
          <w:lang w:val="tr-TR" w:eastAsia="tr-TR" w:bidi="ar-SA"/>
        </w:rPr>
        <w:drawing>
          <wp:inline distT="0" distB="0" distL="0" distR="0" wp14:anchorId="489A7A56" wp14:editId="69541273">
            <wp:extent cx="3923665" cy="3762375"/>
            <wp:effectExtent l="19050" t="19050" r="19685" b="28575"/>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40863" cy="3778866"/>
                    </a:xfrm>
                    <a:prstGeom prst="rect">
                      <a:avLst/>
                    </a:prstGeom>
                    <a:noFill/>
                    <a:ln>
                      <a:solidFill>
                        <a:schemeClr val="tx1"/>
                      </a:solidFill>
                    </a:ln>
                  </pic:spPr>
                </pic:pic>
              </a:graphicData>
            </a:graphic>
          </wp:inline>
        </w:drawing>
      </w:r>
    </w:p>
    <w:p w:rsidR="00FA1C38" w:rsidRDefault="00FA1C38" w:rsidP="00FA1C38">
      <w:pPr>
        <w:pStyle w:val="ResimYazs"/>
        <w:jc w:val="both"/>
        <w:rPr>
          <w:b w:val="0"/>
        </w:rPr>
      </w:pPr>
      <w:bookmarkStart w:id="141" w:name="_Toc507509095"/>
      <w:r>
        <w:t xml:space="preserve">Figure </w:t>
      </w:r>
      <w:fldSimple w:instr=" SEQ Figure \* ARABIC ">
        <w:r w:rsidR="003F6459">
          <w:rPr>
            <w:noProof/>
          </w:rPr>
          <w:t>47</w:t>
        </w:r>
      </w:fldSimple>
      <w:r>
        <w:t xml:space="preserve">. </w:t>
      </w:r>
      <w:r w:rsidRPr="00311B1D">
        <w:rPr>
          <w:b w:val="0"/>
        </w:rPr>
        <w:t xml:space="preserve">Possible biological precursors and pathways for the generation of </w:t>
      </w:r>
      <w:r>
        <w:rPr>
          <w:b w:val="0"/>
        </w:rPr>
        <w:t xml:space="preserve">1,2,5-trimethylnaphthalene </w:t>
      </w:r>
      <w:r w:rsidRPr="00311B1D">
        <w:rPr>
          <w:b w:val="0"/>
        </w:rPr>
        <w:t>(1,2,5-TMN) and 1,2,7-</w:t>
      </w:r>
      <w:r>
        <w:rPr>
          <w:b w:val="0"/>
        </w:rPr>
        <w:t>trimethylnaphthalene (1,2,7-TMN; Armstroff et al.</w:t>
      </w:r>
      <w:r w:rsidR="00B71DA5">
        <w:rPr>
          <w:b w:val="0"/>
        </w:rPr>
        <w:t>,</w:t>
      </w:r>
      <w:r>
        <w:rPr>
          <w:b w:val="0"/>
        </w:rPr>
        <w:t xml:space="preserve"> 2006</w:t>
      </w:r>
      <w:r w:rsidR="00B71DA5">
        <w:rPr>
          <w:b w:val="0"/>
        </w:rPr>
        <w:t>)</w:t>
      </w:r>
      <w:bookmarkEnd w:id="141"/>
    </w:p>
    <w:p w:rsidR="00FA1C38" w:rsidRPr="00FA1C38" w:rsidRDefault="00FA1C38" w:rsidP="00FA1C38">
      <w:pPr>
        <w:spacing w:line="276" w:lineRule="auto"/>
      </w:pPr>
    </w:p>
    <w:p w:rsidR="005E71B4" w:rsidRDefault="005E71B4" w:rsidP="005E71B4">
      <w:pPr>
        <w:ind w:firstLine="720"/>
        <w:jc w:val="both"/>
      </w:pPr>
      <w:r>
        <w:t>The prese</w:t>
      </w:r>
      <w:r w:rsidR="00BA0FF6">
        <w:t>nce of 1,2,7-TMN in the Morrow source r</w:t>
      </w:r>
      <w:r>
        <w:t xml:space="preserve">ock samples was unexpected, as </w:t>
      </w:r>
      <w:r w:rsidR="00BA0FF6">
        <w:t xml:space="preserve">was </w:t>
      </w:r>
      <w:r>
        <w:t>the tentative presence of oleanane, since it is widely accepted that this compound is related to 18</w:t>
      </w:r>
      <w:r>
        <w:rPr>
          <w:rFonts w:cstheme="minorHAnsi"/>
        </w:rPr>
        <w:t>α</w:t>
      </w:r>
      <w:r w:rsidR="00BA0FF6">
        <w:t>(H)–o</w:t>
      </w:r>
      <w:r>
        <w:t>leanane which is an age specific biomarker used for Cretaceous and younger source rocks and oils (Armstroff et al.</w:t>
      </w:r>
      <w:r w:rsidR="00D765D4">
        <w:t>,</w:t>
      </w:r>
      <w:r>
        <w:t xml:space="preserve"> 2006).</w:t>
      </w:r>
      <w:r w:rsidR="00CB219F">
        <w:t xml:space="preserve"> 1,2,7-TMN wa</w:t>
      </w:r>
      <w:r w:rsidR="00FA1C38">
        <w:t xml:space="preserve">s identified in all </w:t>
      </w:r>
      <w:r w:rsidR="00FA1C38">
        <w:lastRenderedPageBreak/>
        <w:t>the Morrow s</w:t>
      </w:r>
      <w:r w:rsidR="00CB219F">
        <w:t>amples</w:t>
      </w:r>
      <w:r>
        <w:t xml:space="preserve"> </w:t>
      </w:r>
      <w:r w:rsidR="006E0D27">
        <w:t xml:space="preserve">and </w:t>
      </w:r>
      <w:r w:rsidR="00CB219F">
        <w:t>in</w:t>
      </w:r>
      <w:r w:rsidR="001E60C0">
        <w:t xml:space="preserve"> a</w:t>
      </w:r>
      <w:r w:rsidR="00CB219F">
        <w:t xml:space="preserve"> </w:t>
      </w:r>
      <w:r w:rsidR="006E0D27">
        <w:t xml:space="preserve">few of them </w:t>
      </w:r>
      <w:r w:rsidRPr="00CB219F">
        <w:t>oleanane was absent or in trace amounts</w:t>
      </w:r>
      <w:r w:rsidR="006E0D27">
        <w:t xml:space="preserve"> </w:t>
      </w:r>
      <w:r w:rsidRPr="00CB219F">
        <w:t xml:space="preserve">(Figure </w:t>
      </w:r>
      <w:r w:rsidR="00924E64" w:rsidRPr="00CB219F">
        <w:t>4</w:t>
      </w:r>
      <w:r w:rsidR="00FA1C38">
        <w:t>8</w:t>
      </w:r>
      <w:r w:rsidR="00593307" w:rsidRPr="00CB219F">
        <w:t xml:space="preserve">; Table </w:t>
      </w:r>
      <w:r w:rsidR="007601BC">
        <w:t>9</w:t>
      </w:r>
      <w:r w:rsidRPr="00CB219F">
        <w:t xml:space="preserve">). The reason </w:t>
      </w:r>
      <w:r w:rsidR="001E60C0">
        <w:t>for</w:t>
      </w:r>
      <w:r w:rsidRPr="00924E64">
        <w:t xml:space="preserve"> this contradiction can be related to</w:t>
      </w:r>
      <w:r>
        <w:t xml:space="preserve"> depositional conditions of the Morrow Shale as discussed</w:t>
      </w:r>
      <w:r w:rsidR="00BA0FF6">
        <w:t xml:space="preserve"> previously</w:t>
      </w:r>
      <w:r>
        <w:t xml:space="preserve">. </w:t>
      </w:r>
      <w:r w:rsidR="001E60C0">
        <w:t>I</w:t>
      </w:r>
      <w:r>
        <w:t xml:space="preserve">ncreasing freshwater conditions during the deposition of the Morrow could </w:t>
      </w:r>
      <w:r>
        <w:rPr>
          <w:rFonts w:cstheme="minorHAnsi"/>
        </w:rPr>
        <w:t xml:space="preserve">prompt the degradation and aromatization of the </w:t>
      </w:r>
      <w:r>
        <w:t>o</w:t>
      </w:r>
      <w:r>
        <w:rPr>
          <w:rFonts w:cstheme="minorHAnsi"/>
        </w:rPr>
        <w:t xml:space="preserve">leanane and therefore no oleanane could possibly </w:t>
      </w:r>
      <w:r w:rsidR="00BA0FF6">
        <w:rPr>
          <w:rFonts w:cstheme="minorHAnsi"/>
        </w:rPr>
        <w:t xml:space="preserve">be </w:t>
      </w:r>
      <w:r>
        <w:rPr>
          <w:rFonts w:cstheme="minorHAnsi"/>
        </w:rPr>
        <w:t xml:space="preserve">preserved in those samples. </w:t>
      </w:r>
      <w:r w:rsidR="001E60C0">
        <w:rPr>
          <w:rFonts w:cstheme="minorHAnsi"/>
        </w:rPr>
        <w:t>Alternatively</w:t>
      </w:r>
      <w:r>
        <w:rPr>
          <w:rFonts w:cstheme="minorHAnsi"/>
        </w:rPr>
        <w:t xml:space="preserve">, 1,2,7-TMN </w:t>
      </w:r>
      <w:r w:rsidR="00BA0FF6">
        <w:rPr>
          <w:rFonts w:cstheme="minorHAnsi"/>
        </w:rPr>
        <w:t>may</w:t>
      </w:r>
      <w:r>
        <w:rPr>
          <w:rFonts w:cstheme="minorHAnsi"/>
        </w:rPr>
        <w:t xml:space="preserve"> not be affected </w:t>
      </w:r>
      <w:r w:rsidR="0030156B">
        <w:rPr>
          <w:rFonts w:cstheme="minorHAnsi"/>
        </w:rPr>
        <w:t>by</w:t>
      </w:r>
      <w:r>
        <w:rPr>
          <w:rFonts w:cstheme="minorHAnsi"/>
        </w:rPr>
        <w:t xml:space="preserve"> the salinity of the environment and thus high concentrations of 1,2,7-TMN could be preserved in the depositional environment (McCaffrey et al., 1994; Murray et al., 1997a; Al-Ameri et al., 2010). Another possibility is</w:t>
      </w:r>
      <w:r w:rsidR="001E60C0">
        <w:rPr>
          <w:rFonts w:cstheme="minorHAnsi"/>
        </w:rPr>
        <w:t xml:space="preserve"> that</w:t>
      </w:r>
      <w:r>
        <w:rPr>
          <w:rFonts w:cstheme="minorHAnsi"/>
        </w:rPr>
        <w:t xml:space="preserve"> the presence of seawater in the depositional environment</w:t>
      </w:r>
      <w:r w:rsidR="00C4354B">
        <w:rPr>
          <w:rFonts w:cstheme="minorHAnsi"/>
        </w:rPr>
        <w:t xml:space="preserve"> which</w:t>
      </w:r>
      <w:r>
        <w:rPr>
          <w:rFonts w:cstheme="minorHAnsi"/>
        </w:rPr>
        <w:t xml:space="preserve"> </w:t>
      </w:r>
      <w:r w:rsidRPr="006E0D27">
        <w:rPr>
          <w:rFonts w:cstheme="minorHAnsi"/>
        </w:rPr>
        <w:t>could help the preservation of the oleanane by improving hydrogenation (</w:t>
      </w:r>
      <w:r w:rsidR="009C0E73">
        <w:rPr>
          <w:rFonts w:cstheme="minorHAnsi"/>
        </w:rPr>
        <w:t>McCaffrey et al., 1994; Murray et al., 1997a</w:t>
      </w:r>
      <w:r w:rsidR="00BB27CC">
        <w:rPr>
          <w:rFonts w:cstheme="minorHAnsi"/>
        </w:rPr>
        <w:t xml:space="preserve">). Murray et al. (1997a) suggested that </w:t>
      </w:r>
      <w:r w:rsidR="006E0D27">
        <w:t>18</w:t>
      </w:r>
      <w:r w:rsidR="006E0D27">
        <w:rPr>
          <w:rFonts w:cstheme="minorHAnsi"/>
        </w:rPr>
        <w:t>α</w:t>
      </w:r>
      <w:r w:rsidR="006E0D27">
        <w:t>(H)–oleanane</w:t>
      </w:r>
      <w:r w:rsidR="006E0D27">
        <w:rPr>
          <w:rFonts w:cstheme="minorHAnsi"/>
        </w:rPr>
        <w:t xml:space="preserve"> is highly susceptible </w:t>
      </w:r>
      <w:r w:rsidR="00BB27CC">
        <w:rPr>
          <w:rFonts w:cstheme="minorHAnsi"/>
        </w:rPr>
        <w:t xml:space="preserve">to depositional conditions and </w:t>
      </w:r>
      <w:r w:rsidR="006E0D27">
        <w:rPr>
          <w:rFonts w:cstheme="minorHAnsi"/>
        </w:rPr>
        <w:t>the diagenetic alteration of the β-amyrin in terrestrial environments are dominated by the aromatic pathway which result</w:t>
      </w:r>
      <w:r w:rsidR="00997783">
        <w:rPr>
          <w:rFonts w:cstheme="minorHAnsi"/>
        </w:rPr>
        <w:t>s</w:t>
      </w:r>
      <w:r w:rsidR="006E0D27">
        <w:rPr>
          <w:rFonts w:cstheme="minorHAnsi"/>
        </w:rPr>
        <w:t xml:space="preserve"> in </w:t>
      </w:r>
      <w:r w:rsidR="00BB27CC">
        <w:rPr>
          <w:rFonts w:cstheme="minorHAnsi"/>
        </w:rPr>
        <w:t xml:space="preserve">generation of </w:t>
      </w:r>
      <w:r w:rsidR="00C4354B">
        <w:rPr>
          <w:rFonts w:cstheme="minorHAnsi"/>
        </w:rPr>
        <w:t xml:space="preserve">a </w:t>
      </w:r>
      <w:r w:rsidR="00BB27CC">
        <w:rPr>
          <w:rFonts w:cstheme="minorHAnsi"/>
        </w:rPr>
        <w:t xml:space="preserve">higher </w:t>
      </w:r>
      <w:r w:rsidR="00BB27CC" w:rsidRPr="008C10D3">
        <w:rPr>
          <w:rFonts w:cstheme="minorHAnsi"/>
        </w:rPr>
        <w:t>concentration</w:t>
      </w:r>
      <w:r w:rsidR="001E60C0">
        <w:rPr>
          <w:rFonts w:cstheme="minorHAnsi"/>
        </w:rPr>
        <w:t>s</w:t>
      </w:r>
      <w:r w:rsidR="00BB27CC" w:rsidRPr="008C10D3">
        <w:rPr>
          <w:rFonts w:cstheme="minorHAnsi"/>
        </w:rPr>
        <w:t xml:space="preserve"> of </w:t>
      </w:r>
      <w:r w:rsidR="006E0D27" w:rsidRPr="008C10D3">
        <w:rPr>
          <w:rFonts w:cstheme="minorHAnsi"/>
        </w:rPr>
        <w:t>aromatic oleanoid compound</w:t>
      </w:r>
      <w:r w:rsidR="001E60C0">
        <w:rPr>
          <w:rFonts w:cstheme="minorHAnsi"/>
        </w:rPr>
        <w:t>s</w:t>
      </w:r>
      <w:r w:rsidR="00BB27CC" w:rsidRPr="008C10D3">
        <w:rPr>
          <w:rFonts w:cstheme="minorHAnsi"/>
        </w:rPr>
        <w:t xml:space="preserve"> instead of saturated oleanane type compounds. </w:t>
      </w:r>
      <w:r w:rsidR="006E0D27" w:rsidRPr="008C10D3">
        <w:rPr>
          <w:rFonts w:cstheme="minorHAnsi"/>
        </w:rPr>
        <w:t>For instance,</w:t>
      </w:r>
      <w:r w:rsidR="00BA0FF6" w:rsidRPr="008C10D3">
        <w:rPr>
          <w:rFonts w:cstheme="minorHAnsi"/>
        </w:rPr>
        <w:t xml:space="preserve"> </w:t>
      </w:r>
      <w:r w:rsidRPr="008C10D3">
        <w:t>18</w:t>
      </w:r>
      <w:r w:rsidRPr="008C10D3">
        <w:rPr>
          <w:rFonts w:cstheme="minorHAnsi"/>
        </w:rPr>
        <w:t>α</w:t>
      </w:r>
      <w:r w:rsidR="00BA0FF6" w:rsidRPr="008C10D3">
        <w:t>(H)–o</w:t>
      </w:r>
      <w:r w:rsidRPr="008C10D3">
        <w:t>leanane</w:t>
      </w:r>
      <w:r w:rsidRPr="008C10D3">
        <w:rPr>
          <w:rFonts w:cstheme="minorHAnsi"/>
        </w:rPr>
        <w:t xml:space="preserve"> deposited under </w:t>
      </w:r>
      <w:r w:rsidR="00BA0FF6" w:rsidRPr="008C10D3">
        <w:rPr>
          <w:rFonts w:cstheme="minorHAnsi"/>
        </w:rPr>
        <w:t xml:space="preserve">a </w:t>
      </w:r>
      <w:r w:rsidRPr="008C10D3">
        <w:rPr>
          <w:rFonts w:cstheme="minorHAnsi"/>
        </w:rPr>
        <w:t>marine influenced deltaic</w:t>
      </w:r>
      <w:r w:rsidR="00BA0FF6" w:rsidRPr="008C10D3">
        <w:rPr>
          <w:rFonts w:cstheme="minorHAnsi"/>
        </w:rPr>
        <w:t xml:space="preserve"> environment, as in the Morrow source r</w:t>
      </w:r>
      <w:r w:rsidRPr="008C10D3">
        <w:rPr>
          <w:rFonts w:cstheme="minorHAnsi"/>
        </w:rPr>
        <w:t xml:space="preserve">ock, could possibly </w:t>
      </w:r>
      <w:r w:rsidR="00BA0FF6" w:rsidRPr="008C10D3">
        <w:rPr>
          <w:rFonts w:cstheme="minorHAnsi"/>
        </w:rPr>
        <w:t xml:space="preserve">be </w:t>
      </w:r>
      <w:r w:rsidRPr="008C10D3">
        <w:rPr>
          <w:rFonts w:cstheme="minorHAnsi"/>
        </w:rPr>
        <w:t xml:space="preserve">preserved better than the </w:t>
      </w:r>
      <w:r w:rsidR="006E0D27" w:rsidRPr="008C10D3">
        <w:t>18</w:t>
      </w:r>
      <w:r w:rsidR="006E0D27" w:rsidRPr="008C10D3">
        <w:rPr>
          <w:rFonts w:cstheme="minorHAnsi"/>
        </w:rPr>
        <w:t>α</w:t>
      </w:r>
      <w:r w:rsidR="006E0D27" w:rsidRPr="008C10D3">
        <w:t>(H)–oleanane</w:t>
      </w:r>
      <w:r w:rsidR="006E0D27" w:rsidRPr="008C10D3">
        <w:rPr>
          <w:rFonts w:cstheme="minorHAnsi"/>
        </w:rPr>
        <w:t xml:space="preserve"> </w:t>
      </w:r>
      <w:r w:rsidRPr="008C10D3">
        <w:rPr>
          <w:rFonts w:cstheme="minorHAnsi"/>
        </w:rPr>
        <w:t xml:space="preserve">deposited under more terrestrial conditions </w:t>
      </w:r>
      <w:r w:rsidR="00BA0FF6" w:rsidRPr="008C10D3">
        <w:rPr>
          <w:rFonts w:cstheme="minorHAnsi"/>
        </w:rPr>
        <w:t xml:space="preserve">(Murray et al., </w:t>
      </w:r>
      <w:r w:rsidRPr="008C10D3">
        <w:rPr>
          <w:rFonts w:cstheme="minorHAnsi"/>
        </w:rPr>
        <w:t>1997a)</w:t>
      </w:r>
      <w:r w:rsidR="008C10D3" w:rsidRPr="008C10D3">
        <w:rPr>
          <w:rFonts w:cstheme="minorHAnsi"/>
        </w:rPr>
        <w:t>.</w:t>
      </w:r>
      <w:r w:rsidRPr="008C10D3">
        <w:rPr>
          <w:rFonts w:cstheme="minorHAnsi"/>
        </w:rPr>
        <w:t xml:space="preserve"> </w:t>
      </w:r>
      <w:r w:rsidR="008C10D3" w:rsidRPr="008C10D3">
        <w:rPr>
          <w:rFonts w:cstheme="minorHAnsi"/>
        </w:rPr>
        <w:t>It is because of the fact that</w:t>
      </w:r>
      <w:r w:rsidR="008C10D3">
        <w:rPr>
          <w:rFonts w:cstheme="minorHAnsi"/>
        </w:rPr>
        <w:t>,</w:t>
      </w:r>
      <w:r w:rsidRPr="008C10D3">
        <w:rPr>
          <w:rFonts w:cstheme="minorHAnsi"/>
        </w:rPr>
        <w:t xml:space="preserve"> in terrestrial environments with high sed</w:t>
      </w:r>
      <w:r w:rsidR="00BA0FF6" w:rsidRPr="008C10D3">
        <w:rPr>
          <w:rFonts w:cstheme="minorHAnsi"/>
        </w:rPr>
        <w:t>iment influx, preservation of</w:t>
      </w:r>
      <w:r w:rsidRPr="008C10D3">
        <w:rPr>
          <w:rFonts w:cstheme="minorHAnsi"/>
        </w:rPr>
        <w:t xml:space="preserve"> β-amyrin as a saturate</w:t>
      </w:r>
      <w:r w:rsidR="00BA0FF6" w:rsidRPr="008C10D3">
        <w:rPr>
          <w:rFonts w:cstheme="minorHAnsi"/>
        </w:rPr>
        <w:t>d</w:t>
      </w:r>
      <w:r w:rsidRPr="008C10D3">
        <w:rPr>
          <w:rFonts w:cstheme="minorHAnsi"/>
        </w:rPr>
        <w:t xml:space="preserve"> oleanane </w:t>
      </w:r>
      <w:r w:rsidR="00BA0FF6" w:rsidRPr="008C10D3">
        <w:rPr>
          <w:rFonts w:cstheme="minorHAnsi"/>
        </w:rPr>
        <w:t>derivative</w:t>
      </w:r>
      <w:r w:rsidRPr="008C10D3">
        <w:rPr>
          <w:rFonts w:cstheme="minorHAnsi"/>
        </w:rPr>
        <w:t xml:space="preserve"> is unlikely when compared to aromatization of β-amyrin and </w:t>
      </w:r>
      <w:r w:rsidR="00BA0FF6" w:rsidRPr="008C10D3">
        <w:rPr>
          <w:rFonts w:cstheme="minorHAnsi"/>
        </w:rPr>
        <w:t>occurrence</w:t>
      </w:r>
      <w:r w:rsidRPr="008C10D3">
        <w:rPr>
          <w:rFonts w:cstheme="minorHAnsi"/>
        </w:rPr>
        <w:t xml:space="preserve"> as </w:t>
      </w:r>
      <w:r w:rsidR="00BA0FF6" w:rsidRPr="008C10D3">
        <w:rPr>
          <w:rFonts w:cstheme="minorHAnsi"/>
        </w:rPr>
        <w:t xml:space="preserve">an </w:t>
      </w:r>
      <w:r w:rsidRPr="008C10D3">
        <w:rPr>
          <w:rFonts w:cstheme="minorHAnsi"/>
        </w:rPr>
        <w:t>aromatic oleanoid compound</w:t>
      </w:r>
      <w:r>
        <w:rPr>
          <w:rFonts w:cstheme="minorHAnsi"/>
        </w:rPr>
        <w:t xml:space="preserve">. Thus, the presence of </w:t>
      </w:r>
      <w:r>
        <w:t>18</w:t>
      </w:r>
      <w:r>
        <w:rPr>
          <w:rFonts w:cstheme="minorHAnsi"/>
        </w:rPr>
        <w:t>α</w:t>
      </w:r>
      <w:r w:rsidR="00BA0FF6">
        <w:t>(H)–o</w:t>
      </w:r>
      <w:r>
        <w:t>leana</w:t>
      </w:r>
      <w:r w:rsidR="00BA0FF6">
        <w:t>ne and 1,2,7-TMN in the Morrow source r</w:t>
      </w:r>
      <w:r>
        <w:t xml:space="preserve">ocks supports </w:t>
      </w:r>
      <w:r w:rsidR="00BA0FF6">
        <w:t xml:space="preserve">the concept </w:t>
      </w:r>
      <w:r>
        <w:t>that these compounds are probably related and are still reliable biomarkers to infer the presence of angiosperms.</w:t>
      </w:r>
    </w:p>
    <w:p w:rsidR="00A47647" w:rsidRDefault="00A47647" w:rsidP="0012049B">
      <w:pPr>
        <w:pStyle w:val="ResimYazs"/>
        <w:spacing w:line="360" w:lineRule="auto"/>
        <w:jc w:val="center"/>
      </w:pPr>
      <w:r w:rsidRPr="00A47647">
        <w:rPr>
          <w:noProof/>
          <w:lang w:val="tr-TR" w:eastAsia="tr-TR" w:bidi="ar-SA"/>
        </w:rPr>
        <w:lastRenderedPageBreak/>
        <w:drawing>
          <wp:inline distT="0" distB="0" distL="0" distR="0" wp14:anchorId="250B0709" wp14:editId="7C9F355A">
            <wp:extent cx="3810635" cy="4413019"/>
            <wp:effectExtent l="19050" t="19050" r="18415" b="26035"/>
            <wp:docPr id="22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9"/>
                    <pic:cNvPicPr>
                      <a:picLocks noChangeAspect="1"/>
                    </pic:cNvPicPr>
                  </pic:nvPicPr>
                  <pic:blipFill rotWithShape="1">
                    <a:blip r:embed="rId80"/>
                    <a:srcRect b="2292"/>
                    <a:stretch/>
                  </pic:blipFill>
                  <pic:spPr bwMode="auto">
                    <a:xfrm>
                      <a:off x="0" y="0"/>
                      <a:ext cx="3822908" cy="442723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232A4" w:rsidRDefault="00FA1C38" w:rsidP="0012049B">
      <w:pPr>
        <w:pStyle w:val="ResimYazs"/>
        <w:spacing w:line="360" w:lineRule="auto"/>
        <w:jc w:val="both"/>
        <w:rPr>
          <w:b w:val="0"/>
        </w:rPr>
      </w:pPr>
      <w:bookmarkStart w:id="142" w:name="_Toc507509096"/>
      <w:r w:rsidRPr="00A47647">
        <w:t xml:space="preserve">Figure </w:t>
      </w:r>
      <w:fldSimple w:instr=" SEQ Figure \* ARABIC ">
        <w:r w:rsidR="003F6459">
          <w:rPr>
            <w:noProof/>
          </w:rPr>
          <w:t>48</w:t>
        </w:r>
      </w:fldSimple>
      <w:r w:rsidRPr="00A47647">
        <w:t xml:space="preserve">. </w:t>
      </w:r>
      <w:r w:rsidRPr="00A47647">
        <w:rPr>
          <w:b w:val="0"/>
        </w:rPr>
        <w:t>18</w:t>
      </w:r>
      <w:r w:rsidRPr="00A47647">
        <w:rPr>
          <w:rFonts w:cstheme="minorHAnsi"/>
          <w:b w:val="0"/>
        </w:rPr>
        <w:t>α</w:t>
      </w:r>
      <w:r w:rsidRPr="00A47647">
        <w:rPr>
          <w:b w:val="0"/>
        </w:rPr>
        <w:t>(H)–Oleanane and 1,2,7-TMN concentrations found in the Kephart-I well.</w:t>
      </w:r>
      <w:bookmarkEnd w:id="142"/>
    </w:p>
    <w:p w:rsidR="001232A4" w:rsidRPr="001232A4" w:rsidRDefault="001232A4" w:rsidP="0012049B">
      <w:pPr>
        <w:spacing w:line="360" w:lineRule="auto"/>
      </w:pPr>
    </w:p>
    <w:p w:rsidR="00924E64" w:rsidRDefault="00924E64" w:rsidP="00B13065">
      <w:pPr>
        <w:ind w:firstLine="720"/>
        <w:jc w:val="both"/>
      </w:pPr>
      <w:r w:rsidRPr="008C10D3">
        <w:t>A logarithmic plot of the ratio 1,2,5-TMN/1,3,6-TMN against the ratio 1,2,</w:t>
      </w:r>
      <w:r w:rsidR="00FA1C38" w:rsidRPr="008C10D3">
        <w:t>7-TMN/1,3,7-TMN for the Morrow s</w:t>
      </w:r>
      <w:r w:rsidRPr="008C10D3">
        <w:t xml:space="preserve">ource </w:t>
      </w:r>
      <w:r w:rsidR="00FA1C38" w:rsidRPr="008C10D3">
        <w:t>r</w:t>
      </w:r>
      <w:r w:rsidRPr="008C10D3">
        <w:t xml:space="preserve">ock </w:t>
      </w:r>
      <w:r w:rsidR="00FA1C38" w:rsidRPr="008C10D3">
        <w:t>s</w:t>
      </w:r>
      <w:r w:rsidRPr="008C10D3">
        <w:t>amples is given in the Figure 4</w:t>
      </w:r>
      <w:r w:rsidR="00FA1C38" w:rsidRPr="008C10D3">
        <w:t>9</w:t>
      </w:r>
      <w:r w:rsidRPr="008C10D3">
        <w:t xml:space="preserve">. The plot was originally proposed by Strachan et al. (1988) in order to assess the TMN contributions of different depositional environments. The plot proposed by Strachan et al. (1988) </w:t>
      </w:r>
      <w:r w:rsidR="00F07014" w:rsidRPr="008C10D3">
        <w:t>when applied to</w:t>
      </w:r>
      <w:r w:rsidRPr="008C10D3">
        <w:t xml:space="preserve"> the samples analyzed in this study</w:t>
      </w:r>
      <w:r w:rsidRPr="00873166">
        <w:t xml:space="preserve"> </w:t>
      </w:r>
      <w:r>
        <w:t xml:space="preserve">reveals that 1,2,7-TMN and 1,2,5-TMN are found in </w:t>
      </w:r>
      <w:r w:rsidR="00873166">
        <w:t xml:space="preserve">considerable </w:t>
      </w:r>
      <w:r w:rsidR="005750E1">
        <w:t>amounts</w:t>
      </w:r>
      <w:r>
        <w:t xml:space="preserve"> in most of the studied samples. </w:t>
      </w:r>
      <w:r w:rsidR="001E60C0">
        <w:t>However</w:t>
      </w:r>
      <w:r>
        <w:t>,</w:t>
      </w:r>
      <w:r w:rsidR="00F07014">
        <w:t xml:space="preserve"> few of the Wang (1993) Morrow s</w:t>
      </w:r>
      <w:r>
        <w:t xml:space="preserve">ource </w:t>
      </w:r>
      <w:r w:rsidR="00F07014">
        <w:t>r</w:t>
      </w:r>
      <w:r>
        <w:t xml:space="preserve">ock samples fall in to the lower left quadrant of the plot. </w:t>
      </w:r>
      <w:r w:rsidR="005750E1" w:rsidRPr="00B13065">
        <w:t>Although t</w:t>
      </w:r>
      <w:r w:rsidRPr="00B13065">
        <w:t xml:space="preserve">hese samples </w:t>
      </w:r>
      <w:r w:rsidR="005750E1" w:rsidRPr="00B13065">
        <w:t xml:space="preserve">have </w:t>
      </w:r>
      <w:r w:rsidR="00B764CB" w:rsidRPr="00B13065">
        <w:t>close</w:t>
      </w:r>
      <w:r w:rsidR="005750E1" w:rsidRPr="00B13065">
        <w:t xml:space="preserve"> log(1,2,5-TMN/1,3,6-TMN) and log(1,2,7-TMN/1,3,7-TMN)</w:t>
      </w:r>
      <w:r w:rsidRPr="00B13065">
        <w:t xml:space="preserve"> </w:t>
      </w:r>
      <w:r w:rsidR="005750E1" w:rsidRPr="00B13065">
        <w:t>values; 1,2,5-TMN and 1,2,7- TMN was comparatively lower than the</w:t>
      </w:r>
      <w:r w:rsidRPr="00B13065">
        <w:t xml:space="preserve"> </w:t>
      </w:r>
      <w:r w:rsidRPr="00B13065">
        <w:lastRenderedPageBreak/>
        <w:t>1.3,7- TMN and 1,3,6-TMN</w:t>
      </w:r>
      <w:r w:rsidR="005750E1" w:rsidRPr="00B13065">
        <w:t xml:space="preserve"> concentration</w:t>
      </w:r>
      <w:r w:rsidRPr="00B13065">
        <w:t xml:space="preserve">. </w:t>
      </w:r>
      <w:r w:rsidR="00B13065">
        <w:t>Armstroff et al. (2006) mentioned that 1,2,5 TMN is derived from gymnosperms and its strong correlation with 1,7-dimethylphenanthrene indicates that its potential precursor is agathic acid. Therefore</w:t>
      </w:r>
      <w:r w:rsidRPr="00B13065">
        <w:t xml:space="preserve">, </w:t>
      </w:r>
      <w:r w:rsidR="00B13065">
        <w:t>lower concentration</w:t>
      </w:r>
      <w:r w:rsidR="001E60C0">
        <w:t>s</w:t>
      </w:r>
      <w:r w:rsidR="00B13065">
        <w:t xml:space="preserve"> of </w:t>
      </w:r>
      <w:r w:rsidR="00B13065" w:rsidRPr="00B13065">
        <w:t xml:space="preserve">1,2,5-TMN and 1,2,7- TMN </w:t>
      </w:r>
      <w:r w:rsidR="00B13065">
        <w:t>indicate</w:t>
      </w:r>
      <w:r w:rsidRPr="00B13065">
        <w:t xml:space="preserve"> either less</w:t>
      </w:r>
      <w:r w:rsidR="00F07014" w:rsidRPr="00B13065">
        <w:t>er</w:t>
      </w:r>
      <w:r w:rsidRPr="00B13065">
        <w:t xml:space="preserve"> amount</w:t>
      </w:r>
      <w:r w:rsidR="00F07014" w:rsidRPr="00B13065">
        <w:t>s</w:t>
      </w:r>
      <w:r w:rsidRPr="00B13065">
        <w:t xml:space="preserve"> of higher plant input or the higher plant input was su</w:t>
      </w:r>
      <w:r>
        <w:t>fficient but the aromatization process did not prevail. However, it should be noted that the samples that fall into the lower left quadrant are the ones that are deposited very close to the deeper Anadarko Basin and thus buried at the depth</w:t>
      </w:r>
      <w:r w:rsidR="001232A4">
        <w:t>s more than or very close to 10,</w:t>
      </w:r>
      <w:r>
        <w:t>000 ft</w:t>
      </w:r>
      <w:r w:rsidR="00D765D4">
        <w:t>.</w:t>
      </w:r>
      <w:r>
        <w:t xml:space="preserve"> and they have relatively higher maturities with significant aromatic concentrations. Therefore, the most probable </w:t>
      </w:r>
      <w:r w:rsidR="00F07014">
        <w:t>reason</w:t>
      </w:r>
      <w:r>
        <w:t xml:space="preserve"> for the </w:t>
      </w:r>
      <w:r w:rsidR="00F07014">
        <w:t>lower</w:t>
      </w:r>
      <w:r>
        <w:t xml:space="preserve"> amount</w:t>
      </w:r>
      <w:r w:rsidR="00F07014">
        <w:t>s</w:t>
      </w:r>
      <w:r>
        <w:t xml:space="preserve"> of 1,2,5-TMN and 1,2,7-TMN, and higher concentration</w:t>
      </w:r>
      <w:r w:rsidR="00F07014">
        <w:t>s</w:t>
      </w:r>
      <w:r>
        <w:t xml:space="preserve"> of 1.3,7-TMN and 1,3,6-TMN is the low amount of terrestrial </w:t>
      </w:r>
      <w:r w:rsidR="00F07014">
        <w:t>input</w:t>
      </w:r>
      <w:r>
        <w:t xml:space="preserve"> to the depositional environment.</w:t>
      </w:r>
    </w:p>
    <w:p w:rsidR="001232A4" w:rsidRDefault="001232A4" w:rsidP="0012049B">
      <w:pPr>
        <w:keepNext/>
        <w:jc w:val="center"/>
      </w:pPr>
      <w:r>
        <w:rPr>
          <w:noProof/>
          <w:lang w:val="tr-TR" w:eastAsia="tr-TR" w:bidi="ar-SA"/>
        </w:rPr>
        <w:drawing>
          <wp:inline distT="0" distB="0" distL="0" distR="0" wp14:anchorId="170A01CF" wp14:editId="75F41380">
            <wp:extent cx="4772025" cy="2981904"/>
            <wp:effectExtent l="19050" t="19050" r="9525" b="28575"/>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1">
                      <a:extLst>
                        <a:ext uri="{28A0092B-C50C-407E-A947-70E740481C1C}">
                          <a14:useLocalDpi xmlns:a14="http://schemas.microsoft.com/office/drawing/2010/main" val="0"/>
                        </a:ext>
                      </a:extLst>
                    </a:blip>
                    <a:srcRect l="816" t="609" r="5905" b="4405"/>
                    <a:stretch/>
                  </pic:blipFill>
                  <pic:spPr bwMode="auto">
                    <a:xfrm>
                      <a:off x="0" y="0"/>
                      <a:ext cx="4797086" cy="299756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232A4" w:rsidRDefault="001232A4" w:rsidP="001232A4">
      <w:pPr>
        <w:pStyle w:val="ResimYazs"/>
        <w:jc w:val="both"/>
        <w:rPr>
          <w:color w:val="FF0000"/>
        </w:rPr>
      </w:pPr>
      <w:bookmarkStart w:id="143" w:name="_Toc507509097"/>
      <w:r>
        <w:t xml:space="preserve">Figure </w:t>
      </w:r>
      <w:fldSimple w:instr=" SEQ Figure \* ARABIC ">
        <w:r w:rsidR="003F6459">
          <w:rPr>
            <w:noProof/>
          </w:rPr>
          <w:t>49</w:t>
        </w:r>
      </w:fldSimple>
      <w:r>
        <w:t xml:space="preserve">. </w:t>
      </w:r>
      <w:r w:rsidRPr="00607C82">
        <w:rPr>
          <w:b w:val="0"/>
        </w:rPr>
        <w:t>Cross plot of the logarithm of the 1,2,7-TMN/1,3,7-TMN ratio vs. the logarithm of the 1,2,5- TMN/1,3,6-TMN ratio (Modified after Strachan et al. (1988) (The solid lines represent benchmark values for the two ratios, derived from values found in the most mature sample from the Kephart-I Well)</w:t>
      </w:r>
      <w:bookmarkEnd w:id="143"/>
    </w:p>
    <w:p w:rsidR="00924E64" w:rsidRPr="00924E64" w:rsidRDefault="00924E64" w:rsidP="00924E64">
      <w:pPr>
        <w:pStyle w:val="Balk5"/>
        <w:rPr>
          <w:i w:val="0"/>
          <w:sz w:val="24"/>
        </w:rPr>
      </w:pPr>
      <w:bookmarkStart w:id="144" w:name="_Toc507506663"/>
      <w:r>
        <w:rPr>
          <w:i w:val="0"/>
          <w:sz w:val="24"/>
        </w:rPr>
        <w:lastRenderedPageBreak/>
        <w:t>4</w:t>
      </w:r>
      <w:r w:rsidRPr="00924E64">
        <w:rPr>
          <w:i w:val="0"/>
          <w:sz w:val="24"/>
        </w:rPr>
        <w:t>.3.6.1.3 Cadalene, Fluorene, Dibenzofuran and Its Alkyl Derivatives</w:t>
      </w:r>
      <w:bookmarkEnd w:id="144"/>
    </w:p>
    <w:p w:rsidR="00924E64" w:rsidRDefault="00924E64" w:rsidP="00924E64">
      <w:pPr>
        <w:ind w:firstLine="720"/>
        <w:jc w:val="both"/>
        <w:rPr>
          <w:rFonts w:ascii="Times New Roman" w:hAnsi="Times New Roman"/>
          <w:lang w:bidi="ar-SA"/>
        </w:rPr>
      </w:pPr>
      <w:r>
        <w:t>Another PAH compound identified in the M</w:t>
      </w:r>
      <w:r w:rsidR="00C7411B">
        <w:t>orrow s</w:t>
      </w:r>
      <w:r w:rsidR="00515F76">
        <w:t xml:space="preserve">ource </w:t>
      </w:r>
      <w:r w:rsidR="00C7411B">
        <w:t xml:space="preserve">rock </w:t>
      </w:r>
      <w:r w:rsidR="00515F76">
        <w:t>is cadalene (</w:t>
      </w:r>
      <w:r w:rsidR="00515F76" w:rsidRPr="00515F76">
        <w:rPr>
          <w:b/>
        </w:rPr>
        <w:t>XXXI</w:t>
      </w:r>
      <w:r w:rsidR="00515F76">
        <w:t xml:space="preserve">) </w:t>
      </w:r>
      <w:r>
        <w:t xml:space="preserve">which is </w:t>
      </w:r>
      <w:r w:rsidRPr="00264985">
        <w:t>a</w:t>
      </w:r>
      <w:r w:rsidR="00F07014">
        <w:t>n aromatic</w:t>
      </w:r>
      <w:r w:rsidRPr="00264985">
        <w:t xml:space="preserve"> bicyclic </w:t>
      </w:r>
      <w:r w:rsidR="00F07014">
        <w:t>sesquiterpenoid</w:t>
      </w:r>
      <w:r>
        <w:t xml:space="preserve"> that appears </w:t>
      </w:r>
      <w:r w:rsidR="00B764CB">
        <w:t>in</w:t>
      </w:r>
      <w:r>
        <w:t xml:space="preserve"> the m/z 184 ion chromatogram. Since </w:t>
      </w:r>
      <w:r>
        <w:rPr>
          <w:rFonts w:ascii="Times New Roman" w:hAnsi="Times New Roman"/>
          <w:lang w:bidi="ar-SA"/>
        </w:rPr>
        <w:t xml:space="preserve">cadalene was not </w:t>
      </w:r>
      <w:r w:rsidR="00F07014">
        <w:rPr>
          <w:rFonts w:ascii="Times New Roman" w:hAnsi="Times New Roman"/>
          <w:lang w:bidi="ar-SA"/>
        </w:rPr>
        <w:t>present</w:t>
      </w:r>
      <w:r>
        <w:rPr>
          <w:rFonts w:ascii="Times New Roman" w:hAnsi="Times New Roman"/>
          <w:lang w:bidi="ar-SA"/>
        </w:rPr>
        <w:t xml:space="preserve"> in the coal tar standard, it was identified by comparison with </w:t>
      </w:r>
      <w:r w:rsidR="00F07014">
        <w:rPr>
          <w:rFonts w:ascii="Times New Roman" w:hAnsi="Times New Roman"/>
          <w:lang w:bidi="ar-SA"/>
        </w:rPr>
        <w:t xml:space="preserve">the </w:t>
      </w:r>
      <w:r>
        <w:rPr>
          <w:rFonts w:ascii="Times New Roman" w:hAnsi="Times New Roman"/>
          <w:lang w:bidi="ar-SA"/>
        </w:rPr>
        <w:t xml:space="preserve">retention time </w:t>
      </w:r>
      <w:r w:rsidR="00F07014">
        <w:rPr>
          <w:rFonts w:ascii="Times New Roman" w:hAnsi="Times New Roman"/>
          <w:lang w:bidi="ar-SA"/>
        </w:rPr>
        <w:t>from</w:t>
      </w:r>
      <w:r>
        <w:rPr>
          <w:rFonts w:ascii="Times New Roman" w:hAnsi="Times New Roman"/>
          <w:lang w:bidi="ar-SA"/>
        </w:rPr>
        <w:t xml:space="preserve"> the co-injection of </w:t>
      </w:r>
      <w:r w:rsidR="00F07014">
        <w:rPr>
          <w:rFonts w:ascii="Times New Roman" w:hAnsi="Times New Roman"/>
          <w:lang w:bidi="ar-SA"/>
        </w:rPr>
        <w:t xml:space="preserve">a </w:t>
      </w:r>
      <w:r>
        <w:rPr>
          <w:rFonts w:ascii="Times New Roman" w:hAnsi="Times New Roman"/>
          <w:lang w:bidi="ar-SA"/>
        </w:rPr>
        <w:t xml:space="preserve">cadalene standard in </w:t>
      </w:r>
      <w:r w:rsidR="00F07014">
        <w:rPr>
          <w:rFonts w:ascii="Times New Roman" w:hAnsi="Times New Roman"/>
          <w:lang w:bidi="ar-SA"/>
        </w:rPr>
        <w:t xml:space="preserve">a prior </w:t>
      </w:r>
      <w:r>
        <w:rPr>
          <w:rFonts w:ascii="Times New Roman" w:hAnsi="Times New Roman"/>
          <w:lang w:bidi="ar-SA"/>
        </w:rPr>
        <w:t>GC-MS</w:t>
      </w:r>
      <w:r w:rsidR="00390F48">
        <w:rPr>
          <w:rFonts w:ascii="Times New Roman" w:hAnsi="Times New Roman"/>
          <w:lang w:bidi="ar-SA"/>
        </w:rPr>
        <w:t xml:space="preserve"> </w:t>
      </w:r>
      <w:r w:rsidR="002E4A8E">
        <w:rPr>
          <w:rFonts w:ascii="Times New Roman" w:hAnsi="Times New Roman"/>
          <w:lang w:bidi="ar-SA"/>
        </w:rPr>
        <w:t>analysis (Jones, 2017; Figure 50</w:t>
      </w:r>
      <w:r>
        <w:rPr>
          <w:rFonts w:ascii="Times New Roman" w:hAnsi="Times New Roman"/>
          <w:lang w:bidi="ar-SA"/>
        </w:rPr>
        <w:t xml:space="preserve">). </w:t>
      </w:r>
      <w:r>
        <w:t xml:space="preserve">Although cadalene has </w:t>
      </w:r>
      <w:r w:rsidR="00F07014">
        <w:t xml:space="preserve">been </w:t>
      </w:r>
      <w:r>
        <w:t xml:space="preserve">widely used as a higher plant indicator due to its ubiquity in many higher plants, </w:t>
      </w:r>
      <w:r w:rsidR="00B71DA5">
        <w:rPr>
          <w:rFonts w:ascii="Times New Roman" w:hAnsi="Times New Roman"/>
          <w:lang w:bidi="ar-SA"/>
        </w:rPr>
        <w:t>Elias et al.</w:t>
      </w:r>
      <w:r w:rsidRPr="00B04F3F">
        <w:rPr>
          <w:rFonts w:ascii="Times New Roman" w:hAnsi="Times New Roman"/>
          <w:lang w:bidi="ar-SA"/>
        </w:rPr>
        <w:t xml:space="preserve"> </w:t>
      </w:r>
      <w:r>
        <w:rPr>
          <w:rFonts w:ascii="Times New Roman" w:hAnsi="Times New Roman"/>
          <w:lang w:bidi="ar-SA"/>
        </w:rPr>
        <w:t>(</w:t>
      </w:r>
      <w:r w:rsidRPr="00B04F3F">
        <w:rPr>
          <w:rFonts w:ascii="Times New Roman" w:hAnsi="Times New Roman"/>
          <w:lang w:bidi="ar-SA"/>
        </w:rPr>
        <w:t>1997</w:t>
      </w:r>
      <w:r>
        <w:rPr>
          <w:rFonts w:ascii="Times New Roman" w:hAnsi="Times New Roman"/>
          <w:lang w:bidi="ar-SA"/>
        </w:rPr>
        <w:t xml:space="preserve">) proposed that they can be also derived from the algal biomasses found in </w:t>
      </w:r>
      <w:r w:rsidR="00F07014">
        <w:rPr>
          <w:rFonts w:ascii="Times New Roman" w:hAnsi="Times New Roman"/>
          <w:lang w:bidi="ar-SA"/>
        </w:rPr>
        <w:t>a</w:t>
      </w:r>
      <w:r>
        <w:rPr>
          <w:rFonts w:ascii="Times New Roman" w:hAnsi="Times New Roman"/>
          <w:lang w:bidi="ar-SA"/>
        </w:rPr>
        <w:t xml:space="preserve"> lagoonal environment. Therefore, cadalene may not be as reliable as 1,2,7-TMN or 1,2,5-TMN for the assessment of higher plant input (van Aar</w:t>
      </w:r>
      <w:r w:rsidR="00436E1E">
        <w:rPr>
          <w:rFonts w:ascii="Times New Roman" w:hAnsi="Times New Roman"/>
          <w:lang w:bidi="ar-SA"/>
        </w:rPr>
        <w:t>s</w:t>
      </w:r>
      <w:r>
        <w:rPr>
          <w:rFonts w:ascii="Times New Roman" w:hAnsi="Times New Roman"/>
          <w:lang w:bidi="ar-SA"/>
        </w:rPr>
        <w:t>sen et al.</w:t>
      </w:r>
      <w:r w:rsidR="00D765D4">
        <w:rPr>
          <w:rFonts w:ascii="Times New Roman" w:hAnsi="Times New Roman"/>
          <w:lang w:bidi="ar-SA"/>
        </w:rPr>
        <w:t>,</w:t>
      </w:r>
      <w:r>
        <w:rPr>
          <w:rFonts w:ascii="Times New Roman" w:hAnsi="Times New Roman"/>
          <w:lang w:bidi="ar-SA"/>
        </w:rPr>
        <w:t xml:space="preserve"> 2000). Nevertheless, identifying </w:t>
      </w:r>
      <w:r w:rsidR="00F07014">
        <w:rPr>
          <w:rFonts w:ascii="Times New Roman" w:hAnsi="Times New Roman"/>
          <w:lang w:bidi="ar-SA"/>
        </w:rPr>
        <w:t>cadalene in most of the Morrow s</w:t>
      </w:r>
      <w:r w:rsidR="00D33B94">
        <w:rPr>
          <w:rFonts w:ascii="Times New Roman" w:hAnsi="Times New Roman"/>
          <w:lang w:bidi="ar-SA"/>
        </w:rPr>
        <w:t>ource r</w:t>
      </w:r>
      <w:r>
        <w:rPr>
          <w:rFonts w:ascii="Times New Roman" w:hAnsi="Times New Roman"/>
          <w:lang w:bidi="ar-SA"/>
        </w:rPr>
        <w:t xml:space="preserve">ock samples in high concentration supports the </w:t>
      </w:r>
      <w:r w:rsidR="00D33B94">
        <w:rPr>
          <w:rFonts w:ascii="Times New Roman" w:hAnsi="Times New Roman"/>
          <w:lang w:bidi="ar-SA"/>
        </w:rPr>
        <w:t>evidence</w:t>
      </w:r>
      <w:r>
        <w:rPr>
          <w:rFonts w:ascii="Times New Roman" w:hAnsi="Times New Roman"/>
          <w:lang w:bidi="ar-SA"/>
        </w:rPr>
        <w:t xml:space="preserve"> </w:t>
      </w:r>
      <w:r w:rsidR="00D33B94">
        <w:rPr>
          <w:rFonts w:ascii="Times New Roman" w:hAnsi="Times New Roman"/>
          <w:lang w:bidi="ar-SA"/>
        </w:rPr>
        <w:t>discussed earlier that indicating periodic higher plant input</w:t>
      </w:r>
      <w:r>
        <w:rPr>
          <w:rFonts w:ascii="Times New Roman" w:hAnsi="Times New Roman"/>
          <w:lang w:bidi="ar-SA"/>
        </w:rPr>
        <w:t xml:space="preserve"> during deposition. </w:t>
      </w:r>
    </w:p>
    <w:p w:rsidR="004D38A8" w:rsidRDefault="004D38A8" w:rsidP="004D38A8">
      <w:pPr>
        <w:jc w:val="both"/>
        <w:rPr>
          <w:rFonts w:ascii="Times New Roman" w:hAnsi="Times New Roman"/>
          <w:lang w:bidi="ar-SA"/>
        </w:rPr>
      </w:pPr>
      <w:r>
        <w:rPr>
          <w:rFonts w:ascii="Times New Roman" w:hAnsi="Times New Roman"/>
          <w:lang w:bidi="ar-SA"/>
        </w:rPr>
        <w:tab/>
        <w:t xml:space="preserve">Fluorene (Fl; </w:t>
      </w:r>
      <w:r w:rsidRPr="00515F76">
        <w:rPr>
          <w:rFonts w:ascii="Times New Roman" w:hAnsi="Times New Roman"/>
          <w:b/>
          <w:lang w:bidi="ar-SA"/>
        </w:rPr>
        <w:t>XXXII</w:t>
      </w:r>
      <w:r>
        <w:rPr>
          <w:rFonts w:ascii="Times New Roman" w:hAnsi="Times New Roman"/>
          <w:lang w:bidi="ar-SA"/>
        </w:rPr>
        <w:t xml:space="preserve">), dibenzofuran (DBF; </w:t>
      </w:r>
      <w:r w:rsidRPr="00515F76">
        <w:rPr>
          <w:rFonts w:ascii="Times New Roman" w:hAnsi="Times New Roman"/>
          <w:b/>
          <w:lang w:bidi="ar-SA"/>
        </w:rPr>
        <w:t>XXXIII</w:t>
      </w:r>
      <w:r>
        <w:rPr>
          <w:rFonts w:ascii="Times New Roman" w:hAnsi="Times New Roman"/>
          <w:lang w:bidi="ar-SA"/>
        </w:rPr>
        <w:t xml:space="preserve">) and its methylated derivatives (MDBF; </w:t>
      </w:r>
      <w:r w:rsidRPr="00515F76">
        <w:rPr>
          <w:rFonts w:ascii="Times New Roman" w:hAnsi="Times New Roman"/>
          <w:b/>
          <w:lang w:bidi="ar-SA"/>
        </w:rPr>
        <w:t>XXXIV</w:t>
      </w:r>
      <w:r>
        <w:rPr>
          <w:rFonts w:ascii="Times New Roman" w:hAnsi="Times New Roman"/>
          <w:lang w:bidi="ar-SA"/>
        </w:rPr>
        <w:t>) are other PAHs identified in the Mor</w:t>
      </w:r>
      <w:r w:rsidR="001B00D5">
        <w:rPr>
          <w:rFonts w:ascii="Times New Roman" w:hAnsi="Times New Roman"/>
          <w:lang w:bidi="ar-SA"/>
        </w:rPr>
        <w:t>row source rock samples (m/z 166</w:t>
      </w:r>
      <w:r>
        <w:rPr>
          <w:rFonts w:ascii="Times New Roman" w:hAnsi="Times New Roman"/>
          <w:lang w:bidi="ar-SA"/>
        </w:rPr>
        <w:t>, m</w:t>
      </w:r>
      <w:r w:rsidR="001B00D5">
        <w:rPr>
          <w:rFonts w:ascii="Times New Roman" w:hAnsi="Times New Roman"/>
          <w:lang w:bidi="ar-SA"/>
        </w:rPr>
        <w:t>/z 168</w:t>
      </w:r>
      <w:r>
        <w:rPr>
          <w:rFonts w:ascii="Times New Roman" w:hAnsi="Times New Roman"/>
          <w:lang w:bidi="ar-SA"/>
        </w:rPr>
        <w:t xml:space="preserve"> and m/z 182, respectively; Figure 51).  Li et al. (2013) observed that </w:t>
      </w:r>
      <w:r w:rsidRPr="009B2D3C">
        <w:rPr>
          <w:rFonts w:ascii="Times New Roman" w:hAnsi="Times New Roman"/>
          <w:lang w:bidi="ar-SA"/>
        </w:rPr>
        <w:t>fluvial/deltaic/fresh</w:t>
      </w:r>
      <w:r>
        <w:rPr>
          <w:rFonts w:ascii="Times New Roman" w:hAnsi="Times New Roman"/>
          <w:lang w:bidi="ar-SA"/>
        </w:rPr>
        <w:t>water</w:t>
      </w:r>
      <w:r w:rsidRPr="009B2D3C">
        <w:rPr>
          <w:rFonts w:ascii="Times New Roman" w:hAnsi="Times New Roman"/>
          <w:lang w:bidi="ar-SA"/>
        </w:rPr>
        <w:t xml:space="preserve"> lacustrine shale</w:t>
      </w:r>
      <w:r>
        <w:rPr>
          <w:rFonts w:ascii="Times New Roman" w:hAnsi="Times New Roman"/>
          <w:lang w:bidi="ar-SA"/>
        </w:rPr>
        <w:t xml:space="preserve">s are dominated by fluorene while dibenzofuran abundant in coal samples deposited in a swamp environment (Pu et al., 1990; Li </w:t>
      </w:r>
      <w:r w:rsidR="00436E1E">
        <w:rPr>
          <w:rFonts w:ascii="Times New Roman" w:hAnsi="Times New Roman"/>
          <w:lang w:bidi="ar-SA"/>
        </w:rPr>
        <w:t xml:space="preserve">et </w:t>
      </w:r>
      <w:r>
        <w:rPr>
          <w:rFonts w:ascii="Times New Roman" w:hAnsi="Times New Roman"/>
          <w:lang w:bidi="ar-SA"/>
        </w:rPr>
        <w:t xml:space="preserve">al., 2004). Moreover, Radke et al. (2000) proposed that MDBF are potential biomarkers of lichens </w:t>
      </w:r>
      <w:r w:rsidRPr="00B65294">
        <w:rPr>
          <w:rFonts w:ascii="Times New Roman" w:hAnsi="Times New Roman"/>
          <w:color w:val="000000" w:themeColor="text1"/>
          <w:lang w:bidi="ar-SA"/>
        </w:rPr>
        <w:t>that have symbiotic relationship between a fungus and a green alga</w:t>
      </w:r>
      <w:r w:rsidR="00F7206A">
        <w:rPr>
          <w:rFonts w:ascii="Times New Roman" w:hAnsi="Times New Roman"/>
          <w:color w:val="000000" w:themeColor="text1"/>
          <w:lang w:bidi="ar-SA"/>
        </w:rPr>
        <w:t>e</w:t>
      </w:r>
      <w:r w:rsidRPr="00B65294">
        <w:rPr>
          <w:rFonts w:ascii="Times New Roman" w:hAnsi="Times New Roman"/>
          <w:color w:val="000000" w:themeColor="text1"/>
          <w:lang w:bidi="ar-SA"/>
        </w:rPr>
        <w:t>. Overall, the presenc</w:t>
      </w:r>
      <w:r>
        <w:rPr>
          <w:rFonts w:ascii="Times New Roman" w:hAnsi="Times New Roman"/>
          <w:lang w:bidi="ar-SA"/>
        </w:rPr>
        <w:t xml:space="preserve">e of terrestrial indicative PAHs such as fluorene, dibenzofuran and methylated derivatives are indicative of terrestrial freshwater conditions that prevailed during the deposition of the Morrow source rocks. While the samples with high Fl, DBF and </w:t>
      </w:r>
      <w:r w:rsidR="002540E6">
        <w:rPr>
          <w:rFonts w:ascii="Times New Roman" w:hAnsi="Times New Roman"/>
          <w:lang w:bidi="ar-SA"/>
        </w:rPr>
        <w:t xml:space="preserve">its </w:t>
      </w:r>
      <w:r>
        <w:rPr>
          <w:rFonts w:ascii="Times New Roman" w:hAnsi="Times New Roman"/>
          <w:lang w:bidi="ar-SA"/>
        </w:rPr>
        <w:t xml:space="preserve">MDBF concentrations might belong to more proximal parts of the basin, </w:t>
      </w:r>
      <w:r>
        <w:rPr>
          <w:rFonts w:ascii="Times New Roman" w:hAnsi="Times New Roman"/>
          <w:lang w:bidi="ar-SA"/>
        </w:rPr>
        <w:lastRenderedPageBreak/>
        <w:t xml:space="preserve">the samples with low Fl, DBF and its MDBF concentration were probably deposited in more distal parts of the basin (i.e prodelta). </w:t>
      </w:r>
    </w:p>
    <w:p w:rsidR="002E4A8E" w:rsidRDefault="00645624" w:rsidP="004D38A8">
      <w:pPr>
        <w:keepNext/>
        <w:jc w:val="center"/>
      </w:pPr>
      <w:r w:rsidRPr="00645624">
        <w:rPr>
          <w:noProof/>
          <w:lang w:val="tr-TR" w:eastAsia="tr-TR" w:bidi="ar-SA"/>
        </w:rPr>
        <w:drawing>
          <wp:inline distT="0" distB="0" distL="0" distR="0" wp14:anchorId="7A24E7E8" wp14:editId="1F40C835">
            <wp:extent cx="5394960" cy="3552825"/>
            <wp:effectExtent l="0" t="0" r="0" b="9525"/>
            <wp:docPr id="18"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rotWithShape="1">
                    <a:blip r:embed="rId82"/>
                    <a:srcRect r="9551"/>
                    <a:stretch/>
                  </pic:blipFill>
                  <pic:spPr>
                    <a:xfrm>
                      <a:off x="0" y="0"/>
                      <a:ext cx="5394960" cy="3552825"/>
                    </a:xfrm>
                    <a:prstGeom prst="rect">
                      <a:avLst/>
                    </a:prstGeom>
                    <a:ln>
                      <a:noFill/>
                    </a:ln>
                  </pic:spPr>
                </pic:pic>
              </a:graphicData>
            </a:graphic>
          </wp:inline>
        </w:drawing>
      </w:r>
    </w:p>
    <w:p w:rsidR="00934132" w:rsidRDefault="002E4A8E" w:rsidP="002E4A8E">
      <w:pPr>
        <w:pStyle w:val="ResimYazs"/>
        <w:jc w:val="both"/>
        <w:rPr>
          <w:rFonts w:ascii="Times New Roman" w:hAnsi="Times New Roman"/>
          <w:b w:val="0"/>
          <w:lang w:bidi="ar-SA"/>
        </w:rPr>
      </w:pPr>
      <w:bookmarkStart w:id="145" w:name="_Toc507509098"/>
      <w:r w:rsidRPr="004D38A8">
        <w:t xml:space="preserve">Figure </w:t>
      </w:r>
      <w:fldSimple w:instr=" SEQ Figure \* ARABIC ">
        <w:r w:rsidR="003F6459">
          <w:rPr>
            <w:noProof/>
          </w:rPr>
          <w:t>50</w:t>
        </w:r>
      </w:fldSimple>
      <w:r w:rsidRPr="004D38A8">
        <w:t xml:space="preserve">. </w:t>
      </w:r>
      <w:r w:rsidRPr="004D38A8">
        <w:rPr>
          <w:b w:val="0"/>
        </w:rPr>
        <w:t>m/z 184 ion chromatogram of the A-17 sample</w:t>
      </w:r>
      <w:r w:rsidRPr="004D38A8">
        <w:rPr>
          <w:rFonts w:ascii="Times New Roman" w:hAnsi="Times New Roman"/>
          <w:lang w:bidi="ar-SA"/>
        </w:rPr>
        <w:t xml:space="preserve">. </w:t>
      </w:r>
      <w:r w:rsidRPr="004D38A8">
        <w:rPr>
          <w:rFonts w:ascii="Times New Roman" w:hAnsi="Times New Roman"/>
          <w:b w:val="0"/>
          <w:lang w:bidi="ar-SA"/>
        </w:rPr>
        <w:t>Cadalene was identified by comparison with retention time in the co-injection of cadalene internal standard</w:t>
      </w:r>
      <w:bookmarkEnd w:id="145"/>
    </w:p>
    <w:p w:rsidR="001E60C0" w:rsidRPr="001E60C0" w:rsidRDefault="001E60C0" w:rsidP="001E60C0">
      <w:pPr>
        <w:spacing w:line="276" w:lineRule="auto"/>
        <w:rPr>
          <w:lang w:bidi="ar-SA"/>
        </w:rPr>
      </w:pPr>
    </w:p>
    <w:p w:rsidR="002E4A8E" w:rsidRPr="00390F48" w:rsidRDefault="002E4A8E" w:rsidP="002E4A8E">
      <w:pPr>
        <w:pStyle w:val="Balk5"/>
        <w:rPr>
          <w:i w:val="0"/>
          <w:sz w:val="24"/>
        </w:rPr>
      </w:pPr>
      <w:bookmarkStart w:id="146" w:name="_Toc507506664"/>
      <w:r w:rsidRPr="00390F48">
        <w:rPr>
          <w:i w:val="0"/>
          <w:sz w:val="24"/>
        </w:rPr>
        <w:t>4.3.6.1.4 Alkylphenanthrenes as Maturity and Potential Source Indicators</w:t>
      </w:r>
      <w:bookmarkEnd w:id="146"/>
    </w:p>
    <w:p w:rsidR="002E4A8E" w:rsidRDefault="002E4A8E" w:rsidP="002E4A8E">
      <w:pPr>
        <w:jc w:val="both"/>
      </w:pPr>
      <w:r>
        <w:tab/>
        <w:t>The main</w:t>
      </w:r>
      <w:r w:rsidR="00B764CB">
        <w:t>,</w:t>
      </w:r>
      <w:r>
        <w:t xml:space="preserve"> and widely accepted</w:t>
      </w:r>
      <w:r w:rsidR="00B764CB">
        <w:t>,</w:t>
      </w:r>
      <w:r>
        <w:t xml:space="preserve"> u</w:t>
      </w:r>
      <w:r w:rsidR="00B764CB">
        <w:t>se</w:t>
      </w:r>
      <w:r>
        <w:t xml:space="preserve"> of the alkylphenanthrenes is as a maturity </w:t>
      </w:r>
      <w:r w:rsidR="00B764CB">
        <w:t>parameter</w:t>
      </w:r>
      <w:r>
        <w:t xml:space="preserve"> (</w:t>
      </w:r>
      <w:r w:rsidRPr="00BD6DA8">
        <w:t>Radke et al.</w:t>
      </w:r>
      <w:r>
        <w:t>,</w:t>
      </w:r>
      <w:r w:rsidRPr="00BD6DA8">
        <w:t xml:space="preserve"> 1982</w:t>
      </w:r>
      <w:r>
        <w:t xml:space="preserve">; Peters et al., 2005; Armstroff et al., 2006). Radke et al. (1982) observed that 9-methylphenanthrene (9-MP) and </w:t>
      </w:r>
      <w:r w:rsidRPr="00267832">
        <w:t>1-methylphenanthrene</w:t>
      </w:r>
      <w:r>
        <w:t xml:space="preserve"> (1-MP) are highly abundant in the immature source rocks with 9-MP </w:t>
      </w:r>
      <w:r w:rsidR="00B764CB">
        <w:t xml:space="preserve">typically more dominant than </w:t>
      </w:r>
      <w:r>
        <w:t xml:space="preserve">1-MP. Moreover, with the increasing maturity, 9-MP and 1-MP lose their predominance and </w:t>
      </w:r>
      <w:r w:rsidRPr="00267832">
        <w:t>2-methylphenanthrene</w:t>
      </w:r>
      <w:r>
        <w:t xml:space="preserve"> (2-MP)</w:t>
      </w:r>
      <w:r w:rsidRPr="00267832">
        <w:t xml:space="preserve"> and 3-methylphenanthrene</w:t>
      </w:r>
      <w:r>
        <w:t xml:space="preserve"> (3-MP)</w:t>
      </w:r>
      <w:r w:rsidRPr="002E4A8E">
        <w:t xml:space="preserve"> </w:t>
      </w:r>
      <w:r w:rsidR="00B764CB">
        <w:t xml:space="preserve">increase in relative concentration </w:t>
      </w:r>
      <w:r>
        <w:t xml:space="preserve">with 2-MP being predominant (Radke et al., 1982). Based on these observations, Radke et al. (1982) proposed a convenient and reliable </w:t>
      </w:r>
    </w:p>
    <w:p w:rsidR="00924E64" w:rsidRDefault="00924E64" w:rsidP="0012049B">
      <w:pPr>
        <w:keepNext/>
        <w:jc w:val="center"/>
      </w:pPr>
      <w:r w:rsidRPr="00924E64">
        <w:rPr>
          <w:rFonts w:ascii="Times New Roman" w:hAnsi="Times New Roman"/>
          <w:noProof/>
          <w:lang w:val="tr-TR" w:eastAsia="tr-TR" w:bidi="ar-SA"/>
        </w:rPr>
        <w:lastRenderedPageBreak/>
        <w:drawing>
          <wp:inline distT="0" distB="0" distL="0" distR="0" wp14:anchorId="7C5A64F5" wp14:editId="569C7346">
            <wp:extent cx="4849702" cy="5296395"/>
            <wp:effectExtent l="19050" t="19050" r="27305" b="19050"/>
            <wp:docPr id="94"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0"/>
                    <pic:cNvPicPr>
                      <a:picLocks noChangeAspect="1"/>
                    </pic:cNvPicPr>
                  </pic:nvPicPr>
                  <pic:blipFill>
                    <a:blip r:embed="rId83"/>
                    <a:stretch>
                      <a:fillRect/>
                    </a:stretch>
                  </pic:blipFill>
                  <pic:spPr>
                    <a:xfrm>
                      <a:off x="0" y="0"/>
                      <a:ext cx="4870598" cy="5319215"/>
                    </a:xfrm>
                    <a:prstGeom prst="rect">
                      <a:avLst/>
                    </a:prstGeom>
                    <a:ln>
                      <a:solidFill>
                        <a:schemeClr val="tx1"/>
                      </a:solidFill>
                    </a:ln>
                  </pic:spPr>
                </pic:pic>
              </a:graphicData>
            </a:graphic>
          </wp:inline>
        </w:drawing>
      </w:r>
    </w:p>
    <w:p w:rsidR="000F04D2" w:rsidRDefault="00924E64" w:rsidP="007A2353">
      <w:pPr>
        <w:pStyle w:val="ResimYazs"/>
        <w:jc w:val="both"/>
        <w:rPr>
          <w:b w:val="0"/>
        </w:rPr>
      </w:pPr>
      <w:bookmarkStart w:id="147" w:name="_Toc507509099"/>
      <w:r>
        <w:t xml:space="preserve">Figure </w:t>
      </w:r>
      <w:fldSimple w:instr=" SEQ Figure \* ARABIC ">
        <w:r w:rsidR="003F6459">
          <w:rPr>
            <w:noProof/>
          </w:rPr>
          <w:t>51</w:t>
        </w:r>
      </w:fldSimple>
      <w:r>
        <w:t xml:space="preserve">. </w:t>
      </w:r>
      <w:r w:rsidR="001A52E3">
        <w:rPr>
          <w:b w:val="0"/>
        </w:rPr>
        <w:t>GC</w:t>
      </w:r>
      <w:r w:rsidRPr="007C4EA5">
        <w:rPr>
          <w:b w:val="0"/>
        </w:rPr>
        <w:t xml:space="preserve">MS identification of dibenzofuran, fluorene and </w:t>
      </w:r>
      <w:r w:rsidR="007C4EA5" w:rsidRPr="007C4EA5">
        <w:rPr>
          <w:b w:val="0"/>
        </w:rPr>
        <w:t xml:space="preserve">methyldibenzofuran </w:t>
      </w:r>
      <w:r w:rsidR="00351F17">
        <w:rPr>
          <w:b w:val="0"/>
        </w:rPr>
        <w:t xml:space="preserve">confirmed </w:t>
      </w:r>
      <w:r w:rsidR="007C4EA5" w:rsidRPr="007C4EA5">
        <w:rPr>
          <w:b w:val="0"/>
        </w:rPr>
        <w:t>by comparison with coal tar standard</w:t>
      </w:r>
      <w:bookmarkEnd w:id="147"/>
      <w:r w:rsidR="007C4EA5" w:rsidRPr="007C4EA5">
        <w:rPr>
          <w:b w:val="0"/>
        </w:rPr>
        <w:t xml:space="preserve"> </w:t>
      </w:r>
    </w:p>
    <w:p w:rsidR="002E4A8E" w:rsidRPr="002E4A8E" w:rsidRDefault="002E4A8E" w:rsidP="002E4A8E">
      <w:pPr>
        <w:spacing w:line="360" w:lineRule="auto"/>
      </w:pPr>
    </w:p>
    <w:p w:rsidR="00390F48" w:rsidRDefault="004D38A8" w:rsidP="00390F48">
      <w:pPr>
        <w:jc w:val="both"/>
      </w:pPr>
      <w:r>
        <w:t xml:space="preserve">approach, namely the </w:t>
      </w:r>
      <w:r w:rsidRPr="00267832">
        <w:t xml:space="preserve">Methylphenanthrene </w:t>
      </w:r>
      <w:r>
        <w:t>Index (MPI), to assess the thermal maturity of coals and Type-III kerogens. The approach was subsequently extended to Type-I and Type-II kerogens and oils.</w:t>
      </w:r>
      <w:r w:rsidR="00014500">
        <w:t xml:space="preserve"> </w:t>
      </w:r>
      <w:r w:rsidR="00390F48">
        <w:t xml:space="preserve">The authors suggested that the MPI reduces the effects of facies variations in thermal maturity so that </w:t>
      </w:r>
      <w:r w:rsidR="00351F17">
        <w:t xml:space="preserve">it </w:t>
      </w:r>
      <w:r w:rsidR="00390F48">
        <w:t>provides an accurate maturity measurement (Radke et al.</w:t>
      </w:r>
      <w:r w:rsidR="00351F17">
        <w:t>,</w:t>
      </w:r>
      <w:r w:rsidR="00B764CB">
        <w:t xml:space="preserve"> 1982 and 1986</w:t>
      </w:r>
      <w:r w:rsidR="00390F48">
        <w:t xml:space="preserve">). The MPI </w:t>
      </w:r>
      <w:r w:rsidR="00B764CB">
        <w:t xml:space="preserve">showed good </w:t>
      </w:r>
      <w:r w:rsidR="00390F48">
        <w:t>correlation</w:t>
      </w:r>
      <w:r w:rsidR="00351F17">
        <w:t xml:space="preserve"> with the vitrinite reflectance</w:t>
      </w:r>
      <w:r w:rsidR="00390F48">
        <w:t xml:space="preserve"> of shale and coals containing Type III organic matter (Radke</w:t>
      </w:r>
      <w:r w:rsidR="00351F17">
        <w:t xml:space="preserve"> and Welte, 1983;</w:t>
      </w:r>
      <w:r w:rsidR="00390F48">
        <w:t xml:space="preserve"> </w:t>
      </w:r>
      <w:r w:rsidR="00390F48">
        <w:lastRenderedPageBreak/>
        <w:t>Armstroff et al.</w:t>
      </w:r>
      <w:r w:rsidR="00351F17">
        <w:t>,</w:t>
      </w:r>
      <w:r w:rsidR="00390F48">
        <w:t xml:space="preserve"> 2006). The calibration between </w:t>
      </w:r>
      <w:r w:rsidR="00390F48" w:rsidRPr="00390F48">
        <w:t>vitrinite reflectance a</w:t>
      </w:r>
      <w:r w:rsidR="002E4A8E">
        <w:t xml:space="preserve">nd MPI is given in the Figure </w:t>
      </w:r>
      <w:r w:rsidR="002E4A8E" w:rsidRPr="00CE4741">
        <w:t>52</w:t>
      </w:r>
      <w:r w:rsidR="00390F48" w:rsidRPr="00CE4741">
        <w:t xml:space="preserve"> (Peters et al.</w:t>
      </w:r>
      <w:r w:rsidR="00351F17" w:rsidRPr="00CE4741">
        <w:t>,</w:t>
      </w:r>
      <w:r w:rsidR="00390F48" w:rsidRPr="00CE4741">
        <w:t xml:space="preserve"> 2005). The </w:t>
      </w:r>
      <w:r w:rsidR="00B764CB" w:rsidRPr="00CE4741">
        <w:t xml:space="preserve">relationship between </w:t>
      </w:r>
      <w:r w:rsidR="00390F48" w:rsidRPr="00CE4741">
        <w:t>MPI-1 and R</w:t>
      </w:r>
      <w:r w:rsidR="00390F48" w:rsidRPr="00CE4741">
        <w:rPr>
          <w:vertAlign w:val="subscript"/>
        </w:rPr>
        <w:t>c</w:t>
      </w:r>
      <w:r w:rsidR="00390F48" w:rsidRPr="00CE4741">
        <w:t xml:space="preserve"> </w:t>
      </w:r>
      <w:r w:rsidR="00B764CB" w:rsidRPr="00CE4741">
        <w:t xml:space="preserve">is </w:t>
      </w:r>
      <w:r w:rsidR="00390F48" w:rsidRPr="00CE4741">
        <w:t>as follows:</w:t>
      </w:r>
    </w:p>
    <w:p w:rsidR="00390F48" w:rsidRPr="004A4417" w:rsidRDefault="00390F48" w:rsidP="00390F48">
      <w:pPr>
        <w:jc w:val="both"/>
      </w:pPr>
      <m:oMathPara>
        <m:oMath>
          <m:r>
            <m:rPr>
              <m:sty m:val="bi"/>
            </m:rPr>
            <w:rPr>
              <w:rFonts w:ascii="Cambria Math" w:hAnsi="Cambria Math"/>
            </w:rPr>
            <m:t>MPI 1</m:t>
          </m:r>
          <m:r>
            <w:rPr>
              <w:rFonts w:ascii="Cambria Math" w:hAnsi="Cambria Math"/>
            </w:rPr>
            <m:t xml:space="preserve">=1.5* </m:t>
          </m:r>
          <m:f>
            <m:fPr>
              <m:ctrlPr>
                <w:rPr>
                  <w:rFonts w:ascii="Cambria Math" w:hAnsi="Cambria Math"/>
                  <w:i/>
                </w:rPr>
              </m:ctrlPr>
            </m:fPr>
            <m:num>
              <m:d>
                <m:dPr>
                  <m:ctrlPr>
                    <w:rPr>
                      <w:rFonts w:ascii="Cambria Math" w:hAnsi="Cambria Math"/>
                      <w:i/>
                    </w:rPr>
                  </m:ctrlPr>
                </m:dPr>
                <m:e>
                  <m:r>
                    <w:rPr>
                      <w:rFonts w:ascii="Cambria Math" w:hAnsi="Cambria Math"/>
                    </w:rPr>
                    <m:t>2MP+3MP</m:t>
                  </m:r>
                </m:e>
              </m:d>
            </m:num>
            <m:den>
              <m:d>
                <m:dPr>
                  <m:ctrlPr>
                    <w:rPr>
                      <w:rFonts w:ascii="Cambria Math" w:hAnsi="Cambria Math"/>
                      <w:i/>
                    </w:rPr>
                  </m:ctrlPr>
                </m:dPr>
                <m:e>
                  <m:r>
                    <w:rPr>
                      <w:rFonts w:ascii="Cambria Math" w:hAnsi="Cambria Math"/>
                    </w:rPr>
                    <m:t>P+1MP+9MP</m:t>
                  </m:r>
                </m:e>
              </m:d>
            </m:den>
          </m:f>
        </m:oMath>
      </m:oMathPara>
    </w:p>
    <w:p w:rsidR="00390F48" w:rsidRPr="00D8175E" w:rsidRDefault="00390F48" w:rsidP="00390F48">
      <w:pPr>
        <w:jc w:val="both"/>
      </w:pPr>
      <m:oMathPara>
        <m:oMath>
          <m:r>
            <w:rPr>
              <w:rFonts w:ascii="Cambria Math" w:hAnsi="Cambria Math"/>
            </w:rPr>
            <m:t xml:space="preserve"> </m:t>
          </m:r>
          <m:sSub>
            <m:sSubPr>
              <m:ctrlPr>
                <w:rPr>
                  <w:rFonts w:ascii="Cambria Math" w:hAnsi="Cambria Math"/>
                  <w:b/>
                  <w:i/>
                </w:rPr>
              </m:ctrlPr>
            </m:sSubPr>
            <m:e>
              <m:r>
                <m:rPr>
                  <m:sty m:val="bi"/>
                </m:rPr>
                <w:rPr>
                  <w:rFonts w:ascii="Cambria Math" w:hAnsi="Cambria Math"/>
                </w:rPr>
                <m:t xml:space="preserve">     R</m:t>
              </m:r>
            </m:e>
            <m:sub>
              <m:r>
                <m:rPr>
                  <m:sty m:val="bi"/>
                </m:rPr>
                <w:rPr>
                  <w:rFonts w:ascii="Cambria Math" w:hAnsi="Cambria Math"/>
                </w:rPr>
                <m:t xml:space="preserve">C </m:t>
              </m:r>
            </m:sub>
          </m:sSub>
          <m:r>
            <w:rPr>
              <w:rFonts w:ascii="Cambria Math" w:hAnsi="Cambria Math"/>
            </w:rPr>
            <m:t xml:space="preserve">=0.6*MPI 1+0.4 for </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&lt;1.35 %</m:t>
          </m:r>
        </m:oMath>
      </m:oMathPara>
    </w:p>
    <w:p w:rsidR="00390F48" w:rsidRPr="00CE4741" w:rsidRDefault="00390F48" w:rsidP="00390F48">
      <w:pPr>
        <w:jc w:val="both"/>
      </w:pPr>
      <m:oMathPara>
        <m:oMath>
          <m:r>
            <w:rPr>
              <w:rFonts w:ascii="Cambria Math" w:hAnsi="Cambria Math"/>
            </w:rPr>
            <m:t xml:space="preserve"> </m:t>
          </m:r>
          <m:sSub>
            <m:sSubPr>
              <m:ctrlPr>
                <w:rPr>
                  <w:rFonts w:ascii="Cambria Math" w:hAnsi="Cambria Math"/>
                  <w:b/>
                  <w:i/>
                </w:rPr>
              </m:ctrlPr>
            </m:sSubPr>
            <m:e>
              <m:r>
                <m:rPr>
                  <m:sty m:val="bi"/>
                </m:rPr>
                <w:rPr>
                  <w:rFonts w:ascii="Cambria Math" w:hAnsi="Cambria Math"/>
                </w:rPr>
                <m:t xml:space="preserve">      R</m:t>
              </m:r>
            </m:e>
            <m:sub>
              <m:r>
                <m:rPr>
                  <m:sty m:val="bi"/>
                </m:rPr>
                <w:rPr>
                  <w:rFonts w:ascii="Cambria Math" w:hAnsi="Cambria Math"/>
                </w:rPr>
                <m:t xml:space="preserve">C </m:t>
              </m:r>
            </m:sub>
          </m:sSub>
          <m:r>
            <w:rPr>
              <w:rFonts w:ascii="Cambria Math" w:hAnsi="Cambria Math"/>
            </w:rPr>
            <m:t xml:space="preserve">=-0.6*MPI 1+2.3 for </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&gt;1.35 %</m:t>
          </m:r>
        </m:oMath>
      </m:oMathPara>
    </w:p>
    <w:p w:rsidR="00CE4741" w:rsidRPr="00CE4741" w:rsidRDefault="00CE4741" w:rsidP="00390F48">
      <w:pPr>
        <w:jc w:val="both"/>
      </w:pPr>
    </w:p>
    <w:p w:rsidR="00CE4741" w:rsidRPr="00CE4741" w:rsidRDefault="00CE4741" w:rsidP="00390F48">
      <w:pPr>
        <w:jc w:val="both"/>
      </w:pPr>
      <w:r>
        <w:t>Radke et al. (1982) proposed positive and negative correlation lines based on the maturity level of the samples. Positive correlation line can be used for the samples in the oil window (0.65&lt; R</w:t>
      </w:r>
      <w:r w:rsidR="004D38A8">
        <w:rPr>
          <w:vertAlign w:val="subscript"/>
        </w:rPr>
        <w:t>0</w:t>
      </w:r>
      <w:r>
        <w:t>% &lt;1.35) while negative correlation line can be used for the samples with high maturity (1.35 &lt;R</w:t>
      </w:r>
      <w:r>
        <w:rPr>
          <w:vertAlign w:val="subscript"/>
        </w:rPr>
        <w:t>0</w:t>
      </w:r>
      <w:r>
        <w:t xml:space="preserve">% &lt; 2.00). In this study, positive linear </w:t>
      </w:r>
      <w:r w:rsidR="00CB75BB">
        <w:t>correlation</w:t>
      </w:r>
      <w:r>
        <w:t xml:space="preserve"> line was used </w:t>
      </w:r>
      <w:r w:rsidR="00CB75BB">
        <w:t>for calibration</w:t>
      </w:r>
      <w:r>
        <w:t xml:space="preserve"> between MPI-1 and R</w:t>
      </w:r>
      <w:r>
        <w:rPr>
          <w:vertAlign w:val="subscript"/>
        </w:rPr>
        <w:t xml:space="preserve">0 </w:t>
      </w:r>
      <w:r w:rsidR="00CB75BB">
        <w:t xml:space="preserve">%. </w:t>
      </w:r>
    </w:p>
    <w:p w:rsidR="002E4A8E" w:rsidRDefault="00390F48" w:rsidP="002E4A8E">
      <w:pPr>
        <w:keepNext/>
        <w:jc w:val="center"/>
      </w:pPr>
      <w:r>
        <w:rPr>
          <w:noProof/>
          <w:lang w:val="tr-TR" w:eastAsia="tr-TR" w:bidi="ar-SA"/>
        </w:rPr>
        <w:drawing>
          <wp:inline distT="0" distB="0" distL="0" distR="0">
            <wp:extent cx="4720014" cy="3200400"/>
            <wp:effectExtent l="19050" t="19050" r="23495" b="19050"/>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71546" cy="3235341"/>
                    </a:xfrm>
                    <a:prstGeom prst="rect">
                      <a:avLst/>
                    </a:prstGeom>
                    <a:noFill/>
                    <a:ln>
                      <a:solidFill>
                        <a:schemeClr val="tx1"/>
                      </a:solidFill>
                    </a:ln>
                  </pic:spPr>
                </pic:pic>
              </a:graphicData>
            </a:graphic>
          </wp:inline>
        </w:drawing>
      </w:r>
    </w:p>
    <w:p w:rsidR="00390F48" w:rsidRDefault="002E4A8E" w:rsidP="002E4A8E">
      <w:pPr>
        <w:pStyle w:val="ResimYazs"/>
        <w:jc w:val="both"/>
        <w:rPr>
          <w:b w:val="0"/>
        </w:rPr>
      </w:pPr>
      <w:bookmarkStart w:id="148" w:name="_Toc507509100"/>
      <w:r>
        <w:t xml:space="preserve">Figure </w:t>
      </w:r>
      <w:fldSimple w:instr=" SEQ Figure \* ARABIC ">
        <w:r w:rsidR="003F6459">
          <w:rPr>
            <w:noProof/>
          </w:rPr>
          <w:t>52</w:t>
        </w:r>
      </w:fldSimple>
      <w:r>
        <w:t xml:space="preserve">. </w:t>
      </w:r>
      <w:r w:rsidRPr="00094B76">
        <w:rPr>
          <w:b w:val="0"/>
        </w:rPr>
        <w:t xml:space="preserve">The calibration between MPI-1 and vitrinite reflectance is based on shales and coals </w:t>
      </w:r>
      <w:r>
        <w:rPr>
          <w:b w:val="0"/>
        </w:rPr>
        <w:t xml:space="preserve">containing </w:t>
      </w:r>
      <w:r w:rsidRPr="00094B76">
        <w:rPr>
          <w:b w:val="0"/>
        </w:rPr>
        <w:t>Type-III organic matter (Radke and Welte, 1983</w:t>
      </w:r>
      <w:r>
        <w:rPr>
          <w:b w:val="0"/>
        </w:rPr>
        <w:t>; Peters et al., 2005)</w:t>
      </w:r>
      <w:bookmarkEnd w:id="148"/>
    </w:p>
    <w:p w:rsidR="002540E6" w:rsidRPr="002540E6" w:rsidRDefault="002540E6" w:rsidP="002540E6"/>
    <w:p w:rsidR="000F04D2" w:rsidRDefault="00390F48" w:rsidP="00390F48">
      <w:pPr>
        <w:ind w:firstLine="720"/>
        <w:jc w:val="both"/>
      </w:pPr>
      <w:r w:rsidRPr="004A4417">
        <w:lastRenderedPageBreak/>
        <w:t>The distribution o</w:t>
      </w:r>
      <w:r>
        <w:t xml:space="preserve">f the alkylphenanthrenes in the Morrow Formation are </w:t>
      </w:r>
      <w:r w:rsidR="00351F17">
        <w:t>illustrated</w:t>
      </w:r>
      <w:r>
        <w:t xml:space="preserve"> </w:t>
      </w:r>
      <w:r w:rsidRPr="002A3DBE">
        <w:t xml:space="preserve">in Figure </w:t>
      </w:r>
      <w:r w:rsidR="00D765D4">
        <w:t>53</w:t>
      </w:r>
      <w:r w:rsidR="00351F17">
        <w:t xml:space="preserve"> and</w:t>
      </w:r>
      <w:r w:rsidRPr="002A3DBE">
        <w:t xml:space="preserve"> compound identifications are given in Table </w:t>
      </w:r>
      <w:r w:rsidR="00593307">
        <w:t>1</w:t>
      </w:r>
      <w:r w:rsidR="00DE665F">
        <w:t>4</w:t>
      </w:r>
      <w:r w:rsidRPr="002A3DBE">
        <w:t>.  The</w:t>
      </w:r>
      <w:r>
        <w:t xml:space="preserve"> alkylphenanthrenes of 9-MP, 1-MP, 3-MP and 2-MP were used to</w:t>
      </w:r>
      <w:r w:rsidR="00593307">
        <w:t xml:space="preserve"> calcul</w:t>
      </w:r>
      <w:r w:rsidR="0080411B">
        <w:t xml:space="preserve">ate MPI-1 ratios (Table </w:t>
      </w:r>
      <w:r w:rsidR="00593307">
        <w:t>1</w:t>
      </w:r>
      <w:r w:rsidR="00A47647">
        <w:t>2</w:t>
      </w:r>
      <w:r>
        <w:t xml:space="preserve">). For instance, the average MPI-1 value of the Wang (1993) source rock samples </w:t>
      </w:r>
      <w:r w:rsidR="00B764CB">
        <w:t>is</w:t>
      </w:r>
      <w:r>
        <w:t xml:space="preserve"> 1.13 </w:t>
      </w:r>
      <w:r w:rsidR="0039524D">
        <w:t>and ranges</w:t>
      </w:r>
      <w:r>
        <w:t xml:space="preserve"> from 0.61 to 3.14. The corresponding calculated vitrin</w:t>
      </w:r>
      <w:r w:rsidR="00351F17">
        <w:t>it</w:t>
      </w:r>
      <w:r>
        <w:t>e reflectance values range between 0.77% and 2.28% with an average of 1.08%. The average MPI-1 value</w:t>
      </w:r>
      <w:r w:rsidR="001E60C0">
        <w:t>s</w:t>
      </w:r>
      <w:r>
        <w:t xml:space="preserve"> of the Kephart-I well is 1.36 </w:t>
      </w:r>
      <w:r w:rsidR="0039524D">
        <w:t xml:space="preserve">and </w:t>
      </w:r>
      <w:r w:rsidR="00351F17">
        <w:t>ranges between 1.09 and 1.53</w:t>
      </w:r>
      <w:r w:rsidR="0039524D">
        <w:t>.</w:t>
      </w:r>
      <w:r w:rsidR="00351F17">
        <w:t xml:space="preserve"> </w:t>
      </w:r>
      <w:r w:rsidR="0039524D">
        <w:t>T</w:t>
      </w:r>
      <w:r w:rsidR="00351F17">
        <w:t>he</w:t>
      </w:r>
      <w:r>
        <w:t xml:space="preserve"> average calculated vitrinite reflectance value </w:t>
      </w:r>
      <w:r w:rsidR="0039524D">
        <w:t>for</w:t>
      </w:r>
      <w:r>
        <w:t xml:space="preserve"> the Kephart-I Well is 1.22% </w:t>
      </w:r>
      <w:r w:rsidR="0039524D">
        <w:t>and</w:t>
      </w:r>
      <w:r>
        <w:t xml:space="preserve"> ranges between 1.05% and 1.28%. Finally, the average MPI-1 value of the Laverne-State-I Well samples </w:t>
      </w:r>
      <w:r w:rsidR="00351F17">
        <w:t>is</w:t>
      </w:r>
      <w:r>
        <w:t xml:space="preserve"> 1.23 and average calculated vitrine reflectance value is 1.14%. In gene</w:t>
      </w:r>
      <w:r w:rsidR="00351F17">
        <w:t>ral, MPI-1 value of the Morrow source r</w:t>
      </w:r>
      <w:r>
        <w:t xml:space="preserve">ock samples indicate that they are thermally mature, and at or above the peak oil generation zone. The results are also parallel with the thermal maturity results obtained by MDR </w:t>
      </w:r>
      <w:r w:rsidRPr="0039524D">
        <w:t>and Rm %</w:t>
      </w:r>
      <w:r>
        <w:t xml:space="preserve"> values that were </w:t>
      </w:r>
      <w:r w:rsidR="00351F17">
        <w:t>discussed previously.</w:t>
      </w:r>
    </w:p>
    <w:p w:rsidR="004D38A8" w:rsidRDefault="004D38A8" w:rsidP="00390F48">
      <w:pPr>
        <w:ind w:firstLine="720"/>
        <w:jc w:val="both"/>
      </w:pPr>
      <w:r>
        <w:t>A</w:t>
      </w:r>
      <w:r w:rsidRPr="009F3B84">
        <w:t xml:space="preserve">lkylphenanthrenes have been </w:t>
      </w:r>
      <w:r>
        <w:t xml:space="preserve">widely used as maturity indicators but their utility as source indicators are somewhat limited (Armstroff et al., 2006). Budzinski et al. (1993) observed relatively high amounts of 1,2,8-trimethylphenanthrene (1,2,8-TMP; </w:t>
      </w:r>
      <w:r w:rsidRPr="00515F76">
        <w:rPr>
          <w:b/>
        </w:rPr>
        <w:t>XXXV</w:t>
      </w:r>
      <w:r>
        <w:t xml:space="preserve">) in coals and crude oils from Mahakam Delta and suggested that its occurrence was related with the degradation of the </w:t>
      </w:r>
      <w:r>
        <w:rPr>
          <w:rFonts w:cstheme="minorHAnsi"/>
        </w:rPr>
        <w:t>β</w:t>
      </w:r>
      <w:r>
        <w:t>-amyrin. Budzinski et al. (1995) also identified significant amounts of 1,2,8-TMP in marine oils and concluded that their ubiquitous occurrence indicates that they might have originated from the degradation of triterpenoids or</w:t>
      </w:r>
      <w:r w:rsidRPr="004D38A8">
        <w:t xml:space="preserve"> </w:t>
      </w:r>
      <w:r>
        <w:t xml:space="preserve">hopanoids and not specifically </w:t>
      </w:r>
      <w:r>
        <w:rPr>
          <w:rFonts w:cstheme="minorHAnsi"/>
        </w:rPr>
        <w:t>β</w:t>
      </w:r>
      <w:r>
        <w:t xml:space="preserve">-amyrin. The studies of </w:t>
      </w:r>
      <w:r w:rsidRPr="00CB75BB">
        <w:t>Garrigues et al. (</w:t>
      </w:r>
      <w:r>
        <w:t xml:space="preserve">1987) and </w:t>
      </w:r>
      <w:r>
        <w:lastRenderedPageBreak/>
        <w:t>Killops (</w:t>
      </w:r>
      <w:r w:rsidRPr="00CB75BB">
        <w:t>1991) also concluded that 1,2,8-TMP is possibly derived from the degradation of hopanoids. Revill et al. (1993) found significant amount of 1,2,8-TMP in</w:t>
      </w:r>
      <w:r w:rsidRPr="004D38A8">
        <w:rPr>
          <w:i/>
        </w:rPr>
        <w:t xml:space="preserve"> </w:t>
      </w:r>
      <w:r w:rsidRPr="00CB75BB">
        <w:rPr>
          <w:i/>
        </w:rPr>
        <w:t>Tasmanites</w:t>
      </w:r>
    </w:p>
    <w:p w:rsidR="002E4A8E" w:rsidRDefault="00390F48" w:rsidP="002E4A8E">
      <w:pPr>
        <w:keepNext/>
        <w:jc w:val="both"/>
      </w:pPr>
      <w:r w:rsidRPr="00390F48">
        <w:rPr>
          <w:noProof/>
          <w:lang w:val="tr-TR" w:eastAsia="tr-TR" w:bidi="ar-SA"/>
        </w:rPr>
        <w:drawing>
          <wp:inline distT="0" distB="0" distL="0" distR="0" wp14:anchorId="320EC45F" wp14:editId="6545811F">
            <wp:extent cx="5419725" cy="3962400"/>
            <wp:effectExtent l="0" t="0" r="0" b="0"/>
            <wp:docPr id="6168"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Resim 64"/>
                    <pic:cNvPicPr>
                      <a:picLocks noChangeAspect="1"/>
                    </pic:cNvPicPr>
                  </pic:nvPicPr>
                  <pic:blipFill>
                    <a:blip r:embed="rId85"/>
                    <a:stretch>
                      <a:fillRect/>
                    </a:stretch>
                  </pic:blipFill>
                  <pic:spPr>
                    <a:xfrm>
                      <a:off x="0" y="0"/>
                      <a:ext cx="5448447" cy="3983399"/>
                    </a:xfrm>
                    <a:prstGeom prst="rect">
                      <a:avLst/>
                    </a:prstGeom>
                  </pic:spPr>
                </pic:pic>
              </a:graphicData>
            </a:graphic>
          </wp:inline>
        </w:drawing>
      </w:r>
    </w:p>
    <w:p w:rsidR="00152D2E" w:rsidRDefault="002E4A8E" w:rsidP="002E4A8E">
      <w:pPr>
        <w:pStyle w:val="ResimYazs"/>
        <w:jc w:val="both"/>
        <w:rPr>
          <w:b w:val="0"/>
        </w:rPr>
      </w:pPr>
      <w:bookmarkStart w:id="149" w:name="_Toc507509101"/>
      <w:r>
        <w:t xml:space="preserve">Figure </w:t>
      </w:r>
      <w:fldSimple w:instr=" SEQ Figure \* ARABIC ">
        <w:r w:rsidR="003F6459">
          <w:rPr>
            <w:noProof/>
          </w:rPr>
          <w:t>53</w:t>
        </w:r>
      </w:fldSimple>
      <w:r>
        <w:t xml:space="preserve">. </w:t>
      </w:r>
      <w:r w:rsidRPr="00CB75BB">
        <w:rPr>
          <w:b w:val="0"/>
        </w:rPr>
        <w:t>Mass chromatogram of the phenanthrene compounds of the Morrow Shale (m/z 178+192+206+220)</w:t>
      </w:r>
      <w:bookmarkEnd w:id="149"/>
    </w:p>
    <w:p w:rsidR="004D38A8" w:rsidRPr="004D38A8" w:rsidRDefault="004D38A8" w:rsidP="004D38A8"/>
    <w:p w:rsidR="002A3DBE" w:rsidRPr="002A3DBE" w:rsidRDefault="002A3DBE" w:rsidP="002A3DBE">
      <w:pPr>
        <w:pStyle w:val="ResimYazs"/>
        <w:jc w:val="both"/>
        <w:rPr>
          <w:b w:val="0"/>
        </w:rPr>
      </w:pPr>
      <w:bookmarkStart w:id="150" w:name="_Toc507508804"/>
      <w:r>
        <w:t xml:space="preserve">Table </w:t>
      </w:r>
      <w:fldSimple w:instr=" SEQ Table \* ARABIC ">
        <w:r w:rsidR="003F6459">
          <w:rPr>
            <w:noProof/>
          </w:rPr>
          <w:t>14</w:t>
        </w:r>
      </w:fldSimple>
      <w:r>
        <w:t xml:space="preserve">. </w:t>
      </w:r>
      <w:r>
        <w:rPr>
          <w:b w:val="0"/>
        </w:rPr>
        <w:t>Phenanthrene compound identification (m/z 178+192+206+220)</w:t>
      </w:r>
      <w:bookmarkEnd w:id="150"/>
    </w:p>
    <w:p w:rsidR="000F04D2" w:rsidRDefault="002A3DBE" w:rsidP="004D38A8">
      <w:pPr>
        <w:jc w:val="center"/>
      </w:pPr>
      <w:r w:rsidRPr="002A3DBE">
        <w:rPr>
          <w:noProof/>
          <w:lang w:val="tr-TR" w:eastAsia="tr-TR" w:bidi="ar-SA"/>
        </w:rPr>
        <w:drawing>
          <wp:inline distT="0" distB="0" distL="0" distR="0" wp14:anchorId="684B414F" wp14:editId="114076CC">
            <wp:extent cx="4124325" cy="2360388"/>
            <wp:effectExtent l="0" t="0" r="0" b="1905"/>
            <wp:docPr id="616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pic:cNvPicPr>
                      <a:picLocks noChangeAspect="1"/>
                    </pic:cNvPicPr>
                  </pic:nvPicPr>
                  <pic:blipFill>
                    <a:blip r:embed="rId86"/>
                    <a:stretch>
                      <a:fillRect/>
                    </a:stretch>
                  </pic:blipFill>
                  <pic:spPr>
                    <a:xfrm>
                      <a:off x="0" y="0"/>
                      <a:ext cx="4151378" cy="2375871"/>
                    </a:xfrm>
                    <a:prstGeom prst="rect">
                      <a:avLst/>
                    </a:prstGeom>
                  </pic:spPr>
                </pic:pic>
              </a:graphicData>
            </a:graphic>
          </wp:inline>
        </w:drawing>
      </w:r>
    </w:p>
    <w:p w:rsidR="002E4A8E" w:rsidRDefault="002E4A8E" w:rsidP="004D38A8">
      <w:pPr>
        <w:jc w:val="both"/>
      </w:pPr>
      <w:r w:rsidRPr="00CB75BB">
        <w:lastRenderedPageBreak/>
        <w:t>oil shales and concluded that its occurrence is not specific for a certain depositional environment and they can be related to a bacteri</w:t>
      </w:r>
      <w:r w:rsidR="00CB75BB" w:rsidRPr="00CB75BB">
        <w:t>al, algal or terrestrial origin. Budzinski et al. (1993)</w:t>
      </w:r>
      <w:r w:rsidR="00845E70">
        <w:t xml:space="preserve"> </w:t>
      </w:r>
      <w:r w:rsidR="00CB75BB" w:rsidRPr="00CB75BB">
        <w:t xml:space="preserve">and </w:t>
      </w:r>
      <w:r w:rsidRPr="00CB75BB">
        <w:t xml:space="preserve">Armstroff et al. (2006) mentioned that the presence of 1,2,8-TMP is also highly affected </w:t>
      </w:r>
      <w:r w:rsidR="00CB75BB" w:rsidRPr="00CB75BB">
        <w:t>by the thermal maturity.</w:t>
      </w:r>
    </w:p>
    <w:p w:rsidR="00A253DA" w:rsidRDefault="002A3DBE" w:rsidP="00662E33">
      <w:pPr>
        <w:ind w:firstLine="720"/>
        <w:jc w:val="both"/>
      </w:pPr>
      <w:r>
        <w:t xml:space="preserve">1,2,8-TMP has been identified in all of the </w:t>
      </w:r>
      <w:r w:rsidR="00C7411B">
        <w:t>Morrow s</w:t>
      </w:r>
      <w:r w:rsidR="008907D1">
        <w:t>ource r</w:t>
      </w:r>
      <w:r>
        <w:t>ock samples</w:t>
      </w:r>
      <w:r w:rsidR="008907D1">
        <w:t xml:space="preserve"> in this study</w:t>
      </w:r>
      <w:r>
        <w:t>. Budzinski et al. (1995) suggested that</w:t>
      </w:r>
      <w:r w:rsidR="008907D1">
        <w:t xml:space="preserve"> a</w:t>
      </w:r>
      <w:r>
        <w:t xml:space="preserve"> high proportion of 1,2,8-TMP may indicate </w:t>
      </w:r>
      <w:r w:rsidRPr="00CB75BB">
        <w:t xml:space="preserve">low maturity </w:t>
      </w:r>
      <w:r w:rsidR="00CB75BB">
        <w:t xml:space="preserve">and </w:t>
      </w:r>
      <w:r>
        <w:t>such a relation has be</w:t>
      </w:r>
      <w:r w:rsidR="008907D1">
        <w:t xml:space="preserve">en also observed in the </w:t>
      </w:r>
      <w:r w:rsidR="009A3378">
        <w:t xml:space="preserve">Morrow </w:t>
      </w:r>
      <w:r w:rsidR="008907D1">
        <w:t>s</w:t>
      </w:r>
      <w:r>
        <w:t>amples</w:t>
      </w:r>
      <w:r w:rsidR="009A3378">
        <w:t xml:space="preserve"> that are in </w:t>
      </w:r>
      <w:r w:rsidR="001E60C0">
        <w:t xml:space="preserve">the </w:t>
      </w:r>
      <w:r w:rsidR="009A3378">
        <w:t xml:space="preserve">early-oil window </w:t>
      </w:r>
      <w:r>
        <w:t xml:space="preserve">. For instance, MOR-16 which is one of the most mature samples </w:t>
      </w:r>
      <w:r w:rsidRPr="004647FA">
        <w:t>within the data set has 1,2,8-TMP/</w:t>
      </w:r>
      <w:r w:rsidR="00CB75BB" w:rsidRPr="004647FA">
        <w:rPr>
          <w:rFonts w:asciiTheme="majorHAnsi" w:hAnsiTheme="majorHAnsi" w:cstheme="majorHAnsi"/>
        </w:rPr>
        <w:t>∑</w:t>
      </w:r>
      <w:r w:rsidRPr="004647FA">
        <w:t>C</w:t>
      </w:r>
      <w:r w:rsidRPr="004647FA">
        <w:rPr>
          <w:vertAlign w:val="subscript"/>
        </w:rPr>
        <w:t>3</w:t>
      </w:r>
      <w:r w:rsidR="00CB75BB" w:rsidRPr="004647FA">
        <w:rPr>
          <w:vertAlign w:val="subscript"/>
        </w:rPr>
        <w:t xml:space="preserve"> </w:t>
      </w:r>
      <w:r w:rsidR="00CB75BB" w:rsidRPr="004647FA">
        <w:t xml:space="preserve">–Phenanthrenes </w:t>
      </w:r>
      <w:r w:rsidRPr="004647FA">
        <w:t>(</w:t>
      </w:r>
      <w:r w:rsidR="00CB75BB" w:rsidRPr="004647FA">
        <w:t>C</w:t>
      </w:r>
      <w:r w:rsidR="00CB75BB" w:rsidRPr="004647FA">
        <w:rPr>
          <w:vertAlign w:val="subscript"/>
        </w:rPr>
        <w:t>3</w:t>
      </w:r>
      <w:r w:rsidR="00CB75BB" w:rsidRPr="004647FA">
        <w:t>(</w:t>
      </w:r>
      <w:r w:rsidRPr="004647FA">
        <w:t>P)</w:t>
      </w:r>
      <w:r w:rsidR="00CB75BB" w:rsidRPr="004647FA">
        <w:t>)</w:t>
      </w:r>
      <w:r w:rsidRPr="004647FA">
        <w:t xml:space="preserve"> ratio of 0.02 while MOR-</w:t>
      </w:r>
      <w:r>
        <w:t>64, MOR-66 and MOR-68, the least mature samples in the data set,  have 1,2,8-TMP/C</w:t>
      </w:r>
      <w:r>
        <w:rPr>
          <w:vertAlign w:val="subscript"/>
        </w:rPr>
        <w:t>3</w:t>
      </w:r>
      <w:r>
        <w:t xml:space="preserve">(P) ratio of 0.1, 0.11 and 0.1, respectively. </w:t>
      </w:r>
      <w:r w:rsidR="008907D1">
        <w:t>The</w:t>
      </w:r>
      <w:r>
        <w:t xml:space="preserve"> relative abundance of 1,2,8-TMP to C</w:t>
      </w:r>
      <w:r>
        <w:rPr>
          <w:vertAlign w:val="subscript"/>
        </w:rPr>
        <w:t>3</w:t>
      </w:r>
      <w:r w:rsidR="0039524D">
        <w:t xml:space="preserve">(P) is significantly higher </w:t>
      </w:r>
      <w:r>
        <w:t xml:space="preserve">in the Kephart-I and Laverne-State-I core samples compared to </w:t>
      </w:r>
      <w:r w:rsidR="008907D1">
        <w:t xml:space="preserve">the </w:t>
      </w:r>
      <w:r>
        <w:t>Wang (1993) source rock samples. This might be related to facies variations (Armstroff et al.</w:t>
      </w:r>
      <w:r w:rsidR="00D765D4">
        <w:t>,</w:t>
      </w:r>
      <w:r w:rsidR="002540E6">
        <w:t xml:space="preserve"> 2006) or </w:t>
      </w:r>
      <w:r>
        <w:t>maturity (Budzinski et al., 1995)</w:t>
      </w:r>
      <w:r w:rsidR="0039524D">
        <w:t>.</w:t>
      </w:r>
      <w:r>
        <w:t xml:space="preserve"> </w:t>
      </w:r>
      <w:r w:rsidR="004E1028">
        <w:t xml:space="preserve">For instance, </w:t>
      </w:r>
      <w:r w:rsidR="00157794">
        <w:t>Armstroff et al. (2006) pointed out that facies vari</w:t>
      </w:r>
      <w:r w:rsidR="0039524D">
        <w:t>ations plays an important role i</w:t>
      </w:r>
      <w:r w:rsidR="00157794">
        <w:t xml:space="preserve">n the varying proportions of 1,2,8-TMP. </w:t>
      </w:r>
      <w:r w:rsidR="004E1028">
        <w:t>Wang</w:t>
      </w:r>
      <w:r w:rsidR="008B5F22">
        <w:t>’s</w:t>
      </w:r>
      <w:r w:rsidR="004E1028">
        <w:t xml:space="preserve"> (1993) samples are widely distributed in the Anadarko Basin and therefore they </w:t>
      </w:r>
      <w:r w:rsidR="00A253DA">
        <w:t>might be</w:t>
      </w:r>
      <w:r w:rsidR="004E1028">
        <w:t xml:space="preserve"> composed o</w:t>
      </w:r>
      <w:r w:rsidR="00A253DA">
        <w:t xml:space="preserve">f different facies assemblages </w:t>
      </w:r>
      <w:r w:rsidR="00FC30D7">
        <w:t>compared to</w:t>
      </w:r>
      <w:r w:rsidR="00A253DA">
        <w:t xml:space="preserve"> the Kephart-I a</w:t>
      </w:r>
      <w:r w:rsidR="00157794">
        <w:t xml:space="preserve">nd Laverne-State-I Well samples </w:t>
      </w:r>
      <w:r w:rsidR="00FC30D7">
        <w:t>leading to</w:t>
      </w:r>
      <w:r w:rsidR="00157794">
        <w:t xml:space="preserve"> difference</w:t>
      </w:r>
      <w:r w:rsidR="00FC30D7">
        <w:t>s</w:t>
      </w:r>
      <w:r w:rsidR="00157794">
        <w:t xml:space="preserve"> in the 1,2,8-TMP/</w:t>
      </w:r>
      <w:r w:rsidR="00157794" w:rsidRPr="00157794">
        <w:t xml:space="preserve"> </w:t>
      </w:r>
      <w:r w:rsidR="00157794">
        <w:t>C</w:t>
      </w:r>
      <w:r w:rsidR="00157794">
        <w:rPr>
          <w:vertAlign w:val="subscript"/>
        </w:rPr>
        <w:t>3</w:t>
      </w:r>
      <w:r w:rsidR="00157794">
        <w:t xml:space="preserve">(P) ratio.  </w:t>
      </w:r>
      <w:r w:rsidR="001E60C0">
        <w:t>Alternatively</w:t>
      </w:r>
      <w:r w:rsidR="00A253DA">
        <w:t xml:space="preserve">, </w:t>
      </w:r>
      <w:r w:rsidR="008B5F22">
        <w:t xml:space="preserve">Wang’s (1993) samples </w:t>
      </w:r>
      <w:r w:rsidR="00FC30D7">
        <w:t>are</w:t>
      </w:r>
      <w:r w:rsidR="008B5F22">
        <w:t xml:space="preserve"> more mature than the Kephart-I and Laverne-State-I Wells </w:t>
      </w:r>
      <w:r w:rsidR="00FC30D7">
        <w:t xml:space="preserve">and this </w:t>
      </w:r>
      <w:r w:rsidR="00157794">
        <w:t>is another possible</w:t>
      </w:r>
      <w:r w:rsidR="008B5F22">
        <w:t xml:space="preserve"> explanation </w:t>
      </w:r>
      <w:r w:rsidR="00157794">
        <w:t xml:space="preserve">for the different concentrations of 1,2,8-TMP in </w:t>
      </w:r>
      <w:r w:rsidR="00157794" w:rsidRPr="009A3378">
        <w:t xml:space="preserve">the </w:t>
      </w:r>
      <w:r w:rsidR="00FC30D7" w:rsidRPr="009A3378">
        <w:t xml:space="preserve">different </w:t>
      </w:r>
      <w:r w:rsidR="00157794" w:rsidRPr="009A3378">
        <w:t xml:space="preserve">data sets as the relative </w:t>
      </w:r>
      <w:r w:rsidR="00FC30D7" w:rsidRPr="009A3378">
        <w:t>concentration</w:t>
      </w:r>
      <w:r w:rsidR="00157794" w:rsidRPr="009A3378">
        <w:t xml:space="preserve"> of 1,2,8-TMP was proposed to be highly dependent on maturity. </w:t>
      </w:r>
      <w:r w:rsidR="00662E33" w:rsidRPr="009A3378">
        <w:t>Lastly, Wang’</w:t>
      </w:r>
      <w:r w:rsidR="00FC30D7" w:rsidRPr="009A3378">
        <w:t>s (1993) fractionation method (thin layer c</w:t>
      </w:r>
      <w:r w:rsidR="00662E33" w:rsidRPr="009A3378">
        <w:t xml:space="preserve">hromatography) could be possibly not </w:t>
      </w:r>
      <w:r w:rsidR="00662E33" w:rsidRPr="009A3378">
        <w:lastRenderedPageBreak/>
        <w:t>as effective as the fractionat</w:t>
      </w:r>
      <w:r w:rsidR="00FC30D7" w:rsidRPr="009A3378">
        <w:t>ion method used in this study (column c</w:t>
      </w:r>
      <w:r w:rsidR="00662E33" w:rsidRPr="009A3378">
        <w:t>hromatography) which might result in less recovery of aromatic compounds and low</w:t>
      </w:r>
      <w:r w:rsidR="00FC30D7" w:rsidRPr="009A3378">
        <w:t>er</w:t>
      </w:r>
      <w:r w:rsidR="00662E33" w:rsidRPr="009A3378">
        <w:t xml:space="preserve"> concentration of 1,2,8-TMP compared to this study.</w:t>
      </w:r>
      <w:r w:rsidR="00662E33">
        <w:t xml:space="preserve">  </w:t>
      </w:r>
    </w:p>
    <w:p w:rsidR="002A3DBE" w:rsidRPr="002A3DBE" w:rsidRDefault="002A3DBE" w:rsidP="002A3DBE">
      <w:pPr>
        <w:pStyle w:val="Balk4"/>
        <w:rPr>
          <w:i/>
          <w:sz w:val="24"/>
        </w:rPr>
      </w:pPr>
      <w:bookmarkStart w:id="151" w:name="_Toc507506665"/>
      <w:r w:rsidRPr="002A3DBE">
        <w:rPr>
          <w:i/>
          <w:sz w:val="24"/>
        </w:rPr>
        <w:t>4.3.6.2 PAHs as Paleo-wildfire Indicators</w:t>
      </w:r>
      <w:bookmarkEnd w:id="151"/>
    </w:p>
    <w:p w:rsidR="002A3DBE" w:rsidRDefault="001E60C0" w:rsidP="002A3DBE">
      <w:pPr>
        <w:jc w:val="both"/>
      </w:pPr>
      <w:r>
        <w:tab/>
        <w:t>Wildfires</w:t>
      </w:r>
      <w:r w:rsidR="002A3DBE">
        <w:t xml:space="preserve"> natural disasters primarily initiated by lightning strike</w:t>
      </w:r>
      <w:r w:rsidR="008907D1">
        <w:t>s</w:t>
      </w:r>
      <w:r w:rsidR="002A3DBE">
        <w:t xml:space="preserve"> (Scott, 2000), have been a part of the terrestrial ecosystem since the first land plants started to develop (dos Santos</w:t>
      </w:r>
      <w:r w:rsidR="0082779E">
        <w:t xml:space="preserve"> et al.</w:t>
      </w:r>
      <w:r w:rsidR="002A3DBE">
        <w:t xml:space="preserve">, 2016). </w:t>
      </w:r>
      <w:r w:rsidR="008907D1">
        <w:t>Forest fires can be traceable in E</w:t>
      </w:r>
      <w:r w:rsidR="002A3DBE">
        <w:t>arth</w:t>
      </w:r>
      <w:r w:rsidR="008907D1">
        <w:t>’s</w:t>
      </w:r>
      <w:r w:rsidR="002A3DBE">
        <w:t xml:space="preserve"> history by use of fossil charcoals and pyrogenic PAHs.  For instance, the first p</w:t>
      </w:r>
      <w:r w:rsidR="008907D1">
        <w:t>aleo-</w:t>
      </w:r>
      <w:r w:rsidR="002A3DBE">
        <w:t xml:space="preserve">wildfire was recorded by use of fossil charcoals in </w:t>
      </w:r>
      <w:r w:rsidR="008907D1">
        <w:t xml:space="preserve">the </w:t>
      </w:r>
      <w:r w:rsidR="002A3DBE">
        <w:t>Silurian (Glas</w:t>
      </w:r>
      <w:r w:rsidR="00797454">
        <w:t>s</w:t>
      </w:r>
      <w:r w:rsidR="002A3DBE">
        <w:t>pool et al.</w:t>
      </w:r>
      <w:r w:rsidR="00D765D4">
        <w:t>,</w:t>
      </w:r>
      <w:r w:rsidR="002A3DBE">
        <w:t xml:space="preserve"> 2004) while pyrolytic PAHs help tracing back the paleo-fires from at least the Late Devonian (Scott, 1989). </w:t>
      </w:r>
    </w:p>
    <w:p w:rsidR="002A3DBE" w:rsidRDefault="002A3DBE" w:rsidP="002A3DBE">
      <w:pPr>
        <w:ind w:firstLine="720"/>
        <w:jc w:val="both"/>
      </w:pPr>
      <w:r>
        <w:t xml:space="preserve">In this study, pyrolytic PAH biomarkers </w:t>
      </w:r>
      <w:r w:rsidR="008907D1">
        <w:t>such as</w:t>
      </w:r>
      <w:r>
        <w:t xml:space="preserve"> pyrene</w:t>
      </w:r>
      <w:r w:rsidR="00515F76">
        <w:t xml:space="preserve"> (</w:t>
      </w:r>
      <w:r w:rsidR="00515F76" w:rsidRPr="00515F76">
        <w:rPr>
          <w:b/>
        </w:rPr>
        <w:t>XXXVI</w:t>
      </w:r>
      <w:r w:rsidR="00515F76">
        <w:t>)</w:t>
      </w:r>
      <w:r>
        <w:t>, fluoranthene</w:t>
      </w:r>
      <w:r w:rsidR="00515F76">
        <w:t xml:space="preserve"> (</w:t>
      </w:r>
      <w:r w:rsidR="00515F76" w:rsidRPr="00515F76">
        <w:rPr>
          <w:b/>
        </w:rPr>
        <w:t>XXXVII</w:t>
      </w:r>
      <w:r w:rsidR="00515F76">
        <w:t>)</w:t>
      </w:r>
      <w:r>
        <w:t>, benzopyrenes</w:t>
      </w:r>
      <w:r w:rsidR="00515F76">
        <w:t xml:space="preserve"> (</w:t>
      </w:r>
      <w:r w:rsidR="00515F76" w:rsidRPr="00515F76">
        <w:rPr>
          <w:b/>
        </w:rPr>
        <w:t>XXXVIII</w:t>
      </w:r>
      <w:r w:rsidR="00CE0F0E">
        <w:rPr>
          <w:b/>
        </w:rPr>
        <w:t>a, XXXVIIIb</w:t>
      </w:r>
      <w:r w:rsidR="00515F76">
        <w:t>)</w:t>
      </w:r>
      <w:r>
        <w:t>, benzofluoranthenes</w:t>
      </w:r>
      <w:r w:rsidR="00515F76">
        <w:t xml:space="preserve"> (</w:t>
      </w:r>
      <w:r w:rsidR="00515F76" w:rsidRPr="00515F76">
        <w:rPr>
          <w:b/>
        </w:rPr>
        <w:t>XXXIX</w:t>
      </w:r>
      <w:r w:rsidR="00CE0F0E">
        <w:rPr>
          <w:b/>
        </w:rPr>
        <w:t>a, XXXIXb, XXXIXc</w:t>
      </w:r>
      <w:r w:rsidR="00515F76">
        <w:t>)</w:t>
      </w:r>
      <w:r>
        <w:t>, benzo(a)anthracene (BaA</w:t>
      </w:r>
      <w:r w:rsidR="00515F76">
        <w:t xml:space="preserve">; </w:t>
      </w:r>
      <w:r w:rsidR="00515F76" w:rsidRPr="00515F76">
        <w:rPr>
          <w:b/>
        </w:rPr>
        <w:t>XL</w:t>
      </w:r>
      <w:r>
        <w:t>), triphenylene(TPn</w:t>
      </w:r>
      <w:r w:rsidR="00515F76">
        <w:t xml:space="preserve">; </w:t>
      </w:r>
      <w:r w:rsidR="00515F76" w:rsidRPr="00515F76">
        <w:rPr>
          <w:b/>
        </w:rPr>
        <w:t>XLI</w:t>
      </w:r>
      <w:r>
        <w:t>) and chrysene</w:t>
      </w:r>
      <w:r w:rsidR="00515F76">
        <w:t xml:space="preserve"> (</w:t>
      </w:r>
      <w:r w:rsidR="00515F76" w:rsidRPr="00515F76">
        <w:rPr>
          <w:b/>
        </w:rPr>
        <w:t>XLII</w:t>
      </w:r>
      <w:r w:rsidR="00515F76">
        <w:t>)</w:t>
      </w:r>
      <w:r>
        <w:t xml:space="preserve"> were detected in considerable amounts indicating paleo-wildfires during deposition of</w:t>
      </w:r>
      <w:r w:rsidR="001E60C0">
        <w:t xml:space="preserve"> the</w:t>
      </w:r>
      <w:r>
        <w:t xml:space="preserve"> Morrow. Interestingly, perylene w</w:t>
      </w:r>
      <w:r w:rsidR="00662E33">
        <w:t>as</w:t>
      </w:r>
      <w:r w:rsidR="002E4A8E">
        <w:t xml:space="preserve"> not detected in the Morrow source rock s</w:t>
      </w:r>
      <w:r>
        <w:t xml:space="preserve">amples. The origin of perylene has been debated for a long time. While some papers suggest </w:t>
      </w:r>
      <w:r w:rsidR="008907D1">
        <w:t>perylene</w:t>
      </w:r>
      <w:r>
        <w:t xml:space="preserve"> can </w:t>
      </w:r>
      <w:r w:rsidR="008907D1">
        <w:t>originate</w:t>
      </w:r>
      <w:r>
        <w:t xml:space="preserve"> from both marine and terrestrial origin, </w:t>
      </w:r>
      <w:r w:rsidR="00FC30D7">
        <w:t>in</w:t>
      </w:r>
      <w:r>
        <w:t xml:space="preserve"> a de</w:t>
      </w:r>
      <w:r w:rsidR="008907D1">
        <w:t>tailed review of published data</w:t>
      </w:r>
      <w:r w:rsidR="00226332">
        <w:t xml:space="preserve"> Mary</w:t>
      </w:r>
      <w:r>
        <w:t xml:space="preserve">nowski et al. (2015) pointed </w:t>
      </w:r>
      <w:r w:rsidRPr="009A3378">
        <w:t xml:space="preserve">out that </w:t>
      </w:r>
      <w:r w:rsidR="009A3378" w:rsidRPr="009A3378">
        <w:t>perylene is</w:t>
      </w:r>
      <w:r w:rsidRPr="009A3378">
        <w:t xml:space="preserve"> preferentially</w:t>
      </w:r>
      <w:r>
        <w:t xml:space="preserve"> associated with terrestrial organic matter. </w:t>
      </w:r>
      <w:r w:rsidR="00FC30D7">
        <w:t>Furthermore</w:t>
      </w:r>
      <w:r>
        <w:t>, Louda and Baker (1984</w:t>
      </w:r>
      <w:r w:rsidR="00226332">
        <w:t>), Jiang et al. (2000), and Mary</w:t>
      </w:r>
      <w:r>
        <w:t>nowski et al. (2015) suggested a genetic relationship between wood-degrading fungi and pery</w:t>
      </w:r>
      <w:r w:rsidR="008907D1">
        <w:t>lene. Nevertheless, Marynowski et al. (2015)</w:t>
      </w:r>
      <w:r>
        <w:t xml:space="preserve"> added that the use of perylene as a wood-degrading fungi tracer is limited to the samples that are immature or below the peak oil generation. This </w:t>
      </w:r>
      <w:r w:rsidR="00FC30D7">
        <w:t xml:space="preserve">possibly </w:t>
      </w:r>
      <w:r>
        <w:t xml:space="preserve">explains the scarcity of the perylene in </w:t>
      </w:r>
      <w:r>
        <w:lastRenderedPageBreak/>
        <w:t>the</w:t>
      </w:r>
      <w:r w:rsidR="008907D1">
        <w:t xml:space="preserve"> Morrow source r</w:t>
      </w:r>
      <w:r>
        <w:t>ock samples as they are mostly at or above the peak oil generation zone (Marynowski et al.</w:t>
      </w:r>
      <w:r w:rsidR="008907D1">
        <w:t>,</w:t>
      </w:r>
      <w:r>
        <w:t xml:space="preserve"> 2015). </w:t>
      </w:r>
    </w:p>
    <w:p w:rsidR="002A3DBE" w:rsidRDefault="002A3DBE" w:rsidP="002A3DBE">
      <w:pPr>
        <w:ind w:firstLine="720"/>
        <w:jc w:val="both"/>
      </w:pPr>
      <w:r>
        <w:t xml:space="preserve">Benzo(a)anthracene, chrysene and triphenylene were identified using </w:t>
      </w:r>
      <w:r w:rsidR="00FC30D7">
        <w:t xml:space="preserve">the </w:t>
      </w:r>
      <w:r>
        <w:t xml:space="preserve">m/z 228 ion chromatogram </w:t>
      </w:r>
      <w:r w:rsidR="00FC30D7">
        <w:t>from the</w:t>
      </w:r>
      <w:r>
        <w:t xml:space="preserve"> GC-MS</w:t>
      </w:r>
      <w:r w:rsidR="00FC30D7">
        <w:t xml:space="preserve"> analysis</w:t>
      </w:r>
      <w:r>
        <w:t xml:space="preserve"> and comparison with the coal tar standard (</w:t>
      </w:r>
      <w:r w:rsidRPr="00264985">
        <w:t>S</w:t>
      </w:r>
      <w:r>
        <w:t xml:space="preserve">tandard </w:t>
      </w:r>
      <w:r w:rsidRPr="002F7FDC">
        <w:t xml:space="preserve">Reference Material 1597; </w:t>
      </w:r>
      <w:r w:rsidR="002E4A8E">
        <w:t>Figure 54</w:t>
      </w:r>
      <w:r w:rsidRPr="002F7FDC">
        <w:t>).</w:t>
      </w:r>
      <w:r>
        <w:t xml:space="preserve">  </w:t>
      </w:r>
    </w:p>
    <w:p w:rsidR="002E4A8E" w:rsidRDefault="002A3DBE" w:rsidP="002E4A8E">
      <w:pPr>
        <w:keepNext/>
        <w:ind w:firstLine="720"/>
        <w:jc w:val="both"/>
      </w:pPr>
      <w:r>
        <w:rPr>
          <w:noProof/>
          <w:lang w:val="tr-TR" w:eastAsia="tr-TR" w:bidi="ar-SA"/>
        </w:rPr>
        <w:drawing>
          <wp:inline distT="0" distB="0" distL="0" distR="0" wp14:anchorId="67546424">
            <wp:extent cx="4845132" cy="2597012"/>
            <wp:effectExtent l="0" t="0" r="0" b="0"/>
            <wp:docPr id="6171" name="Resim 6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64688" cy="2607494"/>
                    </a:xfrm>
                    <a:prstGeom prst="rect">
                      <a:avLst/>
                    </a:prstGeom>
                    <a:noFill/>
                  </pic:spPr>
                </pic:pic>
              </a:graphicData>
            </a:graphic>
          </wp:inline>
        </w:drawing>
      </w:r>
    </w:p>
    <w:p w:rsidR="002A3DBE" w:rsidRDefault="002E4A8E" w:rsidP="002E4A8E">
      <w:pPr>
        <w:pStyle w:val="ResimYazs"/>
        <w:jc w:val="both"/>
      </w:pPr>
      <w:bookmarkStart w:id="152" w:name="_Toc507509102"/>
      <w:r>
        <w:t xml:space="preserve">Figure </w:t>
      </w:r>
      <w:fldSimple w:instr=" SEQ Figure \* ARABIC ">
        <w:r w:rsidR="003F6459">
          <w:rPr>
            <w:noProof/>
          </w:rPr>
          <w:t>54</w:t>
        </w:r>
      </w:fldSimple>
      <w:r>
        <w:t xml:space="preserve">. </w:t>
      </w:r>
      <w:r>
        <w:rPr>
          <w:b w:val="0"/>
        </w:rPr>
        <w:t>Identification of the benzoanthracene, chrysene and triphenylene with comparison to the coal tar standard</w:t>
      </w:r>
      <w:bookmarkEnd w:id="152"/>
    </w:p>
    <w:p w:rsidR="002A3DBE" w:rsidRDefault="002A3DBE" w:rsidP="002A3DBE">
      <w:pPr>
        <w:ind w:firstLine="720"/>
        <w:jc w:val="both"/>
      </w:pPr>
    </w:p>
    <w:p w:rsidR="002A3DBE" w:rsidRDefault="002A3DBE" w:rsidP="002A3DBE">
      <w:pPr>
        <w:ind w:firstLine="720"/>
        <w:jc w:val="both"/>
      </w:pPr>
      <w:r>
        <w:t>Chrysene and triphenylene can be produced by sedimentary diagenesis of the terpenoids (Tan et al., 1996) and/or partial combustion of terrestrial organic matter (</w:t>
      </w:r>
      <w:r w:rsidRPr="00F64C08">
        <w:t>Killops and Massoud, 1992</w:t>
      </w:r>
      <w:r w:rsidR="00A35F10">
        <w:t>; Jiang et al., 1998</w:t>
      </w:r>
      <w:r>
        <w:t xml:space="preserve">) while </w:t>
      </w:r>
      <w:r w:rsidR="00995945">
        <w:t>benzo(a)anthracene (BaA)</w:t>
      </w:r>
      <w:r>
        <w:t xml:space="preserve"> can be only produced by the partial combustion of the organic matter (Laflamme and Hites, 1979). Yunker et al. (2002) proposed for recent sediments that chrysene is derived from partial combustion of terrestrial plants if the ratio of BaA / (BaA + chrysene) is less than 0.2 and d</w:t>
      </w:r>
      <w:r w:rsidR="00995945">
        <w:t>erived by diagenetic alteration</w:t>
      </w:r>
      <w:r>
        <w:t xml:space="preserve"> of the organic matter if the ratio is greater than</w:t>
      </w:r>
      <w:r w:rsidR="00FC30D7">
        <w:t xml:space="preserve"> 0.35. V</w:t>
      </w:r>
      <w:r>
        <w:t xml:space="preserve">alues between 0.2 and 0.35 indicate either diagenetic or combustion inputs. Based on this suggestion, chrysene </w:t>
      </w:r>
      <w:r w:rsidR="00FC30D7">
        <w:t xml:space="preserve">in the Morrow samples </w:t>
      </w:r>
      <w:r>
        <w:t xml:space="preserve">is mainly derived from the partial </w:t>
      </w:r>
      <w:r>
        <w:lastRenderedPageBreak/>
        <w:t xml:space="preserve">combustion of terrestrial organic matter as the average BaA / (BaA + chrysene) ratio </w:t>
      </w:r>
      <w:r w:rsidR="00FC30D7">
        <w:t xml:space="preserve">for </w:t>
      </w:r>
      <w:r>
        <w:t>the Wang (1993) source rock samples is 0.09 while this value is 0.15 for the Kephart-I Well (</w:t>
      </w:r>
      <w:r w:rsidR="0080411B">
        <w:t>Table 1</w:t>
      </w:r>
      <w:r w:rsidR="00A47647">
        <w:t>2</w:t>
      </w:r>
      <w:r>
        <w:t xml:space="preserve">). On the other hand, the average BaA / (BaA + chrysene) ratio of the Laverne-State-I Well is </w:t>
      </w:r>
      <w:r w:rsidR="00DF66AA">
        <w:t>0.34, which</w:t>
      </w:r>
      <w:r>
        <w:t xml:space="preserve"> indicates that chrysene might be derived from the diagen</w:t>
      </w:r>
      <w:r w:rsidR="00FC30D7">
        <w:t>etic alteration</w:t>
      </w:r>
      <w:r>
        <w:t xml:space="preserve"> of terrestrial organic matter </w:t>
      </w:r>
      <w:r w:rsidR="00FC30D7">
        <w:t>in the area of that core.</w:t>
      </w:r>
      <w:r>
        <w:t xml:space="preserve"> </w:t>
      </w:r>
    </w:p>
    <w:p w:rsidR="002A3DBE" w:rsidRDefault="002A3DBE" w:rsidP="002A3DBE">
      <w:pPr>
        <w:ind w:firstLine="720"/>
        <w:jc w:val="both"/>
      </w:pPr>
      <w:r>
        <w:t xml:space="preserve">Finally, pyrene, fluoranthene, benzopyrenes and benzofluoranthenes were identified </w:t>
      </w:r>
      <w:r w:rsidR="00FC30D7">
        <w:t>from the</w:t>
      </w:r>
      <w:r>
        <w:t xml:space="preserve"> m/z 202 and m/z 252 ion chromatograms and comparison </w:t>
      </w:r>
      <w:r w:rsidRPr="002F7FDC">
        <w:t xml:space="preserve">with the coal tar standard (Standard Reference Material 1597; </w:t>
      </w:r>
      <w:r w:rsidR="004B727F">
        <w:t>Figure 5</w:t>
      </w:r>
      <w:r w:rsidR="00F22024">
        <w:t>5</w:t>
      </w:r>
      <w:r w:rsidRPr="002F7FDC">
        <w:t>). These</w:t>
      </w:r>
      <w:r>
        <w:t xml:space="preserve"> compounds are proposed to</w:t>
      </w:r>
      <w:r w:rsidR="00995945">
        <w:t xml:space="preserve"> be </w:t>
      </w:r>
      <w:r>
        <w:t>produce</w:t>
      </w:r>
      <w:r w:rsidR="00995945">
        <w:t>d</w:t>
      </w:r>
      <w:r>
        <w:t xml:space="preserve"> </w:t>
      </w:r>
      <w:r w:rsidR="00FC30D7">
        <w:t>from</w:t>
      </w:r>
      <w:r>
        <w:t xml:space="preserve"> combustion of organic matter (Laflamme and Hites, 1</w:t>
      </w:r>
      <w:r w:rsidR="00226332">
        <w:t>979</w:t>
      </w:r>
      <w:r w:rsidR="002F7FDC">
        <w:t>; Jiang et al., 1998).</w:t>
      </w:r>
    </w:p>
    <w:p w:rsidR="00F22024" w:rsidRDefault="00222BAD" w:rsidP="00F22024">
      <w:pPr>
        <w:keepNext/>
      </w:pPr>
      <w:r w:rsidRPr="00222BAD">
        <w:rPr>
          <w:noProof/>
          <w:lang w:val="tr-TR" w:eastAsia="tr-TR" w:bidi="ar-SA"/>
        </w:rPr>
        <w:drawing>
          <wp:inline distT="0" distB="0" distL="0" distR="0" wp14:anchorId="21883DD1" wp14:editId="72EC6824">
            <wp:extent cx="5278991" cy="4162425"/>
            <wp:effectExtent l="0" t="0" r="0" b="0"/>
            <wp:docPr id="6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88"/>
                    <a:stretch>
                      <a:fillRect/>
                    </a:stretch>
                  </pic:blipFill>
                  <pic:spPr>
                    <a:xfrm>
                      <a:off x="0" y="0"/>
                      <a:ext cx="5290491" cy="4171492"/>
                    </a:xfrm>
                    <a:prstGeom prst="rect">
                      <a:avLst/>
                    </a:prstGeom>
                  </pic:spPr>
                </pic:pic>
              </a:graphicData>
            </a:graphic>
          </wp:inline>
        </w:drawing>
      </w:r>
    </w:p>
    <w:p w:rsidR="00A47647" w:rsidRDefault="00F22024" w:rsidP="00A47647">
      <w:pPr>
        <w:pStyle w:val="ResimYazs"/>
      </w:pPr>
      <w:bookmarkStart w:id="153" w:name="_Toc507509103"/>
      <w:r>
        <w:t xml:space="preserve">Figure </w:t>
      </w:r>
      <w:fldSimple w:instr=" SEQ Figure \* ARABIC ">
        <w:r w:rsidR="003F6459">
          <w:rPr>
            <w:noProof/>
          </w:rPr>
          <w:t>55</w:t>
        </w:r>
      </w:fldSimple>
      <w:r>
        <w:t xml:space="preserve">. </w:t>
      </w:r>
      <w:r w:rsidRPr="00222BAD">
        <w:rPr>
          <w:b w:val="0"/>
          <w:color w:val="000000" w:themeColor="text1"/>
        </w:rPr>
        <w:t>Identification of pyrene, fluoranthene, benzopyrenes and benzofluoranthenes using m/z 202+252 chromatogram</w:t>
      </w:r>
      <w:bookmarkEnd w:id="153"/>
    </w:p>
    <w:p w:rsidR="003A1DE4" w:rsidRDefault="000D63C4" w:rsidP="00E1019B">
      <w:pPr>
        <w:pStyle w:val="Balk1"/>
      </w:pPr>
      <w:bookmarkStart w:id="154" w:name="_Toc507506666"/>
      <w:r>
        <w:lastRenderedPageBreak/>
        <w:t>Chapter 5:</w:t>
      </w:r>
      <w:r w:rsidR="003A1DE4">
        <w:t xml:space="preserve"> C</w:t>
      </w:r>
      <w:r>
        <w:t>onclusions</w:t>
      </w:r>
      <w:bookmarkEnd w:id="154"/>
    </w:p>
    <w:p w:rsidR="003A1DE4" w:rsidRPr="001B6A14" w:rsidRDefault="003A1DE4" w:rsidP="003A1DE4">
      <w:pPr>
        <w:jc w:val="both"/>
      </w:pPr>
      <w:r>
        <w:tab/>
        <w:t>Rock-Eval Pyrolysis and Leco TOC results indicate that the Morrow Shale is a good quality source rock characterized with Type-III kerogen derived from woody terrestrial plants. The n-alkane and sterane d</w:t>
      </w:r>
      <w:r w:rsidR="00473353">
        <w:t>istributions of the Morrow show</w:t>
      </w:r>
      <w:r>
        <w:t xml:space="preserve"> that it is composed of mixed type of organic matter that </w:t>
      </w:r>
      <w:r w:rsidR="00FC30D7">
        <w:t>is derived from marine plankton</w:t>
      </w:r>
      <w:r>
        <w:t xml:space="preserve"> </w:t>
      </w:r>
      <w:r w:rsidR="00995945">
        <w:t xml:space="preserve">and higher plants. The </w:t>
      </w:r>
      <w:r>
        <w:t xml:space="preserve">Morrow Shale was deposited under highly dynamic conditions and </w:t>
      </w:r>
      <w:r>
        <w:rPr>
          <w:szCs w:val="28"/>
        </w:rPr>
        <w:t xml:space="preserve">does not fit into a simple depositional model. Nevertheless, the biomarker analysis indicated that </w:t>
      </w:r>
      <w:r>
        <w:t xml:space="preserve">the Morrow Shale was deposited at </w:t>
      </w:r>
      <w:r w:rsidR="00473353">
        <w:t xml:space="preserve">a </w:t>
      </w:r>
      <w:r>
        <w:t xml:space="preserve">near-shore/transitional depositional environment which was subjected to periodic terrigenous influx by the fluvio-deltaic regimes. </w:t>
      </w:r>
      <w:r>
        <w:rPr>
          <w:szCs w:val="28"/>
        </w:rPr>
        <w:t>Some localized areas in the basin show a stratigraphic transition in depositional environment from marine to subaerial depositional conditions such as fluvial channels or marshes.</w:t>
      </w:r>
      <w:r>
        <w:t xml:space="preserve"> Frequent sea-level changes during </w:t>
      </w:r>
      <w:r w:rsidR="007B0878">
        <w:t xml:space="preserve">the </w:t>
      </w:r>
      <w:r>
        <w:t>Early Pennsylvanian</w:t>
      </w:r>
      <w:r w:rsidR="00473353">
        <w:t xml:space="preserve"> time</w:t>
      </w:r>
      <w:r>
        <w:t xml:space="preserve"> caused sub-oxic depositional conditions for the Morrow was supported with the </w:t>
      </w:r>
      <w:r w:rsidRPr="009A3378">
        <w:t xml:space="preserve">isoprenoid </w:t>
      </w:r>
      <w:r w:rsidR="009A3378">
        <w:t>ratios (Pr/Ph) between 1 and 3</w:t>
      </w:r>
      <w:r w:rsidR="009A3378" w:rsidRPr="009A3378">
        <w:t xml:space="preserve">.  The absence of gammacerane and </w:t>
      </w:r>
      <w:r w:rsidRPr="009A3378">
        <w:t>C</w:t>
      </w:r>
      <w:r w:rsidRPr="009A3378">
        <w:rPr>
          <w:vertAlign w:val="subscript"/>
        </w:rPr>
        <w:t>26</w:t>
      </w:r>
      <w:r w:rsidRPr="009A3378">
        <w:t>/C</w:t>
      </w:r>
      <w:r w:rsidRPr="009A3378">
        <w:rPr>
          <w:vertAlign w:val="subscript"/>
        </w:rPr>
        <w:t xml:space="preserve">25 </w:t>
      </w:r>
      <w:r w:rsidRPr="009A3378">
        <w:t>tricyclic terpane ratio were interpreted as low salinity brackish/freshwater conditions for the Morrow. The calculated</w:t>
      </w:r>
      <w:r>
        <w:t xml:space="preserve"> vitrinite reflectance values and biomarker </w:t>
      </w:r>
      <w:r w:rsidR="00995945">
        <w:t>parameters</w:t>
      </w:r>
      <w:r>
        <w:t xml:space="preserve"> revealed that the </w:t>
      </w:r>
      <w:r>
        <w:rPr>
          <w:szCs w:val="28"/>
        </w:rPr>
        <w:t xml:space="preserve">organic matter in the Morrow </w:t>
      </w:r>
      <w:r w:rsidRPr="003D4B39">
        <w:rPr>
          <w:szCs w:val="28"/>
        </w:rPr>
        <w:t xml:space="preserve">is thermally mature </w:t>
      </w:r>
      <w:r>
        <w:rPr>
          <w:szCs w:val="28"/>
        </w:rPr>
        <w:t xml:space="preserve">ranging </w:t>
      </w:r>
      <w:r w:rsidRPr="003D4B39">
        <w:rPr>
          <w:szCs w:val="28"/>
        </w:rPr>
        <w:t xml:space="preserve">between the </w:t>
      </w:r>
      <w:r>
        <w:rPr>
          <w:szCs w:val="28"/>
        </w:rPr>
        <w:t xml:space="preserve">early </w:t>
      </w:r>
      <w:r w:rsidRPr="003D4B39">
        <w:rPr>
          <w:szCs w:val="28"/>
        </w:rPr>
        <w:t>oil-window and the wet-condensate zone</w:t>
      </w:r>
      <w:r>
        <w:rPr>
          <w:szCs w:val="28"/>
        </w:rPr>
        <w:t xml:space="preserve"> depending on the burial depth in the Anadarko Basin. </w:t>
      </w:r>
    </w:p>
    <w:p w:rsidR="003A1DE4" w:rsidRDefault="003A1DE4" w:rsidP="003A1DE4">
      <w:pPr>
        <w:jc w:val="both"/>
        <w:rPr>
          <w:rFonts w:cstheme="minorHAnsi"/>
        </w:rPr>
      </w:pPr>
      <w:r>
        <w:rPr>
          <w:szCs w:val="28"/>
        </w:rPr>
        <w:tab/>
      </w:r>
      <w:r>
        <w:t>18</w:t>
      </w:r>
      <w:r w:rsidR="000A0979">
        <w:rPr>
          <w:rFonts w:cstheme="minorHAnsi"/>
        </w:rPr>
        <w:t>α(H)-O</w:t>
      </w:r>
      <w:r>
        <w:rPr>
          <w:rFonts w:cstheme="minorHAnsi"/>
        </w:rPr>
        <w:t xml:space="preserve">leanane has been tentatively identified in </w:t>
      </w:r>
      <w:r>
        <w:rPr>
          <w:rFonts w:ascii="Times New Roman" w:hAnsi="Times New Roman"/>
          <w:color w:val="111111"/>
          <w:szCs w:val="21"/>
          <w:shd w:val="clear" w:color="auto" w:fill="FFFFFF"/>
        </w:rPr>
        <w:t>most of the Morrow source rock samples.</w:t>
      </w:r>
      <w:r w:rsidR="006235E8">
        <w:rPr>
          <w:rFonts w:ascii="Times New Roman" w:hAnsi="Times New Roman"/>
          <w:color w:val="111111"/>
          <w:szCs w:val="21"/>
          <w:shd w:val="clear" w:color="auto" w:fill="FFFFFF"/>
        </w:rPr>
        <w:t xml:space="preserve"> The presence of </w:t>
      </w:r>
      <w:r>
        <w:t>18</w:t>
      </w:r>
      <w:r w:rsidR="001C4470">
        <w:rPr>
          <w:rFonts w:cstheme="minorHAnsi"/>
        </w:rPr>
        <w:t>α(H)-o</w:t>
      </w:r>
      <w:r w:rsidR="00995945">
        <w:rPr>
          <w:rFonts w:cstheme="minorHAnsi"/>
        </w:rPr>
        <w:t>leanane in pre-Cretaceous source rock s</w:t>
      </w:r>
      <w:r>
        <w:rPr>
          <w:rFonts w:cstheme="minorHAnsi"/>
        </w:rPr>
        <w:t xml:space="preserve">amples is unusual and indicates that either </w:t>
      </w:r>
      <w:r>
        <w:t>18</w:t>
      </w:r>
      <w:r w:rsidR="001C4470">
        <w:rPr>
          <w:rFonts w:cstheme="minorHAnsi"/>
        </w:rPr>
        <w:t>α(H)-o</w:t>
      </w:r>
      <w:r>
        <w:rPr>
          <w:rFonts w:cstheme="minorHAnsi"/>
        </w:rPr>
        <w:t xml:space="preserve">leanane </w:t>
      </w:r>
      <w:r>
        <w:t>is</w:t>
      </w:r>
      <w:r w:rsidRPr="009B2E34">
        <w:t xml:space="preserve"> derived from the earliest angiosperms which evolved long before </w:t>
      </w:r>
      <w:r w:rsidR="001C4470">
        <w:t xml:space="preserve">the </w:t>
      </w:r>
      <w:r w:rsidRPr="009B2E34">
        <w:t>Cretaceous</w:t>
      </w:r>
      <w:r>
        <w:t xml:space="preserve"> (Ramshaw et al., 1972; Martin et al., 1989</w:t>
      </w:r>
      <w:r w:rsidR="00B71DA5">
        <w:t xml:space="preserve">) or </w:t>
      </w:r>
      <w:r w:rsidRPr="009B2E34">
        <w:rPr>
          <w:rFonts w:cstheme="minorHAnsi"/>
        </w:rPr>
        <w:t xml:space="preserve">originated from the non-angiosperm seed plants that share significant </w:t>
      </w:r>
      <w:r w:rsidRPr="009B2E34">
        <w:rPr>
          <w:rFonts w:cstheme="minorHAnsi"/>
        </w:rPr>
        <w:lastRenderedPageBreak/>
        <w:t>common characteristics with the angiosperms</w:t>
      </w:r>
      <w:r>
        <w:rPr>
          <w:rFonts w:cstheme="minorHAnsi"/>
        </w:rPr>
        <w:t xml:space="preserve"> and </w:t>
      </w:r>
      <w:r w:rsidR="00995945">
        <w:rPr>
          <w:rFonts w:cstheme="minorHAnsi"/>
        </w:rPr>
        <w:t xml:space="preserve">are </w:t>
      </w:r>
      <w:r>
        <w:rPr>
          <w:rFonts w:cstheme="minorHAnsi"/>
        </w:rPr>
        <w:t>capable of synthesizing β-amyrin or other related compound</w:t>
      </w:r>
      <w:r w:rsidR="00995945">
        <w:rPr>
          <w:rFonts w:cstheme="minorHAnsi"/>
        </w:rPr>
        <w:t>s</w:t>
      </w:r>
      <w:r>
        <w:rPr>
          <w:rFonts w:cstheme="minorHAnsi"/>
        </w:rPr>
        <w:t xml:space="preserve"> that </w:t>
      </w:r>
      <w:r w:rsidR="00995945">
        <w:rPr>
          <w:rFonts w:cstheme="minorHAnsi"/>
        </w:rPr>
        <w:t>are</w:t>
      </w:r>
      <w:r>
        <w:rPr>
          <w:rFonts w:cstheme="minorHAnsi"/>
        </w:rPr>
        <w:t xml:space="preserve"> capable of producing </w:t>
      </w:r>
      <w:r>
        <w:t>18</w:t>
      </w:r>
      <w:r w:rsidR="001C4470">
        <w:rPr>
          <w:rFonts w:cstheme="minorHAnsi"/>
        </w:rPr>
        <w:t>α(H)-o</w:t>
      </w:r>
      <w:r>
        <w:rPr>
          <w:rFonts w:cstheme="minorHAnsi"/>
        </w:rPr>
        <w:t>leanane (Taylor et al.</w:t>
      </w:r>
      <w:r w:rsidR="00995945">
        <w:rPr>
          <w:rFonts w:cstheme="minorHAnsi"/>
        </w:rPr>
        <w:t>,</w:t>
      </w:r>
      <w:r>
        <w:rPr>
          <w:rFonts w:cstheme="minorHAnsi"/>
        </w:rPr>
        <w:t xml:space="preserve"> 2006). </w:t>
      </w:r>
    </w:p>
    <w:p w:rsidR="003A1DE4" w:rsidRDefault="003A1DE4" w:rsidP="003A1DE4">
      <w:pPr>
        <w:jc w:val="both"/>
        <w:rPr>
          <w:rFonts w:ascii="Times New Roman" w:hAnsi="Times New Roman"/>
        </w:rPr>
      </w:pPr>
      <w:r>
        <w:rPr>
          <w:rFonts w:cstheme="minorHAnsi"/>
        </w:rPr>
        <w:tab/>
      </w:r>
      <w:r>
        <w:t>De</w:t>
      </w:r>
      <w:r w:rsidR="001C4470">
        <w:t>methylated hopanes (such as 25-norhopane, 25,28,30-trisnorhopane, 25,30-b</w:t>
      </w:r>
      <w:r>
        <w:t>isnorhopane)</w:t>
      </w:r>
      <w:r w:rsidR="00995945">
        <w:t xml:space="preserve"> were</w:t>
      </w:r>
      <w:r>
        <w:t xml:space="preserve"> identified in multiple source rock samples. Since they are commonly associated with heavily biodegraded oils and are not found </w:t>
      </w:r>
      <w:r w:rsidR="00995945">
        <w:t>as</w:t>
      </w:r>
      <w:r>
        <w:t xml:space="preserve"> the thermal degradation products of the kerogen</w:t>
      </w:r>
      <w:r w:rsidR="00995945">
        <w:t xml:space="preserve">, their presence in </w:t>
      </w:r>
      <w:r w:rsidR="007673C1">
        <w:t xml:space="preserve">the </w:t>
      </w:r>
      <w:r w:rsidR="00995945">
        <w:t>Morrow source r</w:t>
      </w:r>
      <w:r>
        <w:t xml:space="preserve">ocks was </w:t>
      </w:r>
      <w:r w:rsidR="00995945">
        <w:t>possibly</w:t>
      </w:r>
      <w:r>
        <w:t xml:space="preserve"> related to organic matter re-working. They could possibly re-enter the sedimentary environment of the </w:t>
      </w:r>
      <w:r>
        <w:rPr>
          <w:rFonts w:ascii="Times New Roman" w:hAnsi="Times New Roman"/>
        </w:rPr>
        <w:t xml:space="preserve">Morrow </w:t>
      </w:r>
      <w:r w:rsidR="00995945">
        <w:rPr>
          <w:rFonts w:ascii="Times New Roman" w:hAnsi="Times New Roman"/>
        </w:rPr>
        <w:t>from</w:t>
      </w:r>
      <w:r>
        <w:t xml:space="preserve"> an already biodegraded oil </w:t>
      </w:r>
      <w:r w:rsidR="00995945">
        <w:t xml:space="preserve">derived </w:t>
      </w:r>
      <w:r w:rsidR="006C6B88">
        <w:rPr>
          <w:rFonts w:ascii="Times New Roman" w:hAnsi="Times New Roman"/>
        </w:rPr>
        <w:t>from an ancient reservoir (Noble et al., 1985</w:t>
      </w:r>
      <w:r>
        <w:rPr>
          <w:rFonts w:ascii="Times New Roman" w:hAnsi="Times New Roman"/>
        </w:rPr>
        <w:t xml:space="preserve">). Another possible mechanism is the </w:t>
      </w:r>
      <w:r w:rsidRPr="001E60C0">
        <w:rPr>
          <w:rFonts w:ascii="Times New Roman" w:hAnsi="Times New Roman"/>
          <w:i/>
        </w:rPr>
        <w:t>in-situ</w:t>
      </w:r>
      <w:r>
        <w:rPr>
          <w:rFonts w:ascii="Times New Roman" w:hAnsi="Times New Roman"/>
        </w:rPr>
        <w:t xml:space="preserve"> biodegradation of the oil, which </w:t>
      </w:r>
      <w:r w:rsidR="00995945">
        <w:rPr>
          <w:rFonts w:ascii="Times New Roman" w:hAnsi="Times New Roman"/>
        </w:rPr>
        <w:t>had</w:t>
      </w:r>
      <w:r>
        <w:rPr>
          <w:rFonts w:ascii="Times New Roman" w:hAnsi="Times New Roman"/>
        </w:rPr>
        <w:t xml:space="preserve"> seeped from </w:t>
      </w:r>
      <w:r w:rsidR="00995945">
        <w:rPr>
          <w:rFonts w:ascii="Times New Roman" w:hAnsi="Times New Roman"/>
        </w:rPr>
        <w:t xml:space="preserve">an </w:t>
      </w:r>
      <w:r>
        <w:rPr>
          <w:rFonts w:ascii="Times New Roman" w:hAnsi="Times New Roman"/>
        </w:rPr>
        <w:t>ancient reservoir and</w:t>
      </w:r>
      <w:r w:rsidR="00995945">
        <w:rPr>
          <w:rFonts w:ascii="Times New Roman" w:hAnsi="Times New Roman"/>
        </w:rPr>
        <w:t xml:space="preserve"> was</w:t>
      </w:r>
      <w:r>
        <w:rPr>
          <w:rFonts w:ascii="Times New Roman" w:hAnsi="Times New Roman"/>
        </w:rPr>
        <w:t xml:space="preserve"> trapped</w:t>
      </w:r>
      <w:r w:rsidR="00C7411B">
        <w:rPr>
          <w:rFonts w:ascii="Times New Roman" w:hAnsi="Times New Roman"/>
        </w:rPr>
        <w:t xml:space="preserve"> in the fissures of the Morrow source </w:t>
      </w:r>
      <w:r w:rsidR="00C7411B" w:rsidRPr="004647FA">
        <w:rPr>
          <w:rFonts w:ascii="Times New Roman" w:hAnsi="Times New Roman"/>
        </w:rPr>
        <w:t>r</w:t>
      </w:r>
      <w:r w:rsidRPr="004647FA">
        <w:rPr>
          <w:rFonts w:ascii="Times New Roman" w:hAnsi="Times New Roman"/>
        </w:rPr>
        <w:t>ock (Noble et al.</w:t>
      </w:r>
      <w:r w:rsidR="00995945" w:rsidRPr="004647FA">
        <w:rPr>
          <w:rFonts w:ascii="Times New Roman" w:hAnsi="Times New Roman"/>
        </w:rPr>
        <w:t>,</w:t>
      </w:r>
      <w:r w:rsidRPr="004647FA">
        <w:rPr>
          <w:rFonts w:ascii="Times New Roman" w:hAnsi="Times New Roman"/>
        </w:rPr>
        <w:t xml:space="preserve"> 1985). Finally</w:t>
      </w:r>
      <w:r w:rsidR="006235E8" w:rsidRPr="004647FA">
        <w:rPr>
          <w:rFonts w:ascii="Times New Roman" w:hAnsi="Times New Roman"/>
        </w:rPr>
        <w:t>,</w:t>
      </w:r>
      <w:r w:rsidRPr="004647FA">
        <w:rPr>
          <w:rFonts w:ascii="Times New Roman" w:hAnsi="Times New Roman"/>
        </w:rPr>
        <w:t xml:space="preserve"> and least likely</w:t>
      </w:r>
      <w:r w:rsidR="006235E8" w:rsidRPr="004647FA">
        <w:rPr>
          <w:rFonts w:ascii="Times New Roman" w:hAnsi="Times New Roman"/>
        </w:rPr>
        <w:t>,</w:t>
      </w:r>
      <w:r w:rsidRPr="004647FA">
        <w:rPr>
          <w:rFonts w:ascii="Times New Roman" w:hAnsi="Times New Roman"/>
        </w:rPr>
        <w:t xml:space="preserve"> their presence can be related to a </w:t>
      </w:r>
      <w:r w:rsidR="004647FA" w:rsidRPr="004647FA">
        <w:rPr>
          <w:rFonts w:ascii="Times New Roman" w:hAnsi="Times New Roman"/>
        </w:rPr>
        <w:t xml:space="preserve">specific type of microorganism, which is </w:t>
      </w:r>
      <w:r w:rsidRPr="004647FA">
        <w:rPr>
          <w:rFonts w:ascii="Times New Roman" w:hAnsi="Times New Roman"/>
        </w:rPr>
        <w:t>very uncommon</w:t>
      </w:r>
      <w:r w:rsidR="004647FA" w:rsidRPr="004647FA">
        <w:rPr>
          <w:rFonts w:ascii="Times New Roman" w:hAnsi="Times New Roman"/>
        </w:rPr>
        <w:t>, capable of producing demethylated hopanes</w:t>
      </w:r>
      <w:r w:rsidR="00995945" w:rsidRPr="004647FA">
        <w:rPr>
          <w:rFonts w:ascii="Times New Roman" w:hAnsi="Times New Roman"/>
        </w:rPr>
        <w:t xml:space="preserve"> (Peters et al., </w:t>
      </w:r>
      <w:r w:rsidRPr="004647FA">
        <w:rPr>
          <w:rFonts w:ascii="Times New Roman" w:hAnsi="Times New Roman"/>
        </w:rPr>
        <w:t>2005).</w:t>
      </w:r>
      <w:r>
        <w:rPr>
          <w:rFonts w:ascii="Times New Roman" w:hAnsi="Times New Roman"/>
        </w:rPr>
        <w:t xml:space="preserve"> </w:t>
      </w:r>
    </w:p>
    <w:p w:rsidR="003A1DE4" w:rsidRPr="002972DF" w:rsidRDefault="003A1DE4" w:rsidP="003A1DE4">
      <w:pPr>
        <w:jc w:val="both"/>
        <w:rPr>
          <w:rFonts w:ascii="Times New Roman" w:hAnsi="Times New Roman"/>
        </w:rPr>
      </w:pPr>
      <w:r>
        <w:rPr>
          <w:rFonts w:ascii="Times New Roman" w:hAnsi="Times New Roman"/>
        </w:rPr>
        <w:tab/>
      </w:r>
      <w:r>
        <w:t>1,2,7-TMN and 1,2,5-TM</w:t>
      </w:r>
      <w:r w:rsidR="006235E8">
        <w:t>N are found in relatively high</w:t>
      </w:r>
      <w:r>
        <w:t xml:space="preserve"> concentration</w:t>
      </w:r>
      <w:r w:rsidR="00995945">
        <w:t>s</w:t>
      </w:r>
      <w:r w:rsidR="006235E8">
        <w:t xml:space="preserve"> in most of the samples studied</w:t>
      </w:r>
      <w:r>
        <w:t>.</w:t>
      </w:r>
      <w:r>
        <w:rPr>
          <w:rFonts w:ascii="Times New Roman" w:hAnsi="Times New Roman"/>
        </w:rPr>
        <w:t xml:space="preserve"> The prese</w:t>
      </w:r>
      <w:r w:rsidR="00995945">
        <w:rPr>
          <w:rFonts w:ascii="Times New Roman" w:hAnsi="Times New Roman"/>
        </w:rPr>
        <w:t>nce of 1,2,7-TMN in the Morrow source r</w:t>
      </w:r>
      <w:r>
        <w:rPr>
          <w:rFonts w:ascii="Times New Roman" w:hAnsi="Times New Roman"/>
        </w:rPr>
        <w:t xml:space="preserve">ocks and </w:t>
      </w:r>
      <w:r>
        <w:t xml:space="preserve">the pre-Cretaceous samples </w:t>
      </w:r>
      <w:r w:rsidR="00995945">
        <w:t>characterized by</w:t>
      </w:r>
      <w:r>
        <w:t xml:space="preserve"> </w:t>
      </w:r>
      <w:r>
        <w:rPr>
          <w:rFonts w:cstheme="minorHAnsi"/>
        </w:rPr>
        <w:t>Moldowan et al. (1994), Peters et al. (1999) and unpublished M</w:t>
      </w:r>
      <w:r w:rsidR="00995945">
        <w:rPr>
          <w:rFonts w:cstheme="minorHAnsi"/>
        </w:rPr>
        <w:t>S</w:t>
      </w:r>
      <w:r>
        <w:rPr>
          <w:rFonts w:cstheme="minorHAnsi"/>
        </w:rPr>
        <w:t xml:space="preserve"> Thesis of Wood (2017) supports </w:t>
      </w:r>
      <w:r w:rsidR="00995945">
        <w:rPr>
          <w:rFonts w:cstheme="minorHAnsi"/>
        </w:rPr>
        <w:t>the concept that the</w:t>
      </w:r>
      <w:r>
        <w:rPr>
          <w:rFonts w:cstheme="minorHAnsi"/>
        </w:rPr>
        <w:t xml:space="preserve"> </w:t>
      </w:r>
      <w:r>
        <w:t xml:space="preserve">1,2,7-TMN and </w:t>
      </w:r>
      <w:r w:rsidR="001C4470">
        <w:rPr>
          <w:rFonts w:cstheme="minorHAnsi"/>
        </w:rPr>
        <w:t>18α(H)-o</w:t>
      </w:r>
      <w:r>
        <w:rPr>
          <w:rFonts w:cstheme="minorHAnsi"/>
        </w:rPr>
        <w:t>leanane are viable biomarkers associated with the angiosperms and they are possibly derived from the earliest form of the angiosperms as sugge</w:t>
      </w:r>
      <w:r w:rsidR="001E60C0">
        <w:rPr>
          <w:rFonts w:cstheme="minorHAnsi"/>
        </w:rPr>
        <w:t>sted above. A</w:t>
      </w:r>
      <w:r>
        <w:rPr>
          <w:rFonts w:cstheme="minorHAnsi"/>
        </w:rPr>
        <w:t xml:space="preserve">lthough unlikely, it is still possible that </w:t>
      </w:r>
      <w:r w:rsidR="00673CFF">
        <w:rPr>
          <w:rFonts w:cstheme="minorHAnsi"/>
        </w:rPr>
        <w:t>there is an</w:t>
      </w:r>
      <w:r w:rsidR="006235E8">
        <w:rPr>
          <w:rFonts w:cstheme="minorHAnsi"/>
        </w:rPr>
        <w:t>other</w:t>
      </w:r>
      <w:r>
        <w:rPr>
          <w:rFonts w:cstheme="minorHAnsi"/>
        </w:rPr>
        <w:t xml:space="preserve"> precursor </w:t>
      </w:r>
      <w:r w:rsidR="0005011B">
        <w:rPr>
          <w:rFonts w:cstheme="minorHAnsi"/>
        </w:rPr>
        <w:t xml:space="preserve">of </w:t>
      </w:r>
      <w:r>
        <w:rPr>
          <w:rFonts w:cstheme="minorHAnsi"/>
        </w:rPr>
        <w:t xml:space="preserve">the 1,2,7-TMN which has not </w:t>
      </w:r>
      <w:r w:rsidR="00995945">
        <w:rPr>
          <w:rFonts w:cstheme="minorHAnsi"/>
        </w:rPr>
        <w:t xml:space="preserve">yet </w:t>
      </w:r>
      <w:r>
        <w:rPr>
          <w:rFonts w:cstheme="minorHAnsi"/>
        </w:rPr>
        <w:t xml:space="preserve">been </w:t>
      </w:r>
      <w:r w:rsidR="00995945">
        <w:rPr>
          <w:rFonts w:cstheme="minorHAnsi"/>
        </w:rPr>
        <w:t>discovered.</w:t>
      </w:r>
      <w:r>
        <w:rPr>
          <w:rFonts w:cstheme="minorHAnsi"/>
        </w:rPr>
        <w:t xml:space="preserve"> </w:t>
      </w:r>
    </w:p>
    <w:p w:rsidR="00D765D4" w:rsidRDefault="00995945" w:rsidP="00D765D4">
      <w:pPr>
        <w:jc w:val="both"/>
        <w:rPr>
          <w:rFonts w:cstheme="minorHAnsi"/>
        </w:rPr>
      </w:pPr>
      <w:r>
        <w:rPr>
          <w:rFonts w:cstheme="minorHAnsi"/>
        </w:rPr>
        <w:lastRenderedPageBreak/>
        <w:tab/>
        <w:t>Finally the</w:t>
      </w:r>
      <w:r w:rsidR="003A1DE4">
        <w:rPr>
          <w:rFonts w:cstheme="minorHAnsi"/>
        </w:rPr>
        <w:t xml:space="preserve"> presence of </w:t>
      </w:r>
      <w:r w:rsidR="00B476C3">
        <w:rPr>
          <w:rFonts w:cstheme="minorHAnsi"/>
        </w:rPr>
        <w:t xml:space="preserve">evidence for </w:t>
      </w:r>
      <w:r w:rsidR="003A1DE4">
        <w:rPr>
          <w:rFonts w:cstheme="minorHAnsi"/>
        </w:rPr>
        <w:t xml:space="preserve">paleo-wildfires </w:t>
      </w:r>
      <w:r w:rsidR="00B476C3">
        <w:rPr>
          <w:rFonts w:cstheme="minorHAnsi"/>
        </w:rPr>
        <w:t>was</w:t>
      </w:r>
      <w:r w:rsidR="003A1DE4">
        <w:rPr>
          <w:rFonts w:cstheme="minorHAnsi"/>
        </w:rPr>
        <w:t xml:space="preserve"> traced back to </w:t>
      </w:r>
      <w:r w:rsidR="000A0979">
        <w:rPr>
          <w:rFonts w:cstheme="minorHAnsi"/>
        </w:rPr>
        <w:t xml:space="preserve">the </w:t>
      </w:r>
      <w:r w:rsidR="003A1DE4">
        <w:rPr>
          <w:rFonts w:cstheme="minorHAnsi"/>
        </w:rPr>
        <w:t>Early Penns</w:t>
      </w:r>
      <w:r w:rsidR="00B476C3">
        <w:rPr>
          <w:rFonts w:cstheme="minorHAnsi"/>
        </w:rPr>
        <w:t xml:space="preserve">ylvanian time with presence of </w:t>
      </w:r>
      <w:r w:rsidR="003A1DE4">
        <w:rPr>
          <w:rFonts w:cstheme="minorHAnsi"/>
        </w:rPr>
        <w:t xml:space="preserve">pyrolytic PAHs such as </w:t>
      </w:r>
      <w:r w:rsidR="003A1DE4">
        <w:t>pyrene, fluoranthene, benzopyrenes, benzofluoranthenes, benzo(a)anthracene, triphenylene, and chrysene</w:t>
      </w:r>
      <w:r w:rsidR="00C7411B">
        <w:rPr>
          <w:rFonts w:cstheme="minorHAnsi"/>
        </w:rPr>
        <w:t xml:space="preserve"> in the Morrow source rock</w:t>
      </w:r>
      <w:r w:rsidR="003A1DE4">
        <w:rPr>
          <w:rFonts w:cstheme="minorHAnsi"/>
        </w:rPr>
        <w:t xml:space="preserve"> samples. </w:t>
      </w:r>
      <w:r w:rsidR="001E60C0">
        <w:rPr>
          <w:rFonts w:cstheme="minorHAnsi"/>
        </w:rPr>
        <w:t>T</w:t>
      </w:r>
      <w:r w:rsidR="003A1DE4">
        <w:rPr>
          <w:rFonts w:cstheme="minorHAnsi"/>
        </w:rPr>
        <w:t>he PAHs with diagenetic origin</w:t>
      </w:r>
      <w:r w:rsidR="001E60C0">
        <w:rPr>
          <w:rFonts w:cstheme="minorHAnsi"/>
        </w:rPr>
        <w:t>s</w:t>
      </w:r>
      <w:r w:rsidR="003A1DE4">
        <w:rPr>
          <w:rFonts w:cstheme="minorHAnsi"/>
        </w:rPr>
        <w:t xml:space="preserve"> (such as cadalene, fluorene and dibenzofuran) provided supporting evidence for the terrestrial organic matter deposited at flu</w:t>
      </w:r>
      <w:r w:rsidR="00D765D4">
        <w:rPr>
          <w:rFonts w:cstheme="minorHAnsi"/>
        </w:rPr>
        <w:t xml:space="preserve">vio-deltaic freshwater shales. </w:t>
      </w:r>
    </w:p>
    <w:p w:rsidR="005B7D97" w:rsidRDefault="00D765D4" w:rsidP="00D765D4">
      <w:pPr>
        <w:jc w:val="both"/>
        <w:rPr>
          <w:szCs w:val="28"/>
        </w:rPr>
      </w:pPr>
      <w:r>
        <w:rPr>
          <w:rFonts w:cstheme="minorHAnsi"/>
        </w:rPr>
        <w:tab/>
        <w:t>I</w:t>
      </w:r>
      <w:r w:rsidR="00222BAD">
        <w:rPr>
          <w:rFonts w:cstheme="minorHAnsi"/>
        </w:rPr>
        <w:t xml:space="preserve">n summary, </w:t>
      </w:r>
      <w:r w:rsidR="009652FD">
        <w:rPr>
          <w:rFonts w:cstheme="minorHAnsi"/>
        </w:rPr>
        <w:t xml:space="preserve">this comprehensive geochemical </w:t>
      </w:r>
      <w:r w:rsidR="005F1F45">
        <w:rPr>
          <w:rFonts w:cstheme="minorHAnsi"/>
        </w:rPr>
        <w:t>analysi</w:t>
      </w:r>
      <w:r w:rsidR="009652FD">
        <w:rPr>
          <w:rFonts w:cstheme="minorHAnsi"/>
        </w:rPr>
        <w:t xml:space="preserve">s on the Morrow Shale </w:t>
      </w:r>
      <w:r w:rsidR="00411331" w:rsidRPr="00F85ACE">
        <w:t xml:space="preserve">will help to fill the gap in the literature on geochemical characteristics of </w:t>
      </w:r>
      <w:r w:rsidR="000A0979">
        <w:t xml:space="preserve">the </w:t>
      </w:r>
      <w:r w:rsidR="00411331" w:rsidRPr="00F85ACE">
        <w:t>M</w:t>
      </w:r>
      <w:r w:rsidR="00411331">
        <w:t xml:space="preserve">orrow Formation and </w:t>
      </w:r>
      <w:r w:rsidR="001E18CF">
        <w:t>might</w:t>
      </w:r>
      <w:r w:rsidR="00411331">
        <w:t xml:space="preserve"> </w:t>
      </w:r>
      <w:r w:rsidR="009652FD">
        <w:rPr>
          <w:rFonts w:cstheme="minorHAnsi"/>
        </w:rPr>
        <w:t xml:space="preserve">lead </w:t>
      </w:r>
      <w:r w:rsidR="00473353">
        <w:rPr>
          <w:rFonts w:cstheme="minorHAnsi"/>
        </w:rPr>
        <w:t>to</w:t>
      </w:r>
      <w:r w:rsidR="009652FD">
        <w:rPr>
          <w:rFonts w:cstheme="minorHAnsi"/>
        </w:rPr>
        <w:t xml:space="preserve"> new attempts for unconventional exploratio</w:t>
      </w:r>
      <w:r w:rsidR="000A0979">
        <w:rPr>
          <w:rFonts w:cstheme="minorHAnsi"/>
        </w:rPr>
        <w:t>n and production in the Morrow</w:t>
      </w:r>
      <w:r w:rsidR="009652FD">
        <w:rPr>
          <w:rFonts w:cstheme="minorHAnsi"/>
        </w:rPr>
        <w:t xml:space="preserve">. </w:t>
      </w:r>
      <w:r w:rsidR="004D3747">
        <w:rPr>
          <w:szCs w:val="28"/>
        </w:rPr>
        <w:t xml:space="preserve">Morrow source rocks are fair to good source rocks, characterized </w:t>
      </w:r>
      <w:r w:rsidR="00CF4C41">
        <w:rPr>
          <w:szCs w:val="28"/>
        </w:rPr>
        <w:t xml:space="preserve">by </w:t>
      </w:r>
      <w:r w:rsidR="004D3747">
        <w:rPr>
          <w:szCs w:val="28"/>
        </w:rPr>
        <w:t xml:space="preserve">Type-III kerogen that has gas generating capacity and is thermally mature. </w:t>
      </w:r>
      <w:r w:rsidR="001E18CF">
        <w:rPr>
          <w:szCs w:val="28"/>
        </w:rPr>
        <w:t>It</w:t>
      </w:r>
      <w:r w:rsidR="00F940E7">
        <w:rPr>
          <w:szCs w:val="28"/>
        </w:rPr>
        <w:t xml:space="preserve"> shows both terrestrial and marine character with terrestrial being the more dominant. Both t</w:t>
      </w:r>
      <w:r w:rsidR="004D3747">
        <w:rPr>
          <w:szCs w:val="28"/>
        </w:rPr>
        <w:t>he bulk geochemi</w:t>
      </w:r>
      <w:r w:rsidR="00473353">
        <w:rPr>
          <w:szCs w:val="28"/>
        </w:rPr>
        <w:t>cal and biomarker data indicate</w:t>
      </w:r>
      <w:r w:rsidR="004D3747">
        <w:rPr>
          <w:szCs w:val="28"/>
        </w:rPr>
        <w:t xml:space="preserve"> that the Morrow </w:t>
      </w:r>
      <w:r w:rsidR="006235E8">
        <w:rPr>
          <w:szCs w:val="28"/>
        </w:rPr>
        <w:t>has</w:t>
      </w:r>
      <w:r w:rsidR="004D3747">
        <w:rPr>
          <w:szCs w:val="28"/>
        </w:rPr>
        <w:t xml:space="preserve"> heterogeneous </w:t>
      </w:r>
      <w:r w:rsidR="000A0979">
        <w:rPr>
          <w:szCs w:val="28"/>
        </w:rPr>
        <w:t xml:space="preserve">facies </w:t>
      </w:r>
      <w:r w:rsidR="004D3747">
        <w:rPr>
          <w:szCs w:val="28"/>
        </w:rPr>
        <w:t>character</w:t>
      </w:r>
      <w:r w:rsidR="006235E8">
        <w:rPr>
          <w:szCs w:val="28"/>
        </w:rPr>
        <w:t>istic</w:t>
      </w:r>
      <w:r w:rsidR="00F940E7">
        <w:rPr>
          <w:szCs w:val="28"/>
        </w:rPr>
        <w:t xml:space="preserve"> in the Anadarko Basin </w:t>
      </w:r>
      <w:r w:rsidR="00841E7B">
        <w:rPr>
          <w:szCs w:val="28"/>
        </w:rPr>
        <w:t xml:space="preserve">since </w:t>
      </w:r>
      <w:r w:rsidR="000A0979">
        <w:rPr>
          <w:szCs w:val="28"/>
        </w:rPr>
        <w:t>it</w:t>
      </w:r>
      <w:r w:rsidR="00841E7B">
        <w:rPr>
          <w:szCs w:val="28"/>
        </w:rPr>
        <w:t xml:space="preserve"> was deposited </w:t>
      </w:r>
      <w:r w:rsidR="006235E8">
        <w:rPr>
          <w:szCs w:val="28"/>
        </w:rPr>
        <w:t>under</w:t>
      </w:r>
      <w:r w:rsidR="00841E7B">
        <w:rPr>
          <w:szCs w:val="28"/>
        </w:rPr>
        <w:t xml:space="preserve"> </w:t>
      </w:r>
      <w:r w:rsidR="000A0979">
        <w:rPr>
          <w:szCs w:val="28"/>
        </w:rPr>
        <w:t>dynamic depositional</w:t>
      </w:r>
      <w:r w:rsidR="00F940E7">
        <w:rPr>
          <w:szCs w:val="28"/>
        </w:rPr>
        <w:t xml:space="preserve"> conditions.</w:t>
      </w:r>
      <w:r w:rsidR="00841E7B">
        <w:rPr>
          <w:szCs w:val="28"/>
        </w:rPr>
        <w:t xml:space="preserve"> The maturity </w:t>
      </w:r>
      <w:r w:rsidR="00CE5E30">
        <w:rPr>
          <w:szCs w:val="28"/>
        </w:rPr>
        <w:t>analyses</w:t>
      </w:r>
      <w:r w:rsidR="00841E7B">
        <w:rPr>
          <w:szCs w:val="28"/>
        </w:rPr>
        <w:t xml:space="preserve"> </w:t>
      </w:r>
      <w:r w:rsidR="00CE5E30">
        <w:rPr>
          <w:szCs w:val="28"/>
        </w:rPr>
        <w:t>demonstrate</w:t>
      </w:r>
      <w:r w:rsidR="00841E7B">
        <w:rPr>
          <w:szCs w:val="28"/>
        </w:rPr>
        <w:t xml:space="preserve"> that </w:t>
      </w:r>
      <w:r w:rsidR="00CE5E30">
        <w:t>the maturity of the Morrow varies significantly in the Anadarko Basin</w:t>
      </w:r>
      <w:r w:rsidR="00CE5E30">
        <w:rPr>
          <w:szCs w:val="28"/>
        </w:rPr>
        <w:t xml:space="preserve"> </w:t>
      </w:r>
      <w:r w:rsidR="006235E8">
        <w:rPr>
          <w:szCs w:val="28"/>
        </w:rPr>
        <w:t>depending</w:t>
      </w:r>
      <w:r w:rsidR="00841E7B">
        <w:rPr>
          <w:szCs w:val="28"/>
        </w:rPr>
        <w:t xml:space="preserve"> on the burial</w:t>
      </w:r>
      <w:r w:rsidR="00CE5E30">
        <w:rPr>
          <w:szCs w:val="28"/>
        </w:rPr>
        <w:t xml:space="preserve"> depth. </w:t>
      </w:r>
      <w:r w:rsidR="00CF4C41">
        <w:rPr>
          <w:szCs w:val="28"/>
        </w:rPr>
        <w:t>Additionally, p</w:t>
      </w:r>
      <w:r w:rsidR="001E18CF">
        <w:rPr>
          <w:szCs w:val="28"/>
        </w:rPr>
        <w:t>entacyclic terpane distribution</w:t>
      </w:r>
      <w:r w:rsidR="006235E8">
        <w:rPr>
          <w:szCs w:val="28"/>
        </w:rPr>
        <w:t>s</w:t>
      </w:r>
      <w:r w:rsidR="001E18CF">
        <w:rPr>
          <w:szCs w:val="28"/>
        </w:rPr>
        <w:t xml:space="preserve"> revealed that the Morrow </w:t>
      </w:r>
      <w:r w:rsidR="000A0979">
        <w:rPr>
          <w:szCs w:val="28"/>
        </w:rPr>
        <w:t>S</w:t>
      </w:r>
      <w:r w:rsidR="001E18CF">
        <w:rPr>
          <w:szCs w:val="28"/>
        </w:rPr>
        <w:t xml:space="preserve">hale </w:t>
      </w:r>
      <w:r w:rsidR="006235E8">
        <w:rPr>
          <w:szCs w:val="28"/>
        </w:rPr>
        <w:t xml:space="preserve">possibly </w:t>
      </w:r>
      <w:r w:rsidR="001E18CF">
        <w:rPr>
          <w:szCs w:val="28"/>
        </w:rPr>
        <w:t xml:space="preserve">received a hydrocarbon charge from </w:t>
      </w:r>
      <w:r w:rsidR="00CE5E30">
        <w:rPr>
          <w:szCs w:val="28"/>
        </w:rPr>
        <w:t xml:space="preserve">an ancient reservoir </w:t>
      </w:r>
      <w:r w:rsidR="001E18CF">
        <w:rPr>
          <w:szCs w:val="28"/>
        </w:rPr>
        <w:t>in the Anadarko Basin</w:t>
      </w:r>
      <w:r w:rsidR="00CE5E30">
        <w:rPr>
          <w:szCs w:val="28"/>
        </w:rPr>
        <w:t>.</w:t>
      </w:r>
      <w:r w:rsidR="005B7D97">
        <w:rPr>
          <w:szCs w:val="28"/>
        </w:rPr>
        <w:t xml:space="preserve"> </w:t>
      </w:r>
    </w:p>
    <w:p w:rsidR="005B7D97" w:rsidRDefault="005B7D97" w:rsidP="005B7D97">
      <w:pPr>
        <w:ind w:firstLine="720"/>
        <w:jc w:val="both"/>
        <w:rPr>
          <w:szCs w:val="28"/>
        </w:rPr>
      </w:pPr>
      <w:r w:rsidRPr="005A6BDB">
        <w:rPr>
          <w:szCs w:val="28"/>
        </w:rPr>
        <w:t>Overall, this study will make a good contribution to the geochemical literature and provides better understanding of both geological and organic geochemical aspects of the Morrow Formation.</w:t>
      </w:r>
      <w:r w:rsidR="00CE5E30" w:rsidRPr="005A6BDB">
        <w:rPr>
          <w:szCs w:val="28"/>
        </w:rPr>
        <w:t xml:space="preserve"> </w:t>
      </w:r>
      <w:r w:rsidR="005F1F45" w:rsidRPr="005A6BDB">
        <w:rPr>
          <w:szCs w:val="28"/>
        </w:rPr>
        <w:t>As presented in this study, t</w:t>
      </w:r>
      <w:r w:rsidR="00CE5E30" w:rsidRPr="005A6BDB">
        <w:rPr>
          <w:szCs w:val="28"/>
        </w:rPr>
        <w:t>he Morrow</w:t>
      </w:r>
      <w:r w:rsidR="005F1F45" w:rsidRPr="005A6BDB">
        <w:rPr>
          <w:szCs w:val="28"/>
        </w:rPr>
        <w:t xml:space="preserve"> has </w:t>
      </w:r>
      <w:r w:rsidR="00CE5E30" w:rsidRPr="005A6BDB">
        <w:rPr>
          <w:szCs w:val="28"/>
        </w:rPr>
        <w:t>di</w:t>
      </w:r>
      <w:r w:rsidR="005F1F45" w:rsidRPr="005A6BDB">
        <w:rPr>
          <w:szCs w:val="28"/>
        </w:rPr>
        <w:t>stinct biomarker</w:t>
      </w:r>
      <w:r w:rsidR="005F1F45">
        <w:rPr>
          <w:szCs w:val="28"/>
        </w:rPr>
        <w:t xml:space="preserve"> </w:t>
      </w:r>
      <w:r w:rsidR="000F2439">
        <w:rPr>
          <w:szCs w:val="28"/>
        </w:rPr>
        <w:t>characteristic</w:t>
      </w:r>
      <w:r w:rsidR="001E60C0">
        <w:rPr>
          <w:szCs w:val="28"/>
        </w:rPr>
        <w:t>s</w:t>
      </w:r>
      <w:r w:rsidR="000F2439">
        <w:rPr>
          <w:szCs w:val="28"/>
        </w:rPr>
        <w:t xml:space="preserve"> that are quite different than its adjacent formations</w:t>
      </w:r>
      <w:r w:rsidR="005F1F45">
        <w:rPr>
          <w:szCs w:val="28"/>
        </w:rPr>
        <w:t xml:space="preserve"> and therefore </w:t>
      </w:r>
      <w:r w:rsidR="00CE5E30">
        <w:rPr>
          <w:szCs w:val="28"/>
        </w:rPr>
        <w:t xml:space="preserve">further </w:t>
      </w:r>
      <w:r w:rsidR="005F1F45">
        <w:rPr>
          <w:szCs w:val="28"/>
        </w:rPr>
        <w:lastRenderedPageBreak/>
        <w:t xml:space="preserve">geochemical </w:t>
      </w:r>
      <w:r w:rsidR="00CE5E30">
        <w:rPr>
          <w:szCs w:val="28"/>
        </w:rPr>
        <w:t xml:space="preserve">analyses </w:t>
      </w:r>
      <w:r w:rsidR="006235E8">
        <w:rPr>
          <w:szCs w:val="28"/>
        </w:rPr>
        <w:t xml:space="preserve">are required to address a number of </w:t>
      </w:r>
      <w:r w:rsidR="000A0979">
        <w:rPr>
          <w:szCs w:val="28"/>
        </w:rPr>
        <w:t>unanswered questions</w:t>
      </w:r>
      <w:r w:rsidR="00CF4C41">
        <w:rPr>
          <w:szCs w:val="28"/>
        </w:rPr>
        <w:t xml:space="preserve"> about the Morrow</w:t>
      </w:r>
      <w:r w:rsidR="000A0979">
        <w:rPr>
          <w:szCs w:val="28"/>
        </w:rPr>
        <w:t>.</w:t>
      </w:r>
    </w:p>
    <w:p w:rsidR="00F940E7" w:rsidRDefault="005B7D97" w:rsidP="005B7D97">
      <w:pPr>
        <w:spacing w:line="240" w:lineRule="auto"/>
        <w:rPr>
          <w:szCs w:val="28"/>
        </w:rPr>
      </w:pPr>
      <w:r>
        <w:rPr>
          <w:szCs w:val="28"/>
        </w:rPr>
        <w:br w:type="page"/>
      </w:r>
    </w:p>
    <w:p w:rsidR="00C87CE1" w:rsidRPr="00F940E7" w:rsidRDefault="00C87CE1" w:rsidP="00E1019B">
      <w:pPr>
        <w:pStyle w:val="Balk1"/>
      </w:pPr>
      <w:bookmarkStart w:id="155" w:name="_Toc507506667"/>
      <w:r w:rsidRPr="00F940E7">
        <w:lastRenderedPageBreak/>
        <w:t>References</w:t>
      </w:r>
      <w:bookmarkEnd w:id="155"/>
    </w:p>
    <w:p w:rsidR="00C87CE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Pr>
          <w:rFonts w:asciiTheme="majorHAnsi" w:hAnsiTheme="majorHAnsi" w:cstheme="majorHAnsi"/>
          <w:bCs/>
          <w:shd w:val="clear" w:color="auto" w:fill="FFFFFF"/>
        </w:rPr>
        <w:t>Abels, T. A. 1958</w:t>
      </w:r>
      <w:r w:rsidRPr="00DE23FF">
        <w:rPr>
          <w:rFonts w:asciiTheme="majorHAnsi" w:hAnsiTheme="majorHAnsi" w:cstheme="majorHAnsi"/>
          <w:bCs/>
          <w:shd w:val="clear" w:color="auto" w:fill="FFFFFF"/>
        </w:rPr>
        <w:t>. A Subsurface Lithofacies Study of the Morrowan Series in the</w:t>
      </w:r>
      <w:r>
        <w:rPr>
          <w:rFonts w:asciiTheme="majorHAnsi" w:hAnsiTheme="majorHAnsi" w:cstheme="majorHAnsi"/>
          <w:bCs/>
          <w:shd w:val="clear" w:color="auto" w:fill="FFFFFF"/>
        </w:rPr>
        <w:tab/>
      </w:r>
      <w:r w:rsidRPr="00DE23FF">
        <w:rPr>
          <w:rFonts w:asciiTheme="majorHAnsi" w:hAnsiTheme="majorHAnsi" w:cstheme="majorHAnsi"/>
          <w:bCs/>
          <w:shd w:val="clear" w:color="auto" w:fill="FFFFFF"/>
        </w:rPr>
        <w:t>Northern Anadarko Basin.</w:t>
      </w:r>
      <w:r w:rsidRPr="00DE23FF">
        <w:rPr>
          <w:rStyle w:val="apple-converted-space"/>
          <w:rFonts w:asciiTheme="majorHAnsi" w:hAnsiTheme="majorHAnsi" w:cstheme="majorHAnsi"/>
          <w:bCs/>
          <w:shd w:val="clear" w:color="auto" w:fill="FFFFFF"/>
        </w:rPr>
        <w:t> </w:t>
      </w:r>
      <w:r w:rsidRPr="00DE23FF">
        <w:rPr>
          <w:rFonts w:asciiTheme="majorHAnsi" w:hAnsiTheme="majorHAnsi" w:cstheme="majorHAnsi"/>
          <w:bCs/>
          <w:i/>
          <w:iCs/>
          <w:shd w:val="clear" w:color="auto" w:fill="FFFFFF"/>
        </w:rPr>
        <w:t>The Shale Shaker Digest,</w:t>
      </w:r>
      <w:r>
        <w:rPr>
          <w:rFonts w:asciiTheme="majorHAnsi" w:hAnsiTheme="majorHAnsi" w:cstheme="majorHAnsi"/>
          <w:bCs/>
          <w:i/>
          <w:iCs/>
          <w:shd w:val="clear" w:color="auto" w:fill="FFFFFF"/>
        </w:rPr>
        <w:t xml:space="preserve"> </w:t>
      </w:r>
      <w:r w:rsidRPr="00DE23FF">
        <w:rPr>
          <w:rFonts w:asciiTheme="majorHAnsi" w:hAnsiTheme="majorHAnsi" w:cstheme="majorHAnsi"/>
          <w:bCs/>
          <w:i/>
          <w:iCs/>
          <w:shd w:val="clear" w:color="auto" w:fill="FFFFFF"/>
        </w:rPr>
        <w:t>9</w:t>
      </w:r>
      <w:r w:rsidRPr="00DE23FF">
        <w:rPr>
          <w:rFonts w:asciiTheme="majorHAnsi" w:hAnsiTheme="majorHAnsi" w:cstheme="majorHAnsi"/>
          <w:bCs/>
          <w:shd w:val="clear" w:color="auto" w:fill="FFFFFF"/>
        </w:rPr>
        <w:t>, 93-108.</w:t>
      </w:r>
    </w:p>
    <w:p w:rsidR="00C87CE1" w:rsidRPr="003D3CEF"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Pr>
          <w:shd w:val="clear" w:color="auto" w:fill="FFFFFF"/>
        </w:rPr>
        <w:t>Adams, G. I., Ulrich, E. O. 1905</w:t>
      </w:r>
      <w:r w:rsidRPr="003D3CEF">
        <w:rPr>
          <w:shd w:val="clear" w:color="auto" w:fill="FFFFFF"/>
        </w:rPr>
        <w:t>. Fayetteville Folio. </w:t>
      </w:r>
      <w:r w:rsidRPr="003D3CEF">
        <w:rPr>
          <w:i/>
          <w:iCs/>
        </w:rPr>
        <w:t xml:space="preserve">US Geological Survey </w:t>
      </w:r>
      <w:r>
        <w:rPr>
          <w:i/>
          <w:iCs/>
        </w:rPr>
        <w:t>Geologic</w:t>
      </w:r>
      <w:r>
        <w:rPr>
          <w:i/>
          <w:iCs/>
        </w:rPr>
        <w:tab/>
      </w:r>
      <w:r w:rsidRPr="003D3CEF">
        <w:rPr>
          <w:i/>
          <w:iCs/>
        </w:rPr>
        <w:t>Atlas of the United States, 119</w:t>
      </w:r>
      <w:r w:rsidRPr="003D3CEF">
        <w:rPr>
          <w:shd w:val="clear" w:color="auto" w:fill="FFFFFF"/>
        </w:rPr>
        <w:t>, 7.</w:t>
      </w:r>
    </w:p>
    <w:p w:rsidR="00C87CE1" w:rsidRPr="00DE23FF" w:rsidRDefault="00C87CE1" w:rsidP="00C87CE1">
      <w:pPr>
        <w:spacing w:before="100" w:beforeAutospacing="1" w:after="100" w:afterAutospacing="1" w:line="240" w:lineRule="auto"/>
        <w:jc w:val="both"/>
        <w:rPr>
          <w:rFonts w:asciiTheme="majorHAnsi" w:hAnsiTheme="majorHAnsi" w:cstheme="majorHAnsi"/>
        </w:rPr>
      </w:pPr>
      <w:r w:rsidRPr="00DE23FF">
        <w:rPr>
          <w:rFonts w:asciiTheme="majorHAnsi" w:hAnsiTheme="majorHAnsi" w:cstheme="majorHAnsi"/>
        </w:rPr>
        <w:t>A</w:t>
      </w:r>
      <w:r>
        <w:rPr>
          <w:rFonts w:asciiTheme="majorHAnsi" w:hAnsiTheme="majorHAnsi" w:cstheme="majorHAnsi"/>
        </w:rPr>
        <w:t>dler, F.J., and 11 others. 1971.</w:t>
      </w:r>
      <w:r w:rsidRPr="00DE23FF">
        <w:rPr>
          <w:rFonts w:asciiTheme="majorHAnsi" w:hAnsiTheme="majorHAnsi" w:cstheme="majorHAnsi"/>
        </w:rPr>
        <w:t xml:space="preserve"> Future petroleum provinces of the Mid-continent,</w:t>
      </w:r>
      <w:r>
        <w:rPr>
          <w:rFonts w:asciiTheme="majorHAnsi" w:hAnsiTheme="majorHAnsi" w:cstheme="majorHAnsi"/>
        </w:rPr>
        <w:tab/>
      </w:r>
      <w:r w:rsidRPr="00DE23FF">
        <w:rPr>
          <w:rFonts w:asciiTheme="majorHAnsi" w:hAnsiTheme="majorHAnsi" w:cstheme="majorHAnsi"/>
        </w:rPr>
        <w:t>Region 7, in Cram, I.H., ed., Future petroleum provinces of the United States-</w:t>
      </w:r>
      <w:r>
        <w:rPr>
          <w:rFonts w:asciiTheme="majorHAnsi" w:hAnsiTheme="majorHAnsi" w:cstheme="majorHAnsi"/>
        </w:rPr>
        <w:tab/>
      </w:r>
      <w:r w:rsidRPr="00DE23FF">
        <w:rPr>
          <w:rFonts w:asciiTheme="majorHAnsi" w:hAnsiTheme="majorHAnsi" w:cstheme="majorHAnsi"/>
        </w:rPr>
        <w:t xml:space="preserve">Their geology and potential: </w:t>
      </w:r>
      <w:r w:rsidRPr="00DE23FF">
        <w:rPr>
          <w:rFonts w:asciiTheme="majorHAnsi" w:hAnsiTheme="majorHAnsi" w:cstheme="majorHAnsi"/>
          <w:i/>
        </w:rPr>
        <w:t>AAPG Memoir, 15</w:t>
      </w:r>
      <w:r w:rsidRPr="00DE23FF">
        <w:rPr>
          <w:rFonts w:asciiTheme="majorHAnsi" w:hAnsiTheme="majorHAnsi" w:cstheme="majorHAnsi"/>
        </w:rPr>
        <w:t>, 985-1120.</w:t>
      </w:r>
    </w:p>
    <w:p w:rsidR="00C87CE1" w:rsidRPr="00DE23FF" w:rsidRDefault="00C87CE1" w:rsidP="00C87CE1">
      <w:pPr>
        <w:spacing w:before="100" w:beforeAutospacing="1" w:after="100" w:afterAutospacing="1" w:line="240" w:lineRule="auto"/>
        <w:jc w:val="both"/>
        <w:rPr>
          <w:rFonts w:asciiTheme="majorHAnsi" w:hAnsiTheme="majorHAnsi" w:cstheme="majorHAnsi"/>
        </w:rPr>
      </w:pPr>
      <w:r w:rsidRPr="00DE23FF">
        <w:rPr>
          <w:rFonts w:asciiTheme="majorHAnsi" w:hAnsiTheme="majorHAnsi" w:cstheme="majorHAnsi"/>
        </w:rPr>
        <w:t>Al-Ameri, T. K., Pitman, J., Naser, M. E., Zum</w:t>
      </w:r>
      <w:r>
        <w:rPr>
          <w:rFonts w:asciiTheme="majorHAnsi" w:hAnsiTheme="majorHAnsi" w:cstheme="majorHAnsi"/>
        </w:rPr>
        <w:t>berge, J., Al-Haydari, H. A. 2010</w:t>
      </w:r>
      <w:r w:rsidRPr="00DE23FF">
        <w:rPr>
          <w:rFonts w:asciiTheme="majorHAnsi" w:hAnsiTheme="majorHAnsi" w:cstheme="majorHAnsi"/>
        </w:rPr>
        <w:t xml:space="preserve">. </w:t>
      </w:r>
      <w:r>
        <w:rPr>
          <w:rFonts w:asciiTheme="majorHAnsi" w:hAnsiTheme="majorHAnsi" w:cstheme="majorHAnsi"/>
        </w:rPr>
        <w:tab/>
      </w:r>
      <w:r w:rsidRPr="00DE23FF">
        <w:rPr>
          <w:rFonts w:asciiTheme="majorHAnsi" w:hAnsiTheme="majorHAnsi" w:cstheme="majorHAnsi"/>
        </w:rPr>
        <w:t xml:space="preserve">Programed oil generation of the Zubair Formation, Southern Iraq oil fields: </w:t>
      </w:r>
      <w:r>
        <w:rPr>
          <w:rFonts w:asciiTheme="majorHAnsi" w:hAnsiTheme="majorHAnsi" w:cstheme="majorHAnsi"/>
        </w:rPr>
        <w:tab/>
      </w:r>
      <w:r w:rsidRPr="00DE23FF">
        <w:rPr>
          <w:rFonts w:asciiTheme="majorHAnsi" w:hAnsiTheme="majorHAnsi" w:cstheme="majorHAnsi"/>
        </w:rPr>
        <w:t xml:space="preserve">results from Petromod software modeling and geochemical analysis. </w:t>
      </w:r>
      <w:r w:rsidRPr="00DE23FF">
        <w:rPr>
          <w:rFonts w:asciiTheme="majorHAnsi" w:hAnsiTheme="majorHAnsi" w:cstheme="majorHAnsi"/>
          <w:i/>
        </w:rPr>
        <w:t xml:space="preserve">Arabian </w:t>
      </w:r>
      <w:r>
        <w:rPr>
          <w:rFonts w:asciiTheme="majorHAnsi" w:hAnsiTheme="majorHAnsi" w:cstheme="majorHAnsi"/>
          <w:i/>
        </w:rPr>
        <w:tab/>
      </w:r>
      <w:r w:rsidRPr="00DE23FF">
        <w:rPr>
          <w:rFonts w:asciiTheme="majorHAnsi" w:hAnsiTheme="majorHAnsi" w:cstheme="majorHAnsi"/>
          <w:i/>
        </w:rPr>
        <w:t>Journal of Geosciences, 4(7-8)</w:t>
      </w:r>
      <w:r w:rsidRPr="00DE23FF">
        <w:rPr>
          <w:rFonts w:asciiTheme="majorHAnsi" w:hAnsiTheme="majorHAnsi" w:cstheme="majorHAnsi"/>
        </w:rPr>
        <w:t>, 1239-1259.</w:t>
      </w:r>
    </w:p>
    <w:p w:rsidR="00C87CE1" w:rsidRDefault="00C87CE1" w:rsidP="00C87CE1">
      <w:pPr>
        <w:spacing w:line="240" w:lineRule="auto"/>
        <w:jc w:val="both"/>
        <w:rPr>
          <w:rFonts w:asciiTheme="majorHAnsi" w:hAnsiTheme="majorHAnsi" w:cstheme="majorHAnsi"/>
        </w:rPr>
      </w:pPr>
      <w:r w:rsidRPr="00DE23FF">
        <w:rPr>
          <w:rFonts w:asciiTheme="majorHAnsi" w:hAnsiTheme="majorHAnsi" w:cstheme="majorHAnsi"/>
        </w:rPr>
        <w:t xml:space="preserve">Al-Atta, M. </w:t>
      </w:r>
      <w:r>
        <w:rPr>
          <w:rFonts w:asciiTheme="majorHAnsi" w:hAnsiTheme="majorHAnsi" w:cstheme="majorHAnsi"/>
        </w:rPr>
        <w:t>A., Issa, G. I., Ahmed, M. A.,</w:t>
      </w:r>
      <w:r w:rsidRPr="00DE23FF">
        <w:rPr>
          <w:rFonts w:asciiTheme="majorHAnsi" w:hAnsiTheme="majorHAnsi" w:cstheme="majorHAnsi"/>
        </w:rPr>
        <w:t xml:space="preserve"> Afife, </w:t>
      </w:r>
      <w:r>
        <w:rPr>
          <w:rFonts w:asciiTheme="majorHAnsi" w:hAnsiTheme="majorHAnsi" w:cstheme="majorHAnsi"/>
        </w:rPr>
        <w:t>M. M. 2014</w:t>
      </w:r>
      <w:r w:rsidRPr="00DE23FF">
        <w:rPr>
          <w:rFonts w:asciiTheme="majorHAnsi" w:hAnsiTheme="majorHAnsi" w:cstheme="majorHAnsi"/>
        </w:rPr>
        <w:t>. Source rock</w:t>
      </w:r>
      <w:r>
        <w:rPr>
          <w:rFonts w:asciiTheme="majorHAnsi" w:hAnsiTheme="majorHAnsi" w:cstheme="majorHAnsi"/>
        </w:rPr>
        <w:t xml:space="preserve"> evaluation and </w:t>
      </w:r>
      <w:r>
        <w:rPr>
          <w:rFonts w:asciiTheme="majorHAnsi" w:hAnsiTheme="majorHAnsi" w:cstheme="majorHAnsi"/>
        </w:rPr>
        <w:tab/>
      </w:r>
      <w:r w:rsidRPr="00DE23FF">
        <w:rPr>
          <w:rFonts w:asciiTheme="majorHAnsi" w:hAnsiTheme="majorHAnsi" w:cstheme="majorHAnsi"/>
        </w:rPr>
        <w:t xml:space="preserve">organic geochemistry of Belayim Marine Oil Field, Gulf of Suez, Egypt. </w:t>
      </w:r>
      <w:r w:rsidRPr="00DE23FF">
        <w:rPr>
          <w:rFonts w:asciiTheme="majorHAnsi" w:hAnsiTheme="majorHAnsi" w:cstheme="majorHAnsi"/>
          <w:i/>
        </w:rPr>
        <w:t xml:space="preserve">Egyptian </w:t>
      </w:r>
      <w:r>
        <w:rPr>
          <w:rFonts w:asciiTheme="majorHAnsi" w:hAnsiTheme="majorHAnsi" w:cstheme="majorHAnsi"/>
          <w:i/>
        </w:rPr>
        <w:tab/>
      </w:r>
      <w:r w:rsidRPr="00DE23FF">
        <w:rPr>
          <w:rFonts w:asciiTheme="majorHAnsi" w:hAnsiTheme="majorHAnsi" w:cstheme="majorHAnsi"/>
          <w:i/>
        </w:rPr>
        <w:t>Journal of Petroleum, 23(3)</w:t>
      </w:r>
      <w:r w:rsidRPr="00DE23FF">
        <w:rPr>
          <w:rFonts w:asciiTheme="majorHAnsi" w:hAnsiTheme="majorHAnsi" w:cstheme="majorHAnsi"/>
        </w:rPr>
        <w:t>, 285-302.</w:t>
      </w:r>
    </w:p>
    <w:p w:rsidR="00C87CE1" w:rsidRPr="00DE23FF" w:rsidRDefault="00C87CE1" w:rsidP="00C87CE1">
      <w:pPr>
        <w:spacing w:line="240" w:lineRule="auto"/>
        <w:jc w:val="both"/>
        <w:rPr>
          <w:rFonts w:asciiTheme="majorHAnsi" w:hAnsiTheme="majorHAnsi" w:cstheme="majorHAnsi"/>
        </w:rPr>
      </w:pPr>
    </w:p>
    <w:p w:rsidR="00C87CE1" w:rsidRPr="00DE23FF" w:rsidRDefault="00A06E2F" w:rsidP="00C87CE1">
      <w:pPr>
        <w:spacing w:line="240" w:lineRule="auto"/>
        <w:jc w:val="both"/>
        <w:rPr>
          <w:rFonts w:asciiTheme="majorHAnsi" w:hAnsiTheme="majorHAnsi" w:cstheme="majorHAnsi"/>
        </w:rPr>
      </w:pPr>
      <w:r>
        <w:rPr>
          <w:rFonts w:asciiTheme="majorHAnsi" w:hAnsiTheme="majorHAnsi" w:cstheme="majorHAnsi"/>
        </w:rPr>
        <w:t xml:space="preserve">Alberdi, M., </w:t>
      </w:r>
      <w:r w:rsidR="00C87CE1" w:rsidRPr="00DE23FF">
        <w:rPr>
          <w:rFonts w:asciiTheme="majorHAnsi" w:hAnsiTheme="majorHAnsi" w:cstheme="majorHAnsi"/>
        </w:rPr>
        <w:t>López</w:t>
      </w:r>
      <w:r w:rsidR="00D43454">
        <w:rPr>
          <w:rFonts w:asciiTheme="majorHAnsi" w:hAnsiTheme="majorHAnsi" w:cstheme="majorHAnsi"/>
        </w:rPr>
        <w:t>,</w:t>
      </w:r>
      <w:r>
        <w:rPr>
          <w:rFonts w:asciiTheme="majorHAnsi" w:hAnsiTheme="majorHAnsi" w:cstheme="majorHAnsi"/>
        </w:rPr>
        <w:t xml:space="preserve"> </w:t>
      </w:r>
      <w:r w:rsidRPr="00DE23FF">
        <w:rPr>
          <w:rFonts w:asciiTheme="majorHAnsi" w:hAnsiTheme="majorHAnsi" w:cstheme="majorHAnsi"/>
        </w:rPr>
        <w:t>L.</w:t>
      </w:r>
      <w:r w:rsidR="00C87CE1" w:rsidRPr="00DE23FF">
        <w:rPr>
          <w:rFonts w:asciiTheme="majorHAnsi" w:hAnsiTheme="majorHAnsi" w:cstheme="majorHAnsi"/>
        </w:rPr>
        <w:t xml:space="preserve"> 2000. Biomarker 18α(H)-Oleanane: A Geochemical Tool To </w:t>
      </w:r>
      <w:r w:rsidR="00C87CE1">
        <w:rPr>
          <w:rFonts w:asciiTheme="majorHAnsi" w:hAnsiTheme="majorHAnsi" w:cstheme="majorHAnsi"/>
        </w:rPr>
        <w:tab/>
      </w:r>
      <w:r w:rsidR="00C87CE1" w:rsidRPr="00DE23FF">
        <w:rPr>
          <w:rFonts w:asciiTheme="majorHAnsi" w:hAnsiTheme="majorHAnsi" w:cstheme="majorHAnsi"/>
        </w:rPr>
        <w:t xml:space="preserve">Assess Venezuelan Petroleum Systems. </w:t>
      </w:r>
      <w:r w:rsidR="00C87CE1" w:rsidRPr="00DE23FF">
        <w:rPr>
          <w:rFonts w:asciiTheme="majorHAnsi" w:hAnsiTheme="majorHAnsi" w:cstheme="majorHAnsi"/>
          <w:i/>
        </w:rPr>
        <w:t xml:space="preserve">Journal of South American Earth </w:t>
      </w:r>
      <w:r w:rsidR="00C87CE1">
        <w:rPr>
          <w:rFonts w:asciiTheme="majorHAnsi" w:hAnsiTheme="majorHAnsi" w:cstheme="majorHAnsi"/>
          <w:i/>
        </w:rPr>
        <w:tab/>
      </w:r>
      <w:r w:rsidR="00C87CE1" w:rsidRPr="00DE23FF">
        <w:rPr>
          <w:rFonts w:asciiTheme="majorHAnsi" w:hAnsiTheme="majorHAnsi" w:cstheme="majorHAnsi"/>
          <w:i/>
        </w:rPr>
        <w:t>Sciences</w:t>
      </w:r>
      <w:r w:rsidR="00C87CE1">
        <w:rPr>
          <w:rFonts w:asciiTheme="majorHAnsi" w:hAnsiTheme="majorHAnsi" w:cstheme="majorHAnsi"/>
        </w:rPr>
        <w:t>,</w:t>
      </w:r>
      <w:r w:rsidR="00C87CE1" w:rsidRPr="000F797B">
        <w:rPr>
          <w:rFonts w:asciiTheme="majorHAnsi" w:hAnsiTheme="majorHAnsi" w:cstheme="majorHAnsi"/>
          <w:i/>
        </w:rPr>
        <w:t xml:space="preserve"> 13(8)</w:t>
      </w:r>
      <w:r w:rsidR="00C87CE1">
        <w:rPr>
          <w:rFonts w:asciiTheme="majorHAnsi" w:hAnsiTheme="majorHAnsi" w:cstheme="majorHAnsi"/>
        </w:rPr>
        <w:t>,</w:t>
      </w:r>
      <w:r w:rsidR="00C87CE1" w:rsidRPr="00DE23FF">
        <w:rPr>
          <w:rFonts w:asciiTheme="majorHAnsi" w:hAnsiTheme="majorHAnsi" w:cstheme="majorHAnsi"/>
        </w:rPr>
        <w:t xml:space="preserve"> 751-759.</w:t>
      </w:r>
    </w:p>
    <w:p w:rsidR="00C87CE1" w:rsidRPr="00DE23FF" w:rsidRDefault="00C87CE1" w:rsidP="00C87CE1">
      <w:pPr>
        <w:spacing w:before="100" w:beforeAutospacing="1" w:after="100" w:afterAutospacing="1" w:line="240" w:lineRule="auto"/>
        <w:jc w:val="both"/>
        <w:rPr>
          <w:rFonts w:asciiTheme="majorHAnsi" w:hAnsiTheme="majorHAnsi" w:cstheme="majorHAnsi"/>
        </w:rPr>
      </w:pPr>
      <w:r w:rsidRPr="00DE23FF">
        <w:rPr>
          <w:rFonts w:asciiTheme="majorHAnsi" w:hAnsiTheme="majorHAnsi" w:cstheme="majorHAnsi"/>
        </w:rPr>
        <w:t>Alexan</w:t>
      </w:r>
      <w:r>
        <w:rPr>
          <w:rFonts w:asciiTheme="majorHAnsi" w:hAnsiTheme="majorHAnsi" w:cstheme="majorHAnsi"/>
        </w:rPr>
        <w:t>der, R., Kagi, R., Noble, R. 1983</w:t>
      </w:r>
      <w:r w:rsidRPr="00DE23FF">
        <w:rPr>
          <w:rFonts w:asciiTheme="majorHAnsi" w:hAnsiTheme="majorHAnsi" w:cstheme="majorHAnsi"/>
        </w:rPr>
        <w:t xml:space="preserve">. Identification of the bicyclic </w:t>
      </w:r>
      <w:r>
        <w:rPr>
          <w:rFonts w:asciiTheme="majorHAnsi" w:hAnsiTheme="majorHAnsi" w:cstheme="majorHAnsi"/>
        </w:rPr>
        <w:tab/>
      </w:r>
      <w:r w:rsidRPr="00DE23FF">
        <w:rPr>
          <w:rFonts w:asciiTheme="majorHAnsi" w:hAnsiTheme="majorHAnsi" w:cstheme="majorHAnsi"/>
        </w:rPr>
        <w:t>sesquiterpenes</w:t>
      </w:r>
      <w:r>
        <w:rPr>
          <w:rFonts w:asciiTheme="majorHAnsi" w:hAnsiTheme="majorHAnsi" w:cstheme="majorHAnsi"/>
        </w:rPr>
        <w:tab/>
      </w:r>
      <w:r w:rsidRPr="00DE23FF">
        <w:rPr>
          <w:rFonts w:asciiTheme="majorHAnsi" w:hAnsiTheme="majorHAnsi" w:cstheme="majorHAnsi"/>
        </w:rPr>
        <w:t xml:space="preserve">drimane and eudesmane in petroleum. </w:t>
      </w:r>
      <w:r w:rsidRPr="00DE23FF">
        <w:rPr>
          <w:rFonts w:asciiTheme="majorHAnsi" w:hAnsiTheme="majorHAnsi" w:cstheme="majorHAnsi"/>
          <w:i/>
        </w:rPr>
        <w:t xml:space="preserve">Journal of the Chemical </w:t>
      </w:r>
      <w:r>
        <w:rPr>
          <w:rFonts w:asciiTheme="majorHAnsi" w:hAnsiTheme="majorHAnsi" w:cstheme="majorHAnsi"/>
          <w:i/>
        </w:rPr>
        <w:tab/>
      </w:r>
      <w:r w:rsidRPr="00DE23FF">
        <w:rPr>
          <w:rFonts w:asciiTheme="majorHAnsi" w:hAnsiTheme="majorHAnsi" w:cstheme="majorHAnsi"/>
          <w:i/>
        </w:rPr>
        <w:t>Society, Chemical</w:t>
      </w:r>
      <w:r>
        <w:rPr>
          <w:rFonts w:asciiTheme="majorHAnsi" w:hAnsiTheme="majorHAnsi" w:cstheme="majorHAnsi"/>
          <w:i/>
        </w:rPr>
        <w:t xml:space="preserve"> Communications, </w:t>
      </w:r>
      <w:r w:rsidRPr="00DE23FF">
        <w:rPr>
          <w:rFonts w:asciiTheme="majorHAnsi" w:hAnsiTheme="majorHAnsi" w:cstheme="majorHAnsi"/>
          <w:i/>
        </w:rPr>
        <w:t>5</w:t>
      </w:r>
      <w:r w:rsidRPr="00DE23FF">
        <w:rPr>
          <w:rFonts w:asciiTheme="majorHAnsi" w:hAnsiTheme="majorHAnsi" w:cstheme="majorHAnsi"/>
        </w:rPr>
        <w:t xml:space="preserve">, 226. </w:t>
      </w:r>
    </w:p>
    <w:p w:rsidR="00C87CE1" w:rsidRDefault="00C87CE1" w:rsidP="00C87CE1">
      <w:pPr>
        <w:spacing w:before="100" w:beforeAutospacing="1" w:after="100" w:afterAutospacing="1" w:line="240" w:lineRule="auto"/>
        <w:jc w:val="both"/>
        <w:rPr>
          <w:rFonts w:asciiTheme="majorHAnsi" w:hAnsiTheme="majorHAnsi" w:cstheme="majorHAnsi"/>
        </w:rPr>
      </w:pPr>
      <w:r w:rsidRPr="00DE23FF">
        <w:rPr>
          <w:rFonts w:asciiTheme="majorHAnsi" w:hAnsiTheme="majorHAnsi" w:cstheme="majorHAnsi"/>
        </w:rPr>
        <w:t>Alexander, R., Kagi, R. I</w:t>
      </w:r>
      <w:r>
        <w:rPr>
          <w:rFonts w:asciiTheme="majorHAnsi" w:hAnsiTheme="majorHAnsi" w:cstheme="majorHAnsi"/>
        </w:rPr>
        <w:t>., Noble, R., Volkman, J. K. 1984</w:t>
      </w:r>
      <w:r w:rsidRPr="00DE23FF">
        <w:rPr>
          <w:rFonts w:asciiTheme="majorHAnsi" w:hAnsiTheme="majorHAnsi" w:cstheme="majorHAnsi"/>
        </w:rPr>
        <w:t xml:space="preserve">. Identification of some </w:t>
      </w:r>
      <w:r>
        <w:rPr>
          <w:rFonts w:asciiTheme="majorHAnsi" w:hAnsiTheme="majorHAnsi" w:cstheme="majorHAnsi"/>
        </w:rPr>
        <w:tab/>
      </w:r>
      <w:r w:rsidRPr="00DE23FF">
        <w:rPr>
          <w:rFonts w:asciiTheme="majorHAnsi" w:hAnsiTheme="majorHAnsi" w:cstheme="majorHAnsi"/>
        </w:rPr>
        <w:t xml:space="preserve">bicyclic alkanes in petroleum. </w:t>
      </w:r>
      <w:r w:rsidRPr="00DE23FF">
        <w:rPr>
          <w:rFonts w:asciiTheme="majorHAnsi" w:hAnsiTheme="majorHAnsi" w:cstheme="majorHAnsi"/>
          <w:i/>
        </w:rPr>
        <w:t>Organic Geochemistry, 6,</w:t>
      </w:r>
      <w:r w:rsidRPr="00DE23FF">
        <w:rPr>
          <w:rFonts w:asciiTheme="majorHAnsi" w:hAnsiTheme="majorHAnsi" w:cstheme="majorHAnsi"/>
        </w:rPr>
        <w:t xml:space="preserve"> 63-72.</w:t>
      </w:r>
    </w:p>
    <w:p w:rsidR="00C87CE1" w:rsidRDefault="00C87CE1" w:rsidP="00C87CE1">
      <w:pPr>
        <w:spacing w:line="240" w:lineRule="auto"/>
        <w:jc w:val="both"/>
        <w:rPr>
          <w:rFonts w:asciiTheme="majorHAnsi" w:hAnsiTheme="majorHAnsi" w:cstheme="majorHAnsi"/>
        </w:rPr>
      </w:pPr>
      <w:r w:rsidRPr="00C71E1F">
        <w:rPr>
          <w:rFonts w:asciiTheme="majorHAnsi" w:hAnsiTheme="majorHAnsi" w:cstheme="majorHAnsi"/>
        </w:rPr>
        <w:t>Al-Shaieb, Z.</w:t>
      </w:r>
      <w:r>
        <w:rPr>
          <w:rFonts w:asciiTheme="majorHAnsi" w:hAnsiTheme="majorHAnsi" w:cstheme="majorHAnsi"/>
        </w:rPr>
        <w:t>, Puckette</w:t>
      </w:r>
      <w:r w:rsidR="00D43454">
        <w:rPr>
          <w:rFonts w:asciiTheme="majorHAnsi" w:hAnsiTheme="majorHAnsi" w:cstheme="majorHAnsi"/>
        </w:rPr>
        <w:t>,</w:t>
      </w:r>
      <w:r w:rsidR="00A06E2F">
        <w:rPr>
          <w:rFonts w:asciiTheme="majorHAnsi" w:hAnsiTheme="majorHAnsi" w:cstheme="majorHAnsi"/>
        </w:rPr>
        <w:t xml:space="preserve"> J.</w:t>
      </w:r>
      <w:r>
        <w:rPr>
          <w:rFonts w:asciiTheme="majorHAnsi" w:hAnsiTheme="majorHAnsi" w:cstheme="majorHAnsi"/>
        </w:rPr>
        <w:t>, Abdalla</w:t>
      </w:r>
      <w:r w:rsidR="00D43454">
        <w:rPr>
          <w:rFonts w:asciiTheme="majorHAnsi" w:hAnsiTheme="majorHAnsi" w:cstheme="majorHAnsi"/>
        </w:rPr>
        <w:t>,</w:t>
      </w:r>
      <w:r w:rsidR="00A06E2F">
        <w:rPr>
          <w:rFonts w:asciiTheme="majorHAnsi" w:hAnsiTheme="majorHAnsi" w:cstheme="majorHAnsi"/>
        </w:rPr>
        <w:t xml:space="preserve"> A</w:t>
      </w:r>
      <w:r>
        <w:rPr>
          <w:rFonts w:asciiTheme="majorHAnsi" w:hAnsiTheme="majorHAnsi" w:cstheme="majorHAnsi"/>
        </w:rPr>
        <w:t>. 1995.</w:t>
      </w:r>
      <w:r w:rsidRPr="00C71E1F">
        <w:rPr>
          <w:rFonts w:asciiTheme="majorHAnsi" w:hAnsiTheme="majorHAnsi" w:cstheme="majorHAnsi"/>
        </w:rPr>
        <w:t xml:space="preserve"> Influence of sea-level fluctuation on </w:t>
      </w:r>
      <w:r w:rsidRPr="00C71E1F">
        <w:rPr>
          <w:rFonts w:asciiTheme="majorHAnsi" w:hAnsiTheme="majorHAnsi" w:cstheme="majorHAnsi"/>
        </w:rPr>
        <w:tab/>
        <w:t xml:space="preserve">reservoir quality of the upper Morrowan sandstones, northwestern shelf of the </w:t>
      </w:r>
      <w:r w:rsidRPr="00C71E1F">
        <w:rPr>
          <w:rFonts w:asciiTheme="majorHAnsi" w:hAnsiTheme="majorHAnsi" w:cstheme="majorHAnsi"/>
        </w:rPr>
        <w:tab/>
        <w:t xml:space="preserve">Anadarko Basin, in N. J. Hyne, ed. Sequence stratigraphy of the midcontinent: </w:t>
      </w:r>
      <w:r w:rsidRPr="00C71E1F">
        <w:rPr>
          <w:rFonts w:asciiTheme="majorHAnsi" w:hAnsiTheme="majorHAnsi" w:cstheme="majorHAnsi"/>
        </w:rPr>
        <w:tab/>
      </w:r>
      <w:r w:rsidRPr="00C71E1F">
        <w:rPr>
          <w:rFonts w:asciiTheme="majorHAnsi" w:hAnsiTheme="majorHAnsi" w:cstheme="majorHAnsi"/>
          <w:i/>
        </w:rPr>
        <w:t>Tulsa Geological Society Special Publication, no.4</w:t>
      </w:r>
      <w:r>
        <w:rPr>
          <w:rFonts w:asciiTheme="majorHAnsi" w:hAnsiTheme="majorHAnsi" w:cstheme="majorHAnsi"/>
        </w:rPr>
        <w:t>,</w:t>
      </w:r>
      <w:r w:rsidRPr="00C71E1F">
        <w:rPr>
          <w:rFonts w:asciiTheme="majorHAnsi" w:hAnsiTheme="majorHAnsi" w:cstheme="majorHAnsi"/>
        </w:rPr>
        <w:t xml:space="preserve"> 429- 268.</w:t>
      </w:r>
    </w:p>
    <w:p w:rsidR="00C87CE1" w:rsidRDefault="00C87CE1" w:rsidP="00C87CE1">
      <w:pPr>
        <w:spacing w:line="240" w:lineRule="auto"/>
        <w:jc w:val="both"/>
        <w:rPr>
          <w:rFonts w:asciiTheme="majorHAnsi" w:hAnsiTheme="majorHAnsi" w:cstheme="majorHAnsi"/>
        </w:rPr>
      </w:pPr>
    </w:p>
    <w:p w:rsidR="00C87CE1" w:rsidRPr="007F7178" w:rsidRDefault="00C87CE1" w:rsidP="00C87CE1">
      <w:pPr>
        <w:spacing w:line="240" w:lineRule="auto"/>
        <w:ind w:left="720" w:hanging="720"/>
        <w:jc w:val="both"/>
        <w:rPr>
          <w:rFonts w:asciiTheme="majorHAnsi" w:hAnsiTheme="majorHAnsi" w:cstheme="majorHAnsi"/>
        </w:rPr>
      </w:pPr>
      <w:r>
        <w:rPr>
          <w:rFonts w:asciiTheme="majorHAnsi" w:hAnsiTheme="majorHAnsi" w:cstheme="majorHAnsi"/>
        </w:rPr>
        <w:t>An</w:t>
      </w:r>
      <w:r w:rsidR="00173D26">
        <w:rPr>
          <w:rFonts w:asciiTheme="majorHAnsi" w:hAnsiTheme="majorHAnsi" w:cstheme="majorHAnsi"/>
        </w:rPr>
        <w:t>drews, R.</w:t>
      </w:r>
      <w:r w:rsidR="00A85E13">
        <w:rPr>
          <w:rFonts w:asciiTheme="majorHAnsi" w:hAnsiTheme="majorHAnsi" w:cstheme="majorHAnsi"/>
        </w:rPr>
        <w:t>D</w:t>
      </w:r>
      <w:r w:rsidRPr="00237F9A">
        <w:rPr>
          <w:rFonts w:asciiTheme="majorHAnsi" w:hAnsiTheme="majorHAnsi" w:cstheme="majorHAnsi"/>
        </w:rPr>
        <w:t>. 1995. Fluvial-dominated deltaic</w:t>
      </w:r>
      <w:r>
        <w:rPr>
          <w:rFonts w:asciiTheme="majorHAnsi" w:hAnsiTheme="majorHAnsi" w:cstheme="majorHAnsi"/>
        </w:rPr>
        <w:t xml:space="preserve"> </w:t>
      </w:r>
      <w:r w:rsidRPr="00237F9A">
        <w:rPr>
          <w:rFonts w:asciiTheme="majorHAnsi" w:hAnsiTheme="majorHAnsi" w:cstheme="majorHAnsi"/>
        </w:rPr>
        <w:t>(FDD) oil reservoirs in Oklahom</w:t>
      </w:r>
      <w:r>
        <w:rPr>
          <w:rFonts w:asciiTheme="majorHAnsi" w:hAnsiTheme="majorHAnsi" w:cstheme="majorHAnsi"/>
        </w:rPr>
        <w:t xml:space="preserve">a. </w:t>
      </w:r>
      <w:r>
        <w:rPr>
          <w:rFonts w:asciiTheme="majorHAnsi" w:hAnsiTheme="majorHAnsi" w:cstheme="majorHAnsi"/>
          <w:i/>
        </w:rPr>
        <w:t>Oklahoma Geological Survey/Special Publication, 95-1</w:t>
      </w:r>
      <w:r>
        <w:rPr>
          <w:rFonts w:asciiTheme="majorHAnsi" w:hAnsiTheme="majorHAnsi" w:cstheme="majorHAnsi"/>
        </w:rPr>
        <w:t>.</w:t>
      </w:r>
    </w:p>
    <w:p w:rsidR="00C87CE1" w:rsidRDefault="00C87CE1" w:rsidP="00C87CE1">
      <w:pPr>
        <w:spacing w:line="240" w:lineRule="auto"/>
        <w:jc w:val="both"/>
        <w:rPr>
          <w:rFonts w:asciiTheme="majorHAnsi" w:hAnsiTheme="majorHAnsi" w:cstheme="majorHAnsi"/>
        </w:rPr>
      </w:pPr>
    </w:p>
    <w:p w:rsidR="00C87CE1" w:rsidRDefault="00173D26" w:rsidP="00C87CE1">
      <w:pPr>
        <w:spacing w:line="240" w:lineRule="auto"/>
        <w:jc w:val="both"/>
        <w:rPr>
          <w:rFonts w:asciiTheme="majorHAnsi" w:hAnsiTheme="majorHAnsi" w:cstheme="majorHAnsi"/>
        </w:rPr>
      </w:pPr>
      <w:r>
        <w:rPr>
          <w:rFonts w:asciiTheme="majorHAnsi" w:hAnsiTheme="majorHAnsi" w:cstheme="majorHAnsi"/>
        </w:rPr>
        <w:t>Andrews, R.</w:t>
      </w:r>
      <w:r w:rsidR="00C87CE1">
        <w:rPr>
          <w:rFonts w:asciiTheme="majorHAnsi" w:hAnsiTheme="majorHAnsi" w:cstheme="majorHAnsi"/>
        </w:rPr>
        <w:t>D. 1999</w:t>
      </w:r>
      <w:r w:rsidR="00C87CE1" w:rsidRPr="00DE23FF">
        <w:rPr>
          <w:rFonts w:asciiTheme="majorHAnsi" w:hAnsiTheme="majorHAnsi" w:cstheme="majorHAnsi"/>
        </w:rPr>
        <w:t xml:space="preserve">. Morrow Gas Play in the Anadarko Basin and shelf of </w:t>
      </w:r>
      <w:r w:rsidR="00C87CE1">
        <w:rPr>
          <w:rFonts w:asciiTheme="majorHAnsi" w:hAnsiTheme="majorHAnsi" w:cstheme="majorHAnsi"/>
        </w:rPr>
        <w:tab/>
      </w:r>
      <w:r w:rsidR="00C87CE1" w:rsidRPr="00DE23FF">
        <w:rPr>
          <w:rFonts w:asciiTheme="majorHAnsi" w:hAnsiTheme="majorHAnsi" w:cstheme="majorHAnsi"/>
        </w:rPr>
        <w:t xml:space="preserve">Oklahoma. </w:t>
      </w:r>
      <w:r w:rsidR="00C87CE1" w:rsidRPr="00DE23FF">
        <w:rPr>
          <w:rFonts w:asciiTheme="majorHAnsi" w:hAnsiTheme="majorHAnsi" w:cstheme="majorHAnsi"/>
          <w:i/>
        </w:rPr>
        <w:t>Oklahoma Geological Survey</w:t>
      </w:r>
      <w:r w:rsidR="00C87CE1" w:rsidRPr="00DE23FF">
        <w:rPr>
          <w:rFonts w:asciiTheme="majorHAnsi" w:hAnsiTheme="majorHAnsi" w:cstheme="majorHAnsi"/>
        </w:rPr>
        <w:t>, 133.</w:t>
      </w:r>
    </w:p>
    <w:p w:rsidR="00C87CE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Andrews, R.D. 2008.</w:t>
      </w:r>
      <w:r w:rsidRPr="00DE23FF">
        <w:rPr>
          <w:rFonts w:asciiTheme="majorHAnsi" w:hAnsiTheme="majorHAnsi" w:cstheme="majorHAnsi"/>
        </w:rPr>
        <w:t xml:space="preserve"> Morrow and Springer in the Southern Midcontinent: </w:t>
      </w:r>
      <w:r w:rsidRPr="00DE23FF">
        <w:rPr>
          <w:rFonts w:asciiTheme="majorHAnsi" w:hAnsiTheme="majorHAnsi" w:cstheme="majorHAnsi"/>
          <w:i/>
        </w:rPr>
        <w:t xml:space="preserve">Oklahoma </w:t>
      </w:r>
      <w:r>
        <w:rPr>
          <w:rFonts w:asciiTheme="majorHAnsi" w:hAnsiTheme="majorHAnsi" w:cstheme="majorHAnsi"/>
          <w:i/>
        </w:rPr>
        <w:tab/>
      </w:r>
      <w:r w:rsidRPr="00DE23FF">
        <w:rPr>
          <w:rFonts w:asciiTheme="majorHAnsi" w:hAnsiTheme="majorHAnsi" w:cstheme="majorHAnsi"/>
          <w:i/>
        </w:rPr>
        <w:t>Geological Survey Circular 111</w:t>
      </w:r>
      <w:r w:rsidRPr="00DE23FF">
        <w:rPr>
          <w:rFonts w:asciiTheme="majorHAnsi" w:hAnsiTheme="majorHAnsi" w:cstheme="majorHAnsi"/>
        </w:rPr>
        <w:t>, 1-11</w:t>
      </w:r>
    </w:p>
    <w:p w:rsidR="00173D26" w:rsidRPr="00DE23FF" w:rsidRDefault="00173D26" w:rsidP="00173D26">
      <w:pPr>
        <w:spacing w:line="240" w:lineRule="auto"/>
        <w:jc w:val="both"/>
        <w:rPr>
          <w:rFonts w:asciiTheme="majorHAnsi" w:hAnsiTheme="majorHAnsi" w:cstheme="majorHAnsi"/>
        </w:rPr>
      </w:pPr>
      <w:r w:rsidRPr="00DE23FF">
        <w:rPr>
          <w:rFonts w:asciiTheme="majorHAnsi" w:hAnsiTheme="majorHAnsi" w:cstheme="majorHAnsi"/>
        </w:rPr>
        <w:lastRenderedPageBreak/>
        <w:t>Aqu</w:t>
      </w:r>
      <w:r>
        <w:rPr>
          <w:rFonts w:asciiTheme="majorHAnsi" w:hAnsiTheme="majorHAnsi" w:cstheme="majorHAnsi"/>
        </w:rPr>
        <w:t>ino Neto, F. R., Trigü</w:t>
      </w:r>
      <w:r w:rsidRPr="00DE23FF">
        <w:rPr>
          <w:rFonts w:asciiTheme="majorHAnsi" w:hAnsiTheme="majorHAnsi" w:cstheme="majorHAnsi"/>
        </w:rPr>
        <w:t>is</w:t>
      </w:r>
      <w:r>
        <w:rPr>
          <w:rFonts w:asciiTheme="majorHAnsi" w:hAnsiTheme="majorHAnsi" w:cstheme="majorHAnsi"/>
        </w:rPr>
        <w:t>,</w:t>
      </w:r>
      <w:r w:rsidRPr="00DE23FF">
        <w:rPr>
          <w:rFonts w:asciiTheme="majorHAnsi" w:hAnsiTheme="majorHAnsi" w:cstheme="majorHAnsi"/>
        </w:rPr>
        <w:t xml:space="preserve"> J.,</w:t>
      </w:r>
      <w:r>
        <w:rPr>
          <w:rFonts w:asciiTheme="majorHAnsi" w:hAnsiTheme="majorHAnsi" w:cstheme="majorHAnsi"/>
        </w:rPr>
        <w:t xml:space="preserve"> Azevedo, D. A., Rodrigues</w:t>
      </w:r>
      <w:r w:rsidR="00D43454">
        <w:rPr>
          <w:rFonts w:asciiTheme="majorHAnsi" w:hAnsiTheme="majorHAnsi" w:cstheme="majorHAnsi"/>
        </w:rPr>
        <w:t>,</w:t>
      </w:r>
      <w:r>
        <w:rPr>
          <w:rFonts w:asciiTheme="majorHAnsi" w:hAnsiTheme="majorHAnsi" w:cstheme="majorHAnsi"/>
        </w:rPr>
        <w:t xml:space="preserve"> R.,</w:t>
      </w:r>
      <w:r w:rsidRPr="00DE23FF">
        <w:rPr>
          <w:rFonts w:asciiTheme="majorHAnsi" w:hAnsiTheme="majorHAnsi" w:cstheme="majorHAnsi"/>
        </w:rPr>
        <w:t xml:space="preserve"> Simoneit</w:t>
      </w:r>
      <w:r w:rsidR="00D43454">
        <w:rPr>
          <w:rFonts w:asciiTheme="majorHAnsi" w:hAnsiTheme="majorHAnsi" w:cstheme="majorHAnsi"/>
        </w:rPr>
        <w:t>,</w:t>
      </w:r>
      <w:r w:rsidRPr="00DE23FF">
        <w:rPr>
          <w:rFonts w:asciiTheme="majorHAnsi" w:hAnsiTheme="majorHAnsi" w:cstheme="majorHAnsi"/>
        </w:rPr>
        <w:t xml:space="preserve"> B. R. T. </w:t>
      </w:r>
      <w:r>
        <w:rPr>
          <w:rFonts w:asciiTheme="majorHAnsi" w:hAnsiTheme="majorHAnsi" w:cstheme="majorHAnsi"/>
        </w:rPr>
        <w:t>1989.</w:t>
      </w:r>
      <w:r w:rsidRPr="00DE23FF">
        <w:rPr>
          <w:rFonts w:asciiTheme="majorHAnsi" w:hAnsiTheme="majorHAnsi" w:cstheme="majorHAnsi"/>
        </w:rPr>
        <w:t xml:space="preserve"> </w:t>
      </w:r>
      <w:r>
        <w:rPr>
          <w:rFonts w:asciiTheme="majorHAnsi" w:hAnsiTheme="majorHAnsi" w:cstheme="majorHAnsi"/>
        </w:rPr>
        <w:tab/>
      </w:r>
      <w:r w:rsidRPr="00DE23FF">
        <w:rPr>
          <w:rFonts w:asciiTheme="majorHAnsi" w:hAnsiTheme="majorHAnsi" w:cstheme="majorHAnsi"/>
        </w:rPr>
        <w:t xml:space="preserve">Organic geochemistry of geographically unrelated tasmanites. </w:t>
      </w:r>
      <w:r w:rsidRPr="00DE23FF">
        <w:rPr>
          <w:rFonts w:asciiTheme="majorHAnsi" w:hAnsiTheme="majorHAnsi" w:cstheme="majorHAnsi"/>
          <w:i/>
        </w:rPr>
        <w:t xml:space="preserve">Paper </w:t>
      </w:r>
      <w:r>
        <w:rPr>
          <w:rFonts w:asciiTheme="majorHAnsi" w:hAnsiTheme="majorHAnsi" w:cstheme="majorHAnsi"/>
          <w:i/>
        </w:rPr>
        <w:tab/>
      </w:r>
      <w:r w:rsidRPr="00DE23FF">
        <w:rPr>
          <w:rFonts w:asciiTheme="majorHAnsi" w:hAnsiTheme="majorHAnsi" w:cstheme="majorHAnsi"/>
          <w:i/>
        </w:rPr>
        <w:t xml:space="preserve">presented at the 14th International Meeting on Organic Geochemistry, Paris, </w:t>
      </w:r>
      <w:r>
        <w:rPr>
          <w:rFonts w:asciiTheme="majorHAnsi" w:hAnsiTheme="majorHAnsi" w:cstheme="majorHAnsi"/>
          <w:i/>
        </w:rPr>
        <w:tab/>
      </w:r>
      <w:r w:rsidRPr="00DE23FF">
        <w:rPr>
          <w:rFonts w:asciiTheme="majorHAnsi" w:hAnsiTheme="majorHAnsi" w:cstheme="majorHAnsi"/>
          <w:i/>
        </w:rPr>
        <w:t>France</w:t>
      </w:r>
      <w:r w:rsidRPr="00DE23FF">
        <w:rPr>
          <w:rFonts w:asciiTheme="majorHAnsi" w:hAnsiTheme="majorHAnsi" w:cstheme="majorHAnsi"/>
        </w:rPr>
        <w:t>.</w:t>
      </w:r>
    </w:p>
    <w:p w:rsidR="00C87CE1" w:rsidRPr="00DE23FF" w:rsidRDefault="00C87CE1" w:rsidP="00C87CE1">
      <w:pPr>
        <w:spacing w:before="100" w:beforeAutospacing="1" w:after="100" w:afterAutospacing="1" w:line="240" w:lineRule="auto"/>
        <w:jc w:val="both"/>
        <w:rPr>
          <w:rFonts w:asciiTheme="majorHAnsi" w:hAnsiTheme="majorHAnsi" w:cstheme="majorHAnsi"/>
        </w:rPr>
      </w:pPr>
      <w:r w:rsidRPr="007862DD">
        <w:rPr>
          <w:rFonts w:asciiTheme="majorHAnsi" w:hAnsiTheme="majorHAnsi" w:cstheme="majorHAnsi"/>
        </w:rPr>
        <w:t>Armstroff, A., Wilkes, H., Schwarzbauer, J</w:t>
      </w:r>
      <w:r>
        <w:rPr>
          <w:rFonts w:asciiTheme="majorHAnsi" w:hAnsiTheme="majorHAnsi" w:cstheme="majorHAnsi"/>
        </w:rPr>
        <w:t>., Littke, R., Horsfield, B. 2006</w:t>
      </w:r>
      <w:r w:rsidRPr="007862DD">
        <w:rPr>
          <w:rFonts w:asciiTheme="majorHAnsi" w:hAnsiTheme="majorHAnsi" w:cstheme="majorHAnsi"/>
        </w:rPr>
        <w:t xml:space="preserve">. </w:t>
      </w:r>
      <w:r>
        <w:rPr>
          <w:rFonts w:asciiTheme="majorHAnsi" w:hAnsiTheme="majorHAnsi" w:cstheme="majorHAnsi"/>
        </w:rPr>
        <w:tab/>
      </w:r>
      <w:r w:rsidRPr="007862DD">
        <w:rPr>
          <w:rFonts w:asciiTheme="majorHAnsi" w:hAnsiTheme="majorHAnsi" w:cstheme="majorHAnsi"/>
        </w:rPr>
        <w:t xml:space="preserve">Aromatic hydrocarbon biomarkers in terrestrial organic matter of Devonian to </w:t>
      </w:r>
      <w:r>
        <w:rPr>
          <w:rFonts w:asciiTheme="majorHAnsi" w:hAnsiTheme="majorHAnsi" w:cstheme="majorHAnsi"/>
        </w:rPr>
        <w:tab/>
      </w:r>
      <w:r w:rsidRPr="007862DD">
        <w:rPr>
          <w:rFonts w:asciiTheme="majorHAnsi" w:hAnsiTheme="majorHAnsi" w:cstheme="majorHAnsi"/>
        </w:rPr>
        <w:t>Permian age.</w:t>
      </w:r>
      <w:r>
        <w:rPr>
          <w:rFonts w:asciiTheme="majorHAnsi" w:hAnsiTheme="majorHAnsi" w:cstheme="majorHAnsi"/>
        </w:rPr>
        <w:t xml:space="preserve"> </w:t>
      </w:r>
      <w:r w:rsidRPr="007862DD">
        <w:rPr>
          <w:rFonts w:asciiTheme="majorHAnsi" w:hAnsiTheme="majorHAnsi" w:cstheme="majorHAnsi"/>
          <w:i/>
        </w:rPr>
        <w:t>Palaeogeography,</w:t>
      </w:r>
      <w:r>
        <w:rPr>
          <w:rFonts w:asciiTheme="majorHAnsi" w:hAnsiTheme="majorHAnsi" w:cstheme="majorHAnsi"/>
          <w:i/>
        </w:rPr>
        <w:t xml:space="preserve"> </w:t>
      </w:r>
      <w:r w:rsidRPr="007862DD">
        <w:rPr>
          <w:rFonts w:asciiTheme="majorHAnsi" w:hAnsiTheme="majorHAnsi" w:cstheme="majorHAnsi"/>
          <w:i/>
        </w:rPr>
        <w:t>Palaeoclimatology</w:t>
      </w:r>
      <w:r>
        <w:rPr>
          <w:rFonts w:asciiTheme="majorHAnsi" w:hAnsiTheme="majorHAnsi" w:cstheme="majorHAnsi"/>
          <w:i/>
        </w:rPr>
        <w:t>, Palaeoecology</w:t>
      </w:r>
      <w:r w:rsidRPr="007862DD">
        <w:rPr>
          <w:rFonts w:asciiTheme="majorHAnsi" w:hAnsiTheme="majorHAnsi" w:cstheme="majorHAnsi"/>
          <w:i/>
        </w:rPr>
        <w:t xml:space="preserve"> 240(1-2),</w:t>
      </w:r>
      <w:r w:rsidRPr="007862DD">
        <w:rPr>
          <w:rFonts w:asciiTheme="majorHAnsi" w:hAnsiTheme="majorHAnsi" w:cstheme="majorHAnsi"/>
        </w:rPr>
        <w:t xml:space="preserve"> </w:t>
      </w:r>
      <w:r>
        <w:rPr>
          <w:rFonts w:asciiTheme="majorHAnsi" w:hAnsiTheme="majorHAnsi" w:cstheme="majorHAnsi"/>
        </w:rPr>
        <w:tab/>
      </w:r>
      <w:r w:rsidRPr="007862DD">
        <w:rPr>
          <w:rFonts w:asciiTheme="majorHAnsi" w:hAnsiTheme="majorHAnsi" w:cstheme="majorHAnsi"/>
        </w:rPr>
        <w:t>253-274.</w:t>
      </w:r>
    </w:p>
    <w:p w:rsidR="00C87CE1" w:rsidRPr="00DE23FF"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Arro, E. 1965</w:t>
      </w:r>
      <w:r w:rsidRPr="00DE23FF">
        <w:rPr>
          <w:rFonts w:asciiTheme="majorHAnsi" w:hAnsiTheme="majorHAnsi" w:cstheme="majorHAnsi"/>
        </w:rPr>
        <w:t xml:space="preserve">. Morrow sandstones in the subsurface of the Hough Area, Texas County, </w:t>
      </w:r>
      <w:r>
        <w:rPr>
          <w:rFonts w:asciiTheme="majorHAnsi" w:hAnsiTheme="majorHAnsi" w:cstheme="majorHAnsi"/>
        </w:rPr>
        <w:tab/>
      </w:r>
      <w:r w:rsidRPr="00DE23FF">
        <w:rPr>
          <w:rFonts w:asciiTheme="majorHAnsi" w:hAnsiTheme="majorHAnsi" w:cstheme="majorHAnsi"/>
        </w:rPr>
        <w:t xml:space="preserve">Oklahoma. </w:t>
      </w:r>
      <w:r w:rsidRPr="00DE23FF">
        <w:rPr>
          <w:rFonts w:asciiTheme="majorHAnsi" w:hAnsiTheme="majorHAnsi" w:cstheme="majorHAnsi"/>
          <w:i/>
        </w:rPr>
        <w:t>The Shale Shaker Digest, 16</w:t>
      </w:r>
      <w:r w:rsidRPr="00DE23FF">
        <w:rPr>
          <w:rFonts w:asciiTheme="majorHAnsi" w:hAnsiTheme="majorHAnsi" w:cstheme="majorHAnsi"/>
        </w:rPr>
        <w:t>, 16-30.</w:t>
      </w:r>
    </w:p>
    <w:p w:rsidR="00C87CE1" w:rsidRPr="00DE23FF" w:rsidRDefault="00C87CE1" w:rsidP="00C87CE1">
      <w:pPr>
        <w:spacing w:line="240" w:lineRule="auto"/>
        <w:jc w:val="both"/>
        <w:rPr>
          <w:rFonts w:asciiTheme="majorHAnsi" w:hAnsiTheme="majorHAnsi" w:cstheme="majorHAnsi"/>
        </w:rPr>
      </w:pPr>
      <w:r>
        <w:rPr>
          <w:rFonts w:asciiTheme="majorHAnsi" w:hAnsiTheme="majorHAnsi" w:cstheme="majorHAnsi"/>
        </w:rPr>
        <w:t>Atta-Peters, D. 2014</w:t>
      </w:r>
      <w:r w:rsidRPr="00DE23FF">
        <w:rPr>
          <w:rFonts w:asciiTheme="majorHAnsi" w:hAnsiTheme="majorHAnsi" w:cstheme="majorHAnsi"/>
        </w:rPr>
        <w:t xml:space="preserve">. Source Rock Evaluation and Hydrocarbon Potential in the Tano </w:t>
      </w:r>
      <w:r>
        <w:rPr>
          <w:rFonts w:asciiTheme="majorHAnsi" w:hAnsiTheme="majorHAnsi" w:cstheme="majorHAnsi"/>
        </w:rPr>
        <w:tab/>
      </w:r>
      <w:r w:rsidRPr="00DE23FF">
        <w:rPr>
          <w:rFonts w:asciiTheme="majorHAnsi" w:hAnsiTheme="majorHAnsi" w:cstheme="majorHAnsi"/>
        </w:rPr>
        <w:t xml:space="preserve">Basin, South Western Ghana, West Africa. </w:t>
      </w:r>
      <w:r w:rsidRPr="00DE23FF">
        <w:rPr>
          <w:rFonts w:asciiTheme="majorHAnsi" w:hAnsiTheme="majorHAnsi" w:cstheme="majorHAnsi"/>
          <w:i/>
        </w:rPr>
        <w:t xml:space="preserve">International Journal of Oil, Gas </w:t>
      </w:r>
      <w:r>
        <w:rPr>
          <w:rFonts w:asciiTheme="majorHAnsi" w:hAnsiTheme="majorHAnsi" w:cstheme="majorHAnsi"/>
          <w:i/>
        </w:rPr>
        <w:tab/>
      </w:r>
      <w:r w:rsidRPr="00DE23FF">
        <w:rPr>
          <w:rFonts w:asciiTheme="majorHAnsi" w:hAnsiTheme="majorHAnsi" w:cstheme="majorHAnsi"/>
          <w:i/>
        </w:rPr>
        <w:t>and Coal Engineering, 2(5)</w:t>
      </w:r>
      <w:r w:rsidRPr="00DE23FF">
        <w:rPr>
          <w:rFonts w:asciiTheme="majorHAnsi" w:hAnsiTheme="majorHAnsi" w:cstheme="majorHAnsi"/>
        </w:rPr>
        <w:t>, 66.</w:t>
      </w:r>
    </w:p>
    <w:p w:rsidR="00C87CE1" w:rsidRPr="00DE23FF" w:rsidRDefault="00C87CE1" w:rsidP="00C87CE1">
      <w:pPr>
        <w:spacing w:line="240" w:lineRule="auto"/>
        <w:jc w:val="both"/>
        <w:rPr>
          <w:rFonts w:asciiTheme="majorHAnsi" w:hAnsiTheme="majorHAnsi" w:cstheme="majorHAnsi"/>
        </w:rPr>
      </w:pPr>
    </w:p>
    <w:p w:rsidR="00C87CE1" w:rsidRPr="00DE23FF" w:rsidRDefault="00C87CE1" w:rsidP="00C87CE1">
      <w:pPr>
        <w:spacing w:line="240" w:lineRule="auto"/>
        <w:jc w:val="both"/>
        <w:rPr>
          <w:rFonts w:asciiTheme="majorHAnsi" w:hAnsiTheme="majorHAnsi" w:cstheme="majorHAnsi"/>
        </w:rPr>
      </w:pPr>
      <w:r w:rsidRPr="00DE23FF">
        <w:rPr>
          <w:rFonts w:asciiTheme="majorHAnsi" w:hAnsiTheme="majorHAnsi" w:cstheme="majorHAnsi"/>
        </w:rPr>
        <w:t>Azevedo, D., Neto, F.</w:t>
      </w:r>
      <w:r>
        <w:rPr>
          <w:rFonts w:asciiTheme="majorHAnsi" w:hAnsiTheme="majorHAnsi" w:cstheme="majorHAnsi"/>
        </w:rPr>
        <w:t xml:space="preserve"> A., Simoneit, B., Pinto, A. 1992</w:t>
      </w:r>
      <w:r w:rsidRPr="00DE23FF">
        <w:rPr>
          <w:rFonts w:asciiTheme="majorHAnsi" w:hAnsiTheme="majorHAnsi" w:cstheme="majorHAnsi"/>
        </w:rPr>
        <w:t xml:space="preserve">. Novel series of tricyclic </w:t>
      </w:r>
      <w:r>
        <w:rPr>
          <w:rFonts w:asciiTheme="majorHAnsi" w:hAnsiTheme="majorHAnsi" w:cstheme="majorHAnsi"/>
        </w:rPr>
        <w:tab/>
      </w:r>
      <w:r w:rsidRPr="00DE23FF">
        <w:rPr>
          <w:rFonts w:asciiTheme="majorHAnsi" w:hAnsiTheme="majorHAnsi" w:cstheme="majorHAnsi"/>
        </w:rPr>
        <w:t xml:space="preserve">aromatic terpanes characterized in Tasmanian tasmanite. </w:t>
      </w:r>
      <w:r w:rsidRPr="00DE23FF">
        <w:rPr>
          <w:rFonts w:asciiTheme="majorHAnsi" w:hAnsiTheme="majorHAnsi" w:cstheme="majorHAnsi"/>
          <w:i/>
        </w:rPr>
        <w:t xml:space="preserve">Organic Geochemistry, </w:t>
      </w:r>
      <w:r>
        <w:rPr>
          <w:rFonts w:asciiTheme="majorHAnsi" w:hAnsiTheme="majorHAnsi" w:cstheme="majorHAnsi"/>
          <w:i/>
        </w:rPr>
        <w:tab/>
      </w:r>
      <w:r w:rsidRPr="00DE23FF">
        <w:rPr>
          <w:rFonts w:asciiTheme="majorHAnsi" w:hAnsiTheme="majorHAnsi" w:cstheme="majorHAnsi"/>
          <w:i/>
        </w:rPr>
        <w:t>18(1)</w:t>
      </w:r>
      <w:r w:rsidRPr="00DE23FF">
        <w:rPr>
          <w:rFonts w:asciiTheme="majorHAnsi" w:hAnsiTheme="majorHAnsi" w:cstheme="majorHAnsi"/>
        </w:rPr>
        <w:t>, 9-16.</w:t>
      </w:r>
    </w:p>
    <w:p w:rsidR="00C87CE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Pr>
          <w:rFonts w:asciiTheme="majorHAnsi" w:hAnsiTheme="majorHAnsi" w:cstheme="majorHAnsi"/>
          <w:bCs/>
          <w:shd w:val="clear" w:color="auto" w:fill="FFFFFF"/>
        </w:rPr>
        <w:t>Ball, M. M., Henry, M. E.,</w:t>
      </w:r>
      <w:r w:rsidRPr="00DE23FF">
        <w:rPr>
          <w:rFonts w:asciiTheme="majorHAnsi" w:hAnsiTheme="majorHAnsi" w:cstheme="majorHAnsi"/>
          <w:bCs/>
          <w:shd w:val="clear" w:color="auto" w:fill="FFFFFF"/>
        </w:rPr>
        <w:t xml:space="preserve"> Frezon</w:t>
      </w:r>
      <w:r>
        <w:rPr>
          <w:rFonts w:asciiTheme="majorHAnsi" w:hAnsiTheme="majorHAnsi" w:cstheme="majorHAnsi"/>
          <w:bCs/>
          <w:shd w:val="clear" w:color="auto" w:fill="FFFFFF"/>
        </w:rPr>
        <w:t>, S. E. 1991</w:t>
      </w:r>
      <w:r w:rsidRPr="00DE23FF">
        <w:rPr>
          <w:rFonts w:asciiTheme="majorHAnsi" w:hAnsiTheme="majorHAnsi" w:cstheme="majorHAnsi"/>
          <w:bCs/>
          <w:shd w:val="clear" w:color="auto" w:fill="FFFFFF"/>
        </w:rPr>
        <w:t>.</w:t>
      </w:r>
      <w:r w:rsidRPr="00DE23FF">
        <w:rPr>
          <w:rStyle w:val="apple-converted-space"/>
          <w:rFonts w:asciiTheme="majorHAnsi" w:hAnsiTheme="majorHAnsi" w:cstheme="majorHAnsi"/>
          <w:bCs/>
          <w:shd w:val="clear" w:color="auto" w:fill="FFFFFF"/>
        </w:rPr>
        <w:t> </w:t>
      </w:r>
      <w:r w:rsidRPr="00DE23FF">
        <w:rPr>
          <w:rFonts w:asciiTheme="majorHAnsi" w:hAnsiTheme="majorHAnsi" w:cstheme="majorHAnsi"/>
          <w:bCs/>
          <w:i/>
          <w:iCs/>
          <w:shd w:val="clear" w:color="auto" w:fill="FFFFFF"/>
        </w:rPr>
        <w:t xml:space="preserve">Petroleum Geology of the Anadarko </w:t>
      </w:r>
      <w:r>
        <w:rPr>
          <w:rFonts w:asciiTheme="majorHAnsi" w:hAnsiTheme="majorHAnsi" w:cstheme="majorHAnsi"/>
          <w:bCs/>
          <w:i/>
          <w:iCs/>
          <w:shd w:val="clear" w:color="auto" w:fill="FFFFFF"/>
        </w:rPr>
        <w:tab/>
      </w:r>
      <w:r w:rsidRPr="00DE23FF">
        <w:rPr>
          <w:rFonts w:asciiTheme="majorHAnsi" w:hAnsiTheme="majorHAnsi" w:cstheme="majorHAnsi"/>
          <w:bCs/>
          <w:i/>
          <w:iCs/>
          <w:shd w:val="clear" w:color="auto" w:fill="FFFFFF"/>
        </w:rPr>
        <w:t>Basin Region, Province (115), Kansas, Oklahoma, and Texas</w:t>
      </w:r>
      <w:r w:rsidRPr="00DE23FF">
        <w:rPr>
          <w:rStyle w:val="apple-converted-space"/>
          <w:rFonts w:asciiTheme="majorHAnsi" w:hAnsiTheme="majorHAnsi" w:cstheme="majorHAnsi"/>
          <w:bCs/>
          <w:shd w:val="clear" w:color="auto" w:fill="FFFFFF"/>
        </w:rPr>
        <w:t> </w:t>
      </w:r>
      <w:r w:rsidRPr="00DE23FF">
        <w:rPr>
          <w:rFonts w:asciiTheme="majorHAnsi" w:hAnsiTheme="majorHAnsi" w:cstheme="majorHAnsi"/>
          <w:bCs/>
          <w:shd w:val="clear" w:color="auto" w:fill="FFFFFF"/>
        </w:rPr>
        <w:t xml:space="preserve">(pp. 1-38, Rep. </w:t>
      </w:r>
      <w:r>
        <w:rPr>
          <w:rFonts w:asciiTheme="majorHAnsi" w:hAnsiTheme="majorHAnsi" w:cstheme="majorHAnsi"/>
          <w:bCs/>
          <w:shd w:val="clear" w:color="auto" w:fill="FFFFFF"/>
        </w:rPr>
        <w:tab/>
      </w:r>
      <w:r w:rsidRPr="00DE23FF">
        <w:rPr>
          <w:rFonts w:asciiTheme="majorHAnsi" w:hAnsiTheme="majorHAnsi" w:cstheme="majorHAnsi"/>
          <w:bCs/>
          <w:shd w:val="clear" w:color="auto" w:fill="FFFFFF"/>
        </w:rPr>
        <w:t xml:space="preserve">No. 88-450W). </w:t>
      </w:r>
      <w:r w:rsidRPr="000F797B">
        <w:rPr>
          <w:rFonts w:asciiTheme="majorHAnsi" w:hAnsiTheme="majorHAnsi" w:cstheme="majorHAnsi"/>
          <w:bCs/>
          <w:i/>
          <w:shd w:val="clear" w:color="auto" w:fill="FFFFFF"/>
        </w:rPr>
        <w:t>Denver, CO:</w:t>
      </w:r>
      <w:r w:rsidRPr="00DE23FF">
        <w:rPr>
          <w:rFonts w:asciiTheme="majorHAnsi" w:hAnsiTheme="majorHAnsi" w:cstheme="majorHAnsi"/>
          <w:bCs/>
          <w:shd w:val="clear" w:color="auto" w:fill="FFFFFF"/>
        </w:rPr>
        <w:t xml:space="preserve"> </w:t>
      </w:r>
      <w:r w:rsidRPr="000F797B">
        <w:rPr>
          <w:rFonts w:asciiTheme="majorHAnsi" w:hAnsiTheme="majorHAnsi" w:cstheme="majorHAnsi"/>
          <w:bCs/>
          <w:i/>
          <w:shd w:val="clear" w:color="auto" w:fill="FFFFFF"/>
        </w:rPr>
        <w:t>U.S. Geological Survey</w:t>
      </w:r>
      <w:r w:rsidRPr="00DE23FF">
        <w:rPr>
          <w:rFonts w:asciiTheme="majorHAnsi" w:hAnsiTheme="majorHAnsi" w:cstheme="majorHAnsi"/>
          <w:bCs/>
          <w:shd w:val="clear" w:color="auto" w:fill="FFFFFF"/>
        </w:rPr>
        <w:t>.</w:t>
      </w:r>
    </w:p>
    <w:p w:rsidR="00173D26" w:rsidRPr="00DE23FF" w:rsidRDefault="00173D26" w:rsidP="00173D26">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Barby, B. G. 1956</w:t>
      </w:r>
      <w:r w:rsidR="007B0878">
        <w:rPr>
          <w:rFonts w:asciiTheme="majorHAnsi" w:hAnsiTheme="majorHAnsi" w:cstheme="majorHAnsi"/>
        </w:rPr>
        <w:t>. Subsurface Geology o</w:t>
      </w:r>
      <w:r w:rsidRPr="00DE23FF">
        <w:rPr>
          <w:rFonts w:asciiTheme="majorHAnsi" w:hAnsiTheme="majorHAnsi" w:cstheme="majorHAnsi"/>
        </w:rPr>
        <w:t xml:space="preserve">f the Pennsylvanian and Upper Mississippian </w:t>
      </w:r>
      <w:r>
        <w:rPr>
          <w:rFonts w:asciiTheme="majorHAnsi" w:hAnsiTheme="majorHAnsi" w:cstheme="majorHAnsi"/>
        </w:rPr>
        <w:tab/>
      </w:r>
      <w:r w:rsidRPr="00DE23FF">
        <w:rPr>
          <w:rFonts w:asciiTheme="majorHAnsi" w:hAnsiTheme="majorHAnsi" w:cstheme="majorHAnsi"/>
        </w:rPr>
        <w:t xml:space="preserve">of Beaver County, Oklahoma. </w:t>
      </w:r>
      <w:r w:rsidRPr="00DE23FF">
        <w:rPr>
          <w:rFonts w:asciiTheme="majorHAnsi" w:hAnsiTheme="majorHAnsi" w:cstheme="majorHAnsi"/>
          <w:i/>
        </w:rPr>
        <w:t>The Shale Shaker Digest</w:t>
      </w:r>
      <w:r w:rsidRPr="00DE23FF">
        <w:rPr>
          <w:rFonts w:asciiTheme="majorHAnsi" w:hAnsiTheme="majorHAnsi" w:cstheme="majorHAnsi"/>
        </w:rPr>
        <w:t xml:space="preserve">, </w:t>
      </w:r>
      <w:r w:rsidRPr="00DE23FF">
        <w:rPr>
          <w:rFonts w:asciiTheme="majorHAnsi" w:hAnsiTheme="majorHAnsi" w:cstheme="majorHAnsi"/>
          <w:i/>
        </w:rPr>
        <w:t>6</w:t>
      </w:r>
      <w:r w:rsidRPr="00DE23FF">
        <w:rPr>
          <w:rFonts w:asciiTheme="majorHAnsi" w:hAnsiTheme="majorHAnsi" w:cstheme="majorHAnsi"/>
        </w:rPr>
        <w:t>, 9-32.</w:t>
      </w:r>
    </w:p>
    <w:p w:rsidR="00C87CE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sidRPr="007838C3">
        <w:rPr>
          <w:rFonts w:asciiTheme="majorHAnsi" w:hAnsiTheme="majorHAnsi" w:cstheme="majorHAnsi"/>
          <w:bCs/>
          <w:shd w:val="clear" w:color="auto" w:fill="FFFFFF"/>
        </w:rPr>
        <w:t>Barnes, M. A.,</w:t>
      </w:r>
      <w:r>
        <w:rPr>
          <w:rFonts w:asciiTheme="majorHAnsi" w:hAnsiTheme="majorHAnsi" w:cstheme="majorHAnsi"/>
          <w:bCs/>
          <w:shd w:val="clear" w:color="auto" w:fill="FFFFFF"/>
        </w:rPr>
        <w:t xml:space="preserve"> Barnes, W. C. 1983</w:t>
      </w:r>
      <w:r w:rsidRPr="007838C3">
        <w:rPr>
          <w:rFonts w:asciiTheme="majorHAnsi" w:hAnsiTheme="majorHAnsi" w:cstheme="majorHAnsi"/>
          <w:bCs/>
          <w:shd w:val="clear" w:color="auto" w:fill="FFFFFF"/>
        </w:rPr>
        <w:t>. Oxic and anoxic diagenesis of dit</w:t>
      </w:r>
      <w:r>
        <w:rPr>
          <w:rFonts w:asciiTheme="majorHAnsi" w:hAnsiTheme="majorHAnsi" w:cstheme="majorHAnsi"/>
          <w:bCs/>
          <w:shd w:val="clear" w:color="auto" w:fill="FFFFFF"/>
        </w:rPr>
        <w:t>erpenes in</w:t>
      </w:r>
      <w:r>
        <w:rPr>
          <w:rFonts w:asciiTheme="majorHAnsi" w:hAnsiTheme="majorHAnsi" w:cstheme="majorHAnsi"/>
          <w:bCs/>
          <w:shd w:val="clear" w:color="auto" w:fill="FFFFFF"/>
        </w:rPr>
        <w:tab/>
        <w:t>lacustrine sediments</w:t>
      </w:r>
      <w:r w:rsidRPr="007838C3">
        <w:rPr>
          <w:rFonts w:asciiTheme="majorHAnsi" w:hAnsiTheme="majorHAnsi" w:cstheme="majorHAnsi"/>
          <w:bCs/>
          <w:shd w:val="clear" w:color="auto" w:fill="FFFFFF"/>
        </w:rPr>
        <w:t xml:space="preserve">. </w:t>
      </w:r>
      <w:r w:rsidRPr="000F797B">
        <w:rPr>
          <w:rFonts w:asciiTheme="majorHAnsi" w:hAnsiTheme="majorHAnsi" w:cstheme="majorHAnsi"/>
          <w:bCs/>
          <w:i/>
          <w:shd w:val="clear" w:color="auto" w:fill="FFFFFF"/>
        </w:rPr>
        <w:t>Advances in Organic Geochemistry 1981</w:t>
      </w:r>
      <w:r w:rsidRPr="007838C3">
        <w:rPr>
          <w:rFonts w:asciiTheme="majorHAnsi" w:hAnsiTheme="majorHAnsi" w:cstheme="majorHAnsi"/>
          <w:bCs/>
          <w:shd w:val="clear" w:color="auto" w:fill="FFFFFF"/>
        </w:rPr>
        <w:t>, 289-298.</w:t>
      </w:r>
    </w:p>
    <w:p w:rsidR="00D43454" w:rsidRDefault="00D43454" w:rsidP="00D43454">
      <w:pPr>
        <w:spacing w:before="100" w:beforeAutospacing="1" w:after="100" w:afterAutospacing="1" w:line="240" w:lineRule="auto"/>
        <w:jc w:val="both"/>
        <w:rPr>
          <w:rFonts w:asciiTheme="majorHAnsi" w:hAnsiTheme="majorHAnsi" w:cstheme="majorHAnsi"/>
          <w:bCs/>
          <w:shd w:val="clear" w:color="auto" w:fill="FFFFFF"/>
        </w:rPr>
      </w:pPr>
      <w:r>
        <w:rPr>
          <w:rFonts w:asciiTheme="majorHAnsi" w:hAnsiTheme="majorHAnsi" w:cstheme="majorHAnsi"/>
          <w:bCs/>
          <w:shd w:val="clear" w:color="auto" w:fill="FFFFFF"/>
        </w:rPr>
        <w:t>Barrett, L. W., II. 1964</w:t>
      </w:r>
      <w:r w:rsidRPr="00DE23FF">
        <w:rPr>
          <w:rFonts w:asciiTheme="majorHAnsi" w:hAnsiTheme="majorHAnsi" w:cstheme="majorHAnsi"/>
          <w:bCs/>
          <w:shd w:val="clear" w:color="auto" w:fill="FFFFFF"/>
        </w:rPr>
        <w:t xml:space="preserve">. Subsurface Study of Morrowan Rocks in Central and </w:t>
      </w:r>
      <w:r>
        <w:rPr>
          <w:rFonts w:asciiTheme="majorHAnsi" w:hAnsiTheme="majorHAnsi" w:cstheme="majorHAnsi"/>
          <w:bCs/>
          <w:shd w:val="clear" w:color="auto" w:fill="FFFFFF"/>
        </w:rPr>
        <w:tab/>
      </w:r>
      <w:r w:rsidRPr="00DE23FF">
        <w:rPr>
          <w:rFonts w:asciiTheme="majorHAnsi" w:hAnsiTheme="majorHAnsi" w:cstheme="majorHAnsi"/>
          <w:bCs/>
          <w:shd w:val="clear" w:color="auto" w:fill="FFFFFF"/>
        </w:rPr>
        <w:t>Southern Beaver County, Oklahoma.</w:t>
      </w:r>
      <w:r w:rsidRPr="00DE23FF">
        <w:rPr>
          <w:rStyle w:val="apple-converted-space"/>
          <w:rFonts w:asciiTheme="majorHAnsi" w:hAnsiTheme="majorHAnsi" w:cstheme="majorHAnsi"/>
          <w:bCs/>
          <w:shd w:val="clear" w:color="auto" w:fill="FFFFFF"/>
        </w:rPr>
        <w:t> </w:t>
      </w:r>
      <w:r w:rsidRPr="00DE23FF">
        <w:rPr>
          <w:rFonts w:asciiTheme="majorHAnsi" w:hAnsiTheme="majorHAnsi" w:cstheme="majorHAnsi"/>
          <w:bCs/>
          <w:i/>
          <w:iCs/>
          <w:shd w:val="clear" w:color="auto" w:fill="FFFFFF"/>
        </w:rPr>
        <w:t>The Shale Shaker Digest,12</w:t>
      </w:r>
      <w:r w:rsidRPr="00DE23FF">
        <w:rPr>
          <w:rFonts w:asciiTheme="majorHAnsi" w:hAnsiTheme="majorHAnsi" w:cstheme="majorHAnsi"/>
          <w:bCs/>
          <w:shd w:val="clear" w:color="auto" w:fill="FFFFFF"/>
        </w:rPr>
        <w:t>, 425-443.</w:t>
      </w:r>
    </w:p>
    <w:p w:rsidR="00C87CE1" w:rsidRPr="00DE23FF" w:rsidRDefault="00C87CE1" w:rsidP="00C87CE1">
      <w:pPr>
        <w:spacing w:before="100" w:beforeAutospacing="1" w:after="100" w:afterAutospacing="1" w:line="240" w:lineRule="auto"/>
        <w:jc w:val="both"/>
        <w:rPr>
          <w:rFonts w:asciiTheme="majorHAnsi" w:hAnsiTheme="majorHAnsi" w:cstheme="majorHAnsi"/>
        </w:rPr>
      </w:pPr>
      <w:r>
        <w:t>Baskin, D.K. 1979. A method of preparing phytoclasts for vitrinite reflectance analysis.</w:t>
      </w:r>
      <w:r>
        <w:tab/>
        <w:t xml:space="preserve"> </w:t>
      </w:r>
      <w:r w:rsidRPr="00D54CA6">
        <w:rPr>
          <w:i/>
        </w:rPr>
        <w:t>Journal of Sedimentary Petrology</w:t>
      </w:r>
      <w:r>
        <w:t xml:space="preserve"> </w:t>
      </w:r>
      <w:r w:rsidRPr="00D54CA6">
        <w:rPr>
          <w:i/>
        </w:rPr>
        <w:t>49</w:t>
      </w:r>
      <w:r>
        <w:t>, 633–635.</w:t>
      </w:r>
    </w:p>
    <w:p w:rsidR="00C87CE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Pr>
          <w:rFonts w:asciiTheme="majorHAnsi" w:hAnsiTheme="majorHAnsi" w:cstheme="majorHAnsi"/>
          <w:bCs/>
          <w:shd w:val="clear" w:color="auto" w:fill="FFFFFF"/>
        </w:rPr>
        <w:t xml:space="preserve">Benton, J. W. </w:t>
      </w:r>
      <w:r w:rsidRPr="00DE23FF">
        <w:rPr>
          <w:rFonts w:asciiTheme="majorHAnsi" w:hAnsiTheme="majorHAnsi" w:cstheme="majorHAnsi"/>
          <w:bCs/>
          <w:shd w:val="clear" w:color="auto" w:fill="FFFFFF"/>
        </w:rPr>
        <w:t>197</w:t>
      </w:r>
      <w:r>
        <w:rPr>
          <w:rFonts w:asciiTheme="majorHAnsi" w:hAnsiTheme="majorHAnsi" w:cstheme="majorHAnsi"/>
          <w:bCs/>
          <w:shd w:val="clear" w:color="auto" w:fill="FFFFFF"/>
        </w:rPr>
        <w:t>3</w:t>
      </w:r>
      <w:r w:rsidRPr="00DE23FF">
        <w:rPr>
          <w:rFonts w:asciiTheme="majorHAnsi" w:hAnsiTheme="majorHAnsi" w:cstheme="majorHAnsi"/>
          <w:bCs/>
          <w:shd w:val="clear" w:color="auto" w:fill="FFFFFF"/>
        </w:rPr>
        <w:t xml:space="preserve">. Subsurface Stratigraphic Analysis Morrow (Pennsylvanian), </w:t>
      </w:r>
      <w:r>
        <w:rPr>
          <w:rFonts w:asciiTheme="majorHAnsi" w:hAnsiTheme="majorHAnsi" w:cstheme="majorHAnsi"/>
          <w:bCs/>
          <w:shd w:val="clear" w:color="auto" w:fill="FFFFFF"/>
        </w:rPr>
        <w:tab/>
      </w:r>
      <w:r w:rsidRPr="00DE23FF">
        <w:rPr>
          <w:rFonts w:asciiTheme="majorHAnsi" w:hAnsiTheme="majorHAnsi" w:cstheme="majorHAnsi"/>
          <w:bCs/>
          <w:shd w:val="clear" w:color="auto" w:fill="FFFFFF"/>
        </w:rPr>
        <w:t xml:space="preserve">North </w:t>
      </w:r>
      <w:r>
        <w:rPr>
          <w:rFonts w:asciiTheme="majorHAnsi" w:hAnsiTheme="majorHAnsi" w:cstheme="majorHAnsi"/>
          <w:bCs/>
          <w:shd w:val="clear" w:color="auto" w:fill="FFFFFF"/>
        </w:rPr>
        <w:tab/>
      </w:r>
      <w:r w:rsidRPr="00DE23FF">
        <w:rPr>
          <w:rFonts w:asciiTheme="majorHAnsi" w:hAnsiTheme="majorHAnsi" w:cstheme="majorHAnsi"/>
          <w:bCs/>
          <w:shd w:val="clear" w:color="auto" w:fill="FFFFFF"/>
        </w:rPr>
        <w:t>Central Texas County, Oklahoma.</w:t>
      </w:r>
      <w:r w:rsidRPr="00DE23FF">
        <w:rPr>
          <w:rStyle w:val="apple-converted-space"/>
          <w:rFonts w:asciiTheme="majorHAnsi" w:hAnsiTheme="majorHAnsi" w:cstheme="majorHAnsi"/>
          <w:bCs/>
          <w:shd w:val="clear" w:color="auto" w:fill="FFFFFF"/>
        </w:rPr>
        <w:t> </w:t>
      </w:r>
      <w:r w:rsidRPr="00DE23FF">
        <w:rPr>
          <w:rFonts w:asciiTheme="majorHAnsi" w:hAnsiTheme="majorHAnsi" w:cstheme="majorHAnsi"/>
          <w:bCs/>
          <w:i/>
          <w:iCs/>
          <w:shd w:val="clear" w:color="auto" w:fill="FFFFFF"/>
        </w:rPr>
        <w:t>The Shale Shaker Digest,</w:t>
      </w:r>
      <w:r>
        <w:rPr>
          <w:rFonts w:asciiTheme="majorHAnsi" w:hAnsiTheme="majorHAnsi" w:cstheme="majorHAnsi"/>
          <w:bCs/>
          <w:i/>
          <w:iCs/>
          <w:shd w:val="clear" w:color="auto" w:fill="FFFFFF"/>
        </w:rPr>
        <w:t xml:space="preserve"> </w:t>
      </w:r>
      <w:r w:rsidRPr="00DE23FF">
        <w:rPr>
          <w:rFonts w:asciiTheme="majorHAnsi" w:hAnsiTheme="majorHAnsi" w:cstheme="majorHAnsi"/>
          <w:bCs/>
          <w:i/>
          <w:iCs/>
          <w:shd w:val="clear" w:color="auto" w:fill="FFFFFF"/>
        </w:rPr>
        <w:t>21</w:t>
      </w:r>
      <w:r w:rsidRPr="00DE23FF">
        <w:rPr>
          <w:rFonts w:asciiTheme="majorHAnsi" w:hAnsiTheme="majorHAnsi" w:cstheme="majorHAnsi"/>
          <w:bCs/>
          <w:shd w:val="clear" w:color="auto" w:fill="FFFFFF"/>
        </w:rPr>
        <w:t>.</w:t>
      </w:r>
    </w:p>
    <w:p w:rsidR="00C87CE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Blanc, P., Connan, J. 1992</w:t>
      </w:r>
      <w:r w:rsidRPr="00E05B3F">
        <w:rPr>
          <w:rFonts w:asciiTheme="majorHAnsi" w:hAnsiTheme="majorHAnsi" w:cstheme="majorHAnsi"/>
        </w:rPr>
        <w:t>. Origin and occurrence of 25-norhopanes: a statistical</w:t>
      </w:r>
      <w:r>
        <w:rPr>
          <w:rFonts w:asciiTheme="majorHAnsi" w:hAnsiTheme="majorHAnsi" w:cstheme="majorHAnsi"/>
        </w:rPr>
        <w:tab/>
      </w:r>
      <w:r w:rsidRPr="00E05B3F">
        <w:rPr>
          <w:rFonts w:asciiTheme="majorHAnsi" w:hAnsiTheme="majorHAnsi" w:cstheme="majorHAnsi"/>
        </w:rPr>
        <w:t>study. </w:t>
      </w:r>
      <w:r w:rsidRPr="00E05B3F">
        <w:rPr>
          <w:rFonts w:asciiTheme="majorHAnsi" w:hAnsiTheme="majorHAnsi" w:cstheme="majorHAnsi"/>
          <w:i/>
          <w:iCs/>
        </w:rPr>
        <w:t>Organic Geochemistry,</w:t>
      </w:r>
      <w:r w:rsidRPr="00E05B3F">
        <w:rPr>
          <w:rFonts w:asciiTheme="majorHAnsi" w:hAnsiTheme="majorHAnsi" w:cstheme="majorHAnsi"/>
        </w:rPr>
        <w:t> </w:t>
      </w:r>
      <w:r w:rsidRPr="00E05B3F">
        <w:rPr>
          <w:rFonts w:asciiTheme="majorHAnsi" w:hAnsiTheme="majorHAnsi" w:cstheme="majorHAnsi"/>
          <w:i/>
          <w:iCs/>
        </w:rPr>
        <w:t>18</w:t>
      </w:r>
      <w:r w:rsidR="00173D26">
        <w:rPr>
          <w:rFonts w:asciiTheme="majorHAnsi" w:hAnsiTheme="majorHAnsi" w:cstheme="majorHAnsi"/>
        </w:rPr>
        <w:t>(6), 813-828.</w:t>
      </w:r>
    </w:p>
    <w:p w:rsidR="00173D26" w:rsidRPr="009264F1" w:rsidRDefault="00173D26" w:rsidP="00173D26">
      <w:pPr>
        <w:spacing w:before="100" w:beforeAutospacing="1" w:after="100" w:afterAutospacing="1" w:line="240" w:lineRule="auto"/>
        <w:jc w:val="both"/>
        <w:rPr>
          <w:rFonts w:asciiTheme="majorHAnsi" w:hAnsiTheme="majorHAnsi" w:cstheme="majorHAnsi"/>
          <w:bCs/>
          <w:shd w:val="clear" w:color="auto" w:fill="FFFFFF"/>
        </w:rPr>
      </w:pPr>
      <w:r>
        <w:rPr>
          <w:rFonts w:asciiTheme="majorHAnsi" w:hAnsiTheme="majorHAnsi" w:cstheme="majorHAnsi"/>
          <w:bCs/>
          <w:shd w:val="clear" w:color="auto" w:fill="FFFFFF"/>
        </w:rPr>
        <w:t>Bourbonniere, R. A.,</w:t>
      </w:r>
      <w:r w:rsidRPr="009264F1">
        <w:rPr>
          <w:rFonts w:asciiTheme="majorHAnsi" w:hAnsiTheme="majorHAnsi" w:cstheme="majorHAnsi"/>
          <w:bCs/>
          <w:shd w:val="clear" w:color="auto" w:fill="FFFFFF"/>
        </w:rPr>
        <w:t xml:space="preserve"> Meyers, P. A. 1996. Sedimentary geolipid records of historical </w:t>
      </w:r>
      <w:r w:rsidRPr="009264F1">
        <w:rPr>
          <w:rFonts w:asciiTheme="majorHAnsi" w:hAnsiTheme="majorHAnsi" w:cstheme="majorHAnsi"/>
          <w:bCs/>
          <w:shd w:val="clear" w:color="auto" w:fill="FFFFFF"/>
        </w:rPr>
        <w:tab/>
        <w:t xml:space="preserve">changes in the watersheds and productivities of Lakes Ontario and Erie. </w:t>
      </w:r>
      <w:r w:rsidRPr="009264F1">
        <w:rPr>
          <w:rFonts w:asciiTheme="majorHAnsi" w:hAnsiTheme="majorHAnsi" w:cstheme="majorHAnsi"/>
          <w:bCs/>
          <w:shd w:val="clear" w:color="auto" w:fill="FFFFFF"/>
        </w:rPr>
        <w:tab/>
      </w:r>
      <w:r w:rsidRPr="000F797B">
        <w:rPr>
          <w:rFonts w:asciiTheme="majorHAnsi" w:hAnsiTheme="majorHAnsi" w:cstheme="majorHAnsi"/>
          <w:bCs/>
          <w:i/>
          <w:shd w:val="clear" w:color="auto" w:fill="FFFFFF"/>
        </w:rPr>
        <w:t>Limnology and Oceanography, 41(2),</w:t>
      </w:r>
      <w:r>
        <w:rPr>
          <w:rFonts w:asciiTheme="majorHAnsi" w:hAnsiTheme="majorHAnsi" w:cstheme="majorHAnsi"/>
          <w:bCs/>
          <w:shd w:val="clear" w:color="auto" w:fill="FFFFFF"/>
        </w:rPr>
        <w:t xml:space="preserve"> 352-359.</w:t>
      </w:r>
    </w:p>
    <w:p w:rsidR="00C87CE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sidRPr="00DE23FF">
        <w:rPr>
          <w:rFonts w:asciiTheme="majorHAnsi" w:hAnsiTheme="majorHAnsi" w:cstheme="majorHAnsi"/>
          <w:bCs/>
          <w:shd w:val="clear" w:color="auto" w:fill="FFFFFF"/>
        </w:rPr>
        <w:lastRenderedPageBreak/>
        <w:t xml:space="preserve">Bowen, D. W., Weimer, P. </w:t>
      </w:r>
      <w:r>
        <w:rPr>
          <w:rFonts w:asciiTheme="majorHAnsi" w:hAnsiTheme="majorHAnsi" w:cstheme="majorHAnsi"/>
          <w:bCs/>
          <w:shd w:val="clear" w:color="auto" w:fill="FFFFFF"/>
        </w:rPr>
        <w:t>2003</w:t>
      </w:r>
      <w:r w:rsidRPr="00DE23FF">
        <w:rPr>
          <w:rFonts w:asciiTheme="majorHAnsi" w:hAnsiTheme="majorHAnsi" w:cstheme="majorHAnsi"/>
          <w:bCs/>
          <w:shd w:val="clear" w:color="auto" w:fill="FFFFFF"/>
        </w:rPr>
        <w:t xml:space="preserve">. Regional sequence stratigraphic setting and </w:t>
      </w:r>
      <w:r>
        <w:rPr>
          <w:rFonts w:asciiTheme="majorHAnsi" w:hAnsiTheme="majorHAnsi" w:cstheme="majorHAnsi"/>
          <w:bCs/>
          <w:shd w:val="clear" w:color="auto" w:fill="FFFFFF"/>
        </w:rPr>
        <w:tab/>
      </w:r>
      <w:r w:rsidRPr="00DE23FF">
        <w:rPr>
          <w:rFonts w:asciiTheme="majorHAnsi" w:hAnsiTheme="majorHAnsi" w:cstheme="majorHAnsi"/>
          <w:bCs/>
          <w:shd w:val="clear" w:color="auto" w:fill="FFFFFF"/>
        </w:rPr>
        <w:t xml:space="preserve">reservoir geology of Morrow incised-valley sandstones (lower Pennsylvanian), </w:t>
      </w:r>
      <w:r>
        <w:rPr>
          <w:rFonts w:asciiTheme="majorHAnsi" w:hAnsiTheme="majorHAnsi" w:cstheme="majorHAnsi"/>
          <w:bCs/>
          <w:shd w:val="clear" w:color="auto" w:fill="FFFFFF"/>
        </w:rPr>
        <w:tab/>
      </w:r>
      <w:r w:rsidRPr="00DE23FF">
        <w:rPr>
          <w:rFonts w:asciiTheme="majorHAnsi" w:hAnsiTheme="majorHAnsi" w:cstheme="majorHAnsi"/>
          <w:bCs/>
          <w:shd w:val="clear" w:color="auto" w:fill="FFFFFF"/>
        </w:rPr>
        <w:t>eastern Colorado and western Kansas.</w:t>
      </w:r>
      <w:r w:rsidRPr="00DE23FF">
        <w:rPr>
          <w:rStyle w:val="apple-converted-space"/>
          <w:rFonts w:asciiTheme="majorHAnsi" w:hAnsiTheme="majorHAnsi" w:cstheme="majorHAnsi"/>
          <w:bCs/>
          <w:shd w:val="clear" w:color="auto" w:fill="FFFFFF"/>
        </w:rPr>
        <w:t> </w:t>
      </w:r>
      <w:r w:rsidRPr="00DE23FF">
        <w:rPr>
          <w:rFonts w:asciiTheme="majorHAnsi" w:hAnsiTheme="majorHAnsi" w:cstheme="majorHAnsi"/>
          <w:bCs/>
          <w:i/>
          <w:iCs/>
          <w:shd w:val="clear" w:color="auto" w:fill="FFFFFF"/>
        </w:rPr>
        <w:t>AAPG Bulletin, 87</w:t>
      </w:r>
      <w:r w:rsidRPr="00DE23FF">
        <w:rPr>
          <w:rFonts w:asciiTheme="majorHAnsi" w:hAnsiTheme="majorHAnsi" w:cstheme="majorHAnsi"/>
          <w:bCs/>
          <w:shd w:val="clear" w:color="auto" w:fill="FFFFFF"/>
        </w:rPr>
        <w:t>(5), 781-815.</w:t>
      </w:r>
    </w:p>
    <w:p w:rsidR="00C87CE1" w:rsidRPr="009264F1" w:rsidRDefault="00C87CE1" w:rsidP="00C87CE1">
      <w:pPr>
        <w:spacing w:before="100" w:beforeAutospacing="1" w:after="100" w:afterAutospacing="1" w:line="240" w:lineRule="auto"/>
        <w:ind w:left="720" w:hanging="720"/>
        <w:jc w:val="both"/>
        <w:rPr>
          <w:rFonts w:asciiTheme="majorHAnsi" w:hAnsiTheme="majorHAnsi" w:cstheme="majorHAnsi"/>
          <w:bCs/>
          <w:shd w:val="clear" w:color="auto" w:fill="FFFFFF"/>
        </w:rPr>
      </w:pPr>
      <w:r>
        <w:rPr>
          <w:rFonts w:asciiTheme="majorHAnsi" w:hAnsiTheme="majorHAnsi" w:cstheme="majorHAnsi"/>
          <w:bCs/>
          <w:shd w:val="clear" w:color="auto" w:fill="FFFFFF"/>
        </w:rPr>
        <w:t>Brandl, R., Mann, W.,</w:t>
      </w:r>
      <w:r w:rsidRPr="009264F1">
        <w:rPr>
          <w:rFonts w:asciiTheme="majorHAnsi" w:hAnsiTheme="majorHAnsi" w:cstheme="majorHAnsi"/>
          <w:bCs/>
          <w:shd w:val="clear" w:color="auto" w:fill="FFFFFF"/>
        </w:rPr>
        <w:t xml:space="preserve"> Sprinzl, M. 1992. Esti</w:t>
      </w:r>
      <w:r>
        <w:rPr>
          <w:rFonts w:asciiTheme="majorHAnsi" w:hAnsiTheme="majorHAnsi" w:cstheme="majorHAnsi"/>
          <w:bCs/>
          <w:shd w:val="clear" w:color="auto" w:fill="FFFFFF"/>
        </w:rPr>
        <w:t xml:space="preserve">mation of the Monocot-Dicot Age </w:t>
      </w:r>
      <w:r w:rsidRPr="009264F1">
        <w:rPr>
          <w:rFonts w:asciiTheme="majorHAnsi" w:hAnsiTheme="majorHAnsi" w:cstheme="majorHAnsi"/>
          <w:bCs/>
          <w:shd w:val="clear" w:color="auto" w:fill="FFFFFF"/>
        </w:rPr>
        <w:t xml:space="preserve">through tRNA Sequences from the Chloroplast. </w:t>
      </w:r>
      <w:r>
        <w:rPr>
          <w:rFonts w:asciiTheme="majorHAnsi" w:hAnsiTheme="majorHAnsi" w:cstheme="majorHAnsi"/>
          <w:bCs/>
          <w:shd w:val="clear" w:color="auto" w:fill="FFFFFF"/>
        </w:rPr>
        <w:t xml:space="preserve">Proceedings of the </w:t>
      </w:r>
      <w:r w:rsidRPr="000F797B">
        <w:rPr>
          <w:rFonts w:asciiTheme="majorHAnsi" w:hAnsiTheme="majorHAnsi" w:cstheme="majorHAnsi"/>
          <w:bCs/>
          <w:shd w:val="clear" w:color="auto" w:fill="FFFFFF"/>
        </w:rPr>
        <w:t>Royal</w:t>
      </w:r>
      <w:r>
        <w:rPr>
          <w:rFonts w:asciiTheme="majorHAnsi" w:hAnsiTheme="majorHAnsi" w:cstheme="majorHAnsi"/>
          <w:bCs/>
          <w:shd w:val="clear" w:color="auto" w:fill="FFFFFF"/>
        </w:rPr>
        <w:t xml:space="preserve"> Society B: </w:t>
      </w:r>
      <w:r w:rsidRPr="000F797B">
        <w:rPr>
          <w:rFonts w:asciiTheme="majorHAnsi" w:hAnsiTheme="majorHAnsi" w:cstheme="majorHAnsi"/>
          <w:bCs/>
          <w:shd w:val="clear" w:color="auto" w:fill="FFFFFF"/>
        </w:rPr>
        <w:t>Biological Sciences</w:t>
      </w:r>
      <w:r w:rsidRPr="000F797B">
        <w:rPr>
          <w:rFonts w:asciiTheme="majorHAnsi" w:hAnsiTheme="majorHAnsi" w:cstheme="majorHAnsi"/>
          <w:bCs/>
          <w:i/>
          <w:shd w:val="clear" w:color="auto" w:fill="FFFFFF"/>
        </w:rPr>
        <w:t>, 249(1324),</w:t>
      </w:r>
      <w:r w:rsidRPr="009264F1">
        <w:rPr>
          <w:rFonts w:asciiTheme="majorHAnsi" w:hAnsiTheme="majorHAnsi" w:cstheme="majorHAnsi"/>
          <w:bCs/>
          <w:shd w:val="clear" w:color="auto" w:fill="FFFFFF"/>
        </w:rPr>
        <w:t xml:space="preserve"> 13-17.</w:t>
      </w:r>
    </w:p>
    <w:p w:rsidR="00C87CE1" w:rsidRPr="009264F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Pr>
          <w:rFonts w:asciiTheme="majorHAnsi" w:hAnsiTheme="majorHAnsi" w:cstheme="majorHAnsi"/>
          <w:bCs/>
          <w:shd w:val="clear" w:color="auto" w:fill="FFFFFF"/>
        </w:rPr>
        <w:t>Brassell, S. C.,</w:t>
      </w:r>
      <w:r w:rsidRPr="009264F1">
        <w:rPr>
          <w:rFonts w:asciiTheme="majorHAnsi" w:hAnsiTheme="majorHAnsi" w:cstheme="majorHAnsi"/>
          <w:bCs/>
          <w:shd w:val="clear" w:color="auto" w:fill="FFFFFF"/>
        </w:rPr>
        <w:t xml:space="preserve"> Eglinton, G. 1983. Steroids and triterpenoids in deep sea sediments</w:t>
      </w:r>
      <w:r w:rsidRPr="009264F1">
        <w:rPr>
          <w:rFonts w:asciiTheme="majorHAnsi" w:hAnsiTheme="majorHAnsi" w:cstheme="majorHAnsi"/>
          <w:bCs/>
          <w:shd w:val="clear" w:color="auto" w:fill="FFFFFF"/>
        </w:rPr>
        <w:tab/>
        <w:t xml:space="preserve"> as environmental and diagenetic indicators. </w:t>
      </w:r>
      <w:r w:rsidRPr="009264F1">
        <w:rPr>
          <w:rFonts w:asciiTheme="majorHAnsi" w:hAnsiTheme="majorHAnsi" w:cstheme="majorHAnsi"/>
          <w:bCs/>
          <w:i/>
          <w:shd w:val="clear" w:color="auto" w:fill="FFFFFF"/>
        </w:rPr>
        <w:t xml:space="preserve">Advances in Organic Geochemistry, </w:t>
      </w:r>
      <w:r w:rsidRPr="009264F1">
        <w:rPr>
          <w:rFonts w:asciiTheme="majorHAnsi" w:hAnsiTheme="majorHAnsi" w:cstheme="majorHAnsi"/>
          <w:bCs/>
          <w:i/>
          <w:shd w:val="clear" w:color="auto" w:fill="FFFFFF"/>
        </w:rPr>
        <w:tab/>
        <w:t xml:space="preserve"> 1981,</w:t>
      </w:r>
      <w:r w:rsidRPr="009264F1">
        <w:rPr>
          <w:rFonts w:asciiTheme="majorHAnsi" w:hAnsiTheme="majorHAnsi" w:cstheme="majorHAnsi"/>
          <w:bCs/>
          <w:shd w:val="clear" w:color="auto" w:fill="FFFFFF"/>
        </w:rPr>
        <w:t xml:space="preserve"> 684-</w:t>
      </w:r>
      <w:r>
        <w:rPr>
          <w:rFonts w:asciiTheme="majorHAnsi" w:hAnsiTheme="majorHAnsi" w:cstheme="majorHAnsi"/>
          <w:bCs/>
          <w:shd w:val="clear" w:color="auto" w:fill="FFFFFF"/>
        </w:rPr>
        <w:t>6</w:t>
      </w:r>
      <w:r w:rsidRPr="009264F1">
        <w:rPr>
          <w:rFonts w:asciiTheme="majorHAnsi" w:hAnsiTheme="majorHAnsi" w:cstheme="majorHAnsi"/>
          <w:bCs/>
          <w:shd w:val="clear" w:color="auto" w:fill="FFFFFF"/>
        </w:rPr>
        <w:t>97.</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 xml:space="preserve">Bray, E. E., </w:t>
      </w:r>
      <w:r w:rsidRPr="009264F1">
        <w:rPr>
          <w:rFonts w:asciiTheme="majorHAnsi" w:hAnsiTheme="majorHAnsi" w:cstheme="majorHAnsi"/>
        </w:rPr>
        <w:t>Evans, E. D. 1961. Distribution of n-paraffins as a clue to recognition of</w:t>
      </w:r>
      <w:r w:rsidRPr="009264F1">
        <w:rPr>
          <w:rFonts w:asciiTheme="majorHAnsi" w:hAnsiTheme="majorHAnsi" w:cstheme="majorHAnsi"/>
        </w:rPr>
        <w:tab/>
        <w:t xml:space="preserve"> source beds. </w:t>
      </w:r>
      <w:r w:rsidRPr="009264F1">
        <w:rPr>
          <w:rFonts w:asciiTheme="majorHAnsi" w:hAnsiTheme="majorHAnsi" w:cstheme="majorHAnsi"/>
          <w:i/>
        </w:rPr>
        <w:t>Geochimica et Cosmochimica Acta, 22(1),</w:t>
      </w:r>
      <w:r w:rsidRPr="009264F1">
        <w:rPr>
          <w:rFonts w:asciiTheme="majorHAnsi" w:hAnsiTheme="majorHAnsi" w:cstheme="majorHAnsi"/>
        </w:rPr>
        <w:t xml:space="preserve"> 2-15.</w:t>
      </w:r>
    </w:p>
    <w:p w:rsidR="00C87CE1" w:rsidRPr="009264F1" w:rsidRDefault="00C87CE1" w:rsidP="00C87CE1">
      <w:pPr>
        <w:spacing w:before="100" w:beforeAutospacing="1" w:after="100" w:afterAutospacing="1" w:line="240" w:lineRule="auto"/>
        <w:jc w:val="both"/>
        <w:rPr>
          <w:rFonts w:asciiTheme="majorHAnsi" w:hAnsiTheme="majorHAnsi" w:cstheme="majorHAnsi"/>
          <w:i/>
        </w:rPr>
      </w:pPr>
      <w:r w:rsidRPr="009264F1">
        <w:rPr>
          <w:rFonts w:asciiTheme="majorHAnsi" w:hAnsiTheme="majorHAnsi" w:cstheme="majorHAnsi"/>
        </w:rPr>
        <w:t>Brewster, C. S., Sharma, V. K.,</w:t>
      </w:r>
      <w:r>
        <w:rPr>
          <w:rFonts w:asciiTheme="majorHAnsi" w:hAnsiTheme="majorHAnsi" w:cstheme="majorHAnsi"/>
        </w:rPr>
        <w:t xml:space="preserve"> Cizmas, L., Mcdonald, T. J. 2017</w:t>
      </w:r>
      <w:r w:rsidRPr="009264F1">
        <w:rPr>
          <w:rFonts w:asciiTheme="majorHAnsi" w:hAnsiTheme="majorHAnsi" w:cstheme="majorHAnsi"/>
        </w:rPr>
        <w:t>. Occurrence,</w:t>
      </w:r>
      <w:r w:rsidRPr="009264F1">
        <w:rPr>
          <w:rFonts w:asciiTheme="majorHAnsi" w:hAnsiTheme="majorHAnsi" w:cstheme="majorHAnsi"/>
        </w:rPr>
        <w:tab/>
        <w:t>distribution and composition of aliphatic and polycyclic aromatic hydrocarbons</w:t>
      </w:r>
      <w:r w:rsidRPr="009264F1">
        <w:rPr>
          <w:rFonts w:asciiTheme="majorHAnsi" w:hAnsiTheme="majorHAnsi" w:cstheme="majorHAnsi"/>
        </w:rPr>
        <w:tab/>
        <w:t xml:space="preserve">in sediment cores from the Lower Fox River, Wisconsin, US. </w:t>
      </w:r>
      <w:r w:rsidRPr="009264F1">
        <w:rPr>
          <w:rFonts w:asciiTheme="majorHAnsi" w:hAnsiTheme="majorHAnsi" w:cstheme="majorHAnsi"/>
          <w:i/>
        </w:rPr>
        <w:t xml:space="preserve">Environmental </w:t>
      </w:r>
      <w:r w:rsidRPr="009264F1">
        <w:rPr>
          <w:rFonts w:asciiTheme="majorHAnsi" w:hAnsiTheme="majorHAnsi" w:cstheme="majorHAnsi"/>
          <w:i/>
        </w:rPr>
        <w:tab/>
        <w:t>Science and Pollution Research.</w:t>
      </w: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Buatois, L</w:t>
      </w:r>
      <w:r>
        <w:rPr>
          <w:rFonts w:asciiTheme="majorHAnsi" w:hAnsiTheme="majorHAnsi" w:cstheme="majorHAnsi"/>
        </w:rPr>
        <w:t>. A., Mángano, M., Alissa, A.,</w:t>
      </w:r>
      <w:r w:rsidRPr="009264F1">
        <w:rPr>
          <w:rFonts w:asciiTheme="majorHAnsi" w:hAnsiTheme="majorHAnsi" w:cstheme="majorHAnsi"/>
        </w:rPr>
        <w:t xml:space="preserve"> Carr, T. R. 2002. Seq</w:t>
      </w:r>
      <w:r>
        <w:rPr>
          <w:rFonts w:asciiTheme="majorHAnsi" w:hAnsiTheme="majorHAnsi" w:cstheme="majorHAnsi"/>
        </w:rPr>
        <w:t xml:space="preserve">uence stratigraphic and </w:t>
      </w:r>
      <w:r>
        <w:rPr>
          <w:rFonts w:asciiTheme="majorHAnsi" w:hAnsiTheme="majorHAnsi" w:cstheme="majorHAnsi"/>
        </w:rPr>
        <w:tab/>
      </w:r>
      <w:r w:rsidRPr="009264F1">
        <w:rPr>
          <w:rFonts w:asciiTheme="majorHAnsi" w:hAnsiTheme="majorHAnsi" w:cstheme="majorHAnsi"/>
        </w:rPr>
        <w:t xml:space="preserve">sedimentologic significance of biogenic structures from a late Paleozoic </w:t>
      </w:r>
      <w:r w:rsidRPr="009264F1">
        <w:rPr>
          <w:rFonts w:asciiTheme="majorHAnsi" w:hAnsiTheme="majorHAnsi" w:cstheme="majorHAnsi"/>
        </w:rPr>
        <w:tab/>
        <w:t xml:space="preserve">marginal- to open-marine reservoir, Morrow Sandstone, subsurface of southwest </w:t>
      </w:r>
      <w:r w:rsidRPr="009264F1">
        <w:rPr>
          <w:rFonts w:asciiTheme="majorHAnsi" w:hAnsiTheme="majorHAnsi" w:cstheme="majorHAnsi"/>
        </w:rPr>
        <w:tab/>
        <w:t xml:space="preserve">Kansas, USA. </w:t>
      </w:r>
      <w:r w:rsidRPr="009264F1">
        <w:rPr>
          <w:rFonts w:asciiTheme="majorHAnsi" w:hAnsiTheme="majorHAnsi" w:cstheme="majorHAnsi"/>
          <w:i/>
        </w:rPr>
        <w:t xml:space="preserve">Sedimentary Geology, 152(1-2), </w:t>
      </w:r>
      <w:r w:rsidRPr="009264F1">
        <w:rPr>
          <w:rFonts w:asciiTheme="majorHAnsi" w:hAnsiTheme="majorHAnsi" w:cstheme="majorHAnsi"/>
        </w:rPr>
        <w:t>99-132.</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Buckey, A. 2012.</w:t>
      </w:r>
      <w:r w:rsidRPr="009264F1">
        <w:rPr>
          <w:rFonts w:asciiTheme="majorHAnsi" w:hAnsiTheme="majorHAnsi" w:cstheme="majorHAnsi"/>
        </w:rPr>
        <w:t xml:space="preserve"> An integrated geophysical analysis of crustal structure in the Wichita </w:t>
      </w:r>
      <w:r w:rsidRPr="009264F1">
        <w:rPr>
          <w:rFonts w:asciiTheme="majorHAnsi" w:hAnsiTheme="majorHAnsi" w:cstheme="majorHAnsi"/>
        </w:rPr>
        <w:tab/>
        <w:t xml:space="preserve">Uplift region of southern Oklahoma. </w:t>
      </w:r>
      <w:r w:rsidRPr="009264F1">
        <w:rPr>
          <w:rFonts w:asciiTheme="majorHAnsi" w:hAnsiTheme="majorHAnsi" w:cstheme="majorHAnsi"/>
          <w:i/>
        </w:rPr>
        <w:t>OCGS Shale Shaker, 62,</w:t>
      </w:r>
      <w:r w:rsidRPr="009264F1">
        <w:rPr>
          <w:rFonts w:asciiTheme="majorHAnsi" w:hAnsiTheme="majorHAnsi" w:cstheme="majorHAnsi"/>
        </w:rPr>
        <w:t xml:space="preserve"> 432-452.</w:t>
      </w:r>
    </w:p>
    <w:p w:rsidR="00C87CE1" w:rsidRDefault="00C87CE1" w:rsidP="00C87CE1">
      <w:pPr>
        <w:spacing w:before="100" w:beforeAutospacing="1" w:after="100" w:afterAutospacing="1" w:line="240" w:lineRule="auto"/>
        <w:jc w:val="both"/>
      </w:pPr>
      <w:r w:rsidRPr="009264F1">
        <w:t>Budzinski, H., Radk</w:t>
      </w:r>
      <w:r>
        <w:t>e, M., Garrigues, P. 1993</w:t>
      </w:r>
      <w:r w:rsidRPr="009264F1">
        <w:t xml:space="preserve">. Thermodynamic calculations on </w:t>
      </w:r>
      <w:r w:rsidRPr="009264F1">
        <w:tab/>
        <w:t xml:space="preserve">alkylated phenanthrenes: Geochemical applications to maturity and origin </w:t>
      </w:r>
      <w:r w:rsidRPr="009264F1">
        <w:tab/>
        <w:t xml:space="preserve">studies. </w:t>
      </w:r>
      <w:r w:rsidRPr="009264F1">
        <w:rPr>
          <w:i/>
        </w:rPr>
        <w:t>Organic Geochemistry</w:t>
      </w:r>
      <w:r>
        <w:t>,</w:t>
      </w:r>
      <w:r w:rsidRPr="000F797B">
        <w:rPr>
          <w:i/>
        </w:rPr>
        <w:t xml:space="preserve"> 20,</w:t>
      </w:r>
      <w:r>
        <w:t xml:space="preserve"> </w:t>
      </w:r>
      <w:r w:rsidRPr="009264F1">
        <w:t>917–926.</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t>Budzinski, H., Garrigues, P., Connan, J., Devillers, J., Domine, D.</w:t>
      </w:r>
      <w:r>
        <w:t xml:space="preserve">, Radke, M.,  </w:t>
      </w:r>
      <w:r>
        <w:tab/>
        <w:t>Oudin, J.L. 1995</w:t>
      </w:r>
      <w:r w:rsidRPr="009264F1">
        <w:t xml:space="preserve">. Alkylated phenanthrene distributions as maturity and origin </w:t>
      </w:r>
      <w:r w:rsidRPr="009264F1">
        <w:tab/>
        <w:t xml:space="preserve">indicators in crude oils and rock extracts. </w:t>
      </w:r>
      <w:r w:rsidRPr="009264F1">
        <w:rPr>
          <w:rFonts w:asciiTheme="majorHAnsi" w:hAnsiTheme="majorHAnsi" w:cstheme="majorHAnsi"/>
          <w:i/>
        </w:rPr>
        <w:t>Geochimica et Cosmochimica Acta</w:t>
      </w:r>
      <w:r>
        <w:t xml:space="preserve">, </w:t>
      </w:r>
      <w:r>
        <w:tab/>
      </w:r>
      <w:r w:rsidRPr="000F797B">
        <w:rPr>
          <w:i/>
        </w:rPr>
        <w:t>59,</w:t>
      </w:r>
      <w:r>
        <w:t xml:space="preserve"> </w:t>
      </w:r>
      <w:r w:rsidRPr="009264F1">
        <w:t>2043–2056.</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t>Burruss, R.C., Hatch, J.R. 1988.</w:t>
      </w:r>
      <w:r w:rsidRPr="009264F1">
        <w:t xml:space="preserve"> Geochemistry of Oils and Hydrocarbon Source </w:t>
      </w:r>
      <w:r w:rsidRPr="009264F1">
        <w:tab/>
        <w:t xml:space="preserve">Rocks, Greater Anadarko Basin: Evidence for Multiple Sources of Oils and </w:t>
      </w:r>
      <w:r w:rsidRPr="009264F1">
        <w:tab/>
        <w:t>Long-</w:t>
      </w:r>
      <w:r w:rsidRPr="009264F1">
        <w:tab/>
        <w:t xml:space="preserve">Distance Oil Migration; in Anadarko Basin Symposium, 1988; Johnson, </w:t>
      </w:r>
      <w:r w:rsidRPr="009264F1">
        <w:tab/>
        <w:t xml:space="preserve">K.S., ed., </w:t>
      </w:r>
      <w:r w:rsidRPr="009264F1">
        <w:rPr>
          <w:i/>
        </w:rPr>
        <w:t>Oklahoma Geological Survey Circular 90</w:t>
      </w:r>
      <w:r>
        <w:t>,</w:t>
      </w:r>
      <w:r w:rsidRPr="009264F1">
        <w:t xml:space="preserve"> 53-64.</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Cardott, B. J.</w:t>
      </w:r>
      <w:r w:rsidRPr="009264F1">
        <w:rPr>
          <w:rFonts w:asciiTheme="majorHAnsi" w:hAnsiTheme="majorHAnsi" w:cstheme="majorHAnsi"/>
        </w:rPr>
        <w:t xml:space="preserve"> 2012. Thermal maturity of Woodford Shale gas and oil plays, Oklahoma, </w:t>
      </w:r>
      <w:r w:rsidRPr="009264F1">
        <w:rPr>
          <w:rFonts w:asciiTheme="majorHAnsi" w:hAnsiTheme="majorHAnsi" w:cstheme="majorHAnsi"/>
        </w:rPr>
        <w:tab/>
        <w:t xml:space="preserve">USA. </w:t>
      </w:r>
      <w:r w:rsidRPr="009264F1">
        <w:rPr>
          <w:rFonts w:asciiTheme="majorHAnsi" w:hAnsiTheme="majorHAnsi" w:cstheme="majorHAnsi"/>
          <w:i/>
        </w:rPr>
        <w:t>International Journal of Coal Geology, 103</w:t>
      </w:r>
      <w:r w:rsidRPr="009264F1">
        <w:rPr>
          <w:rFonts w:asciiTheme="majorHAnsi" w:hAnsiTheme="majorHAnsi" w:cstheme="majorHAnsi"/>
        </w:rPr>
        <w:t>, 109-119.</w:t>
      </w:r>
    </w:p>
    <w:p w:rsidR="00C87CE1" w:rsidRDefault="00C87CE1" w:rsidP="00C87CE1">
      <w:pPr>
        <w:spacing w:before="100" w:beforeAutospacing="1" w:after="100" w:afterAutospacing="1" w:line="240" w:lineRule="auto"/>
        <w:jc w:val="both"/>
      </w:pPr>
      <w:r>
        <w:lastRenderedPageBreak/>
        <w:t>Chaloner</w:t>
      </w:r>
      <w:r w:rsidR="00173D26">
        <w:t>,</w:t>
      </w:r>
      <w:r>
        <w:t xml:space="preserve"> W. G. 1989.</w:t>
      </w:r>
      <w:r w:rsidRPr="009264F1">
        <w:t xml:space="preserve"> Fossil charcoal as an indicator of palaeoatmospheric oxygen </w:t>
      </w:r>
      <w:r w:rsidRPr="009264F1">
        <w:tab/>
        <w:t xml:space="preserve">level. </w:t>
      </w:r>
      <w:r w:rsidR="00B204DF">
        <w:rPr>
          <w:i/>
        </w:rPr>
        <w:t>Journal of</w:t>
      </w:r>
      <w:r w:rsidRPr="009264F1">
        <w:rPr>
          <w:i/>
        </w:rPr>
        <w:t xml:space="preserve"> </w:t>
      </w:r>
      <w:r w:rsidR="00B204DF">
        <w:rPr>
          <w:i/>
        </w:rPr>
        <w:t xml:space="preserve">the </w:t>
      </w:r>
      <w:r w:rsidRPr="009264F1">
        <w:rPr>
          <w:i/>
        </w:rPr>
        <w:t>Geol</w:t>
      </w:r>
      <w:r w:rsidR="00B204DF">
        <w:rPr>
          <w:i/>
        </w:rPr>
        <w:t>ogical Society of</w:t>
      </w:r>
      <w:r w:rsidRPr="009264F1">
        <w:rPr>
          <w:i/>
        </w:rPr>
        <w:t xml:space="preserve"> London 146,</w:t>
      </w:r>
      <w:r w:rsidRPr="009264F1">
        <w:t xml:space="preserve"> 171-174.</w:t>
      </w:r>
    </w:p>
    <w:p w:rsidR="00E77BBB" w:rsidRPr="00E77BBB" w:rsidRDefault="00E77BBB" w:rsidP="00C87CE1">
      <w:pPr>
        <w:spacing w:before="100" w:beforeAutospacing="1" w:after="100" w:afterAutospacing="1" w:line="240" w:lineRule="auto"/>
        <w:jc w:val="both"/>
        <w:rPr>
          <w:rFonts w:asciiTheme="majorHAnsi" w:hAnsiTheme="majorHAnsi" w:cstheme="majorHAnsi"/>
        </w:rPr>
      </w:pPr>
      <w:r>
        <w:rPr>
          <w:shd w:val="clear" w:color="auto" w:fill="FFFFFF"/>
        </w:rPr>
        <w:t>Chester, R. 1990</w:t>
      </w:r>
      <w:r w:rsidRPr="00E77BBB">
        <w:rPr>
          <w:shd w:val="clear" w:color="auto" w:fill="FFFFFF"/>
        </w:rPr>
        <w:t>. </w:t>
      </w:r>
      <w:r w:rsidRPr="00B204DF">
        <w:rPr>
          <w:iCs/>
        </w:rPr>
        <w:t>Marine Geochemistry</w:t>
      </w:r>
      <w:r w:rsidRPr="00E77BBB">
        <w:rPr>
          <w:shd w:val="clear" w:color="auto" w:fill="FFFFFF"/>
        </w:rPr>
        <w:t xml:space="preserve">. </w:t>
      </w:r>
      <w:r w:rsidRPr="00B204DF">
        <w:rPr>
          <w:i/>
          <w:shd w:val="clear" w:color="auto" w:fill="FFFFFF"/>
        </w:rPr>
        <w:t>London</w:t>
      </w:r>
      <w:r w:rsidR="00B204DF" w:rsidRPr="00B204DF">
        <w:rPr>
          <w:i/>
          <w:shd w:val="clear" w:color="auto" w:fill="FFFFFF"/>
        </w:rPr>
        <w:t>.</w:t>
      </w:r>
      <w:r w:rsidRPr="00B204DF">
        <w:rPr>
          <w:i/>
          <w:shd w:val="clear" w:color="auto" w:fill="FFFFFF"/>
        </w:rPr>
        <w:t xml:space="preserve"> Chapman &amp; Hall</w:t>
      </w:r>
      <w:r w:rsidR="00B204DF">
        <w:rPr>
          <w:i/>
          <w:shd w:val="clear" w:color="auto" w:fill="FFFFFF"/>
        </w:rPr>
        <w:t xml:space="preserve">, </w:t>
      </w:r>
      <w:r w:rsidR="00B204DF" w:rsidRPr="00B204DF">
        <w:rPr>
          <w:shd w:val="clear" w:color="auto" w:fill="FFFFFF"/>
        </w:rPr>
        <w:t>p.698</w:t>
      </w:r>
      <w:r w:rsidRPr="00B204DF">
        <w:rPr>
          <w:i/>
          <w:shd w:val="clear" w:color="auto" w:fill="FFFFFF"/>
        </w:rPr>
        <w:t>.</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Clark, J. P., Philp, R. P.</w:t>
      </w:r>
      <w:r w:rsidRPr="009264F1">
        <w:rPr>
          <w:rFonts w:asciiTheme="majorHAnsi" w:hAnsiTheme="majorHAnsi" w:cstheme="majorHAnsi"/>
        </w:rPr>
        <w:t xml:space="preserve"> 1989. Geochemical Characterization of Evaporite and </w:t>
      </w:r>
      <w:r w:rsidRPr="009264F1">
        <w:rPr>
          <w:rFonts w:asciiTheme="majorHAnsi" w:hAnsiTheme="majorHAnsi" w:cstheme="majorHAnsi"/>
        </w:rPr>
        <w:tab/>
        <w:t xml:space="preserve">Carbonate Depositional Environments and Correlation of Associated Crude Oils </w:t>
      </w:r>
      <w:r w:rsidRPr="009264F1">
        <w:rPr>
          <w:rFonts w:asciiTheme="majorHAnsi" w:hAnsiTheme="majorHAnsi" w:cstheme="majorHAnsi"/>
        </w:rPr>
        <w:tab/>
        <w:t xml:space="preserve">in the Black Creek Basin, Alberta. </w:t>
      </w:r>
      <w:r w:rsidRPr="009264F1">
        <w:rPr>
          <w:rFonts w:asciiTheme="majorHAnsi" w:hAnsiTheme="majorHAnsi" w:cstheme="majorHAnsi"/>
          <w:i/>
        </w:rPr>
        <w:t xml:space="preserve">Bulletin of Canadian Petroleum Geology, </w:t>
      </w:r>
      <w:r w:rsidRPr="009264F1">
        <w:rPr>
          <w:rFonts w:asciiTheme="majorHAnsi" w:hAnsiTheme="majorHAnsi" w:cstheme="majorHAnsi"/>
          <w:i/>
        </w:rPr>
        <w:tab/>
        <w:t>37(4)</w:t>
      </w:r>
      <w:r>
        <w:rPr>
          <w:rFonts w:asciiTheme="majorHAnsi" w:hAnsiTheme="majorHAnsi" w:cstheme="majorHAnsi"/>
        </w:rPr>
        <w:t>,</w:t>
      </w:r>
      <w:r w:rsidRPr="009264F1">
        <w:rPr>
          <w:rFonts w:asciiTheme="majorHAnsi" w:hAnsiTheme="majorHAnsi" w:cstheme="majorHAnsi"/>
        </w:rPr>
        <w:t xml:space="preserve"> 401–416</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Connan, J., Bouroullec, J</w:t>
      </w:r>
      <w:r>
        <w:rPr>
          <w:rFonts w:asciiTheme="majorHAnsi" w:hAnsiTheme="majorHAnsi" w:cstheme="majorHAnsi"/>
        </w:rPr>
        <w:t>., Dessort, D., Albrecht, P. 1986. The microbial input in</w:t>
      </w:r>
      <w:r>
        <w:rPr>
          <w:rFonts w:asciiTheme="majorHAnsi" w:hAnsiTheme="majorHAnsi" w:cstheme="majorHAnsi"/>
        </w:rPr>
        <w:tab/>
      </w:r>
      <w:r w:rsidRPr="009264F1">
        <w:rPr>
          <w:rFonts w:asciiTheme="majorHAnsi" w:hAnsiTheme="majorHAnsi" w:cstheme="majorHAnsi"/>
        </w:rPr>
        <w:t>carbonate-anhydrite facies of a sabkha palae</w:t>
      </w:r>
      <w:r>
        <w:rPr>
          <w:rFonts w:asciiTheme="majorHAnsi" w:hAnsiTheme="majorHAnsi" w:cstheme="majorHAnsi"/>
        </w:rPr>
        <w:t>oenvironment from Guatemala: A</w:t>
      </w:r>
      <w:r>
        <w:rPr>
          <w:rFonts w:asciiTheme="majorHAnsi" w:hAnsiTheme="majorHAnsi" w:cstheme="majorHAnsi"/>
        </w:rPr>
        <w:tab/>
      </w:r>
      <w:r w:rsidRPr="009264F1">
        <w:rPr>
          <w:rFonts w:asciiTheme="majorHAnsi" w:hAnsiTheme="majorHAnsi" w:cstheme="majorHAnsi"/>
        </w:rPr>
        <w:t xml:space="preserve">molecular approach. </w:t>
      </w:r>
      <w:r w:rsidRPr="009264F1">
        <w:rPr>
          <w:rFonts w:asciiTheme="majorHAnsi" w:hAnsiTheme="majorHAnsi" w:cstheme="majorHAnsi"/>
          <w:i/>
        </w:rPr>
        <w:t>Organic Geochemistry, 10(1-3),</w:t>
      </w:r>
      <w:r w:rsidRPr="009264F1">
        <w:rPr>
          <w:rFonts w:asciiTheme="majorHAnsi" w:hAnsiTheme="majorHAnsi" w:cstheme="majorHAnsi"/>
        </w:rPr>
        <w:t xml:space="preserve"> 29-50.</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Cornford, C., G</w:t>
      </w:r>
      <w:r>
        <w:rPr>
          <w:rFonts w:asciiTheme="majorHAnsi" w:hAnsiTheme="majorHAnsi" w:cstheme="majorHAnsi"/>
        </w:rPr>
        <w:t>ardner, P., Burgess, C. 1998</w:t>
      </w:r>
      <w:r w:rsidRPr="009264F1">
        <w:rPr>
          <w:rFonts w:asciiTheme="majorHAnsi" w:hAnsiTheme="majorHAnsi" w:cstheme="majorHAnsi"/>
        </w:rPr>
        <w:t xml:space="preserve">. Geochemical truths in large data sets. </w:t>
      </w:r>
      <w:r w:rsidRPr="009264F1">
        <w:rPr>
          <w:rFonts w:asciiTheme="majorHAnsi" w:hAnsiTheme="majorHAnsi" w:cstheme="majorHAnsi"/>
        </w:rPr>
        <w:tab/>
        <w:t xml:space="preserve">I:Geochemical screening data. </w:t>
      </w:r>
      <w:r w:rsidRPr="009264F1">
        <w:rPr>
          <w:rFonts w:asciiTheme="majorHAnsi" w:hAnsiTheme="majorHAnsi" w:cstheme="majorHAnsi"/>
          <w:i/>
        </w:rPr>
        <w:t>Organic Geochemistry, 29(1-3),</w:t>
      </w:r>
      <w:r w:rsidRPr="009264F1">
        <w:rPr>
          <w:rFonts w:asciiTheme="majorHAnsi" w:hAnsiTheme="majorHAnsi" w:cstheme="majorHAnsi"/>
        </w:rPr>
        <w:t xml:space="preserve"> 519-530.</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Cserh</w:t>
      </w:r>
      <w:r w:rsidR="00E77BBB">
        <w:rPr>
          <w:rFonts w:asciiTheme="majorHAnsi" w:hAnsiTheme="majorHAnsi" w:cstheme="majorHAnsi"/>
        </w:rPr>
        <w:t>á</w:t>
      </w:r>
      <w:r>
        <w:rPr>
          <w:rFonts w:asciiTheme="majorHAnsi" w:hAnsiTheme="majorHAnsi" w:cstheme="majorHAnsi"/>
        </w:rPr>
        <w:t>ti, T., Forg</w:t>
      </w:r>
      <w:r w:rsidR="00E77BBB">
        <w:rPr>
          <w:rFonts w:asciiTheme="majorHAnsi" w:hAnsiTheme="majorHAnsi" w:cstheme="majorHAnsi"/>
        </w:rPr>
        <w:t>á</w:t>
      </w:r>
      <w:r>
        <w:rPr>
          <w:rFonts w:asciiTheme="majorHAnsi" w:hAnsiTheme="majorHAnsi" w:cstheme="majorHAnsi"/>
        </w:rPr>
        <w:t>cs, E. 1997</w:t>
      </w:r>
      <w:r w:rsidRPr="0052076A">
        <w:rPr>
          <w:rFonts w:asciiTheme="majorHAnsi" w:hAnsiTheme="majorHAnsi" w:cstheme="majorHAnsi"/>
        </w:rPr>
        <w:t>. Trends in</w:t>
      </w:r>
      <w:r>
        <w:rPr>
          <w:rFonts w:asciiTheme="majorHAnsi" w:hAnsiTheme="majorHAnsi" w:cstheme="majorHAnsi"/>
        </w:rPr>
        <w:t xml:space="preserve"> Thin-Layer Chromatography</w:t>
      </w:r>
      <w:r w:rsidRPr="0052076A">
        <w:rPr>
          <w:rFonts w:asciiTheme="majorHAnsi" w:hAnsiTheme="majorHAnsi" w:cstheme="majorHAnsi"/>
        </w:rPr>
        <w:t xml:space="preserve">. </w:t>
      </w:r>
      <w:r>
        <w:rPr>
          <w:rFonts w:asciiTheme="majorHAnsi" w:hAnsiTheme="majorHAnsi" w:cstheme="majorHAnsi"/>
          <w:i/>
        </w:rPr>
        <w:t xml:space="preserve">Journal of </w:t>
      </w:r>
      <w:r>
        <w:rPr>
          <w:rFonts w:asciiTheme="majorHAnsi" w:hAnsiTheme="majorHAnsi" w:cstheme="majorHAnsi"/>
          <w:i/>
        </w:rPr>
        <w:tab/>
      </w:r>
      <w:r w:rsidRPr="0052076A">
        <w:rPr>
          <w:rFonts w:asciiTheme="majorHAnsi" w:hAnsiTheme="majorHAnsi" w:cstheme="majorHAnsi"/>
          <w:i/>
        </w:rPr>
        <w:t>Chromatographic Science, 35(8),</w:t>
      </w:r>
      <w:r w:rsidRPr="0052076A">
        <w:rPr>
          <w:rFonts w:asciiTheme="majorHAnsi" w:hAnsiTheme="majorHAnsi" w:cstheme="majorHAnsi"/>
        </w:rPr>
        <w:t xml:space="preserve"> 383-391.</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Curiale, J. A., Ca</w:t>
      </w:r>
      <w:r>
        <w:rPr>
          <w:rFonts w:asciiTheme="majorHAnsi" w:hAnsiTheme="majorHAnsi" w:cstheme="majorHAnsi"/>
        </w:rPr>
        <w:t>meron, D., &amp; Davis, D. V. 1985</w:t>
      </w:r>
      <w:r w:rsidRPr="009264F1">
        <w:rPr>
          <w:rFonts w:asciiTheme="majorHAnsi" w:hAnsiTheme="majorHAnsi" w:cstheme="majorHAnsi"/>
        </w:rPr>
        <w:t>. Biological marker distribution and</w:t>
      </w:r>
      <w:r w:rsidRPr="009264F1">
        <w:rPr>
          <w:rFonts w:asciiTheme="majorHAnsi" w:hAnsiTheme="majorHAnsi" w:cstheme="majorHAnsi"/>
        </w:rPr>
        <w:tab/>
        <w:t xml:space="preserve"> significance in oils and rocks of the Monterey Formation, California. </w:t>
      </w:r>
      <w:r w:rsidRPr="009264F1">
        <w:rPr>
          <w:rFonts w:asciiTheme="majorHAnsi" w:hAnsiTheme="majorHAnsi" w:cstheme="majorHAnsi"/>
        </w:rPr>
        <w:tab/>
      </w:r>
      <w:r w:rsidRPr="009264F1">
        <w:rPr>
          <w:rFonts w:asciiTheme="majorHAnsi" w:hAnsiTheme="majorHAnsi" w:cstheme="majorHAnsi"/>
          <w:i/>
        </w:rPr>
        <w:t>Geochimica et Cosmochimica Acta, 49(1),</w:t>
      </w:r>
      <w:r w:rsidRPr="009264F1">
        <w:rPr>
          <w:rFonts w:asciiTheme="majorHAnsi" w:hAnsiTheme="majorHAnsi" w:cstheme="majorHAnsi"/>
        </w:rPr>
        <w:t xml:space="preserve"> 271-288.</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bCs/>
          <w:shd w:val="clear" w:color="auto" w:fill="FFFFFF"/>
        </w:rPr>
        <w:t>Curti</w:t>
      </w:r>
      <w:r>
        <w:rPr>
          <w:rFonts w:asciiTheme="majorHAnsi" w:hAnsiTheme="majorHAnsi" w:cstheme="majorHAnsi"/>
          <w:bCs/>
          <w:shd w:val="clear" w:color="auto" w:fill="FFFFFF"/>
        </w:rPr>
        <w:t>s, B. F., &amp; Ostergard, D. 1980</w:t>
      </w:r>
      <w:r w:rsidRPr="009264F1">
        <w:rPr>
          <w:rFonts w:asciiTheme="majorHAnsi" w:hAnsiTheme="majorHAnsi" w:cstheme="majorHAnsi"/>
          <w:bCs/>
          <w:shd w:val="clear" w:color="auto" w:fill="FFFFFF"/>
        </w:rPr>
        <w:t>. Subsurface Stratig</w:t>
      </w:r>
      <w:r>
        <w:rPr>
          <w:rFonts w:asciiTheme="majorHAnsi" w:hAnsiTheme="majorHAnsi" w:cstheme="majorHAnsi"/>
          <w:bCs/>
          <w:shd w:val="clear" w:color="auto" w:fill="FFFFFF"/>
        </w:rPr>
        <w:t xml:space="preserve">raphy of the Morrow </w:t>
      </w:r>
      <w:r>
        <w:rPr>
          <w:rFonts w:asciiTheme="majorHAnsi" w:hAnsiTheme="majorHAnsi" w:cstheme="majorHAnsi"/>
          <w:bCs/>
          <w:shd w:val="clear" w:color="auto" w:fill="FFFFFF"/>
        </w:rPr>
        <w:tab/>
        <w:t xml:space="preserve">Formation </w:t>
      </w:r>
      <w:r w:rsidRPr="009264F1">
        <w:rPr>
          <w:rFonts w:asciiTheme="majorHAnsi" w:hAnsiTheme="majorHAnsi" w:cstheme="majorHAnsi"/>
          <w:bCs/>
          <w:shd w:val="clear" w:color="auto" w:fill="FFFFFF"/>
        </w:rPr>
        <w:t>in Southeastern Texas County, Oklahoma.</w:t>
      </w:r>
      <w:r w:rsidRPr="009264F1">
        <w:rPr>
          <w:rStyle w:val="apple-converted-space"/>
          <w:rFonts w:asciiTheme="majorHAnsi" w:hAnsiTheme="majorHAnsi" w:cstheme="majorHAnsi"/>
          <w:bCs/>
          <w:shd w:val="clear" w:color="auto" w:fill="FFFFFF"/>
        </w:rPr>
        <w:t> </w:t>
      </w:r>
      <w:r w:rsidRPr="009264F1">
        <w:rPr>
          <w:rFonts w:asciiTheme="majorHAnsi" w:hAnsiTheme="majorHAnsi" w:cstheme="majorHAnsi"/>
          <w:bCs/>
          <w:i/>
          <w:iCs/>
          <w:shd w:val="clear" w:color="auto" w:fill="FFFFFF"/>
        </w:rPr>
        <w:t xml:space="preserve">The Shale Shaker </w:t>
      </w:r>
      <w:r w:rsidRPr="009264F1">
        <w:rPr>
          <w:rFonts w:asciiTheme="majorHAnsi" w:hAnsiTheme="majorHAnsi" w:cstheme="majorHAnsi"/>
          <w:bCs/>
          <w:i/>
          <w:iCs/>
          <w:shd w:val="clear" w:color="auto" w:fill="FFFFFF"/>
        </w:rPr>
        <w:tab/>
        <w:t>Digest,30</w:t>
      </w:r>
      <w:r w:rsidRPr="009264F1">
        <w:rPr>
          <w:rFonts w:asciiTheme="majorHAnsi" w:hAnsiTheme="majorHAnsi" w:cstheme="majorHAnsi"/>
          <w:bCs/>
          <w:shd w:val="clear" w:color="auto" w:fill="FFFFFF"/>
        </w:rPr>
        <w:t>, 116-146.</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De Grande, S.M.B.,</w:t>
      </w:r>
      <w:r>
        <w:rPr>
          <w:rFonts w:asciiTheme="majorHAnsi" w:hAnsiTheme="majorHAnsi" w:cstheme="majorHAnsi"/>
        </w:rPr>
        <w:t xml:space="preserve"> Aquino Neto, F.R., Mello, M.R.</w:t>
      </w:r>
      <w:r w:rsidRPr="009264F1">
        <w:rPr>
          <w:rFonts w:asciiTheme="majorHAnsi" w:hAnsiTheme="majorHAnsi" w:cstheme="majorHAnsi"/>
        </w:rPr>
        <w:t xml:space="preserve"> 1993. Extended tricyclic terpanes </w:t>
      </w:r>
      <w:r w:rsidRPr="009264F1">
        <w:rPr>
          <w:rFonts w:asciiTheme="majorHAnsi" w:hAnsiTheme="majorHAnsi" w:cstheme="majorHAnsi"/>
        </w:rPr>
        <w:tab/>
        <w:t xml:space="preserve">in sediments and petroleum. </w:t>
      </w:r>
      <w:r w:rsidRPr="009264F1">
        <w:rPr>
          <w:rFonts w:asciiTheme="majorHAnsi" w:hAnsiTheme="majorHAnsi" w:cstheme="majorHAnsi"/>
          <w:i/>
        </w:rPr>
        <w:t>Organic Geochemistry 20</w:t>
      </w:r>
      <w:r w:rsidRPr="009264F1">
        <w:rPr>
          <w:rFonts w:asciiTheme="majorHAnsi" w:hAnsiTheme="majorHAnsi" w:cstheme="majorHAnsi"/>
        </w:rPr>
        <w:t xml:space="preserve">, 1039-1047. </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Didyk, B.M., Simoneit, B.R.T</w:t>
      </w:r>
      <w:r>
        <w:rPr>
          <w:rFonts w:asciiTheme="majorHAnsi" w:hAnsiTheme="majorHAnsi" w:cstheme="majorHAnsi"/>
        </w:rPr>
        <w:t>., Brassell, S.C., Eglinton, G.</w:t>
      </w:r>
      <w:r w:rsidRPr="009264F1">
        <w:rPr>
          <w:rFonts w:asciiTheme="majorHAnsi" w:hAnsiTheme="majorHAnsi" w:cstheme="majorHAnsi"/>
        </w:rPr>
        <w:t xml:space="preserve"> 1978. Organic geochemical </w:t>
      </w:r>
      <w:r w:rsidRPr="009264F1">
        <w:rPr>
          <w:rFonts w:asciiTheme="majorHAnsi" w:hAnsiTheme="majorHAnsi" w:cstheme="majorHAnsi"/>
        </w:rPr>
        <w:tab/>
        <w:t xml:space="preserve">indicators of palaeoenvironmental conditions of sedimentation. </w:t>
      </w:r>
      <w:r w:rsidRPr="009264F1">
        <w:rPr>
          <w:rFonts w:asciiTheme="majorHAnsi" w:hAnsiTheme="majorHAnsi" w:cstheme="majorHAnsi"/>
          <w:i/>
        </w:rPr>
        <w:t>Nature 272,</w:t>
      </w:r>
      <w:r w:rsidRPr="009264F1">
        <w:rPr>
          <w:rFonts w:asciiTheme="majorHAnsi" w:hAnsiTheme="majorHAnsi" w:cstheme="majorHAnsi"/>
        </w:rPr>
        <w:t xml:space="preserve"> 216-</w:t>
      </w:r>
      <w:r w:rsidRPr="009264F1">
        <w:rPr>
          <w:rFonts w:asciiTheme="majorHAnsi" w:hAnsiTheme="majorHAnsi" w:cstheme="majorHAnsi"/>
        </w:rPr>
        <w:tab/>
        <w:t>222.</w:t>
      </w: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DiMichele, W. A., Gastald</w:t>
      </w:r>
      <w:r>
        <w:rPr>
          <w:rFonts w:asciiTheme="majorHAnsi" w:hAnsiTheme="majorHAnsi" w:cstheme="majorHAnsi"/>
        </w:rPr>
        <w:t>o, R. A., Pfefferkorn, H. W. 2005</w:t>
      </w:r>
      <w:r w:rsidRPr="009264F1">
        <w:rPr>
          <w:rFonts w:asciiTheme="majorHAnsi" w:hAnsiTheme="majorHAnsi" w:cstheme="majorHAnsi"/>
        </w:rPr>
        <w:t xml:space="preserve">. Plant Biodiversity </w:t>
      </w:r>
      <w:r w:rsidRPr="009264F1">
        <w:rPr>
          <w:rFonts w:asciiTheme="majorHAnsi" w:hAnsiTheme="majorHAnsi" w:cstheme="majorHAnsi"/>
        </w:rPr>
        <w:tab/>
        <w:t xml:space="preserve">Partitioning in the Late Carboniferous and Early Permian and Its Implications </w:t>
      </w:r>
      <w:r w:rsidRPr="009264F1">
        <w:rPr>
          <w:rFonts w:asciiTheme="majorHAnsi" w:hAnsiTheme="majorHAnsi" w:cstheme="majorHAnsi"/>
        </w:rPr>
        <w:tab/>
        <w:t xml:space="preserve">for Ecosystem Assembly. </w:t>
      </w:r>
      <w:r w:rsidRPr="009264F1">
        <w:rPr>
          <w:rFonts w:asciiTheme="majorHAnsi" w:hAnsiTheme="majorHAnsi" w:cstheme="majorHAnsi"/>
          <w:i/>
        </w:rPr>
        <w:t xml:space="preserve">Proceedings of the California Academy of Sciences, </w:t>
      </w:r>
      <w:r w:rsidRPr="009264F1">
        <w:rPr>
          <w:rFonts w:asciiTheme="majorHAnsi" w:hAnsiTheme="majorHAnsi" w:cstheme="majorHAnsi"/>
          <w:i/>
        </w:rPr>
        <w:tab/>
        <w:t>56, 4th ser</w:t>
      </w:r>
      <w:r w:rsidRPr="009264F1">
        <w:rPr>
          <w:rFonts w:asciiTheme="majorHAnsi" w:hAnsiTheme="majorHAnsi" w:cstheme="majorHAnsi"/>
        </w:rPr>
        <w:t>., 32-49</w:t>
      </w:r>
    </w:p>
    <w:p w:rsidR="00C87CE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Donovan, R.N., Beauchamp</w:t>
      </w:r>
      <w:r w:rsidR="00D43454">
        <w:rPr>
          <w:rFonts w:asciiTheme="majorHAnsi" w:hAnsiTheme="majorHAnsi" w:cstheme="majorHAnsi"/>
        </w:rPr>
        <w:t>,</w:t>
      </w:r>
      <w:r w:rsidR="00FC7A78" w:rsidRPr="00FC7A78">
        <w:rPr>
          <w:rFonts w:asciiTheme="majorHAnsi" w:hAnsiTheme="majorHAnsi" w:cstheme="majorHAnsi"/>
        </w:rPr>
        <w:t xml:space="preserve"> </w:t>
      </w:r>
      <w:r w:rsidR="00FC7A78" w:rsidRPr="009264F1">
        <w:rPr>
          <w:rFonts w:asciiTheme="majorHAnsi" w:hAnsiTheme="majorHAnsi" w:cstheme="majorHAnsi"/>
        </w:rPr>
        <w:t>W.</w:t>
      </w:r>
      <w:r w:rsidRPr="009264F1">
        <w:rPr>
          <w:rFonts w:asciiTheme="majorHAnsi" w:hAnsiTheme="majorHAnsi" w:cstheme="majorHAnsi"/>
        </w:rPr>
        <w:t>, Ferraro</w:t>
      </w:r>
      <w:r w:rsidR="00D43454">
        <w:rPr>
          <w:rFonts w:asciiTheme="majorHAnsi" w:hAnsiTheme="majorHAnsi" w:cstheme="majorHAnsi"/>
        </w:rPr>
        <w:t>,</w:t>
      </w:r>
      <w:r w:rsidR="00FC7A78" w:rsidRPr="00FC7A78">
        <w:rPr>
          <w:rFonts w:asciiTheme="majorHAnsi" w:hAnsiTheme="majorHAnsi" w:cstheme="majorHAnsi"/>
        </w:rPr>
        <w:t xml:space="preserve"> </w:t>
      </w:r>
      <w:r w:rsidR="00FC7A78" w:rsidRPr="009264F1">
        <w:rPr>
          <w:rFonts w:asciiTheme="majorHAnsi" w:hAnsiTheme="majorHAnsi" w:cstheme="majorHAnsi"/>
        </w:rPr>
        <w:t>T.</w:t>
      </w:r>
      <w:r w:rsidRPr="009264F1">
        <w:rPr>
          <w:rFonts w:asciiTheme="majorHAnsi" w:hAnsiTheme="majorHAnsi" w:cstheme="majorHAnsi"/>
        </w:rPr>
        <w:t>, Lojek</w:t>
      </w:r>
      <w:r w:rsidR="00D43454">
        <w:rPr>
          <w:rFonts w:asciiTheme="majorHAnsi" w:hAnsiTheme="majorHAnsi" w:cstheme="majorHAnsi"/>
        </w:rPr>
        <w:t>,</w:t>
      </w:r>
      <w:r w:rsidR="00FC7A78" w:rsidRPr="00FC7A78">
        <w:rPr>
          <w:rFonts w:asciiTheme="majorHAnsi" w:hAnsiTheme="majorHAnsi" w:cstheme="majorHAnsi"/>
        </w:rPr>
        <w:t xml:space="preserve"> </w:t>
      </w:r>
      <w:r w:rsidR="00FC7A78" w:rsidRPr="009264F1">
        <w:rPr>
          <w:rFonts w:asciiTheme="majorHAnsi" w:hAnsiTheme="majorHAnsi" w:cstheme="majorHAnsi"/>
        </w:rPr>
        <w:t>C.</w:t>
      </w:r>
      <w:r w:rsidRPr="009264F1">
        <w:rPr>
          <w:rFonts w:asciiTheme="majorHAnsi" w:hAnsiTheme="majorHAnsi" w:cstheme="majorHAnsi"/>
        </w:rPr>
        <w:t>, McConnell</w:t>
      </w:r>
      <w:r w:rsidR="00D43454">
        <w:rPr>
          <w:rFonts w:asciiTheme="majorHAnsi" w:hAnsiTheme="majorHAnsi" w:cstheme="majorHAnsi"/>
        </w:rPr>
        <w:t>,</w:t>
      </w:r>
      <w:r w:rsidR="00FC7A78" w:rsidRPr="00FC7A78">
        <w:rPr>
          <w:rFonts w:asciiTheme="majorHAnsi" w:hAnsiTheme="majorHAnsi" w:cstheme="majorHAnsi"/>
        </w:rPr>
        <w:t xml:space="preserve"> </w:t>
      </w:r>
      <w:r w:rsidR="00FC7A78" w:rsidRPr="009264F1">
        <w:rPr>
          <w:rFonts w:asciiTheme="majorHAnsi" w:hAnsiTheme="majorHAnsi" w:cstheme="majorHAnsi"/>
        </w:rPr>
        <w:t>D.</w:t>
      </w:r>
      <w:r w:rsidRPr="009264F1">
        <w:rPr>
          <w:rFonts w:asciiTheme="majorHAnsi" w:hAnsiTheme="majorHAnsi" w:cstheme="majorHAnsi"/>
        </w:rPr>
        <w:t>, Munsil</w:t>
      </w:r>
      <w:r w:rsidR="00D43454">
        <w:rPr>
          <w:rFonts w:asciiTheme="majorHAnsi" w:hAnsiTheme="majorHAnsi" w:cstheme="majorHAnsi"/>
        </w:rPr>
        <w:t>,</w:t>
      </w:r>
      <w:r w:rsidR="00FC7A78" w:rsidRPr="00FC7A78">
        <w:rPr>
          <w:rFonts w:asciiTheme="majorHAnsi" w:hAnsiTheme="majorHAnsi" w:cstheme="majorHAnsi"/>
        </w:rPr>
        <w:t xml:space="preserve"> </w:t>
      </w:r>
      <w:r w:rsidR="00FC7A78" w:rsidRPr="009264F1">
        <w:rPr>
          <w:rFonts w:asciiTheme="majorHAnsi" w:hAnsiTheme="majorHAnsi" w:cstheme="majorHAnsi"/>
        </w:rPr>
        <w:t>M.</w:t>
      </w:r>
      <w:r w:rsidRPr="009264F1">
        <w:rPr>
          <w:rFonts w:asciiTheme="majorHAnsi" w:hAnsiTheme="majorHAnsi" w:cstheme="majorHAnsi"/>
        </w:rPr>
        <w:t xml:space="preserve">, </w:t>
      </w:r>
      <w:r w:rsidRPr="009264F1">
        <w:rPr>
          <w:rFonts w:asciiTheme="majorHAnsi" w:hAnsiTheme="majorHAnsi" w:cstheme="majorHAnsi"/>
        </w:rPr>
        <w:tab/>
        <w:t>R</w:t>
      </w:r>
      <w:r>
        <w:rPr>
          <w:rFonts w:asciiTheme="majorHAnsi" w:hAnsiTheme="majorHAnsi" w:cstheme="majorHAnsi"/>
        </w:rPr>
        <w:t>agland</w:t>
      </w:r>
      <w:r w:rsidR="00D43454">
        <w:rPr>
          <w:rFonts w:asciiTheme="majorHAnsi" w:hAnsiTheme="majorHAnsi" w:cstheme="majorHAnsi"/>
        </w:rPr>
        <w:t>,</w:t>
      </w:r>
      <w:r w:rsidR="00FC7A78" w:rsidRPr="00FC7A78">
        <w:rPr>
          <w:rFonts w:asciiTheme="majorHAnsi" w:hAnsiTheme="majorHAnsi" w:cstheme="majorHAnsi"/>
        </w:rPr>
        <w:t xml:space="preserve"> </w:t>
      </w:r>
      <w:r w:rsidR="00FC7A78" w:rsidRPr="009264F1">
        <w:rPr>
          <w:rFonts w:asciiTheme="majorHAnsi" w:hAnsiTheme="majorHAnsi" w:cstheme="majorHAnsi"/>
        </w:rPr>
        <w:t>D.</w:t>
      </w:r>
      <w:r>
        <w:rPr>
          <w:rFonts w:asciiTheme="majorHAnsi" w:hAnsiTheme="majorHAnsi" w:cstheme="majorHAnsi"/>
        </w:rPr>
        <w:t>, Sweet</w:t>
      </w:r>
      <w:r w:rsidR="00D43454">
        <w:rPr>
          <w:rFonts w:asciiTheme="majorHAnsi" w:hAnsiTheme="majorHAnsi" w:cstheme="majorHAnsi"/>
        </w:rPr>
        <w:t>,</w:t>
      </w:r>
      <w:r w:rsidR="00FC7A78" w:rsidRPr="00FC7A78">
        <w:rPr>
          <w:rFonts w:asciiTheme="majorHAnsi" w:hAnsiTheme="majorHAnsi" w:cstheme="majorHAnsi"/>
        </w:rPr>
        <w:t xml:space="preserve"> </w:t>
      </w:r>
      <w:r w:rsidR="00FC7A78">
        <w:rPr>
          <w:rFonts w:asciiTheme="majorHAnsi" w:hAnsiTheme="majorHAnsi" w:cstheme="majorHAnsi"/>
        </w:rPr>
        <w:t>B.</w:t>
      </w:r>
      <w:r>
        <w:rPr>
          <w:rFonts w:asciiTheme="majorHAnsi" w:hAnsiTheme="majorHAnsi" w:cstheme="majorHAnsi"/>
        </w:rPr>
        <w:t>, Taylor</w:t>
      </w:r>
      <w:r w:rsidR="00D43454">
        <w:rPr>
          <w:rFonts w:asciiTheme="majorHAnsi" w:hAnsiTheme="majorHAnsi" w:cstheme="majorHAnsi"/>
        </w:rPr>
        <w:t>,</w:t>
      </w:r>
      <w:r w:rsidR="00FC7A78" w:rsidRPr="00FC7A78">
        <w:rPr>
          <w:rFonts w:asciiTheme="majorHAnsi" w:hAnsiTheme="majorHAnsi" w:cstheme="majorHAnsi"/>
        </w:rPr>
        <w:t xml:space="preserve"> </w:t>
      </w:r>
      <w:r w:rsidR="00FC7A78">
        <w:rPr>
          <w:rFonts w:asciiTheme="majorHAnsi" w:hAnsiTheme="majorHAnsi" w:cstheme="majorHAnsi"/>
        </w:rPr>
        <w:t>D.</w:t>
      </w:r>
      <w:r>
        <w:rPr>
          <w:rFonts w:asciiTheme="majorHAnsi" w:hAnsiTheme="majorHAnsi" w:cstheme="majorHAnsi"/>
        </w:rPr>
        <w:t xml:space="preserve"> 1983.</w:t>
      </w:r>
      <w:r w:rsidRPr="009264F1">
        <w:rPr>
          <w:rFonts w:asciiTheme="majorHAnsi" w:hAnsiTheme="majorHAnsi" w:cstheme="majorHAnsi"/>
        </w:rPr>
        <w:t xml:space="preserve"> Subsidence rates in Oklahoma during </w:t>
      </w:r>
      <w:r w:rsidRPr="009264F1">
        <w:rPr>
          <w:rFonts w:asciiTheme="majorHAnsi" w:hAnsiTheme="majorHAnsi" w:cstheme="majorHAnsi"/>
        </w:rPr>
        <w:tab/>
        <w:t xml:space="preserve">the Paleozoic: </w:t>
      </w:r>
      <w:r w:rsidRPr="009264F1">
        <w:rPr>
          <w:rFonts w:asciiTheme="majorHAnsi" w:hAnsiTheme="majorHAnsi" w:cstheme="majorHAnsi"/>
          <w:i/>
        </w:rPr>
        <w:t>OCGS Shale Shaker,</w:t>
      </w:r>
      <w:r>
        <w:rPr>
          <w:rFonts w:asciiTheme="majorHAnsi" w:hAnsiTheme="majorHAnsi" w:cstheme="majorHAnsi"/>
          <w:i/>
        </w:rPr>
        <w:t xml:space="preserve"> </w:t>
      </w:r>
      <w:r w:rsidRPr="009264F1">
        <w:rPr>
          <w:rFonts w:asciiTheme="majorHAnsi" w:hAnsiTheme="majorHAnsi" w:cstheme="majorHAnsi"/>
          <w:i/>
        </w:rPr>
        <w:t>33</w:t>
      </w:r>
      <w:r w:rsidRPr="009264F1">
        <w:rPr>
          <w:rFonts w:asciiTheme="majorHAnsi" w:hAnsiTheme="majorHAnsi" w:cstheme="majorHAnsi"/>
        </w:rPr>
        <w:t>, 86-88.</w:t>
      </w:r>
    </w:p>
    <w:p w:rsidR="00D43454" w:rsidRPr="009264F1" w:rsidRDefault="00D43454" w:rsidP="00C87CE1">
      <w:pPr>
        <w:spacing w:before="100" w:beforeAutospacing="1" w:after="100" w:afterAutospacing="1" w:line="240" w:lineRule="auto"/>
        <w:jc w:val="both"/>
        <w:rPr>
          <w:rFonts w:asciiTheme="majorHAnsi" w:hAnsiTheme="majorHAnsi" w:cstheme="majorHAnsi"/>
        </w:rPr>
      </w:pPr>
    </w:p>
    <w:p w:rsidR="00C87CE1" w:rsidRDefault="0082779E"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lastRenderedPageBreak/>
        <w:t>d</w:t>
      </w:r>
      <w:r w:rsidR="00C87CE1" w:rsidRPr="009264F1">
        <w:rPr>
          <w:rFonts w:asciiTheme="majorHAnsi" w:hAnsiTheme="majorHAnsi" w:cstheme="majorHAnsi"/>
        </w:rPr>
        <w:t>os Santos, C., Holanda, E. C., Souza, V. D., Guerra-Sommer, M., Manfroi, J</w:t>
      </w:r>
      <w:r w:rsidR="00C87CE1">
        <w:rPr>
          <w:rFonts w:asciiTheme="majorHAnsi" w:hAnsiTheme="majorHAnsi" w:cstheme="majorHAnsi"/>
        </w:rPr>
        <w:t xml:space="preserve">., Uhl, D., </w:t>
      </w:r>
      <w:r w:rsidR="00C87CE1">
        <w:rPr>
          <w:rFonts w:asciiTheme="majorHAnsi" w:hAnsiTheme="majorHAnsi" w:cstheme="majorHAnsi"/>
        </w:rPr>
        <w:tab/>
        <w:t>Jasper, A. 2016</w:t>
      </w:r>
      <w:r w:rsidR="00C87CE1" w:rsidRPr="009264F1">
        <w:rPr>
          <w:rFonts w:asciiTheme="majorHAnsi" w:hAnsiTheme="majorHAnsi" w:cstheme="majorHAnsi"/>
        </w:rPr>
        <w:t xml:space="preserve">. Evidence of </w:t>
      </w:r>
      <w:r w:rsidR="00C87CE1">
        <w:rPr>
          <w:rFonts w:asciiTheme="majorHAnsi" w:hAnsiTheme="majorHAnsi" w:cstheme="majorHAnsi"/>
        </w:rPr>
        <w:t xml:space="preserve">palaeo-wildfire from the upper lower Cretaceous </w:t>
      </w:r>
      <w:r w:rsidR="00C87CE1">
        <w:rPr>
          <w:rFonts w:asciiTheme="majorHAnsi" w:hAnsiTheme="majorHAnsi" w:cstheme="majorHAnsi"/>
        </w:rPr>
        <w:tab/>
        <w:t xml:space="preserve">(Serra do Tucano Formation, </w:t>
      </w:r>
      <w:r w:rsidR="00C87CE1" w:rsidRPr="009264F1">
        <w:rPr>
          <w:rFonts w:asciiTheme="majorHAnsi" w:hAnsiTheme="majorHAnsi" w:cstheme="majorHAnsi"/>
        </w:rPr>
        <w:t>Ap</w:t>
      </w:r>
      <w:r w:rsidR="00C87CE1">
        <w:rPr>
          <w:rFonts w:asciiTheme="majorHAnsi" w:hAnsiTheme="majorHAnsi" w:cstheme="majorHAnsi"/>
        </w:rPr>
        <w:t xml:space="preserve">tian–Albian) of Roraima (North Brazil). </w:t>
      </w:r>
      <w:r w:rsidR="00C87CE1">
        <w:rPr>
          <w:rFonts w:asciiTheme="majorHAnsi" w:hAnsiTheme="majorHAnsi" w:cstheme="majorHAnsi"/>
        </w:rPr>
        <w:tab/>
      </w:r>
      <w:r w:rsidR="00C87CE1" w:rsidRPr="00D55328">
        <w:rPr>
          <w:rFonts w:asciiTheme="majorHAnsi" w:hAnsiTheme="majorHAnsi" w:cstheme="majorHAnsi"/>
          <w:i/>
        </w:rPr>
        <w:t>Cretaceous Research, 57</w:t>
      </w:r>
      <w:r w:rsidR="00C87CE1" w:rsidRPr="009264F1">
        <w:rPr>
          <w:rFonts w:asciiTheme="majorHAnsi" w:hAnsiTheme="majorHAnsi" w:cstheme="majorHAnsi"/>
        </w:rPr>
        <w:t>, 46-49.</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2030C1">
        <w:rPr>
          <w:shd w:val="clear" w:color="auto" w:fill="FFFFFF"/>
        </w:rPr>
        <w:t>Elias, V., Barros, A. D.</w:t>
      </w:r>
      <w:r>
        <w:rPr>
          <w:shd w:val="clear" w:color="auto" w:fill="FFFFFF"/>
        </w:rPr>
        <w:t>, Barros, A. D., Simoneit, B., Cardoso, J. 1997</w:t>
      </w:r>
      <w:r w:rsidRPr="002030C1">
        <w:rPr>
          <w:shd w:val="clear" w:color="auto" w:fill="FFFFFF"/>
        </w:rPr>
        <w:t xml:space="preserve">. </w:t>
      </w:r>
      <w:r>
        <w:rPr>
          <w:shd w:val="clear" w:color="auto" w:fill="FFFFFF"/>
        </w:rPr>
        <w:tab/>
      </w:r>
      <w:r w:rsidRPr="002030C1">
        <w:rPr>
          <w:shd w:val="clear" w:color="auto" w:fill="FFFFFF"/>
        </w:rPr>
        <w:t xml:space="preserve">Sesquiterpenoids in sediments of a hypersaline lagoon: A possible algal </w:t>
      </w:r>
      <w:r>
        <w:rPr>
          <w:shd w:val="clear" w:color="auto" w:fill="FFFFFF"/>
        </w:rPr>
        <w:tab/>
      </w:r>
      <w:r w:rsidRPr="002030C1">
        <w:rPr>
          <w:shd w:val="clear" w:color="auto" w:fill="FFFFFF"/>
        </w:rPr>
        <w:t>origin. </w:t>
      </w:r>
      <w:r w:rsidRPr="002030C1">
        <w:rPr>
          <w:i/>
          <w:iCs/>
        </w:rPr>
        <w:t>Organic Geochemistry,</w:t>
      </w:r>
      <w:r>
        <w:rPr>
          <w:i/>
          <w:iCs/>
        </w:rPr>
        <w:t xml:space="preserve"> </w:t>
      </w:r>
      <w:r w:rsidRPr="002030C1">
        <w:rPr>
          <w:i/>
          <w:iCs/>
        </w:rPr>
        <w:t>26</w:t>
      </w:r>
      <w:r w:rsidRPr="002030C1">
        <w:rPr>
          <w:shd w:val="clear" w:color="auto" w:fill="FFFFFF"/>
        </w:rPr>
        <w:t>(11-12), 721-730.</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Emery, M., Sutterlin, P. G. 1986.</w:t>
      </w:r>
      <w:r w:rsidRPr="009264F1">
        <w:rPr>
          <w:rFonts w:asciiTheme="majorHAnsi" w:hAnsiTheme="majorHAnsi" w:cstheme="majorHAnsi"/>
        </w:rPr>
        <w:t xml:space="preserve"> Characterization of a Morrowan sandstone </w:t>
      </w:r>
      <w:r w:rsidRPr="009264F1">
        <w:rPr>
          <w:rFonts w:asciiTheme="majorHAnsi" w:hAnsiTheme="majorHAnsi" w:cstheme="majorHAnsi"/>
        </w:rPr>
        <w:tab/>
        <w:t>reservoir, Lexi</w:t>
      </w:r>
      <w:r>
        <w:rPr>
          <w:rFonts w:asciiTheme="majorHAnsi" w:hAnsiTheme="majorHAnsi" w:cstheme="majorHAnsi"/>
        </w:rPr>
        <w:t>ngton field, Clark C</w:t>
      </w:r>
      <w:r w:rsidRPr="009264F1">
        <w:rPr>
          <w:rFonts w:asciiTheme="majorHAnsi" w:hAnsiTheme="majorHAnsi" w:cstheme="majorHAnsi"/>
        </w:rPr>
        <w:t xml:space="preserve">ounty, Kansas: </w:t>
      </w:r>
      <w:r w:rsidRPr="009264F1">
        <w:rPr>
          <w:rFonts w:asciiTheme="majorHAnsi" w:hAnsiTheme="majorHAnsi" w:cstheme="majorHAnsi"/>
          <w:i/>
        </w:rPr>
        <w:t>Shale Shaker Digest, 22</w:t>
      </w:r>
      <w:r w:rsidRPr="009264F1">
        <w:rPr>
          <w:rFonts w:asciiTheme="majorHAnsi" w:hAnsiTheme="majorHAnsi" w:cstheme="majorHAnsi"/>
        </w:rPr>
        <w:t>, 18-</w:t>
      </w:r>
      <w:r w:rsidRPr="009264F1">
        <w:rPr>
          <w:rFonts w:asciiTheme="majorHAnsi" w:hAnsiTheme="majorHAnsi" w:cstheme="majorHAnsi"/>
        </w:rPr>
        <w:tab/>
        <w:t>33.</w:t>
      </w:r>
    </w:p>
    <w:p w:rsidR="00C87CE1" w:rsidRPr="009264F1" w:rsidRDefault="00E77BBB" w:rsidP="00C87CE1">
      <w:pPr>
        <w:spacing w:before="100" w:beforeAutospacing="1" w:after="100" w:afterAutospacing="1" w:line="240" w:lineRule="auto"/>
        <w:jc w:val="both"/>
        <w:rPr>
          <w:rFonts w:asciiTheme="majorHAnsi" w:hAnsiTheme="majorHAnsi" w:cstheme="majorHAnsi"/>
        </w:rPr>
      </w:pPr>
      <w:r>
        <w:t>Espitalié</w:t>
      </w:r>
      <w:r w:rsidR="00C87CE1" w:rsidRPr="009264F1">
        <w:t>, J., Madec, M., Tissot, B.</w:t>
      </w:r>
      <w:r w:rsidR="00C87CE1">
        <w:t>, Menning, J.J., Leplat, P. 1977. Source rock</w:t>
      </w:r>
      <w:r w:rsidR="00C87CE1">
        <w:tab/>
      </w:r>
      <w:r w:rsidR="00C87CE1" w:rsidRPr="009264F1">
        <w:t xml:space="preserve">characterization method for petroleum exploration: </w:t>
      </w:r>
      <w:r w:rsidR="00C87CE1" w:rsidRPr="009264F1">
        <w:rPr>
          <w:i/>
        </w:rPr>
        <w:t xml:space="preserve">Proc. of the 9th </w:t>
      </w:r>
      <w:r w:rsidR="00C87CE1">
        <w:rPr>
          <w:i/>
        </w:rPr>
        <w:t>Annual</w:t>
      </w:r>
      <w:r w:rsidR="00C87CE1">
        <w:rPr>
          <w:i/>
        </w:rPr>
        <w:tab/>
        <w:t>Offshore Tech. Conf.,</w:t>
      </w:r>
      <w:r w:rsidR="00C87CE1" w:rsidRPr="009264F1">
        <w:rPr>
          <w:i/>
        </w:rPr>
        <w:t xml:space="preserve"> 3,</w:t>
      </w:r>
      <w:r w:rsidR="00C87CE1" w:rsidRPr="009264F1">
        <w:t xml:space="preserve"> 439-448.</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Farrimond</w:t>
      </w:r>
      <w:r>
        <w:rPr>
          <w:rFonts w:asciiTheme="majorHAnsi" w:hAnsiTheme="majorHAnsi" w:cstheme="majorHAnsi"/>
        </w:rPr>
        <w:t>, P., Bevan, C.J., Bishop, A.N.</w:t>
      </w:r>
      <w:r w:rsidRPr="009264F1">
        <w:rPr>
          <w:rFonts w:asciiTheme="majorHAnsi" w:hAnsiTheme="majorHAnsi" w:cstheme="majorHAnsi"/>
        </w:rPr>
        <w:t xml:space="preserve"> 1999. Tricyclic terpane maturity parameters: </w:t>
      </w:r>
      <w:r w:rsidRPr="009264F1">
        <w:rPr>
          <w:rFonts w:asciiTheme="majorHAnsi" w:hAnsiTheme="majorHAnsi" w:cstheme="majorHAnsi"/>
        </w:rPr>
        <w:tab/>
        <w:t xml:space="preserve">response to heating by an igneous intrusion. </w:t>
      </w:r>
      <w:r w:rsidRPr="009264F1">
        <w:rPr>
          <w:rFonts w:asciiTheme="majorHAnsi" w:hAnsiTheme="majorHAnsi" w:cstheme="majorHAnsi"/>
          <w:i/>
        </w:rPr>
        <w:t>Organic Geochemistry 30</w:t>
      </w:r>
      <w:r w:rsidRPr="009264F1">
        <w:rPr>
          <w:rFonts w:asciiTheme="majorHAnsi" w:hAnsiTheme="majorHAnsi" w:cstheme="majorHAnsi"/>
        </w:rPr>
        <w:t>, 1011-</w:t>
      </w:r>
      <w:r w:rsidRPr="009264F1">
        <w:rPr>
          <w:rFonts w:asciiTheme="majorHAnsi" w:hAnsiTheme="majorHAnsi" w:cstheme="majorHAnsi"/>
        </w:rPr>
        <w:tab/>
        <w:t>1019.</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Feinstein, S. 1981.</w:t>
      </w:r>
      <w:r w:rsidRPr="009264F1">
        <w:rPr>
          <w:rFonts w:asciiTheme="majorHAnsi" w:hAnsiTheme="majorHAnsi" w:cstheme="majorHAnsi"/>
        </w:rPr>
        <w:t xml:space="preserve"> Subsidence and thermal history of southern Oklahoma aulacogen: </w:t>
      </w:r>
      <w:r w:rsidRPr="009264F1">
        <w:rPr>
          <w:rFonts w:asciiTheme="majorHAnsi" w:hAnsiTheme="majorHAnsi" w:cstheme="majorHAnsi"/>
        </w:rPr>
        <w:tab/>
        <w:t xml:space="preserve">implications for petroleum exploration: </w:t>
      </w:r>
      <w:r w:rsidRPr="009264F1">
        <w:rPr>
          <w:rFonts w:asciiTheme="majorHAnsi" w:hAnsiTheme="majorHAnsi" w:cstheme="majorHAnsi"/>
          <w:i/>
        </w:rPr>
        <w:t>AAPG Bulletin, 65,</w:t>
      </w:r>
      <w:r w:rsidRPr="009264F1">
        <w:rPr>
          <w:rFonts w:asciiTheme="majorHAnsi" w:hAnsiTheme="majorHAnsi" w:cstheme="majorHAnsi"/>
        </w:rPr>
        <w:t xml:space="preserve"> 2521-2533.</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bCs/>
          <w:shd w:val="clear" w:color="auto" w:fill="FFFFFF"/>
        </w:rPr>
        <w:t>Forgotson, J. M., Jr.</w:t>
      </w:r>
      <w:r>
        <w:rPr>
          <w:rFonts w:asciiTheme="majorHAnsi" w:hAnsiTheme="majorHAnsi" w:cstheme="majorHAnsi"/>
          <w:bCs/>
          <w:shd w:val="clear" w:color="auto" w:fill="FFFFFF"/>
        </w:rPr>
        <w:t>, Stalker, A. T., David, M.</w:t>
      </w:r>
      <w:r w:rsidRPr="009264F1">
        <w:rPr>
          <w:rFonts w:asciiTheme="majorHAnsi" w:hAnsiTheme="majorHAnsi" w:cstheme="majorHAnsi"/>
          <w:bCs/>
          <w:shd w:val="clear" w:color="auto" w:fill="FFFFFF"/>
        </w:rPr>
        <w:t xml:space="preserve"> 1966. Influence of Regional </w:t>
      </w:r>
      <w:r w:rsidRPr="009264F1">
        <w:rPr>
          <w:rFonts w:asciiTheme="majorHAnsi" w:hAnsiTheme="majorHAnsi" w:cstheme="majorHAnsi"/>
          <w:bCs/>
          <w:shd w:val="clear" w:color="auto" w:fill="FFFFFF"/>
        </w:rPr>
        <w:tab/>
        <w:t xml:space="preserve">Tectonics and Local Structure on Deposition of Morrow Formation in </w:t>
      </w:r>
      <w:r w:rsidRPr="009264F1">
        <w:rPr>
          <w:rFonts w:asciiTheme="majorHAnsi" w:hAnsiTheme="majorHAnsi" w:cstheme="majorHAnsi"/>
          <w:bCs/>
          <w:shd w:val="clear" w:color="auto" w:fill="FFFFFF"/>
        </w:rPr>
        <w:tab/>
        <w:t>Western Anadarko Basin.</w:t>
      </w:r>
      <w:r w:rsidRPr="009264F1">
        <w:rPr>
          <w:rStyle w:val="apple-converted-space"/>
          <w:rFonts w:asciiTheme="majorHAnsi" w:hAnsiTheme="majorHAnsi" w:cstheme="majorHAnsi"/>
          <w:bCs/>
          <w:shd w:val="clear" w:color="auto" w:fill="FFFFFF"/>
        </w:rPr>
        <w:t> </w:t>
      </w:r>
      <w:r w:rsidRPr="009264F1">
        <w:rPr>
          <w:rFonts w:asciiTheme="majorHAnsi" w:hAnsiTheme="majorHAnsi" w:cstheme="majorHAnsi"/>
          <w:bCs/>
          <w:i/>
          <w:iCs/>
          <w:shd w:val="clear" w:color="auto" w:fill="FFFFFF"/>
        </w:rPr>
        <w:t>AAPG Bulletin, 50</w:t>
      </w:r>
      <w:r w:rsidRPr="009264F1">
        <w:rPr>
          <w:rFonts w:asciiTheme="majorHAnsi" w:hAnsiTheme="majorHAnsi" w:cstheme="majorHAnsi"/>
          <w:bCs/>
          <w:shd w:val="clear" w:color="auto" w:fill="FFFFFF"/>
        </w:rPr>
        <w:t>, 518-532.</w:t>
      </w:r>
    </w:p>
    <w:p w:rsidR="00C87CE1" w:rsidRPr="00D55328" w:rsidRDefault="00C87CE1" w:rsidP="00C87CE1">
      <w:pPr>
        <w:spacing w:before="100" w:beforeAutospacing="1" w:after="100" w:afterAutospacing="1" w:line="240" w:lineRule="auto"/>
        <w:jc w:val="both"/>
        <w:rPr>
          <w:rFonts w:asciiTheme="majorHAnsi" w:hAnsiTheme="majorHAnsi" w:cstheme="majorHAnsi"/>
          <w:bCs/>
          <w:i/>
          <w:shd w:val="clear" w:color="auto" w:fill="FFFFFF"/>
        </w:rPr>
      </w:pPr>
      <w:r w:rsidRPr="009264F1">
        <w:rPr>
          <w:rFonts w:asciiTheme="majorHAnsi" w:hAnsiTheme="majorHAnsi" w:cstheme="majorHAnsi"/>
          <w:bCs/>
          <w:shd w:val="clear" w:color="auto" w:fill="FFFFFF"/>
        </w:rPr>
        <w:t xml:space="preserve">Friis, E. M., </w:t>
      </w:r>
      <w:r>
        <w:rPr>
          <w:rFonts w:asciiTheme="majorHAnsi" w:hAnsiTheme="majorHAnsi" w:cstheme="majorHAnsi"/>
          <w:bCs/>
          <w:shd w:val="clear" w:color="auto" w:fill="FFFFFF"/>
        </w:rPr>
        <w:t>Crane, P. R., Pedersen, K. R.</w:t>
      </w:r>
      <w:r w:rsidRPr="009264F1">
        <w:rPr>
          <w:rFonts w:asciiTheme="majorHAnsi" w:hAnsiTheme="majorHAnsi" w:cstheme="majorHAnsi"/>
          <w:bCs/>
          <w:shd w:val="clear" w:color="auto" w:fill="FFFFFF"/>
        </w:rPr>
        <w:t xml:space="preserve"> 2011. </w:t>
      </w:r>
      <w:r w:rsidRPr="00D55328">
        <w:rPr>
          <w:rFonts w:asciiTheme="majorHAnsi" w:hAnsiTheme="majorHAnsi" w:cstheme="majorHAnsi"/>
          <w:bCs/>
          <w:iCs/>
          <w:shd w:val="clear" w:color="auto" w:fill="FFFFFF"/>
        </w:rPr>
        <w:t>Early flowers and angiosperm</w:t>
      </w:r>
      <w:r w:rsidRPr="00D55328">
        <w:rPr>
          <w:rFonts w:asciiTheme="majorHAnsi" w:hAnsiTheme="majorHAnsi" w:cstheme="majorHAnsi"/>
          <w:bCs/>
          <w:iCs/>
          <w:shd w:val="clear" w:color="auto" w:fill="FFFFFF"/>
        </w:rPr>
        <w:tab/>
        <w:t>evolution</w:t>
      </w:r>
      <w:r w:rsidRPr="009264F1">
        <w:rPr>
          <w:rFonts w:asciiTheme="majorHAnsi" w:hAnsiTheme="majorHAnsi" w:cstheme="majorHAnsi"/>
          <w:bCs/>
          <w:shd w:val="clear" w:color="auto" w:fill="FFFFFF"/>
        </w:rPr>
        <w:t xml:space="preserve">. </w:t>
      </w:r>
      <w:r w:rsidRPr="00D55328">
        <w:rPr>
          <w:rFonts w:asciiTheme="majorHAnsi" w:hAnsiTheme="majorHAnsi" w:cstheme="majorHAnsi"/>
          <w:bCs/>
          <w:i/>
          <w:shd w:val="clear" w:color="auto" w:fill="FFFFFF"/>
        </w:rPr>
        <w:t>Cambridge: Cambridge University Press.</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Garner, D. L.,</w:t>
      </w:r>
      <w:r w:rsidRPr="009264F1">
        <w:rPr>
          <w:rFonts w:asciiTheme="majorHAnsi" w:hAnsiTheme="majorHAnsi" w:cstheme="majorHAnsi"/>
        </w:rPr>
        <w:t xml:space="preserve"> Turcot</w:t>
      </w:r>
      <w:r>
        <w:rPr>
          <w:rFonts w:asciiTheme="majorHAnsi" w:hAnsiTheme="majorHAnsi" w:cstheme="majorHAnsi"/>
        </w:rPr>
        <w:t>te, D. L. 1984</w:t>
      </w:r>
      <w:r w:rsidRPr="009264F1">
        <w:rPr>
          <w:rFonts w:asciiTheme="majorHAnsi" w:hAnsiTheme="majorHAnsi" w:cstheme="majorHAnsi"/>
        </w:rPr>
        <w:t xml:space="preserve">. The thermal and mechanical evolution of the </w:t>
      </w:r>
      <w:r w:rsidRPr="009264F1">
        <w:rPr>
          <w:rFonts w:asciiTheme="majorHAnsi" w:hAnsiTheme="majorHAnsi" w:cstheme="majorHAnsi"/>
        </w:rPr>
        <w:tab/>
        <w:t xml:space="preserve">Anadarko basin. </w:t>
      </w:r>
      <w:r w:rsidRPr="009264F1">
        <w:rPr>
          <w:rFonts w:asciiTheme="majorHAnsi" w:hAnsiTheme="majorHAnsi" w:cstheme="majorHAnsi"/>
          <w:i/>
        </w:rPr>
        <w:t>Tectonophysics, 107(1-2)</w:t>
      </w:r>
      <w:r w:rsidRPr="009264F1">
        <w:rPr>
          <w:rFonts w:asciiTheme="majorHAnsi" w:hAnsiTheme="majorHAnsi" w:cstheme="majorHAnsi"/>
        </w:rPr>
        <w:t>, 1-24.</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Garrigues, P., Parlanti, E., Radke,</w:t>
      </w:r>
      <w:r>
        <w:rPr>
          <w:rFonts w:asciiTheme="majorHAnsi" w:hAnsiTheme="majorHAnsi" w:cstheme="majorHAnsi"/>
        </w:rPr>
        <w:t xml:space="preserve"> M., Bellocq, J., Willsch, H., Ewald, M. (1987).</w:t>
      </w:r>
      <w:r>
        <w:rPr>
          <w:rFonts w:asciiTheme="majorHAnsi" w:hAnsiTheme="majorHAnsi" w:cstheme="majorHAnsi"/>
        </w:rPr>
        <w:tab/>
      </w:r>
      <w:r w:rsidRPr="009264F1">
        <w:rPr>
          <w:rFonts w:asciiTheme="majorHAnsi" w:hAnsiTheme="majorHAnsi" w:cstheme="majorHAnsi"/>
        </w:rPr>
        <w:t xml:space="preserve">Identification of alkyphenanthrenes in shale oil and coal </w:t>
      </w:r>
      <w:r>
        <w:rPr>
          <w:rFonts w:asciiTheme="majorHAnsi" w:hAnsiTheme="majorHAnsi" w:cstheme="majorHAnsi"/>
        </w:rPr>
        <w:t>by liquid and capillary</w:t>
      </w:r>
      <w:r>
        <w:rPr>
          <w:rFonts w:asciiTheme="majorHAnsi" w:hAnsiTheme="majorHAnsi" w:cstheme="majorHAnsi"/>
        </w:rPr>
        <w:tab/>
      </w:r>
      <w:r w:rsidRPr="009264F1">
        <w:rPr>
          <w:rFonts w:asciiTheme="majorHAnsi" w:hAnsiTheme="majorHAnsi" w:cstheme="majorHAnsi"/>
        </w:rPr>
        <w:t>gas chromatography and high-resolution spectrofluorimetry (shpolskii effect).</w:t>
      </w:r>
      <w:r w:rsidRPr="009264F1">
        <w:rPr>
          <w:rFonts w:asciiTheme="majorHAnsi" w:hAnsiTheme="majorHAnsi" w:cstheme="majorHAnsi"/>
        </w:rPr>
        <w:tab/>
      </w:r>
      <w:r w:rsidRPr="009264F1">
        <w:rPr>
          <w:rFonts w:asciiTheme="majorHAnsi" w:hAnsiTheme="majorHAnsi" w:cstheme="majorHAnsi"/>
          <w:i/>
        </w:rPr>
        <w:t>Journal of Chromatography A, 395,</w:t>
      </w:r>
      <w:r w:rsidRPr="009264F1">
        <w:rPr>
          <w:rFonts w:asciiTheme="majorHAnsi" w:hAnsiTheme="majorHAnsi" w:cstheme="majorHAnsi"/>
        </w:rPr>
        <w:t xml:space="preserve"> 217-228.</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Glasspo</w:t>
      </w:r>
      <w:r>
        <w:rPr>
          <w:rFonts w:asciiTheme="majorHAnsi" w:hAnsiTheme="majorHAnsi" w:cstheme="majorHAnsi"/>
        </w:rPr>
        <w:t>ol, I., Edwards, D., Axe, L. 2004</w:t>
      </w:r>
      <w:r w:rsidRPr="009264F1">
        <w:rPr>
          <w:rFonts w:asciiTheme="majorHAnsi" w:hAnsiTheme="majorHAnsi" w:cstheme="majorHAnsi"/>
        </w:rPr>
        <w:t>. Charcoal in th</w:t>
      </w:r>
      <w:r>
        <w:rPr>
          <w:rFonts w:asciiTheme="majorHAnsi" w:hAnsiTheme="majorHAnsi" w:cstheme="majorHAnsi"/>
        </w:rPr>
        <w:t xml:space="preserve">e Silurian as evidence for the </w:t>
      </w:r>
      <w:r>
        <w:rPr>
          <w:rFonts w:asciiTheme="majorHAnsi" w:hAnsiTheme="majorHAnsi" w:cstheme="majorHAnsi"/>
        </w:rPr>
        <w:tab/>
      </w:r>
      <w:r w:rsidRPr="009264F1">
        <w:rPr>
          <w:rFonts w:asciiTheme="majorHAnsi" w:hAnsiTheme="majorHAnsi" w:cstheme="majorHAnsi"/>
        </w:rPr>
        <w:t>earliest wildfire. </w:t>
      </w:r>
      <w:r w:rsidRPr="009264F1">
        <w:rPr>
          <w:rFonts w:asciiTheme="majorHAnsi" w:hAnsiTheme="majorHAnsi" w:cstheme="majorHAnsi"/>
          <w:i/>
        </w:rPr>
        <w:t>Geology, 32(5),</w:t>
      </w:r>
      <w:r w:rsidRPr="009264F1">
        <w:rPr>
          <w:rFonts w:asciiTheme="majorHAnsi" w:hAnsiTheme="majorHAnsi" w:cstheme="majorHAnsi"/>
        </w:rPr>
        <w:t xml:space="preserve"> 381.</w:t>
      </w:r>
    </w:p>
    <w:p w:rsidR="00C87CE1" w:rsidRPr="009264F1" w:rsidRDefault="00C87CE1" w:rsidP="00C87CE1">
      <w:pPr>
        <w:spacing w:before="100" w:beforeAutospacing="1" w:after="100" w:afterAutospacing="1" w:line="240" w:lineRule="auto"/>
        <w:jc w:val="both"/>
        <w:rPr>
          <w:rFonts w:asciiTheme="majorHAnsi" w:hAnsiTheme="majorHAnsi" w:cstheme="majorHAnsi"/>
          <w:lang w:val="tr-TR"/>
        </w:rPr>
      </w:pPr>
      <w:r>
        <w:rPr>
          <w:rFonts w:asciiTheme="majorHAnsi" w:hAnsiTheme="majorHAnsi" w:cstheme="majorHAnsi"/>
          <w:lang w:val="tr-TR"/>
        </w:rPr>
        <w:t>Golonka, J. 2000</w:t>
      </w:r>
      <w:r w:rsidRPr="009264F1">
        <w:rPr>
          <w:rFonts w:asciiTheme="majorHAnsi" w:hAnsiTheme="majorHAnsi" w:cstheme="majorHAnsi"/>
          <w:lang w:val="tr-TR"/>
        </w:rPr>
        <w:t xml:space="preserve">. Cambrian-Neogene Plate Tectonic Maps. 1-125, </w:t>
      </w:r>
      <w:r w:rsidRPr="009264F1">
        <w:rPr>
          <w:rFonts w:asciiTheme="majorHAnsi" w:hAnsiTheme="majorHAnsi" w:cstheme="majorHAnsi"/>
          <w:i/>
          <w:lang w:val="tr-TR"/>
        </w:rPr>
        <w:t xml:space="preserve">Wydawnictwa </w:t>
      </w:r>
      <w:r w:rsidRPr="009264F1">
        <w:rPr>
          <w:rFonts w:asciiTheme="majorHAnsi" w:hAnsiTheme="majorHAnsi" w:cstheme="majorHAnsi"/>
          <w:i/>
          <w:lang w:val="tr-TR"/>
        </w:rPr>
        <w:tab/>
        <w:t>Uniwersytetu Jagiellońskiego, Kraków</w:t>
      </w:r>
      <w:r w:rsidRPr="009264F1">
        <w:rPr>
          <w:rFonts w:asciiTheme="majorHAnsi" w:hAnsiTheme="majorHAnsi" w:cstheme="majorHAnsi"/>
          <w:lang w:val="tr-TR"/>
        </w:rPr>
        <w:t>.</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lastRenderedPageBreak/>
        <w:t xml:space="preserve">Gong, S., </w:t>
      </w:r>
      <w:r>
        <w:rPr>
          <w:rFonts w:asciiTheme="majorHAnsi" w:hAnsiTheme="majorHAnsi" w:cstheme="majorHAnsi"/>
        </w:rPr>
        <w:t>George, S. C., Volk, H., Liu, K., Peng, P.</w:t>
      </w:r>
      <w:r w:rsidRPr="009264F1">
        <w:rPr>
          <w:rFonts w:asciiTheme="majorHAnsi" w:hAnsiTheme="majorHAnsi" w:cstheme="majorHAnsi"/>
        </w:rPr>
        <w:t xml:space="preserve"> 2007. Petroleu</w:t>
      </w:r>
      <w:r>
        <w:rPr>
          <w:rFonts w:asciiTheme="majorHAnsi" w:hAnsiTheme="majorHAnsi" w:cstheme="majorHAnsi"/>
        </w:rPr>
        <w:t xml:space="preserve">m Charge History in </w:t>
      </w:r>
      <w:r>
        <w:rPr>
          <w:rFonts w:asciiTheme="majorHAnsi" w:hAnsiTheme="majorHAnsi" w:cstheme="majorHAnsi"/>
        </w:rPr>
        <w:tab/>
        <w:t xml:space="preserve">the Lunnan </w:t>
      </w:r>
      <w:r w:rsidRPr="009264F1">
        <w:rPr>
          <w:rFonts w:asciiTheme="majorHAnsi" w:hAnsiTheme="majorHAnsi" w:cstheme="majorHAnsi"/>
        </w:rPr>
        <w:t xml:space="preserve">Low Uplift, Tarim Basin, China—Evidence from Oil-Bearing Fluid </w:t>
      </w:r>
      <w:r>
        <w:rPr>
          <w:rFonts w:asciiTheme="majorHAnsi" w:hAnsiTheme="majorHAnsi" w:cstheme="majorHAnsi"/>
        </w:rPr>
        <w:tab/>
      </w:r>
      <w:r w:rsidRPr="009264F1">
        <w:rPr>
          <w:rFonts w:asciiTheme="majorHAnsi" w:hAnsiTheme="majorHAnsi" w:cstheme="majorHAnsi"/>
        </w:rPr>
        <w:t>Inclusions.</w:t>
      </w:r>
      <w:r>
        <w:rPr>
          <w:rFonts w:asciiTheme="majorHAnsi" w:hAnsiTheme="majorHAnsi" w:cstheme="majorHAnsi"/>
        </w:rPr>
        <w:t xml:space="preserve"> </w:t>
      </w:r>
      <w:r w:rsidRPr="009264F1">
        <w:rPr>
          <w:rFonts w:asciiTheme="majorHAnsi" w:hAnsiTheme="majorHAnsi" w:cstheme="majorHAnsi"/>
          <w:i/>
        </w:rPr>
        <w:t>Organic Geochemistry, 38(8)</w:t>
      </w:r>
      <w:r>
        <w:rPr>
          <w:rFonts w:asciiTheme="majorHAnsi" w:hAnsiTheme="majorHAnsi" w:cstheme="majorHAnsi"/>
        </w:rPr>
        <w:t>,</w:t>
      </w:r>
      <w:r w:rsidRPr="009264F1">
        <w:rPr>
          <w:rFonts w:asciiTheme="majorHAnsi" w:hAnsiTheme="majorHAnsi" w:cstheme="majorHAnsi"/>
        </w:rPr>
        <w:t xml:space="preserve"> 1341–1355</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Goodarz</w:t>
      </w:r>
      <w:r>
        <w:rPr>
          <w:rFonts w:asciiTheme="majorHAnsi" w:hAnsiTheme="majorHAnsi" w:cstheme="majorHAnsi"/>
        </w:rPr>
        <w:t>i, F., Brooks, P., Embry, A. 1989</w:t>
      </w:r>
      <w:r w:rsidRPr="009264F1">
        <w:rPr>
          <w:rFonts w:asciiTheme="majorHAnsi" w:hAnsiTheme="majorHAnsi" w:cstheme="majorHAnsi"/>
        </w:rPr>
        <w:t xml:space="preserve">. Regional maturity as determined by </w:t>
      </w:r>
      <w:r w:rsidRPr="009264F1">
        <w:rPr>
          <w:rFonts w:asciiTheme="majorHAnsi" w:hAnsiTheme="majorHAnsi" w:cstheme="majorHAnsi"/>
        </w:rPr>
        <w:tab/>
        <w:t xml:space="preserve">organic petrography and geochemistry of the Schei Point Group (Triassic) in the </w:t>
      </w:r>
      <w:r w:rsidRPr="009264F1">
        <w:rPr>
          <w:rFonts w:asciiTheme="majorHAnsi" w:hAnsiTheme="majorHAnsi" w:cstheme="majorHAnsi"/>
        </w:rPr>
        <w:tab/>
        <w:t xml:space="preserve">western Sverdrup Basin, Canadian Arctic Archipelago. </w:t>
      </w:r>
      <w:r>
        <w:rPr>
          <w:rFonts w:asciiTheme="majorHAnsi" w:hAnsiTheme="majorHAnsi" w:cstheme="majorHAnsi"/>
          <w:i/>
        </w:rPr>
        <w:t>Marine and Petroleum</w:t>
      </w:r>
      <w:r>
        <w:rPr>
          <w:rFonts w:asciiTheme="majorHAnsi" w:hAnsiTheme="majorHAnsi" w:cstheme="majorHAnsi"/>
          <w:i/>
        </w:rPr>
        <w:tab/>
      </w:r>
      <w:r w:rsidRPr="009264F1">
        <w:rPr>
          <w:rFonts w:asciiTheme="majorHAnsi" w:hAnsiTheme="majorHAnsi" w:cstheme="majorHAnsi"/>
          <w:i/>
        </w:rPr>
        <w:t>Geology, 6(4),</w:t>
      </w:r>
      <w:r w:rsidRPr="009264F1">
        <w:rPr>
          <w:rFonts w:asciiTheme="majorHAnsi" w:hAnsiTheme="majorHAnsi" w:cstheme="majorHAnsi"/>
        </w:rPr>
        <w:t xml:space="preserve"> 290-302.</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Goossens, H., De</w:t>
      </w:r>
      <w:r>
        <w:rPr>
          <w:rFonts w:asciiTheme="majorHAnsi" w:hAnsiTheme="majorHAnsi" w:cstheme="majorHAnsi"/>
        </w:rPr>
        <w:t xml:space="preserve"> Leeuw, J. W., Schenck, P. A.,</w:t>
      </w:r>
      <w:r w:rsidRPr="009264F1">
        <w:rPr>
          <w:rFonts w:asciiTheme="majorHAnsi" w:hAnsiTheme="majorHAnsi" w:cstheme="majorHAnsi"/>
        </w:rPr>
        <w:t xml:space="preserve"> Brassell, S. C. 1984. Tocopherols as </w:t>
      </w:r>
      <w:r w:rsidRPr="009264F1">
        <w:rPr>
          <w:rFonts w:asciiTheme="majorHAnsi" w:hAnsiTheme="majorHAnsi" w:cstheme="majorHAnsi"/>
        </w:rPr>
        <w:tab/>
        <w:t>likely precursors of pristane in ancient sediments and crude oils</w:t>
      </w:r>
      <w:r w:rsidRPr="009264F1">
        <w:rPr>
          <w:rFonts w:asciiTheme="majorHAnsi" w:hAnsiTheme="majorHAnsi" w:cstheme="majorHAnsi"/>
          <w:i/>
        </w:rPr>
        <w:t xml:space="preserve">. Nature, 312, </w:t>
      </w:r>
      <w:r w:rsidRPr="009264F1">
        <w:rPr>
          <w:rFonts w:asciiTheme="majorHAnsi" w:hAnsiTheme="majorHAnsi" w:cstheme="majorHAnsi"/>
          <w:i/>
        </w:rPr>
        <w:tab/>
      </w:r>
      <w:r w:rsidRPr="009264F1">
        <w:rPr>
          <w:rFonts w:asciiTheme="majorHAnsi" w:hAnsiTheme="majorHAnsi" w:cstheme="majorHAnsi"/>
        </w:rPr>
        <w:t>440-442.</w:t>
      </w:r>
    </w:p>
    <w:p w:rsidR="00C87CE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sidRPr="009264F1">
        <w:rPr>
          <w:rFonts w:asciiTheme="majorHAnsi" w:hAnsiTheme="majorHAnsi" w:cstheme="majorHAnsi"/>
          <w:bCs/>
          <w:shd w:val="clear" w:color="auto" w:fill="FFFFFF"/>
        </w:rPr>
        <w:t>Hanson</w:t>
      </w:r>
      <w:r w:rsidR="00FC7A78">
        <w:rPr>
          <w:rFonts w:asciiTheme="majorHAnsi" w:hAnsiTheme="majorHAnsi" w:cstheme="majorHAnsi"/>
          <w:bCs/>
          <w:shd w:val="clear" w:color="auto" w:fill="FFFFFF"/>
        </w:rPr>
        <w:t>,</w:t>
      </w:r>
      <w:r w:rsidRPr="009264F1">
        <w:rPr>
          <w:rFonts w:asciiTheme="majorHAnsi" w:hAnsiTheme="majorHAnsi" w:cstheme="majorHAnsi"/>
          <w:bCs/>
          <w:shd w:val="clear" w:color="auto" w:fill="FFFFFF"/>
        </w:rPr>
        <w:t xml:space="preserve"> A.D., Zhang</w:t>
      </w:r>
      <w:r w:rsidR="00FC7A78">
        <w:rPr>
          <w:rFonts w:asciiTheme="majorHAnsi" w:hAnsiTheme="majorHAnsi" w:cstheme="majorHAnsi"/>
          <w:bCs/>
          <w:shd w:val="clear" w:color="auto" w:fill="FFFFFF"/>
        </w:rPr>
        <w:t>,</w:t>
      </w:r>
      <w:r w:rsidRPr="009264F1">
        <w:rPr>
          <w:rFonts w:asciiTheme="majorHAnsi" w:hAnsiTheme="majorHAnsi" w:cstheme="majorHAnsi"/>
          <w:bCs/>
          <w:shd w:val="clear" w:color="auto" w:fill="FFFFFF"/>
        </w:rPr>
        <w:t xml:space="preserve"> S.C.</w:t>
      </w:r>
      <w:r>
        <w:rPr>
          <w:rFonts w:asciiTheme="majorHAnsi" w:hAnsiTheme="majorHAnsi" w:cstheme="majorHAnsi"/>
          <w:bCs/>
          <w:shd w:val="clear" w:color="auto" w:fill="FFFFFF"/>
        </w:rPr>
        <w:t>, Moldowan</w:t>
      </w:r>
      <w:r w:rsidR="00FC7A78">
        <w:rPr>
          <w:rFonts w:asciiTheme="majorHAnsi" w:hAnsiTheme="majorHAnsi" w:cstheme="majorHAnsi"/>
          <w:bCs/>
          <w:shd w:val="clear" w:color="auto" w:fill="FFFFFF"/>
        </w:rPr>
        <w:t>,</w:t>
      </w:r>
      <w:r>
        <w:rPr>
          <w:rFonts w:asciiTheme="majorHAnsi" w:hAnsiTheme="majorHAnsi" w:cstheme="majorHAnsi"/>
          <w:bCs/>
          <w:shd w:val="clear" w:color="auto" w:fill="FFFFFF"/>
        </w:rPr>
        <w:t xml:space="preserve"> J.M., Liang</w:t>
      </w:r>
      <w:r w:rsidR="00FC7A78">
        <w:rPr>
          <w:rFonts w:asciiTheme="majorHAnsi" w:hAnsiTheme="majorHAnsi" w:cstheme="majorHAnsi"/>
          <w:bCs/>
          <w:shd w:val="clear" w:color="auto" w:fill="FFFFFF"/>
        </w:rPr>
        <w:t>,</w:t>
      </w:r>
      <w:r>
        <w:rPr>
          <w:rFonts w:asciiTheme="majorHAnsi" w:hAnsiTheme="majorHAnsi" w:cstheme="majorHAnsi"/>
          <w:bCs/>
          <w:shd w:val="clear" w:color="auto" w:fill="FFFFFF"/>
        </w:rPr>
        <w:t xml:space="preserve"> D.G.,</w:t>
      </w:r>
      <w:r w:rsidRPr="009264F1">
        <w:rPr>
          <w:rFonts w:asciiTheme="majorHAnsi" w:hAnsiTheme="majorHAnsi" w:cstheme="majorHAnsi"/>
          <w:bCs/>
          <w:shd w:val="clear" w:color="auto" w:fill="FFFFFF"/>
        </w:rPr>
        <w:t xml:space="preserve"> Zhang</w:t>
      </w:r>
      <w:r w:rsidR="00FC7A78">
        <w:rPr>
          <w:rFonts w:asciiTheme="majorHAnsi" w:hAnsiTheme="majorHAnsi" w:cstheme="majorHAnsi"/>
          <w:bCs/>
          <w:shd w:val="clear" w:color="auto" w:fill="FFFFFF"/>
        </w:rPr>
        <w:t>,</w:t>
      </w:r>
      <w:r w:rsidRPr="009264F1">
        <w:rPr>
          <w:rFonts w:asciiTheme="majorHAnsi" w:hAnsiTheme="majorHAnsi" w:cstheme="majorHAnsi"/>
          <w:bCs/>
          <w:shd w:val="clear" w:color="auto" w:fill="FFFFFF"/>
        </w:rPr>
        <w:t xml:space="preserve"> B.M. 2000</w:t>
      </w:r>
      <w:r>
        <w:rPr>
          <w:rFonts w:asciiTheme="majorHAnsi" w:hAnsiTheme="majorHAnsi" w:cstheme="majorHAnsi"/>
          <w:bCs/>
          <w:shd w:val="clear" w:color="auto" w:fill="FFFFFF"/>
        </w:rPr>
        <w:t xml:space="preserve">. Molecular </w:t>
      </w:r>
      <w:r>
        <w:rPr>
          <w:rFonts w:asciiTheme="majorHAnsi" w:hAnsiTheme="majorHAnsi" w:cstheme="majorHAnsi"/>
          <w:bCs/>
          <w:shd w:val="clear" w:color="auto" w:fill="FFFFFF"/>
        </w:rPr>
        <w:tab/>
      </w:r>
      <w:r w:rsidRPr="009264F1">
        <w:rPr>
          <w:rFonts w:asciiTheme="majorHAnsi" w:hAnsiTheme="majorHAnsi" w:cstheme="majorHAnsi"/>
          <w:bCs/>
          <w:shd w:val="clear" w:color="auto" w:fill="FFFFFF"/>
        </w:rPr>
        <w:t>organic geochemistry of the Tarim basin, Northwest China [J].</w:t>
      </w:r>
      <w:r>
        <w:rPr>
          <w:rFonts w:asciiTheme="majorHAnsi" w:hAnsiTheme="majorHAnsi" w:cstheme="majorHAnsi"/>
          <w:bCs/>
          <w:shd w:val="clear" w:color="auto" w:fill="FFFFFF"/>
        </w:rPr>
        <w:t xml:space="preserve"> </w:t>
      </w:r>
      <w:r>
        <w:rPr>
          <w:rFonts w:asciiTheme="majorHAnsi" w:hAnsiTheme="majorHAnsi" w:cstheme="majorHAnsi"/>
          <w:bCs/>
          <w:i/>
          <w:shd w:val="clear" w:color="auto" w:fill="FFFFFF"/>
        </w:rPr>
        <w:t>AAPG Bulletin,</w:t>
      </w:r>
      <w:r>
        <w:rPr>
          <w:rFonts w:asciiTheme="majorHAnsi" w:hAnsiTheme="majorHAnsi" w:cstheme="majorHAnsi"/>
          <w:bCs/>
          <w:i/>
          <w:shd w:val="clear" w:color="auto" w:fill="FFFFFF"/>
        </w:rPr>
        <w:tab/>
      </w:r>
      <w:r w:rsidRPr="009264F1">
        <w:rPr>
          <w:rFonts w:asciiTheme="majorHAnsi" w:hAnsiTheme="majorHAnsi" w:cstheme="majorHAnsi"/>
          <w:bCs/>
          <w:i/>
          <w:shd w:val="clear" w:color="auto" w:fill="FFFFFF"/>
        </w:rPr>
        <w:t>84,</w:t>
      </w:r>
      <w:r w:rsidRPr="009264F1">
        <w:rPr>
          <w:rFonts w:asciiTheme="majorHAnsi" w:hAnsiTheme="majorHAnsi" w:cstheme="majorHAnsi"/>
          <w:bCs/>
          <w:shd w:val="clear" w:color="auto" w:fill="FFFFFF"/>
        </w:rPr>
        <w:t xml:space="preserve"> 1109–1128.</w:t>
      </w:r>
    </w:p>
    <w:p w:rsidR="00FC7A78" w:rsidRDefault="000576EC" w:rsidP="00FC7A78">
      <w:pPr>
        <w:spacing w:line="240" w:lineRule="auto"/>
        <w:jc w:val="both"/>
        <w:rPr>
          <w:rFonts w:asciiTheme="majorHAnsi" w:hAnsiTheme="majorHAnsi" w:cstheme="majorHAnsi"/>
        </w:rPr>
      </w:pPr>
      <w:r>
        <w:rPr>
          <w:rFonts w:asciiTheme="majorHAnsi" w:hAnsiTheme="majorHAnsi" w:cstheme="majorHAnsi"/>
        </w:rPr>
        <w:t>Hart, B. S.,</w:t>
      </w:r>
      <w:r w:rsidR="00FC7A78">
        <w:rPr>
          <w:rFonts w:asciiTheme="majorHAnsi" w:hAnsiTheme="majorHAnsi" w:cstheme="majorHAnsi"/>
        </w:rPr>
        <w:t xml:space="preserve"> Steen, A. S. 2015</w:t>
      </w:r>
      <w:r w:rsidR="00FC7A78" w:rsidRPr="009264F1">
        <w:rPr>
          <w:rFonts w:asciiTheme="majorHAnsi" w:hAnsiTheme="majorHAnsi" w:cstheme="majorHAnsi"/>
        </w:rPr>
        <w:t xml:space="preserve">. Programmed pyrolysis (Rock-Eval) data and shale </w:t>
      </w:r>
      <w:r w:rsidR="00FC7A78" w:rsidRPr="009264F1">
        <w:rPr>
          <w:rFonts w:asciiTheme="majorHAnsi" w:hAnsiTheme="majorHAnsi" w:cstheme="majorHAnsi"/>
        </w:rPr>
        <w:tab/>
        <w:t>palaeoenvironmental analyses: A review. </w:t>
      </w:r>
      <w:r w:rsidR="00FC7A78" w:rsidRPr="009264F1">
        <w:rPr>
          <w:rFonts w:asciiTheme="majorHAnsi" w:hAnsiTheme="majorHAnsi" w:cstheme="majorHAnsi"/>
          <w:i/>
          <w:iCs/>
        </w:rPr>
        <w:t>Interpretation,</w:t>
      </w:r>
      <w:r w:rsidR="00FC7A78" w:rsidRPr="009264F1">
        <w:rPr>
          <w:rFonts w:asciiTheme="majorHAnsi" w:hAnsiTheme="majorHAnsi" w:cstheme="majorHAnsi"/>
        </w:rPr>
        <w:t> </w:t>
      </w:r>
      <w:r w:rsidR="00FC7A78" w:rsidRPr="009264F1">
        <w:rPr>
          <w:rFonts w:asciiTheme="majorHAnsi" w:hAnsiTheme="majorHAnsi" w:cstheme="majorHAnsi"/>
          <w:i/>
          <w:iCs/>
        </w:rPr>
        <w:t>3</w:t>
      </w:r>
      <w:r w:rsidR="00FC7A78" w:rsidRPr="009264F1">
        <w:rPr>
          <w:rFonts w:asciiTheme="majorHAnsi" w:hAnsiTheme="majorHAnsi" w:cstheme="majorHAnsi"/>
        </w:rPr>
        <w:t>(1)</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 xml:space="preserve">Hatch, J.R., Jacobson, S.R., Witzke, B.J., Risatti, J.B., Anders, D.E., Watney, W.L., </w:t>
      </w:r>
      <w:r w:rsidRPr="009264F1">
        <w:rPr>
          <w:rFonts w:asciiTheme="majorHAnsi" w:hAnsiTheme="majorHAnsi" w:cstheme="majorHAnsi"/>
        </w:rPr>
        <w:tab/>
        <w:t>N</w:t>
      </w:r>
      <w:r>
        <w:rPr>
          <w:rFonts w:asciiTheme="majorHAnsi" w:hAnsiTheme="majorHAnsi" w:cstheme="majorHAnsi"/>
        </w:rPr>
        <w:t>ewell, K.D., Vuletich, A.K. 1987,</w:t>
      </w:r>
      <w:r w:rsidRPr="009264F1">
        <w:rPr>
          <w:rFonts w:asciiTheme="majorHAnsi" w:hAnsiTheme="majorHAnsi" w:cstheme="majorHAnsi"/>
        </w:rPr>
        <w:t xml:space="preserve"> Possible late Middle Ordovician </w:t>
      </w:r>
      <w:r w:rsidRPr="009264F1">
        <w:rPr>
          <w:rFonts w:asciiTheme="majorHAnsi" w:hAnsiTheme="majorHAnsi" w:cstheme="majorHAnsi"/>
        </w:rPr>
        <w:tab/>
        <w:t>organic carbon isotope excursion; evidence from Ordovicia</w:t>
      </w:r>
      <w:r>
        <w:rPr>
          <w:rFonts w:asciiTheme="majorHAnsi" w:hAnsiTheme="majorHAnsi" w:cstheme="majorHAnsi"/>
        </w:rPr>
        <w:t xml:space="preserve">n oils and </w:t>
      </w:r>
      <w:r>
        <w:rPr>
          <w:rFonts w:asciiTheme="majorHAnsi" w:hAnsiTheme="majorHAnsi" w:cstheme="majorHAnsi"/>
        </w:rPr>
        <w:tab/>
        <w:t xml:space="preserve">hydrocarbon source </w:t>
      </w:r>
      <w:r w:rsidRPr="009264F1">
        <w:rPr>
          <w:rFonts w:asciiTheme="majorHAnsi" w:hAnsiTheme="majorHAnsi" w:cstheme="majorHAnsi"/>
        </w:rPr>
        <w:t xml:space="preserve">rocks, mid-continent and east-central United States: </w:t>
      </w:r>
      <w:r w:rsidRPr="009264F1">
        <w:rPr>
          <w:rFonts w:asciiTheme="majorHAnsi" w:hAnsiTheme="majorHAnsi" w:cstheme="majorHAnsi"/>
        </w:rPr>
        <w:tab/>
      </w:r>
      <w:r w:rsidRPr="009264F1">
        <w:rPr>
          <w:rFonts w:asciiTheme="majorHAnsi" w:hAnsiTheme="majorHAnsi" w:cstheme="majorHAnsi"/>
          <w:i/>
        </w:rPr>
        <w:t>AAPG Bulletin, 71,</w:t>
      </w:r>
      <w:r w:rsidRPr="009264F1">
        <w:rPr>
          <w:rFonts w:asciiTheme="majorHAnsi" w:hAnsiTheme="majorHAnsi" w:cstheme="majorHAnsi"/>
        </w:rPr>
        <w:t xml:space="preserve"> 1342–1354.</w:t>
      </w: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Hays, L.E., Grice, K</w:t>
      </w:r>
      <w:r>
        <w:rPr>
          <w:rFonts w:asciiTheme="majorHAnsi" w:hAnsiTheme="majorHAnsi" w:cstheme="majorHAnsi"/>
        </w:rPr>
        <w:t>., Foster, C.B., Summons, R.E. 2012.</w:t>
      </w:r>
      <w:r w:rsidRPr="009264F1">
        <w:rPr>
          <w:rFonts w:asciiTheme="majorHAnsi" w:hAnsiTheme="majorHAnsi" w:cstheme="majorHAnsi"/>
        </w:rPr>
        <w:t xml:space="preserve"> Biomarker and isotopic </w:t>
      </w:r>
      <w:r w:rsidRPr="009264F1">
        <w:rPr>
          <w:rFonts w:asciiTheme="majorHAnsi" w:hAnsiTheme="majorHAnsi" w:cstheme="majorHAnsi"/>
        </w:rPr>
        <w:tab/>
        <w:t xml:space="preserve">trends </w:t>
      </w:r>
      <w:r w:rsidRPr="009264F1">
        <w:rPr>
          <w:rFonts w:asciiTheme="majorHAnsi" w:hAnsiTheme="majorHAnsi" w:cstheme="majorHAnsi"/>
        </w:rPr>
        <w:tab/>
        <w:t xml:space="preserve">in a Permian-Triassic sedimentary section as Kat Stosch, Greenland. </w:t>
      </w:r>
      <w:r w:rsidRPr="009264F1">
        <w:rPr>
          <w:rFonts w:asciiTheme="majorHAnsi" w:hAnsiTheme="majorHAnsi" w:cstheme="majorHAnsi"/>
        </w:rPr>
        <w:tab/>
      </w:r>
      <w:r w:rsidRPr="009264F1">
        <w:rPr>
          <w:rFonts w:asciiTheme="majorHAnsi" w:hAnsiTheme="majorHAnsi" w:cstheme="majorHAnsi"/>
          <w:i/>
        </w:rPr>
        <w:t>Organic Geochemistry 43,</w:t>
      </w:r>
      <w:r>
        <w:rPr>
          <w:rFonts w:asciiTheme="majorHAnsi" w:hAnsiTheme="majorHAnsi" w:cstheme="majorHAnsi"/>
        </w:rPr>
        <w:t xml:space="preserve"> 67-82</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Heissl</w:t>
      </w:r>
      <w:r>
        <w:rPr>
          <w:rFonts w:asciiTheme="majorHAnsi" w:hAnsiTheme="majorHAnsi" w:cstheme="majorHAnsi"/>
        </w:rPr>
        <w:t>er, D., Ladenburger, C. 1988</w:t>
      </w:r>
      <w:r w:rsidRPr="009264F1">
        <w:rPr>
          <w:rFonts w:asciiTheme="majorHAnsi" w:hAnsiTheme="majorHAnsi" w:cstheme="majorHAnsi"/>
        </w:rPr>
        <w:t xml:space="preserve">. Synthesis of (+)-tricyclohexaprenol, a possible </w:t>
      </w:r>
      <w:r w:rsidRPr="009264F1">
        <w:rPr>
          <w:rFonts w:asciiTheme="majorHAnsi" w:hAnsiTheme="majorHAnsi" w:cstheme="majorHAnsi"/>
        </w:rPr>
        <w:tab/>
        <w:t xml:space="preserve">precursor of a family of tricyclic geoterpanes, and synthesis of an isomer. </w:t>
      </w:r>
      <w:r w:rsidRPr="009264F1">
        <w:rPr>
          <w:rFonts w:asciiTheme="majorHAnsi" w:hAnsiTheme="majorHAnsi" w:cstheme="majorHAnsi"/>
        </w:rPr>
        <w:tab/>
      </w:r>
      <w:r w:rsidRPr="009264F1">
        <w:rPr>
          <w:rFonts w:asciiTheme="majorHAnsi" w:hAnsiTheme="majorHAnsi" w:cstheme="majorHAnsi"/>
          <w:i/>
        </w:rPr>
        <w:t>Tetrahedron, 44(9)</w:t>
      </w:r>
      <w:r w:rsidRPr="009264F1">
        <w:rPr>
          <w:rFonts w:asciiTheme="majorHAnsi" w:hAnsiTheme="majorHAnsi" w:cstheme="majorHAnsi"/>
        </w:rPr>
        <w:t>, 2513-2521.</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Higley, D. K.</w:t>
      </w:r>
      <w:r w:rsidR="00446AB6">
        <w:rPr>
          <w:rFonts w:asciiTheme="majorHAnsi" w:hAnsiTheme="majorHAnsi" w:cstheme="majorHAnsi"/>
        </w:rPr>
        <w:t>, Cook, T. A., Pawlewicz, M. J.</w:t>
      </w:r>
      <w:r>
        <w:rPr>
          <w:rFonts w:asciiTheme="majorHAnsi" w:hAnsiTheme="majorHAnsi" w:cstheme="majorHAnsi"/>
        </w:rPr>
        <w:t xml:space="preserve"> 2014</w:t>
      </w:r>
      <w:r w:rsidRPr="009264F1">
        <w:rPr>
          <w:rFonts w:asciiTheme="majorHAnsi" w:hAnsiTheme="majorHAnsi" w:cstheme="majorHAnsi"/>
        </w:rPr>
        <w:t xml:space="preserve">. Petroleum systems and assessment </w:t>
      </w:r>
      <w:r w:rsidR="00446AB6">
        <w:rPr>
          <w:rFonts w:asciiTheme="majorHAnsi" w:hAnsiTheme="majorHAnsi" w:cstheme="majorHAnsi"/>
        </w:rPr>
        <w:t xml:space="preserve">of </w:t>
      </w:r>
      <w:r w:rsidR="00446AB6">
        <w:rPr>
          <w:rFonts w:asciiTheme="majorHAnsi" w:hAnsiTheme="majorHAnsi" w:cstheme="majorHAnsi"/>
        </w:rPr>
        <w:tab/>
        <w:t xml:space="preserve">undiscovered oil and gas in </w:t>
      </w:r>
      <w:r w:rsidRPr="009264F1">
        <w:rPr>
          <w:rFonts w:asciiTheme="majorHAnsi" w:hAnsiTheme="majorHAnsi" w:cstheme="majorHAnsi"/>
        </w:rPr>
        <w:t xml:space="preserve">the Anadarko Basin Province, Colorado, Kansas, </w:t>
      </w:r>
      <w:r w:rsidR="00446AB6">
        <w:rPr>
          <w:rFonts w:asciiTheme="majorHAnsi" w:hAnsiTheme="majorHAnsi" w:cstheme="majorHAnsi"/>
        </w:rPr>
        <w:tab/>
      </w:r>
      <w:r w:rsidRPr="009264F1">
        <w:rPr>
          <w:rFonts w:asciiTheme="majorHAnsi" w:hAnsiTheme="majorHAnsi" w:cstheme="majorHAnsi"/>
        </w:rPr>
        <w:t xml:space="preserve">Oklahoma, and Texas: </w:t>
      </w:r>
      <w:r w:rsidR="00446AB6">
        <w:rPr>
          <w:rFonts w:asciiTheme="majorHAnsi" w:hAnsiTheme="majorHAnsi" w:cstheme="majorHAnsi"/>
          <w:i/>
        </w:rPr>
        <w:t xml:space="preserve">USGS </w:t>
      </w:r>
      <w:r w:rsidRPr="009264F1">
        <w:rPr>
          <w:rFonts w:asciiTheme="majorHAnsi" w:hAnsiTheme="majorHAnsi" w:cstheme="majorHAnsi"/>
          <w:i/>
        </w:rPr>
        <w:t>Province 58</w:t>
      </w:r>
      <w:r w:rsidR="00446AB6">
        <w:rPr>
          <w:rFonts w:asciiTheme="majorHAnsi" w:hAnsiTheme="majorHAnsi" w:cstheme="majorHAnsi"/>
        </w:rPr>
        <w:t>, p. 24.</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shd w:val="clear" w:color="auto" w:fill="FFFFFF"/>
        </w:rPr>
      </w:pPr>
      <w:r w:rsidRPr="009264F1">
        <w:rPr>
          <w:shd w:val="clear" w:color="auto" w:fill="FFFFFF"/>
        </w:rPr>
        <w:t>Hood, A., Gutjahr</w:t>
      </w:r>
      <w:r>
        <w:rPr>
          <w:shd w:val="clear" w:color="auto" w:fill="FFFFFF"/>
        </w:rPr>
        <w:t>, C. C., Heacock, R. L. 1975</w:t>
      </w:r>
      <w:r w:rsidRPr="009264F1">
        <w:rPr>
          <w:shd w:val="clear" w:color="auto" w:fill="FFFFFF"/>
        </w:rPr>
        <w:t xml:space="preserve">. Organic Metamorphism and the </w:t>
      </w:r>
      <w:r w:rsidRPr="009264F1">
        <w:rPr>
          <w:shd w:val="clear" w:color="auto" w:fill="FFFFFF"/>
        </w:rPr>
        <w:tab/>
        <w:t>Generation of Petroleum. </w:t>
      </w:r>
      <w:r w:rsidRPr="009264F1">
        <w:rPr>
          <w:i/>
          <w:iCs/>
        </w:rPr>
        <w:t>AAPG Bulletin,59</w:t>
      </w:r>
      <w:r w:rsidRPr="009264F1">
        <w:rPr>
          <w:shd w:val="clear" w:color="auto" w:fill="FFFFFF"/>
        </w:rPr>
        <w:t>, 986-996.</w:t>
      </w:r>
    </w:p>
    <w:p w:rsidR="00C87CE1" w:rsidRPr="009264F1" w:rsidRDefault="00C87CE1" w:rsidP="00C87CE1">
      <w:pPr>
        <w:spacing w:line="240" w:lineRule="auto"/>
        <w:jc w:val="both"/>
        <w:rPr>
          <w:shd w:val="clear" w:color="auto" w:fill="FFFFFF"/>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Horstad, I., Larter, S., Dypvik, H., Aagaard, P., Bjørnvik, A., Joh</w:t>
      </w:r>
      <w:r>
        <w:rPr>
          <w:rFonts w:asciiTheme="majorHAnsi" w:hAnsiTheme="majorHAnsi" w:cstheme="majorHAnsi"/>
        </w:rPr>
        <w:t xml:space="preserve">ansen, P., Eriksen, </w:t>
      </w:r>
      <w:r>
        <w:rPr>
          <w:rFonts w:asciiTheme="majorHAnsi" w:hAnsiTheme="majorHAnsi" w:cstheme="majorHAnsi"/>
        </w:rPr>
        <w:tab/>
        <w:t>S. 1990</w:t>
      </w:r>
      <w:r w:rsidRPr="009264F1">
        <w:rPr>
          <w:rFonts w:asciiTheme="majorHAnsi" w:hAnsiTheme="majorHAnsi" w:cstheme="majorHAnsi"/>
        </w:rPr>
        <w:t xml:space="preserve">. Degradation and maturity controls on oil field petroleum column </w:t>
      </w:r>
      <w:r w:rsidRPr="009264F1">
        <w:rPr>
          <w:rFonts w:asciiTheme="majorHAnsi" w:hAnsiTheme="majorHAnsi" w:cstheme="majorHAnsi"/>
        </w:rPr>
        <w:tab/>
        <w:t xml:space="preserve">heterogeneity in the Gullfaks field, Norwegian North Sea. </w:t>
      </w:r>
      <w:r>
        <w:rPr>
          <w:rFonts w:asciiTheme="majorHAnsi" w:hAnsiTheme="majorHAnsi" w:cstheme="majorHAnsi"/>
          <w:i/>
        </w:rPr>
        <w:t xml:space="preserve">Organic </w:t>
      </w:r>
      <w:r>
        <w:rPr>
          <w:rFonts w:asciiTheme="majorHAnsi" w:hAnsiTheme="majorHAnsi" w:cstheme="majorHAnsi"/>
          <w:i/>
        </w:rPr>
        <w:tab/>
        <w:t xml:space="preserve">Geochemistry, </w:t>
      </w:r>
      <w:r w:rsidRPr="009264F1">
        <w:rPr>
          <w:rFonts w:asciiTheme="majorHAnsi" w:hAnsiTheme="majorHAnsi" w:cstheme="majorHAnsi"/>
          <w:i/>
        </w:rPr>
        <w:t xml:space="preserve">16(1-3), </w:t>
      </w:r>
      <w:r w:rsidRPr="009264F1">
        <w:rPr>
          <w:rFonts w:asciiTheme="majorHAnsi" w:hAnsiTheme="majorHAnsi" w:cstheme="majorHAnsi"/>
        </w:rPr>
        <w:t>497-510.</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lastRenderedPageBreak/>
        <w:t>Huang, W</w:t>
      </w:r>
      <w:r>
        <w:rPr>
          <w:rFonts w:asciiTheme="majorHAnsi" w:hAnsiTheme="majorHAnsi" w:cstheme="majorHAnsi"/>
        </w:rPr>
        <w:t>. Y., Meinschein, W. G. 1979</w:t>
      </w:r>
      <w:r w:rsidRPr="009264F1">
        <w:rPr>
          <w:rFonts w:asciiTheme="majorHAnsi" w:hAnsiTheme="majorHAnsi" w:cstheme="majorHAnsi"/>
        </w:rPr>
        <w:t xml:space="preserve">. Sterols as ecological indicators. </w:t>
      </w:r>
      <w:r>
        <w:rPr>
          <w:rFonts w:asciiTheme="majorHAnsi" w:hAnsiTheme="majorHAnsi" w:cstheme="majorHAnsi"/>
          <w:i/>
        </w:rPr>
        <w:t>Geochemica</w:t>
      </w:r>
      <w:r>
        <w:rPr>
          <w:rFonts w:asciiTheme="majorHAnsi" w:hAnsiTheme="majorHAnsi" w:cstheme="majorHAnsi"/>
          <w:i/>
        </w:rPr>
        <w:tab/>
        <w:t xml:space="preserve"> </w:t>
      </w:r>
      <w:r w:rsidRPr="009264F1">
        <w:rPr>
          <w:rFonts w:asciiTheme="majorHAnsi" w:hAnsiTheme="majorHAnsi" w:cstheme="majorHAnsi"/>
          <w:i/>
        </w:rPr>
        <w:t>et Cosmochimica Acta, 43,</w:t>
      </w:r>
      <w:r w:rsidRPr="009264F1">
        <w:rPr>
          <w:rFonts w:asciiTheme="majorHAnsi" w:hAnsiTheme="majorHAnsi" w:cstheme="majorHAnsi"/>
        </w:rPr>
        <w:t xml:space="preserve"> 739-745.</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t>Hubert, L.B. 1995.</w:t>
      </w:r>
      <w:r w:rsidRPr="009264F1">
        <w:t xml:space="preserve"> Pressure regimes, burial history and source rock maturation of the </w:t>
      </w:r>
      <w:r w:rsidRPr="009264F1">
        <w:tab/>
        <w:t xml:space="preserve">Pennsylvanian Morrow Formation in the western Anadarko basin and the </w:t>
      </w:r>
      <w:r w:rsidRPr="009264F1">
        <w:tab/>
        <w:t xml:space="preserve">Hugoton embayment, Kansas, Oklahoma, and Texas: </w:t>
      </w:r>
      <w:r w:rsidRPr="009264F1">
        <w:rPr>
          <w:i/>
        </w:rPr>
        <w:t>Wyoming University</w:t>
      </w:r>
      <w:r w:rsidRPr="009264F1">
        <w:t>,</w:t>
      </w:r>
      <w:r>
        <w:t xml:space="preserve"> </w:t>
      </w:r>
      <w:r>
        <w:tab/>
        <w:t>unpublished M.S. thesis</w:t>
      </w:r>
      <w:r w:rsidRPr="009264F1">
        <w:t>.</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Hughes, W. B</w:t>
      </w:r>
      <w:r>
        <w:rPr>
          <w:rFonts w:asciiTheme="majorHAnsi" w:hAnsiTheme="majorHAnsi" w:cstheme="majorHAnsi"/>
        </w:rPr>
        <w:t>., Holba, A. G., Dzou, L. I. 1995</w:t>
      </w:r>
      <w:r w:rsidRPr="009264F1">
        <w:rPr>
          <w:rFonts w:asciiTheme="majorHAnsi" w:hAnsiTheme="majorHAnsi" w:cstheme="majorHAnsi"/>
        </w:rPr>
        <w:t>. The</w:t>
      </w:r>
      <w:r>
        <w:rPr>
          <w:rFonts w:asciiTheme="majorHAnsi" w:hAnsiTheme="majorHAnsi" w:cstheme="majorHAnsi"/>
        </w:rPr>
        <w:t xml:space="preserve"> ratios of dibenzothiophene to</w:t>
      </w:r>
      <w:r>
        <w:rPr>
          <w:rFonts w:asciiTheme="majorHAnsi" w:hAnsiTheme="majorHAnsi" w:cstheme="majorHAnsi"/>
        </w:rPr>
        <w:tab/>
      </w:r>
      <w:r w:rsidRPr="009264F1">
        <w:rPr>
          <w:rFonts w:asciiTheme="majorHAnsi" w:hAnsiTheme="majorHAnsi" w:cstheme="majorHAnsi"/>
        </w:rPr>
        <w:t>phenanthrene and pristane to phytane as indicator</w:t>
      </w:r>
      <w:r>
        <w:rPr>
          <w:rFonts w:asciiTheme="majorHAnsi" w:hAnsiTheme="majorHAnsi" w:cstheme="majorHAnsi"/>
        </w:rPr>
        <w:t xml:space="preserve">s of depositional environment </w:t>
      </w:r>
      <w:r>
        <w:rPr>
          <w:rFonts w:asciiTheme="majorHAnsi" w:hAnsiTheme="majorHAnsi" w:cstheme="majorHAnsi"/>
        </w:rPr>
        <w:tab/>
      </w:r>
      <w:r w:rsidRPr="009264F1">
        <w:rPr>
          <w:rFonts w:asciiTheme="majorHAnsi" w:hAnsiTheme="majorHAnsi" w:cstheme="majorHAnsi"/>
        </w:rPr>
        <w:t xml:space="preserve">and lithology of petroleum source rocks. </w:t>
      </w:r>
      <w:r w:rsidRPr="009264F1">
        <w:rPr>
          <w:rFonts w:asciiTheme="majorHAnsi" w:hAnsiTheme="majorHAnsi" w:cstheme="majorHAnsi"/>
          <w:i/>
        </w:rPr>
        <w:t>Ge</w:t>
      </w:r>
      <w:r>
        <w:rPr>
          <w:rFonts w:asciiTheme="majorHAnsi" w:hAnsiTheme="majorHAnsi" w:cstheme="majorHAnsi"/>
          <w:i/>
        </w:rPr>
        <w:t>ochimica et Cosmochimica Acta,</w:t>
      </w:r>
      <w:r>
        <w:rPr>
          <w:rFonts w:asciiTheme="majorHAnsi" w:hAnsiTheme="majorHAnsi" w:cstheme="majorHAnsi"/>
          <w:i/>
        </w:rPr>
        <w:tab/>
      </w:r>
      <w:r w:rsidRPr="009264F1">
        <w:rPr>
          <w:rFonts w:asciiTheme="majorHAnsi" w:hAnsiTheme="majorHAnsi" w:cstheme="majorHAnsi"/>
          <w:i/>
        </w:rPr>
        <w:t>59(17),</w:t>
      </w:r>
      <w:r w:rsidRPr="009264F1">
        <w:rPr>
          <w:rFonts w:asciiTheme="majorHAnsi" w:hAnsiTheme="majorHAnsi" w:cstheme="majorHAnsi"/>
        </w:rPr>
        <w:t xml:space="preserve"> 3581-3598.</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pPr>
      <w:r w:rsidRPr="009264F1">
        <w:t>Jacobson</w:t>
      </w:r>
      <w:r w:rsidR="00FC7A78">
        <w:t>,</w:t>
      </w:r>
      <w:r w:rsidRPr="009264F1">
        <w:t xml:space="preserve"> S.R.,</w:t>
      </w:r>
      <w:r>
        <w:t xml:space="preserve"> Hatch</w:t>
      </w:r>
      <w:r w:rsidR="00FC7A78">
        <w:t>,</w:t>
      </w:r>
      <w:r>
        <w:t xml:space="preserve"> J. R., Teerman</w:t>
      </w:r>
      <w:r w:rsidR="00FC7A78">
        <w:t>,</w:t>
      </w:r>
      <w:r>
        <w:t xml:space="preserve"> S. C.,</w:t>
      </w:r>
      <w:r w:rsidRPr="009264F1">
        <w:t xml:space="preserve"> Askin</w:t>
      </w:r>
      <w:r w:rsidR="00FC7A78">
        <w:t>,</w:t>
      </w:r>
      <w:r>
        <w:t xml:space="preserve"> R. A. 1988. Middle Ordovician</w:t>
      </w:r>
      <w:r>
        <w:tab/>
      </w:r>
      <w:r w:rsidRPr="009264F1">
        <w:t xml:space="preserve">organic matter assemblages and their effect on Ordovician-derived oils. </w:t>
      </w:r>
      <w:r>
        <w:rPr>
          <w:i/>
        </w:rPr>
        <w:t>AAPG</w:t>
      </w:r>
      <w:r>
        <w:rPr>
          <w:i/>
        </w:rPr>
        <w:tab/>
      </w:r>
      <w:r w:rsidR="006C6B88">
        <w:rPr>
          <w:i/>
        </w:rPr>
        <w:t>Bulletin,</w:t>
      </w:r>
      <w:r w:rsidRPr="009264F1">
        <w:rPr>
          <w:i/>
        </w:rPr>
        <w:t xml:space="preserve"> 72, </w:t>
      </w:r>
      <w:r w:rsidRPr="00D034BD">
        <w:rPr>
          <w:i/>
        </w:rPr>
        <w:t>1090-l</w:t>
      </w:r>
      <w:r>
        <w:t>,</w:t>
      </w:r>
      <w:r w:rsidRPr="009264F1">
        <w:t xml:space="preserve"> 100</w:t>
      </w:r>
    </w:p>
    <w:p w:rsidR="00FC7A78" w:rsidRPr="009264F1" w:rsidRDefault="00FC7A78" w:rsidP="00C87CE1">
      <w:pPr>
        <w:spacing w:line="240" w:lineRule="auto"/>
        <w:jc w:val="both"/>
      </w:pPr>
    </w:p>
    <w:p w:rsidR="00C87CE1" w:rsidRPr="009264F1" w:rsidRDefault="00C87CE1" w:rsidP="00C87CE1">
      <w:pPr>
        <w:spacing w:line="240" w:lineRule="auto"/>
        <w:jc w:val="both"/>
      </w:pPr>
      <w:r>
        <w:t xml:space="preserve">Jarvie, D.M., Claxton, B.L., Henk, F., and Breyer, J.T. 2001. Oil and shale gas from the </w:t>
      </w:r>
      <w:r>
        <w:tab/>
        <w:t xml:space="preserve">Barnett Shale, Fort Worth basin, Texas. AAPG National Convention, June 3-6, </w:t>
      </w:r>
      <w:r>
        <w:tab/>
        <w:t>2001, Denver, CO,</w:t>
      </w:r>
      <w:r w:rsidRPr="00382DD7">
        <w:rPr>
          <w:i/>
        </w:rPr>
        <w:t xml:space="preserve"> AAPG Bulletin, 85(13)</w:t>
      </w:r>
      <w:r>
        <w:t>, 100.</w:t>
      </w:r>
    </w:p>
    <w:p w:rsidR="00C87CE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rPr>
          <w:rFonts w:asciiTheme="majorHAnsi" w:hAnsiTheme="majorHAnsi" w:cstheme="majorHAnsi"/>
          <w:i/>
        </w:rPr>
      </w:pPr>
      <w:r>
        <w:rPr>
          <w:rFonts w:asciiTheme="majorHAnsi" w:hAnsiTheme="majorHAnsi" w:cstheme="majorHAnsi"/>
        </w:rPr>
        <w:t>Jiang, C.</w:t>
      </w:r>
      <w:r w:rsidR="00226332">
        <w:rPr>
          <w:rFonts w:asciiTheme="majorHAnsi" w:hAnsiTheme="majorHAnsi" w:cstheme="majorHAnsi"/>
        </w:rPr>
        <w:t>, Alexander, R., Kagi, R., Murray,A.</w:t>
      </w:r>
      <w:r>
        <w:rPr>
          <w:rFonts w:asciiTheme="majorHAnsi" w:hAnsiTheme="majorHAnsi" w:cstheme="majorHAnsi"/>
        </w:rPr>
        <w:t xml:space="preserve"> 1998</w:t>
      </w:r>
      <w:r w:rsidRPr="009264F1">
        <w:rPr>
          <w:rFonts w:asciiTheme="majorHAnsi" w:hAnsiTheme="majorHAnsi" w:cstheme="majorHAnsi"/>
        </w:rPr>
        <w:t xml:space="preserve">. Polycyclic Aromatic Hydrocarbons </w:t>
      </w:r>
      <w:r w:rsidR="00226332">
        <w:rPr>
          <w:rFonts w:asciiTheme="majorHAnsi" w:hAnsiTheme="majorHAnsi" w:cstheme="majorHAnsi"/>
        </w:rPr>
        <w:tab/>
      </w:r>
      <w:r w:rsidRPr="009264F1">
        <w:rPr>
          <w:rFonts w:asciiTheme="majorHAnsi" w:hAnsiTheme="majorHAnsi" w:cstheme="majorHAnsi"/>
        </w:rPr>
        <w:t>and t</w:t>
      </w:r>
      <w:r w:rsidR="00226332">
        <w:rPr>
          <w:rFonts w:asciiTheme="majorHAnsi" w:hAnsiTheme="majorHAnsi" w:cstheme="majorHAnsi"/>
        </w:rPr>
        <w:t xml:space="preserve">heir Geochemical </w:t>
      </w:r>
      <w:r>
        <w:rPr>
          <w:rFonts w:asciiTheme="majorHAnsi" w:hAnsiTheme="majorHAnsi" w:cstheme="majorHAnsi"/>
        </w:rPr>
        <w:t>Significance.</w:t>
      </w:r>
      <w:r w:rsidRPr="009264F1">
        <w:rPr>
          <w:rFonts w:asciiTheme="majorHAnsi" w:hAnsiTheme="majorHAnsi" w:cstheme="majorHAnsi"/>
        </w:rPr>
        <w:t xml:space="preserve"> </w:t>
      </w:r>
      <w:r>
        <w:rPr>
          <w:rFonts w:asciiTheme="majorHAnsi" w:hAnsiTheme="majorHAnsi" w:cstheme="majorHAnsi"/>
        </w:rPr>
        <w:tab/>
      </w:r>
      <w:r w:rsidRPr="009264F1">
        <w:rPr>
          <w:rFonts w:asciiTheme="majorHAnsi" w:hAnsiTheme="majorHAnsi" w:cstheme="majorHAnsi"/>
        </w:rPr>
        <w:t xml:space="preserve">Application to Sediments from the Northern </w:t>
      </w:r>
      <w:r w:rsidR="00226332">
        <w:rPr>
          <w:rFonts w:asciiTheme="majorHAnsi" w:hAnsiTheme="majorHAnsi" w:cstheme="majorHAnsi"/>
        </w:rPr>
        <w:tab/>
      </w:r>
      <w:r w:rsidRPr="009264F1">
        <w:rPr>
          <w:rFonts w:asciiTheme="majorHAnsi" w:hAnsiTheme="majorHAnsi" w:cstheme="majorHAnsi"/>
        </w:rPr>
        <w:t xml:space="preserve">Carnarvon Basin. </w:t>
      </w:r>
      <w:r w:rsidR="00226332">
        <w:rPr>
          <w:rFonts w:asciiTheme="majorHAnsi" w:hAnsiTheme="majorHAnsi" w:cstheme="majorHAnsi"/>
          <w:i/>
        </w:rPr>
        <w:t xml:space="preserve">Ph.D. Thesis, </w:t>
      </w:r>
      <w:r w:rsidRPr="009264F1">
        <w:rPr>
          <w:rFonts w:asciiTheme="majorHAnsi" w:hAnsiTheme="majorHAnsi" w:cstheme="majorHAnsi"/>
          <w:i/>
        </w:rPr>
        <w:t>Curtin University of Technology, Australia</w:t>
      </w:r>
    </w:p>
    <w:p w:rsidR="00C87CE1" w:rsidRDefault="00C87CE1" w:rsidP="00C87CE1">
      <w:pPr>
        <w:spacing w:line="240" w:lineRule="auto"/>
        <w:jc w:val="both"/>
        <w:rPr>
          <w:rFonts w:asciiTheme="majorHAnsi" w:hAnsiTheme="majorHAnsi" w:cstheme="majorHAnsi"/>
          <w:i/>
        </w:rPr>
      </w:pPr>
    </w:p>
    <w:p w:rsidR="00C87CE1" w:rsidRPr="00A02DA8" w:rsidRDefault="00C87CE1" w:rsidP="00C87CE1">
      <w:pPr>
        <w:spacing w:line="240" w:lineRule="auto"/>
        <w:jc w:val="both"/>
        <w:rPr>
          <w:rFonts w:asciiTheme="majorHAnsi" w:hAnsiTheme="majorHAnsi" w:cstheme="majorHAnsi"/>
        </w:rPr>
      </w:pPr>
      <w:r w:rsidRPr="00AD017D">
        <w:rPr>
          <w:rFonts w:asciiTheme="majorHAnsi" w:hAnsiTheme="majorHAnsi" w:cstheme="majorHAnsi"/>
        </w:rPr>
        <w:t>Jiang, C</w:t>
      </w:r>
      <w:r>
        <w:rPr>
          <w:rFonts w:asciiTheme="majorHAnsi" w:hAnsiTheme="majorHAnsi" w:cstheme="majorHAnsi"/>
        </w:rPr>
        <w:t>., Alexander, R., Kagi, R. I.,</w:t>
      </w:r>
      <w:r w:rsidRPr="00AD017D">
        <w:rPr>
          <w:rFonts w:asciiTheme="majorHAnsi" w:hAnsiTheme="majorHAnsi" w:cstheme="majorHAnsi"/>
        </w:rPr>
        <w:t xml:space="preserve"> Murray, A. </w:t>
      </w:r>
      <w:r>
        <w:rPr>
          <w:rFonts w:asciiTheme="majorHAnsi" w:hAnsiTheme="majorHAnsi" w:cstheme="majorHAnsi"/>
        </w:rPr>
        <w:t>P. 2000</w:t>
      </w:r>
      <w:r w:rsidRPr="00AD017D">
        <w:rPr>
          <w:rFonts w:asciiTheme="majorHAnsi" w:hAnsiTheme="majorHAnsi" w:cstheme="majorHAnsi"/>
        </w:rPr>
        <w:t xml:space="preserve">. Origin of perylene in ancient </w:t>
      </w:r>
      <w:r w:rsidRPr="00AD017D">
        <w:rPr>
          <w:rFonts w:asciiTheme="majorHAnsi" w:hAnsiTheme="majorHAnsi" w:cstheme="majorHAnsi"/>
        </w:rPr>
        <w:tab/>
        <w:t>sediments and its geological significance</w:t>
      </w:r>
      <w:r w:rsidRPr="00AD017D">
        <w:rPr>
          <w:rFonts w:asciiTheme="majorHAnsi" w:hAnsiTheme="majorHAnsi" w:cstheme="majorHAnsi"/>
          <w:i/>
        </w:rPr>
        <w:t>. Organic Geochemistry, 31(12),</w:t>
      </w:r>
      <w:r w:rsidRPr="00AD017D">
        <w:rPr>
          <w:rFonts w:asciiTheme="majorHAnsi" w:hAnsiTheme="majorHAnsi" w:cstheme="majorHAnsi"/>
        </w:rPr>
        <w:t xml:space="preserve"> 1545-</w:t>
      </w:r>
      <w:r w:rsidRPr="00AD017D">
        <w:rPr>
          <w:rFonts w:asciiTheme="majorHAnsi" w:hAnsiTheme="majorHAnsi" w:cstheme="majorHAnsi"/>
        </w:rPr>
        <w:tab/>
        <w:t>1559.</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 xml:space="preserve">Jiang, </w:t>
      </w:r>
      <w:r>
        <w:rPr>
          <w:rFonts w:asciiTheme="majorHAnsi" w:hAnsiTheme="majorHAnsi" w:cstheme="majorHAnsi"/>
        </w:rPr>
        <w:t>L., George, S. C., Zhang, M. 2018</w:t>
      </w:r>
      <w:r w:rsidRPr="009264F1">
        <w:rPr>
          <w:rFonts w:asciiTheme="majorHAnsi" w:hAnsiTheme="majorHAnsi" w:cstheme="majorHAnsi"/>
        </w:rPr>
        <w:t xml:space="preserve">. The occurrence and distribution of </w:t>
      </w:r>
      <w:r w:rsidRPr="009264F1">
        <w:rPr>
          <w:rFonts w:asciiTheme="majorHAnsi" w:hAnsiTheme="majorHAnsi" w:cstheme="majorHAnsi"/>
        </w:rPr>
        <w:tab/>
        <w:t xml:space="preserve">rearranged hopanes in crude oils from the Lishu Depression, Songliao Basin, </w:t>
      </w:r>
      <w:r w:rsidRPr="009264F1">
        <w:rPr>
          <w:rFonts w:asciiTheme="majorHAnsi" w:hAnsiTheme="majorHAnsi" w:cstheme="majorHAnsi"/>
        </w:rPr>
        <w:tab/>
        <w:t xml:space="preserve">China. </w:t>
      </w:r>
      <w:r w:rsidRPr="009264F1">
        <w:rPr>
          <w:rFonts w:asciiTheme="majorHAnsi" w:hAnsiTheme="majorHAnsi" w:cstheme="majorHAnsi"/>
          <w:i/>
        </w:rPr>
        <w:t>Organic Geochemistry, 115</w:t>
      </w:r>
      <w:r w:rsidRPr="009264F1">
        <w:rPr>
          <w:rFonts w:asciiTheme="majorHAnsi" w:hAnsiTheme="majorHAnsi" w:cstheme="majorHAnsi"/>
        </w:rPr>
        <w:t>, 205-219.</w:t>
      </w:r>
    </w:p>
    <w:p w:rsidR="00C87CE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Johnson, K. S. 1989</w:t>
      </w:r>
      <w:r w:rsidRPr="009264F1">
        <w:rPr>
          <w:rFonts w:asciiTheme="majorHAnsi" w:hAnsiTheme="majorHAnsi" w:cstheme="majorHAnsi"/>
        </w:rPr>
        <w:t xml:space="preserve">. Geologic Evolution of the Anadarko Basin. </w:t>
      </w:r>
      <w:r w:rsidRPr="009264F1">
        <w:rPr>
          <w:rFonts w:asciiTheme="majorHAnsi" w:hAnsiTheme="majorHAnsi" w:cstheme="majorHAnsi"/>
          <w:i/>
        </w:rPr>
        <w:t xml:space="preserve">Oklahoma Geological </w:t>
      </w:r>
      <w:r w:rsidRPr="009264F1">
        <w:rPr>
          <w:rFonts w:asciiTheme="majorHAnsi" w:hAnsiTheme="majorHAnsi" w:cstheme="majorHAnsi"/>
          <w:i/>
        </w:rPr>
        <w:tab/>
        <w:t>Survey, 90</w:t>
      </w:r>
      <w:r w:rsidRPr="009264F1">
        <w:rPr>
          <w:rFonts w:asciiTheme="majorHAnsi" w:hAnsiTheme="majorHAnsi" w:cstheme="majorHAnsi"/>
        </w:rPr>
        <w:t>, 3-12.</w:t>
      </w:r>
    </w:p>
    <w:p w:rsidR="00C87CE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Jones, L. C. 2017</w:t>
      </w:r>
      <w:r w:rsidRPr="002030C1">
        <w:rPr>
          <w:rFonts w:asciiTheme="majorHAnsi" w:hAnsiTheme="majorHAnsi" w:cstheme="majorHAnsi"/>
        </w:rPr>
        <w:t xml:space="preserve">. An Integrated Analysis of Sequence Stratigraphy, Petroleum </w:t>
      </w:r>
      <w:r>
        <w:rPr>
          <w:rFonts w:asciiTheme="majorHAnsi" w:hAnsiTheme="majorHAnsi" w:cstheme="majorHAnsi"/>
        </w:rPr>
        <w:tab/>
      </w:r>
      <w:r w:rsidRPr="002030C1">
        <w:rPr>
          <w:rFonts w:asciiTheme="majorHAnsi" w:hAnsiTheme="majorHAnsi" w:cstheme="majorHAnsi"/>
        </w:rPr>
        <w:t xml:space="preserve">Geochemistry, And Devonian Mass Extinction Events in the Woodford Shale </w:t>
      </w:r>
      <w:r>
        <w:rPr>
          <w:rFonts w:asciiTheme="majorHAnsi" w:hAnsiTheme="majorHAnsi" w:cstheme="majorHAnsi"/>
        </w:rPr>
        <w:tab/>
      </w:r>
      <w:r w:rsidRPr="002030C1">
        <w:rPr>
          <w:rFonts w:asciiTheme="majorHAnsi" w:hAnsiTheme="majorHAnsi" w:cstheme="majorHAnsi"/>
        </w:rPr>
        <w:t xml:space="preserve">Southern Oklahoma (Unpublished master's thesis). </w:t>
      </w:r>
      <w:r w:rsidRPr="002030C1">
        <w:rPr>
          <w:rFonts w:asciiTheme="majorHAnsi" w:hAnsiTheme="majorHAnsi" w:cstheme="majorHAnsi"/>
          <w:i/>
        </w:rPr>
        <w:t xml:space="preserve">University of Oklahoma, </w:t>
      </w:r>
      <w:r>
        <w:rPr>
          <w:rFonts w:asciiTheme="majorHAnsi" w:hAnsiTheme="majorHAnsi" w:cstheme="majorHAnsi"/>
          <w:i/>
        </w:rPr>
        <w:tab/>
      </w:r>
      <w:r w:rsidRPr="002030C1">
        <w:rPr>
          <w:rFonts w:asciiTheme="majorHAnsi" w:hAnsiTheme="majorHAnsi" w:cstheme="majorHAnsi"/>
          <w:i/>
        </w:rPr>
        <w:t>Norman</w:t>
      </w:r>
      <w:r w:rsidRPr="002030C1">
        <w:rPr>
          <w:rFonts w:asciiTheme="majorHAnsi" w:hAnsiTheme="majorHAnsi" w:cstheme="majorHAnsi"/>
        </w:rPr>
        <w:t>.</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t>Kaw</w:t>
      </w:r>
      <w:r>
        <w:t>ka</w:t>
      </w:r>
      <w:r w:rsidR="00FC7A78">
        <w:t>, O.E.,</w:t>
      </w:r>
      <w:r>
        <w:t xml:space="preserve"> Simoneit</w:t>
      </w:r>
      <w:r w:rsidR="00D43454">
        <w:t>,</w:t>
      </w:r>
      <w:r>
        <w:t xml:space="preserve"> B.R.T. 1990.</w:t>
      </w:r>
      <w:r w:rsidRPr="009264F1">
        <w:t xml:space="preserve"> Polycyclic aromatic h</w:t>
      </w:r>
      <w:r w:rsidR="00D43454">
        <w:t xml:space="preserve">ydrocarbons in </w:t>
      </w:r>
      <w:r w:rsidRPr="009264F1">
        <w:t xml:space="preserve">hydrothermal </w:t>
      </w:r>
      <w:r w:rsidR="00FC7A78">
        <w:tab/>
      </w:r>
      <w:r w:rsidRPr="009264F1">
        <w:t xml:space="preserve">petroleums from the Guaymas Basin spreading center. </w:t>
      </w:r>
      <w:r w:rsidR="00FC7A78">
        <w:rPr>
          <w:i/>
        </w:rPr>
        <w:t xml:space="preserve">Applied </w:t>
      </w:r>
      <w:r>
        <w:rPr>
          <w:i/>
        </w:rPr>
        <w:t>Geochemistry</w:t>
      </w:r>
      <w:r w:rsidRPr="009264F1">
        <w:rPr>
          <w:i/>
        </w:rPr>
        <w:t xml:space="preserve"> 5,</w:t>
      </w:r>
      <w:r w:rsidRPr="009264F1">
        <w:t xml:space="preserve"> </w:t>
      </w:r>
      <w:r w:rsidR="00D43454">
        <w:tab/>
      </w:r>
      <w:r w:rsidRPr="009264F1">
        <w:t>17-27.</w:t>
      </w:r>
    </w:p>
    <w:p w:rsidR="00C87CE1" w:rsidRPr="009264F1" w:rsidRDefault="00C87CE1" w:rsidP="00C87CE1">
      <w:pPr>
        <w:spacing w:before="100" w:beforeAutospacing="1" w:after="100" w:afterAutospacing="1" w:line="240" w:lineRule="auto"/>
        <w:jc w:val="both"/>
        <w:rPr>
          <w:rFonts w:asciiTheme="majorHAnsi" w:hAnsiTheme="majorHAnsi" w:cstheme="majorHAnsi"/>
          <w:i/>
        </w:rPr>
      </w:pPr>
      <w:r w:rsidRPr="009264F1">
        <w:rPr>
          <w:rFonts w:asciiTheme="majorHAnsi" w:hAnsiTheme="majorHAnsi" w:cstheme="majorHAnsi"/>
        </w:rPr>
        <w:lastRenderedPageBreak/>
        <w:t>Khaiwka,</w:t>
      </w:r>
      <w:r>
        <w:rPr>
          <w:rFonts w:asciiTheme="majorHAnsi" w:hAnsiTheme="majorHAnsi" w:cstheme="majorHAnsi"/>
        </w:rPr>
        <w:t xml:space="preserve"> M. H. 1968</w:t>
      </w:r>
      <w:r w:rsidRPr="009264F1">
        <w:rPr>
          <w:rFonts w:asciiTheme="majorHAnsi" w:hAnsiTheme="majorHAnsi" w:cstheme="majorHAnsi"/>
        </w:rPr>
        <w:t>. Geometry and depositional</w:t>
      </w:r>
      <w:r>
        <w:rPr>
          <w:rFonts w:asciiTheme="majorHAnsi" w:hAnsiTheme="majorHAnsi" w:cstheme="majorHAnsi"/>
        </w:rPr>
        <w:t xml:space="preserve"> environments of Pennsylvanian</w:t>
      </w:r>
      <w:r>
        <w:rPr>
          <w:rFonts w:asciiTheme="majorHAnsi" w:hAnsiTheme="majorHAnsi" w:cstheme="majorHAnsi"/>
        </w:rPr>
        <w:tab/>
      </w:r>
      <w:r w:rsidRPr="009264F1">
        <w:rPr>
          <w:rFonts w:asciiTheme="majorHAnsi" w:hAnsiTheme="majorHAnsi" w:cstheme="majorHAnsi"/>
        </w:rPr>
        <w:t xml:space="preserve">reservoir sandstones, Northwestern Oklahoma </w:t>
      </w:r>
      <w:r w:rsidRPr="00D034BD">
        <w:rPr>
          <w:rFonts w:asciiTheme="majorHAnsi" w:hAnsiTheme="majorHAnsi" w:cstheme="majorHAnsi"/>
        </w:rPr>
        <w:t>(Unpublished master's thesis)</w:t>
      </w:r>
      <w:r w:rsidRPr="009264F1">
        <w:rPr>
          <w:rFonts w:asciiTheme="majorHAnsi" w:hAnsiTheme="majorHAnsi" w:cstheme="majorHAnsi"/>
          <w:i/>
        </w:rPr>
        <w:t>.</w:t>
      </w:r>
      <w:r w:rsidRPr="009264F1">
        <w:rPr>
          <w:rFonts w:asciiTheme="majorHAnsi" w:hAnsiTheme="majorHAnsi" w:cstheme="majorHAnsi"/>
        </w:rPr>
        <w:tab/>
      </w:r>
      <w:r w:rsidRPr="009264F1">
        <w:rPr>
          <w:rFonts w:asciiTheme="majorHAnsi" w:hAnsiTheme="majorHAnsi" w:cstheme="majorHAnsi"/>
          <w:i/>
        </w:rPr>
        <w:t>University of Oklahoma, Norman.</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Killops, S. D. 1991</w:t>
      </w:r>
      <w:r w:rsidRPr="009264F1">
        <w:rPr>
          <w:rFonts w:asciiTheme="majorHAnsi" w:hAnsiTheme="majorHAnsi" w:cstheme="majorHAnsi"/>
        </w:rPr>
        <w:t xml:space="preserve">. Novel aromatic hydrocarbons of probable bacterial origin in a </w:t>
      </w:r>
      <w:r w:rsidRPr="009264F1">
        <w:rPr>
          <w:rFonts w:asciiTheme="majorHAnsi" w:hAnsiTheme="majorHAnsi" w:cstheme="majorHAnsi"/>
        </w:rPr>
        <w:tab/>
        <w:t xml:space="preserve">Jurassic lacustrine sequence. </w:t>
      </w:r>
      <w:r w:rsidRPr="009264F1">
        <w:rPr>
          <w:rFonts w:asciiTheme="majorHAnsi" w:hAnsiTheme="majorHAnsi" w:cstheme="majorHAnsi"/>
          <w:i/>
        </w:rPr>
        <w:t xml:space="preserve">Organic Geochemistry, 17, </w:t>
      </w:r>
      <w:r w:rsidRPr="009264F1">
        <w:rPr>
          <w:rFonts w:asciiTheme="majorHAnsi" w:hAnsiTheme="majorHAnsi" w:cstheme="majorHAnsi"/>
        </w:rPr>
        <w:t>23-36.</w:t>
      </w:r>
    </w:p>
    <w:p w:rsidR="00C87CE1" w:rsidRDefault="00C87CE1" w:rsidP="00C87CE1">
      <w:pPr>
        <w:spacing w:before="100" w:beforeAutospacing="1" w:after="100" w:afterAutospacing="1" w:line="240" w:lineRule="auto"/>
        <w:jc w:val="both"/>
      </w:pPr>
      <w:r>
        <w:t>Killops, S., Massoud, M. 1992</w:t>
      </w:r>
      <w:r w:rsidRPr="009264F1">
        <w:t>. Polycyclic aromatic hydrocarbons of pyrolytic origin</w:t>
      </w:r>
      <w:r w:rsidRPr="009264F1">
        <w:tab/>
        <w:t xml:space="preserve"> in ancient sediments: evidence for Jurassic vegetation fires. </w:t>
      </w:r>
      <w:r w:rsidRPr="009264F1">
        <w:rPr>
          <w:i/>
        </w:rPr>
        <w:t xml:space="preserve">Organic </w:t>
      </w:r>
      <w:r w:rsidRPr="009264F1">
        <w:rPr>
          <w:i/>
        </w:rPr>
        <w:tab/>
        <w:t>Geochemistry, 18(1),</w:t>
      </w:r>
      <w:r w:rsidRPr="009264F1">
        <w:t xml:space="preserve"> 1-7.</w:t>
      </w:r>
    </w:p>
    <w:p w:rsidR="00CC7EEC" w:rsidRPr="009264F1" w:rsidRDefault="00CC7EEC" w:rsidP="00C87CE1">
      <w:pPr>
        <w:spacing w:before="100" w:beforeAutospacing="1" w:after="100" w:afterAutospacing="1" w:line="240" w:lineRule="auto"/>
        <w:jc w:val="both"/>
      </w:pPr>
      <w:r w:rsidRPr="00CC7EEC">
        <w:t>K</w:t>
      </w:r>
      <w:r w:rsidR="009C0E73">
        <w:t>irk, D. N., &amp; Shaw, P. M. 1975</w:t>
      </w:r>
      <w:r w:rsidRPr="00CC7EEC">
        <w:t xml:space="preserve">. Backbone Rearrangements of Steroidal 5-enes. </w:t>
      </w:r>
      <w:r w:rsidRPr="009C0E73">
        <w:rPr>
          <w:i/>
        </w:rPr>
        <w:t>Journal</w:t>
      </w:r>
      <w:r w:rsidR="009C0E73">
        <w:rPr>
          <w:i/>
        </w:rPr>
        <w:tab/>
      </w:r>
      <w:r w:rsidRPr="009C0E73">
        <w:rPr>
          <w:i/>
        </w:rPr>
        <w:t xml:space="preserve"> of Chemica</w:t>
      </w:r>
      <w:r w:rsidR="009C0E73">
        <w:rPr>
          <w:i/>
        </w:rPr>
        <w:t xml:space="preserve">l Society Perkin Transactions </w:t>
      </w:r>
      <w:r w:rsidR="009C0E73" w:rsidRPr="009C0E73">
        <w:rPr>
          <w:i/>
        </w:rPr>
        <w:t>I</w:t>
      </w:r>
      <w:r w:rsidR="009C0E73">
        <w:rPr>
          <w:i/>
        </w:rPr>
        <w:t xml:space="preserve">, </w:t>
      </w:r>
      <w:r w:rsidR="009C0E73" w:rsidRPr="009C0E73">
        <w:rPr>
          <w:i/>
        </w:rPr>
        <w:t>(</w:t>
      </w:r>
      <w:r w:rsidRPr="009C0E73">
        <w:rPr>
          <w:i/>
        </w:rPr>
        <w:t>22),</w:t>
      </w:r>
      <w:r w:rsidRPr="00CC7EEC">
        <w:t xml:space="preserve"> 2284-2294.</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Kolaczkowska, E., Slougui, N., Watt, D. S., Ma</w:t>
      </w:r>
      <w:r>
        <w:rPr>
          <w:rFonts w:asciiTheme="majorHAnsi" w:hAnsiTheme="majorHAnsi" w:cstheme="majorHAnsi"/>
        </w:rPr>
        <w:t>ruca, R. E., Moldowan, J. M. 1990</w:t>
      </w:r>
      <w:r w:rsidRPr="009264F1">
        <w:rPr>
          <w:rFonts w:asciiTheme="majorHAnsi" w:hAnsiTheme="majorHAnsi" w:cstheme="majorHAnsi"/>
        </w:rPr>
        <w:t xml:space="preserve">. </w:t>
      </w:r>
      <w:r w:rsidRPr="009264F1">
        <w:rPr>
          <w:rFonts w:asciiTheme="majorHAnsi" w:hAnsiTheme="majorHAnsi" w:cstheme="majorHAnsi"/>
        </w:rPr>
        <w:tab/>
        <w:t xml:space="preserve">Thermodynamic stability of various alkylated, dealkylated and rearranged 17α- </w:t>
      </w:r>
      <w:r w:rsidRPr="009264F1">
        <w:rPr>
          <w:rFonts w:asciiTheme="majorHAnsi" w:hAnsiTheme="majorHAnsi" w:cstheme="majorHAnsi"/>
        </w:rPr>
        <w:tab/>
        <w:t xml:space="preserve">and 17β-hopane isomers using molecular mechanics calculations. </w:t>
      </w:r>
      <w:r w:rsidRPr="009264F1">
        <w:rPr>
          <w:rFonts w:asciiTheme="majorHAnsi" w:hAnsiTheme="majorHAnsi" w:cstheme="majorHAnsi"/>
          <w:i/>
        </w:rPr>
        <w:t xml:space="preserve">Organic </w:t>
      </w:r>
      <w:r w:rsidRPr="009264F1">
        <w:rPr>
          <w:rFonts w:asciiTheme="majorHAnsi" w:hAnsiTheme="majorHAnsi" w:cstheme="majorHAnsi"/>
          <w:i/>
        </w:rPr>
        <w:tab/>
        <w:t xml:space="preserve">Geochemistry, 16(4-6), </w:t>
      </w:r>
      <w:r w:rsidRPr="009264F1">
        <w:rPr>
          <w:rFonts w:asciiTheme="majorHAnsi" w:hAnsiTheme="majorHAnsi" w:cstheme="majorHAnsi"/>
        </w:rPr>
        <w:t>1033-1038.</w:t>
      </w:r>
    </w:p>
    <w:p w:rsidR="00C87CE1" w:rsidRPr="009264F1" w:rsidRDefault="00C87CE1" w:rsidP="00C87CE1">
      <w:pPr>
        <w:spacing w:before="100" w:beforeAutospacing="1" w:after="100" w:afterAutospacing="1" w:line="240" w:lineRule="auto"/>
        <w:jc w:val="both"/>
      </w:pPr>
      <w:r w:rsidRPr="009264F1">
        <w:t>Koons, C. B., Jamieson, G. W., Cicroszko, L. S. 1965. Normal alkane distr</w:t>
      </w:r>
      <w:r>
        <w:t>ibution of</w:t>
      </w:r>
      <w:r>
        <w:tab/>
        <w:t xml:space="preserve">marine origin. </w:t>
      </w:r>
      <w:r w:rsidRPr="00DB176C">
        <w:rPr>
          <w:i/>
        </w:rPr>
        <w:t>Bulletin of American Association Petroleum Geologists 49</w:t>
      </w:r>
      <w:r>
        <w:rPr>
          <w:i/>
        </w:rPr>
        <w:t>,</w:t>
      </w:r>
      <w:r w:rsidRPr="009264F1">
        <w:t xml:space="preserve"> 301-</w:t>
      </w:r>
      <w:r>
        <w:tab/>
      </w:r>
      <w:r w:rsidRPr="009264F1">
        <w:t>304</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Koopmans, M. P., Rijpstra, W. C., Klapwijk, M. M</w:t>
      </w:r>
      <w:r>
        <w:rPr>
          <w:rFonts w:asciiTheme="majorHAnsi" w:hAnsiTheme="majorHAnsi" w:cstheme="majorHAnsi"/>
        </w:rPr>
        <w:t>., Leeuw, J. W., Lewan, M.D.,</w:t>
      </w:r>
      <w:r w:rsidRPr="009264F1">
        <w:rPr>
          <w:rFonts w:asciiTheme="majorHAnsi" w:hAnsiTheme="majorHAnsi" w:cstheme="majorHAnsi"/>
        </w:rPr>
        <w:t xml:space="preserve"> Damsté, </w:t>
      </w:r>
      <w:r>
        <w:rPr>
          <w:rFonts w:asciiTheme="majorHAnsi" w:hAnsiTheme="majorHAnsi" w:cstheme="majorHAnsi"/>
        </w:rPr>
        <w:tab/>
      </w:r>
      <w:r w:rsidRPr="009264F1">
        <w:rPr>
          <w:rFonts w:asciiTheme="majorHAnsi" w:hAnsiTheme="majorHAnsi" w:cstheme="majorHAnsi"/>
        </w:rPr>
        <w:t>J. S. 1999. A thermal and chemical de</w:t>
      </w:r>
      <w:r>
        <w:rPr>
          <w:rFonts w:asciiTheme="majorHAnsi" w:hAnsiTheme="majorHAnsi" w:cstheme="majorHAnsi"/>
        </w:rPr>
        <w:t>gradation approach to decipher</w:t>
      </w:r>
      <w:r w:rsidRPr="009264F1">
        <w:rPr>
          <w:rFonts w:asciiTheme="majorHAnsi" w:hAnsiTheme="majorHAnsi" w:cstheme="majorHAnsi"/>
        </w:rPr>
        <w:t xml:space="preserve">pristane and </w:t>
      </w:r>
      <w:r>
        <w:rPr>
          <w:rFonts w:asciiTheme="majorHAnsi" w:hAnsiTheme="majorHAnsi" w:cstheme="majorHAnsi"/>
        </w:rPr>
        <w:tab/>
      </w:r>
      <w:r w:rsidRPr="009264F1">
        <w:rPr>
          <w:rFonts w:asciiTheme="majorHAnsi" w:hAnsiTheme="majorHAnsi" w:cstheme="majorHAnsi"/>
        </w:rPr>
        <w:t xml:space="preserve">phytane precursors in sedimentary organic matter. </w:t>
      </w:r>
      <w:r>
        <w:rPr>
          <w:rFonts w:asciiTheme="majorHAnsi" w:hAnsiTheme="majorHAnsi" w:cstheme="majorHAnsi"/>
          <w:i/>
        </w:rPr>
        <w:t xml:space="preserve">OrganicGeochemistry, </w:t>
      </w:r>
      <w:r w:rsidRPr="009264F1">
        <w:rPr>
          <w:rFonts w:asciiTheme="majorHAnsi" w:hAnsiTheme="majorHAnsi" w:cstheme="majorHAnsi"/>
          <w:i/>
        </w:rPr>
        <w:t>30,</w:t>
      </w:r>
      <w:r w:rsidRPr="009264F1">
        <w:rPr>
          <w:rFonts w:asciiTheme="majorHAnsi" w:hAnsiTheme="majorHAnsi" w:cstheme="majorHAnsi"/>
        </w:rPr>
        <w:t xml:space="preserve"> </w:t>
      </w:r>
      <w:r>
        <w:rPr>
          <w:rFonts w:asciiTheme="majorHAnsi" w:hAnsiTheme="majorHAnsi" w:cstheme="majorHAnsi"/>
        </w:rPr>
        <w:tab/>
      </w:r>
      <w:r w:rsidRPr="009264F1">
        <w:rPr>
          <w:rFonts w:asciiTheme="majorHAnsi" w:hAnsiTheme="majorHAnsi" w:cstheme="majorHAnsi"/>
        </w:rPr>
        <w:t>1089-1104.</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Krystinik,</w:t>
      </w:r>
      <w:r>
        <w:rPr>
          <w:rFonts w:asciiTheme="majorHAnsi" w:hAnsiTheme="majorHAnsi" w:cstheme="majorHAnsi"/>
        </w:rPr>
        <w:t xml:space="preserve"> L., Bowen, D., Swanson, H. 1987. Depositional systematics and exploitation</w:t>
      </w:r>
      <w:r>
        <w:rPr>
          <w:rFonts w:asciiTheme="majorHAnsi" w:hAnsiTheme="majorHAnsi" w:cstheme="majorHAnsi"/>
        </w:rPr>
        <w:tab/>
      </w:r>
      <w:r w:rsidRPr="009264F1">
        <w:rPr>
          <w:rFonts w:asciiTheme="majorHAnsi" w:hAnsiTheme="majorHAnsi" w:cstheme="majorHAnsi"/>
        </w:rPr>
        <w:t>of M</w:t>
      </w:r>
      <w:r>
        <w:rPr>
          <w:rFonts w:asciiTheme="majorHAnsi" w:hAnsiTheme="majorHAnsi" w:cstheme="majorHAnsi"/>
        </w:rPr>
        <w:t>orrow valley-fill c</w:t>
      </w:r>
      <w:r w:rsidRPr="009264F1">
        <w:rPr>
          <w:rFonts w:asciiTheme="majorHAnsi" w:hAnsiTheme="majorHAnsi" w:cstheme="majorHAnsi"/>
        </w:rPr>
        <w:t xml:space="preserve">omplexes in Cheyenne County, Colorado. </w:t>
      </w:r>
      <w:r w:rsidRPr="009264F1">
        <w:rPr>
          <w:rFonts w:asciiTheme="majorHAnsi" w:hAnsiTheme="majorHAnsi" w:cstheme="majorHAnsi"/>
          <w:i/>
        </w:rPr>
        <w:t xml:space="preserve">AAPG Bulletin, </w:t>
      </w:r>
      <w:r>
        <w:rPr>
          <w:rFonts w:asciiTheme="majorHAnsi" w:hAnsiTheme="majorHAnsi" w:cstheme="majorHAnsi"/>
          <w:i/>
        </w:rPr>
        <w:tab/>
      </w:r>
      <w:r w:rsidRPr="009264F1">
        <w:rPr>
          <w:rFonts w:asciiTheme="majorHAnsi" w:hAnsiTheme="majorHAnsi" w:cstheme="majorHAnsi"/>
          <w:i/>
        </w:rPr>
        <w:t>71</w:t>
      </w:r>
      <w:r w:rsidRPr="009264F1">
        <w:rPr>
          <w:rFonts w:asciiTheme="majorHAnsi" w:hAnsiTheme="majorHAnsi" w:cstheme="majorHAnsi"/>
        </w:rPr>
        <w:t>, 579.</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L</w:t>
      </w:r>
      <w:r>
        <w:rPr>
          <w:rFonts w:asciiTheme="majorHAnsi" w:hAnsiTheme="majorHAnsi" w:cstheme="majorHAnsi"/>
        </w:rPr>
        <w:t>aflamme, R. E., Hites, R. A. 1979</w:t>
      </w:r>
      <w:r w:rsidRPr="009264F1">
        <w:rPr>
          <w:rFonts w:asciiTheme="majorHAnsi" w:hAnsiTheme="majorHAnsi" w:cstheme="majorHAnsi"/>
        </w:rPr>
        <w:t xml:space="preserve">. Tetra- and pentacyclic, naturally-occurring, </w:t>
      </w:r>
      <w:r w:rsidRPr="009264F1">
        <w:rPr>
          <w:rFonts w:asciiTheme="majorHAnsi" w:hAnsiTheme="majorHAnsi" w:cstheme="majorHAnsi"/>
        </w:rPr>
        <w:tab/>
        <w:t xml:space="preserve">aromatic hydrocarbons in recent sediments. </w:t>
      </w:r>
      <w:r w:rsidRPr="009264F1">
        <w:rPr>
          <w:rFonts w:asciiTheme="majorHAnsi" w:hAnsiTheme="majorHAnsi" w:cstheme="majorHAnsi"/>
          <w:i/>
        </w:rPr>
        <w:t xml:space="preserve">Geochimica et Cosmochimica Acta, </w:t>
      </w:r>
      <w:r w:rsidRPr="009264F1">
        <w:rPr>
          <w:rFonts w:asciiTheme="majorHAnsi" w:hAnsiTheme="majorHAnsi" w:cstheme="majorHAnsi"/>
          <w:i/>
        </w:rPr>
        <w:tab/>
        <w:t>43(10),</w:t>
      </w:r>
      <w:r w:rsidRPr="009264F1">
        <w:rPr>
          <w:rFonts w:asciiTheme="majorHAnsi" w:hAnsiTheme="majorHAnsi" w:cstheme="majorHAnsi"/>
        </w:rPr>
        <w:t xml:space="preserve"> 1687-1691.</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Langfor</w:t>
      </w:r>
      <w:r>
        <w:rPr>
          <w:rFonts w:asciiTheme="majorHAnsi" w:hAnsiTheme="majorHAnsi" w:cstheme="majorHAnsi"/>
        </w:rPr>
        <w:t>d</w:t>
      </w:r>
      <w:r w:rsidR="00FC7A78">
        <w:rPr>
          <w:rFonts w:asciiTheme="majorHAnsi" w:hAnsiTheme="majorHAnsi" w:cstheme="majorHAnsi"/>
        </w:rPr>
        <w:t>,</w:t>
      </w:r>
      <w:r>
        <w:rPr>
          <w:rFonts w:asciiTheme="majorHAnsi" w:hAnsiTheme="majorHAnsi" w:cstheme="majorHAnsi"/>
        </w:rPr>
        <w:t xml:space="preserve"> F.F., Blanc-Valleron</w:t>
      </w:r>
      <w:r w:rsidR="00FC7A78">
        <w:rPr>
          <w:rFonts w:asciiTheme="majorHAnsi" w:hAnsiTheme="majorHAnsi" w:cstheme="majorHAnsi"/>
        </w:rPr>
        <w:t>,</w:t>
      </w:r>
      <w:r w:rsidR="00FC7A78" w:rsidRPr="00FC7A78">
        <w:rPr>
          <w:rFonts w:asciiTheme="majorHAnsi" w:hAnsiTheme="majorHAnsi" w:cstheme="majorHAnsi"/>
        </w:rPr>
        <w:t xml:space="preserve"> </w:t>
      </w:r>
      <w:r w:rsidR="00FC7A78">
        <w:rPr>
          <w:rFonts w:asciiTheme="majorHAnsi" w:hAnsiTheme="majorHAnsi" w:cstheme="majorHAnsi"/>
        </w:rPr>
        <w:t>M.</w:t>
      </w:r>
      <w:r>
        <w:rPr>
          <w:rFonts w:asciiTheme="majorHAnsi" w:hAnsiTheme="majorHAnsi" w:cstheme="majorHAnsi"/>
        </w:rPr>
        <w:t xml:space="preserve"> 1990</w:t>
      </w:r>
      <w:r w:rsidRPr="009264F1">
        <w:rPr>
          <w:rFonts w:asciiTheme="majorHAnsi" w:hAnsiTheme="majorHAnsi" w:cstheme="majorHAnsi"/>
        </w:rPr>
        <w:t>. Interpr</w:t>
      </w:r>
      <w:r>
        <w:rPr>
          <w:rFonts w:asciiTheme="majorHAnsi" w:hAnsiTheme="majorHAnsi" w:cstheme="majorHAnsi"/>
        </w:rPr>
        <w:t xml:space="preserve">eting Rock-Eval Pyrolysis Data </w:t>
      </w:r>
      <w:r w:rsidRPr="009264F1">
        <w:rPr>
          <w:rFonts w:asciiTheme="majorHAnsi" w:hAnsiTheme="majorHAnsi" w:cstheme="majorHAnsi"/>
        </w:rPr>
        <w:t>Using</w:t>
      </w:r>
      <w:r>
        <w:rPr>
          <w:rFonts w:asciiTheme="majorHAnsi" w:hAnsiTheme="majorHAnsi" w:cstheme="majorHAnsi"/>
        </w:rPr>
        <w:tab/>
      </w:r>
      <w:r w:rsidRPr="009264F1">
        <w:rPr>
          <w:rFonts w:asciiTheme="majorHAnsi" w:hAnsiTheme="majorHAnsi" w:cstheme="majorHAnsi"/>
        </w:rPr>
        <w:t xml:space="preserve">Graphs of Pyrolizable Hydrocarbons vs. Total Organic Carbon (1). </w:t>
      </w:r>
      <w:r w:rsidRPr="009264F1">
        <w:rPr>
          <w:rFonts w:asciiTheme="majorHAnsi" w:hAnsiTheme="majorHAnsi" w:cstheme="majorHAnsi"/>
          <w:i/>
        </w:rPr>
        <w:t xml:space="preserve">AAPG </w:t>
      </w:r>
      <w:r w:rsidRPr="009264F1">
        <w:rPr>
          <w:rFonts w:asciiTheme="majorHAnsi" w:hAnsiTheme="majorHAnsi" w:cstheme="majorHAnsi"/>
          <w:i/>
        </w:rPr>
        <w:tab/>
        <w:t>Bulletin, 74</w:t>
      </w:r>
      <w:r w:rsidRPr="009264F1">
        <w:rPr>
          <w:rFonts w:asciiTheme="majorHAnsi" w:hAnsiTheme="majorHAnsi" w:cstheme="majorHAnsi"/>
        </w:rPr>
        <w:t>.</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Li, J., Li, M., Wang, Z. 2004</w:t>
      </w:r>
      <w:r w:rsidRPr="009264F1">
        <w:rPr>
          <w:rFonts w:asciiTheme="majorHAnsi" w:hAnsiTheme="majorHAnsi" w:cstheme="majorHAnsi"/>
        </w:rPr>
        <w:t>. Dibenzofuran series i</w:t>
      </w:r>
      <w:r>
        <w:rPr>
          <w:rFonts w:asciiTheme="majorHAnsi" w:hAnsiTheme="majorHAnsi" w:cstheme="majorHAnsi"/>
        </w:rPr>
        <w:t>n terrestrial source rocks and cru</w:t>
      </w:r>
      <w:r w:rsidRPr="009264F1">
        <w:rPr>
          <w:rFonts w:asciiTheme="majorHAnsi" w:hAnsiTheme="majorHAnsi" w:cstheme="majorHAnsi"/>
        </w:rPr>
        <w:t>de</w:t>
      </w:r>
      <w:r>
        <w:rPr>
          <w:rFonts w:asciiTheme="majorHAnsi" w:hAnsiTheme="majorHAnsi" w:cstheme="majorHAnsi"/>
        </w:rPr>
        <w:tab/>
      </w:r>
      <w:r w:rsidRPr="009264F1">
        <w:rPr>
          <w:rFonts w:asciiTheme="majorHAnsi" w:hAnsiTheme="majorHAnsi" w:cstheme="majorHAnsi"/>
        </w:rPr>
        <w:t>oils and applications to oil-source rock corre</w:t>
      </w:r>
      <w:r>
        <w:rPr>
          <w:rFonts w:asciiTheme="majorHAnsi" w:hAnsiTheme="majorHAnsi" w:cstheme="majorHAnsi"/>
        </w:rPr>
        <w:t>lations in the Kuche depression</w:t>
      </w:r>
      <w:r w:rsidRPr="009264F1">
        <w:rPr>
          <w:rFonts w:asciiTheme="majorHAnsi" w:hAnsiTheme="majorHAnsi" w:cstheme="majorHAnsi"/>
        </w:rPr>
        <w:tab/>
        <w:t>of Tarim Basin, NW China. </w:t>
      </w:r>
      <w:r w:rsidRPr="009264F1">
        <w:rPr>
          <w:rFonts w:asciiTheme="majorHAnsi" w:hAnsiTheme="majorHAnsi" w:cstheme="majorHAnsi"/>
          <w:i/>
        </w:rPr>
        <w:t>Chinese Journal of Geochemistry, 23(2),</w:t>
      </w:r>
      <w:r w:rsidRPr="009264F1">
        <w:rPr>
          <w:rFonts w:asciiTheme="majorHAnsi" w:hAnsiTheme="majorHAnsi" w:cstheme="majorHAnsi"/>
        </w:rPr>
        <w:t xml:space="preserve"> 113-123.</w:t>
      </w:r>
    </w:p>
    <w:p w:rsidR="00C87CE1" w:rsidRDefault="00C87CE1" w:rsidP="00C87CE1">
      <w:pPr>
        <w:spacing w:before="100" w:beforeAutospacing="1" w:after="100" w:afterAutospacing="1" w:line="240" w:lineRule="auto"/>
        <w:jc w:val="both"/>
        <w:rPr>
          <w:rFonts w:asciiTheme="majorHAnsi" w:hAnsiTheme="majorHAnsi" w:cstheme="majorHAnsi"/>
        </w:rPr>
      </w:pPr>
      <w:r w:rsidRPr="00593511">
        <w:rPr>
          <w:rFonts w:asciiTheme="majorHAnsi" w:hAnsiTheme="majorHAnsi" w:cstheme="majorHAnsi"/>
        </w:rPr>
        <w:lastRenderedPageBreak/>
        <w:t>Li, M., Zhong, N., Shi</w:t>
      </w:r>
      <w:r>
        <w:rPr>
          <w:rFonts w:asciiTheme="majorHAnsi" w:hAnsiTheme="majorHAnsi" w:cstheme="majorHAnsi"/>
        </w:rPr>
        <w:t xml:space="preserve">, S., Zhu, L., Tang, Y. 2013. </w:t>
      </w:r>
      <w:r w:rsidRPr="00593511">
        <w:rPr>
          <w:rFonts w:asciiTheme="majorHAnsi" w:hAnsiTheme="majorHAnsi" w:cstheme="majorHAnsi"/>
        </w:rPr>
        <w:t xml:space="preserve">The origin of </w:t>
      </w:r>
      <w:r>
        <w:rPr>
          <w:rFonts w:asciiTheme="majorHAnsi" w:hAnsiTheme="majorHAnsi" w:cstheme="majorHAnsi"/>
        </w:rPr>
        <w:tab/>
      </w:r>
      <w:r w:rsidRPr="00593511">
        <w:rPr>
          <w:rFonts w:asciiTheme="majorHAnsi" w:hAnsiTheme="majorHAnsi" w:cstheme="majorHAnsi"/>
        </w:rPr>
        <w:t xml:space="preserve">trimethyldibenzothiophenes and their application as maturity indicators in </w:t>
      </w:r>
      <w:r>
        <w:rPr>
          <w:rFonts w:asciiTheme="majorHAnsi" w:hAnsiTheme="majorHAnsi" w:cstheme="majorHAnsi"/>
        </w:rPr>
        <w:tab/>
      </w:r>
      <w:r w:rsidRPr="00593511">
        <w:rPr>
          <w:rFonts w:asciiTheme="majorHAnsi" w:hAnsiTheme="majorHAnsi" w:cstheme="majorHAnsi"/>
        </w:rPr>
        <w:t>sediments from the Liaohe Basin, East China. Fuel 103, 299-307.</w:t>
      </w:r>
    </w:p>
    <w:p w:rsidR="00B204DF" w:rsidRDefault="00B204DF" w:rsidP="00C87CE1">
      <w:pPr>
        <w:spacing w:before="100" w:beforeAutospacing="1" w:after="100" w:afterAutospacing="1" w:line="240" w:lineRule="auto"/>
        <w:jc w:val="both"/>
        <w:rPr>
          <w:rFonts w:asciiTheme="majorHAnsi" w:hAnsiTheme="majorHAnsi" w:cstheme="majorHAnsi"/>
        </w:rPr>
      </w:pPr>
      <w:r w:rsidRPr="00B204DF">
        <w:rPr>
          <w:rFonts w:asciiTheme="majorHAnsi" w:hAnsiTheme="majorHAnsi" w:cstheme="majorHAnsi"/>
        </w:rPr>
        <w:t>Liu, C., Clift</w:t>
      </w:r>
      <w:r w:rsidR="00D43454">
        <w:rPr>
          <w:rFonts w:asciiTheme="majorHAnsi" w:hAnsiTheme="majorHAnsi" w:cstheme="majorHAnsi"/>
        </w:rPr>
        <w:t>,</w:t>
      </w:r>
      <w:r w:rsidR="00D43454" w:rsidRPr="00D43454">
        <w:rPr>
          <w:rFonts w:asciiTheme="majorHAnsi" w:hAnsiTheme="majorHAnsi" w:cstheme="majorHAnsi"/>
        </w:rPr>
        <w:t xml:space="preserve"> </w:t>
      </w:r>
      <w:r w:rsidR="00D43454" w:rsidRPr="00B204DF">
        <w:rPr>
          <w:rFonts w:asciiTheme="majorHAnsi" w:hAnsiTheme="majorHAnsi" w:cstheme="majorHAnsi"/>
        </w:rPr>
        <w:t>P.D.</w:t>
      </w:r>
      <w:r w:rsidRPr="00B204DF">
        <w:rPr>
          <w:rFonts w:asciiTheme="majorHAnsi" w:hAnsiTheme="majorHAnsi" w:cstheme="majorHAnsi"/>
        </w:rPr>
        <w:t>, Murray</w:t>
      </w:r>
      <w:r w:rsidR="00D43454">
        <w:rPr>
          <w:rFonts w:asciiTheme="majorHAnsi" w:hAnsiTheme="majorHAnsi" w:cstheme="majorHAnsi"/>
        </w:rPr>
        <w:t>,</w:t>
      </w:r>
      <w:r w:rsidR="00D43454" w:rsidRPr="00D43454">
        <w:rPr>
          <w:rFonts w:asciiTheme="majorHAnsi" w:hAnsiTheme="majorHAnsi" w:cstheme="majorHAnsi"/>
        </w:rPr>
        <w:t xml:space="preserve"> </w:t>
      </w:r>
      <w:r w:rsidR="00D43454" w:rsidRPr="00B204DF">
        <w:rPr>
          <w:rFonts w:asciiTheme="majorHAnsi" w:hAnsiTheme="majorHAnsi" w:cstheme="majorHAnsi"/>
        </w:rPr>
        <w:t>R.W.</w:t>
      </w:r>
      <w:r w:rsidRPr="00B204DF">
        <w:rPr>
          <w:rFonts w:asciiTheme="majorHAnsi" w:hAnsiTheme="majorHAnsi" w:cstheme="majorHAnsi"/>
        </w:rPr>
        <w:t>, Blusztajn</w:t>
      </w:r>
      <w:r w:rsidR="00D43454">
        <w:rPr>
          <w:rFonts w:asciiTheme="majorHAnsi" w:hAnsiTheme="majorHAnsi" w:cstheme="majorHAnsi"/>
        </w:rPr>
        <w:t>,</w:t>
      </w:r>
      <w:r w:rsidR="00D43454" w:rsidRPr="00D43454">
        <w:rPr>
          <w:rFonts w:asciiTheme="majorHAnsi" w:hAnsiTheme="majorHAnsi" w:cstheme="majorHAnsi"/>
        </w:rPr>
        <w:t xml:space="preserve"> </w:t>
      </w:r>
      <w:r w:rsidR="00D43454" w:rsidRPr="00B204DF">
        <w:rPr>
          <w:rFonts w:asciiTheme="majorHAnsi" w:hAnsiTheme="majorHAnsi" w:cstheme="majorHAnsi"/>
        </w:rPr>
        <w:t>J.</w:t>
      </w:r>
      <w:r w:rsidRPr="00B204DF">
        <w:rPr>
          <w:rFonts w:asciiTheme="majorHAnsi" w:hAnsiTheme="majorHAnsi" w:cstheme="majorHAnsi"/>
        </w:rPr>
        <w:t>, Ireland</w:t>
      </w:r>
      <w:r>
        <w:rPr>
          <w:rFonts w:asciiTheme="majorHAnsi" w:hAnsiTheme="majorHAnsi" w:cstheme="majorHAnsi"/>
        </w:rPr>
        <w:t xml:space="preserve">, </w:t>
      </w:r>
      <w:r w:rsidR="00D43454" w:rsidRPr="00B204DF">
        <w:rPr>
          <w:rFonts w:asciiTheme="majorHAnsi" w:hAnsiTheme="majorHAnsi" w:cstheme="majorHAnsi"/>
        </w:rPr>
        <w:t>T.</w:t>
      </w:r>
      <w:r w:rsidR="00D43454">
        <w:rPr>
          <w:rFonts w:asciiTheme="majorHAnsi" w:hAnsiTheme="majorHAnsi" w:cstheme="majorHAnsi"/>
        </w:rPr>
        <w:t>,</w:t>
      </w:r>
      <w:r w:rsidR="00D43454" w:rsidRPr="00B204DF">
        <w:rPr>
          <w:rFonts w:asciiTheme="majorHAnsi" w:hAnsiTheme="majorHAnsi" w:cstheme="majorHAnsi"/>
        </w:rPr>
        <w:t xml:space="preserve"> </w:t>
      </w:r>
      <w:r>
        <w:rPr>
          <w:rFonts w:asciiTheme="majorHAnsi" w:hAnsiTheme="majorHAnsi" w:cstheme="majorHAnsi"/>
        </w:rPr>
        <w:t xml:space="preserve">Wan, </w:t>
      </w:r>
      <w:r w:rsidR="00D43454">
        <w:rPr>
          <w:rFonts w:asciiTheme="majorHAnsi" w:hAnsiTheme="majorHAnsi" w:cstheme="majorHAnsi"/>
        </w:rPr>
        <w:t>S.,</w:t>
      </w:r>
      <w:r>
        <w:rPr>
          <w:rFonts w:asciiTheme="majorHAnsi" w:hAnsiTheme="majorHAnsi" w:cstheme="majorHAnsi"/>
        </w:rPr>
        <w:t xml:space="preserve"> Ding</w:t>
      </w:r>
      <w:r w:rsidR="00D43454">
        <w:rPr>
          <w:rFonts w:asciiTheme="majorHAnsi" w:hAnsiTheme="majorHAnsi" w:cstheme="majorHAnsi"/>
        </w:rPr>
        <w:t>, W.</w:t>
      </w:r>
      <w:r>
        <w:rPr>
          <w:rFonts w:asciiTheme="majorHAnsi" w:hAnsiTheme="majorHAnsi" w:cstheme="majorHAnsi"/>
        </w:rPr>
        <w:t>. 2017.</w:t>
      </w:r>
      <w:r w:rsidRPr="00B204DF">
        <w:rPr>
          <w:rFonts w:asciiTheme="majorHAnsi" w:hAnsiTheme="majorHAnsi" w:cstheme="majorHAnsi"/>
        </w:rPr>
        <w:t xml:space="preserve"> </w:t>
      </w:r>
      <w:r>
        <w:rPr>
          <w:rFonts w:asciiTheme="majorHAnsi" w:hAnsiTheme="majorHAnsi" w:cstheme="majorHAnsi"/>
        </w:rPr>
        <w:tab/>
      </w:r>
      <w:r w:rsidRPr="00B204DF">
        <w:rPr>
          <w:rFonts w:asciiTheme="majorHAnsi" w:hAnsiTheme="majorHAnsi" w:cstheme="majorHAnsi"/>
        </w:rPr>
        <w:t xml:space="preserve">Geochemical evidence for initiation of the modern Mekong delta in the </w:t>
      </w:r>
      <w:r>
        <w:rPr>
          <w:rFonts w:asciiTheme="majorHAnsi" w:hAnsiTheme="majorHAnsi" w:cstheme="majorHAnsi"/>
        </w:rPr>
        <w:tab/>
      </w:r>
      <w:r w:rsidRPr="00B204DF">
        <w:rPr>
          <w:rFonts w:asciiTheme="majorHAnsi" w:hAnsiTheme="majorHAnsi" w:cstheme="majorHAnsi"/>
        </w:rPr>
        <w:t xml:space="preserve">southwestern South China Sea after 8Ma, </w:t>
      </w:r>
      <w:r w:rsidRPr="00B204DF">
        <w:rPr>
          <w:rFonts w:asciiTheme="majorHAnsi" w:hAnsiTheme="majorHAnsi" w:cstheme="majorHAnsi"/>
          <w:i/>
        </w:rPr>
        <w:t>Chemical Geology, 451,</w:t>
      </w:r>
      <w:r w:rsidRPr="00B204DF">
        <w:rPr>
          <w:rFonts w:asciiTheme="majorHAnsi" w:hAnsiTheme="majorHAnsi" w:cstheme="majorHAnsi"/>
        </w:rPr>
        <w:t xml:space="preserve"> 38-54.</w:t>
      </w:r>
    </w:p>
    <w:p w:rsidR="00C87CE1" w:rsidRPr="00553B9D" w:rsidRDefault="00C87CE1" w:rsidP="00C87CE1">
      <w:pPr>
        <w:pStyle w:val="NormalWeb"/>
        <w:ind w:left="720" w:hanging="720"/>
        <w:jc w:val="both"/>
        <w:rPr>
          <w:rFonts w:ascii="Cambria" w:hAnsi="Cambria"/>
        </w:rPr>
      </w:pPr>
      <w:r>
        <w:rPr>
          <w:rFonts w:asciiTheme="majorHAnsi" w:hAnsiTheme="majorHAnsi" w:cstheme="majorHAnsi"/>
          <w:lang w:val="en-US" w:eastAsia="en-US" w:bidi="en-US"/>
        </w:rPr>
        <w:t>Louda, J., Baker, E. W. 1984</w:t>
      </w:r>
      <w:r w:rsidRPr="00593511">
        <w:rPr>
          <w:rFonts w:asciiTheme="majorHAnsi" w:hAnsiTheme="majorHAnsi" w:cstheme="majorHAnsi"/>
          <w:lang w:val="en-US" w:eastAsia="en-US" w:bidi="en-US"/>
        </w:rPr>
        <w:t>. Perylene occurrence, alkylation and possible sources in deep-ocean sediments. Geochimica et Cosmochimica Acta, 48(5),</w:t>
      </w:r>
      <w:r w:rsidRPr="00AD017D">
        <w:rPr>
          <w:rFonts w:asciiTheme="majorHAnsi" w:hAnsiTheme="majorHAnsi" w:cstheme="majorHAnsi"/>
          <w:i/>
        </w:rPr>
        <w:t xml:space="preserve"> </w:t>
      </w:r>
      <w:r w:rsidRPr="00593511">
        <w:rPr>
          <w:rFonts w:asciiTheme="majorHAnsi" w:hAnsiTheme="majorHAnsi" w:cstheme="majorHAnsi"/>
        </w:rPr>
        <w:t>1043-1058</w:t>
      </w:r>
      <w:r w:rsidRPr="00AD017D">
        <w:rPr>
          <w:rFonts w:ascii="Cambria" w:hAnsi="Cambria"/>
        </w:rPr>
        <w:t>.</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Mackenzie, A. S., Patience, R. L., Maxwell, J. R., Va</w:t>
      </w:r>
      <w:r>
        <w:rPr>
          <w:rFonts w:asciiTheme="majorHAnsi" w:hAnsiTheme="majorHAnsi" w:cstheme="majorHAnsi"/>
        </w:rPr>
        <w:t xml:space="preserve">ndenbroucke, M., Durand, B. </w:t>
      </w:r>
      <w:r>
        <w:rPr>
          <w:rFonts w:asciiTheme="majorHAnsi" w:hAnsiTheme="majorHAnsi" w:cstheme="majorHAnsi"/>
        </w:rPr>
        <w:tab/>
        <w:t>1980</w:t>
      </w:r>
      <w:r w:rsidRPr="009264F1">
        <w:rPr>
          <w:rFonts w:asciiTheme="majorHAnsi" w:hAnsiTheme="majorHAnsi" w:cstheme="majorHAnsi"/>
        </w:rPr>
        <w:t>. Molecular parameters of maturation in the Toarcian shales, Paris Basin,</w:t>
      </w:r>
      <w:r w:rsidRPr="009264F1">
        <w:rPr>
          <w:rFonts w:asciiTheme="majorHAnsi" w:hAnsiTheme="majorHAnsi" w:cstheme="majorHAnsi"/>
        </w:rPr>
        <w:tab/>
        <w:t xml:space="preserve"> France-I.Changes in The Configuration of acyclic isoprenoid alkanes,steranes,</w:t>
      </w:r>
      <w:r w:rsidRPr="009264F1">
        <w:rPr>
          <w:rFonts w:asciiTheme="majorHAnsi" w:hAnsiTheme="majorHAnsi" w:cstheme="majorHAnsi"/>
        </w:rPr>
        <w:tab/>
        <w:t xml:space="preserve"> and triterpanes. </w:t>
      </w:r>
      <w:r w:rsidRPr="009264F1">
        <w:rPr>
          <w:rFonts w:asciiTheme="majorHAnsi" w:hAnsiTheme="majorHAnsi" w:cstheme="majorHAnsi"/>
          <w:i/>
        </w:rPr>
        <w:t>Geochimica et Cosmochimica Acta, 45(12),</w:t>
      </w:r>
      <w:r w:rsidRPr="009264F1">
        <w:rPr>
          <w:rFonts w:asciiTheme="majorHAnsi" w:hAnsiTheme="majorHAnsi" w:cstheme="majorHAnsi"/>
        </w:rPr>
        <w:t xml:space="preserve"> 2369-2376.</w:t>
      </w: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Magallón, S., Hilu, K. W.</w:t>
      </w:r>
      <w:r w:rsidRPr="009264F1">
        <w:rPr>
          <w:rFonts w:asciiTheme="majorHAnsi" w:hAnsiTheme="majorHAnsi" w:cstheme="majorHAnsi"/>
        </w:rPr>
        <w:t xml:space="preserve"> Quandt, D. 2013. Land plant evolutionary timeline: gene </w:t>
      </w:r>
      <w:r w:rsidRPr="009264F1">
        <w:rPr>
          <w:rFonts w:asciiTheme="majorHAnsi" w:hAnsiTheme="majorHAnsi" w:cstheme="majorHAnsi"/>
        </w:rPr>
        <w:tab/>
        <w:t>effects are secondary to fossil constraints in relax</w:t>
      </w:r>
      <w:r>
        <w:rPr>
          <w:rFonts w:asciiTheme="majorHAnsi" w:hAnsiTheme="majorHAnsi" w:cstheme="majorHAnsi"/>
        </w:rPr>
        <w:t>ed clock estimation of age and</w:t>
      </w:r>
      <w:r>
        <w:rPr>
          <w:rFonts w:asciiTheme="majorHAnsi" w:hAnsiTheme="majorHAnsi" w:cstheme="majorHAnsi"/>
        </w:rPr>
        <w:tab/>
      </w:r>
      <w:r w:rsidRPr="009264F1">
        <w:rPr>
          <w:rFonts w:asciiTheme="majorHAnsi" w:hAnsiTheme="majorHAnsi" w:cstheme="majorHAnsi"/>
        </w:rPr>
        <w:t>substitution rates. </w:t>
      </w:r>
      <w:r w:rsidRPr="009264F1">
        <w:rPr>
          <w:rFonts w:asciiTheme="majorHAnsi" w:hAnsiTheme="majorHAnsi" w:cstheme="majorHAnsi"/>
          <w:i/>
        </w:rPr>
        <w:t>Am</w:t>
      </w:r>
      <w:r>
        <w:rPr>
          <w:rFonts w:asciiTheme="majorHAnsi" w:hAnsiTheme="majorHAnsi" w:cstheme="majorHAnsi"/>
          <w:i/>
        </w:rPr>
        <w:t>erican Journal</w:t>
      </w:r>
      <w:r w:rsidRPr="009264F1">
        <w:rPr>
          <w:rFonts w:asciiTheme="majorHAnsi" w:hAnsiTheme="majorHAnsi" w:cstheme="majorHAnsi"/>
          <w:i/>
        </w:rPr>
        <w:t xml:space="preserve"> </w:t>
      </w:r>
      <w:r>
        <w:rPr>
          <w:rFonts w:asciiTheme="majorHAnsi" w:hAnsiTheme="majorHAnsi" w:cstheme="majorHAnsi"/>
          <w:i/>
        </w:rPr>
        <w:t xml:space="preserve">of Botany </w:t>
      </w:r>
      <w:r w:rsidRPr="009264F1">
        <w:rPr>
          <w:rFonts w:asciiTheme="majorHAnsi" w:hAnsiTheme="majorHAnsi" w:cstheme="majorHAnsi"/>
          <w:i/>
        </w:rPr>
        <w:t>100</w:t>
      </w:r>
      <w:r>
        <w:rPr>
          <w:rFonts w:asciiTheme="majorHAnsi" w:hAnsiTheme="majorHAnsi" w:cstheme="majorHAnsi"/>
          <w:i/>
        </w:rPr>
        <w:t>(3)</w:t>
      </w:r>
      <w:r w:rsidRPr="009264F1">
        <w:rPr>
          <w:rFonts w:asciiTheme="majorHAnsi" w:hAnsiTheme="majorHAnsi" w:cstheme="majorHAnsi"/>
        </w:rPr>
        <w:t>, 556–573</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Maher, J. C., Collins, J. B. 1953</w:t>
      </w:r>
      <w:r w:rsidRPr="009264F1">
        <w:rPr>
          <w:rFonts w:asciiTheme="majorHAnsi" w:hAnsiTheme="majorHAnsi" w:cstheme="majorHAnsi"/>
        </w:rPr>
        <w:t xml:space="preserve">. Permian and Pennsylvanian Rocks of Southeastern </w:t>
      </w:r>
      <w:r w:rsidRPr="009264F1">
        <w:rPr>
          <w:rFonts w:asciiTheme="majorHAnsi" w:hAnsiTheme="majorHAnsi" w:cstheme="majorHAnsi"/>
        </w:rPr>
        <w:tab/>
        <w:t xml:space="preserve">Colorado. </w:t>
      </w:r>
      <w:r w:rsidRPr="009264F1">
        <w:rPr>
          <w:rFonts w:asciiTheme="majorHAnsi" w:hAnsiTheme="majorHAnsi" w:cstheme="majorHAnsi"/>
          <w:i/>
        </w:rPr>
        <w:t>AAPG Bulletin, 37</w:t>
      </w:r>
      <w:r w:rsidRPr="009264F1">
        <w:rPr>
          <w:rFonts w:asciiTheme="majorHAnsi" w:hAnsiTheme="majorHAnsi" w:cstheme="majorHAnsi"/>
        </w:rPr>
        <w:t>, 913-939.</w:t>
      </w:r>
    </w:p>
    <w:p w:rsidR="00C87CE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Mahmoodi</w:t>
      </w:r>
      <w:r>
        <w:rPr>
          <w:rFonts w:asciiTheme="majorHAnsi" w:hAnsiTheme="majorHAnsi" w:cstheme="majorHAnsi"/>
        </w:rPr>
        <w:t>, S. M., Bhattacharya, S. K. 2013</w:t>
      </w:r>
      <w:r w:rsidRPr="009264F1">
        <w:rPr>
          <w:rFonts w:asciiTheme="majorHAnsi" w:hAnsiTheme="majorHAnsi" w:cstheme="majorHAnsi"/>
        </w:rPr>
        <w:t xml:space="preserve">. Reliability of 18α(H)-Oleanane </w:t>
      </w:r>
      <w:r>
        <w:rPr>
          <w:rFonts w:asciiTheme="majorHAnsi" w:hAnsiTheme="majorHAnsi" w:cstheme="majorHAnsi"/>
        </w:rPr>
        <w:t>Biomarker</w:t>
      </w:r>
      <w:r w:rsidRPr="009264F1">
        <w:rPr>
          <w:rFonts w:asciiTheme="majorHAnsi" w:hAnsiTheme="majorHAnsi" w:cstheme="majorHAnsi"/>
        </w:rPr>
        <w:tab/>
        <w:t xml:space="preserve">as Age Indicator of Source Deposition. </w:t>
      </w:r>
      <w:r w:rsidRPr="009264F1">
        <w:rPr>
          <w:rFonts w:asciiTheme="majorHAnsi" w:hAnsiTheme="majorHAnsi" w:cstheme="majorHAnsi"/>
          <w:i/>
        </w:rPr>
        <w:t xml:space="preserve">GSTF Journal of Geological </w:t>
      </w:r>
      <w:r>
        <w:rPr>
          <w:rFonts w:asciiTheme="majorHAnsi" w:hAnsiTheme="majorHAnsi" w:cstheme="majorHAnsi"/>
          <w:i/>
        </w:rPr>
        <w:t>Sciences</w:t>
      </w:r>
      <w:r>
        <w:rPr>
          <w:rFonts w:asciiTheme="majorHAnsi" w:hAnsiTheme="majorHAnsi" w:cstheme="majorHAnsi"/>
          <w:i/>
        </w:rPr>
        <w:tab/>
      </w:r>
      <w:r w:rsidRPr="009264F1">
        <w:rPr>
          <w:rFonts w:asciiTheme="majorHAnsi" w:hAnsiTheme="majorHAnsi" w:cstheme="majorHAnsi"/>
          <w:i/>
        </w:rPr>
        <w:t>(JGS) - Volume 1 Number 1</w:t>
      </w:r>
      <w:r w:rsidRPr="009264F1">
        <w:rPr>
          <w:rFonts w:asciiTheme="majorHAnsi" w:hAnsiTheme="majorHAnsi" w:cstheme="majorHAnsi"/>
        </w:rPr>
        <w:t>, 1(1).</w:t>
      </w:r>
    </w:p>
    <w:p w:rsidR="00C87CE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Martin, W., Gierl, A. Saedler, H. 1989</w:t>
      </w:r>
      <w:r w:rsidRPr="009264F1">
        <w:rPr>
          <w:rFonts w:asciiTheme="majorHAnsi" w:hAnsiTheme="majorHAnsi" w:cstheme="majorHAnsi"/>
        </w:rPr>
        <w:t>. Molecu</w:t>
      </w:r>
      <w:r>
        <w:rPr>
          <w:rFonts w:asciiTheme="majorHAnsi" w:hAnsiTheme="majorHAnsi" w:cstheme="majorHAnsi"/>
        </w:rPr>
        <w:t>lar evidence for pre-Cretaceous</w:t>
      </w:r>
      <w:r w:rsidRPr="009264F1">
        <w:rPr>
          <w:rFonts w:asciiTheme="majorHAnsi" w:hAnsiTheme="majorHAnsi" w:cstheme="majorHAnsi"/>
        </w:rPr>
        <w:tab/>
        <w:t xml:space="preserve">angiosperm origins. </w:t>
      </w:r>
      <w:r w:rsidRPr="009264F1">
        <w:rPr>
          <w:rFonts w:asciiTheme="majorHAnsi" w:hAnsiTheme="majorHAnsi" w:cstheme="majorHAnsi"/>
          <w:i/>
        </w:rPr>
        <w:t>Nature, 339,</w:t>
      </w:r>
      <w:r w:rsidRPr="009264F1">
        <w:rPr>
          <w:rFonts w:asciiTheme="majorHAnsi" w:hAnsiTheme="majorHAnsi" w:cstheme="majorHAnsi"/>
        </w:rPr>
        <w:t xml:space="preserve"> 46-8.</w:t>
      </w:r>
    </w:p>
    <w:p w:rsidR="00706671" w:rsidRPr="009264F1" w:rsidRDefault="00706671" w:rsidP="00706671">
      <w:pPr>
        <w:pStyle w:val="NormalWeb"/>
        <w:ind w:left="720" w:hanging="720"/>
        <w:jc w:val="both"/>
        <w:rPr>
          <w:rFonts w:asciiTheme="majorHAnsi" w:hAnsiTheme="majorHAnsi" w:cstheme="majorHAnsi"/>
        </w:rPr>
      </w:pPr>
      <w:r w:rsidRPr="002030C1">
        <w:rPr>
          <w:rFonts w:asciiTheme="majorHAnsi" w:hAnsiTheme="majorHAnsi" w:cstheme="majorHAnsi"/>
        </w:rPr>
        <w:t>Marynowski, L., Smolarek, J., Hautevelle,</w:t>
      </w:r>
      <w:r>
        <w:rPr>
          <w:rFonts w:asciiTheme="majorHAnsi" w:hAnsiTheme="majorHAnsi" w:cstheme="majorHAnsi"/>
        </w:rPr>
        <w:t xml:space="preserve"> Y. 2015.</w:t>
      </w:r>
      <w:r w:rsidRPr="002030C1">
        <w:rPr>
          <w:rFonts w:asciiTheme="majorHAnsi" w:hAnsiTheme="majorHAnsi" w:cstheme="majorHAnsi"/>
        </w:rPr>
        <w:t xml:space="preserve"> Perylene degredation during gradual onset of organic matter maturation. </w:t>
      </w:r>
      <w:r w:rsidRPr="002030C1">
        <w:rPr>
          <w:rFonts w:asciiTheme="majorHAnsi" w:hAnsiTheme="majorHAnsi" w:cstheme="majorHAnsi"/>
          <w:i/>
        </w:rPr>
        <w:t xml:space="preserve">International Journal of Coal Geology </w:t>
      </w:r>
      <w:r w:rsidRPr="002030C1">
        <w:rPr>
          <w:rFonts w:asciiTheme="majorHAnsi" w:hAnsiTheme="majorHAnsi" w:cstheme="majorHAnsi"/>
        </w:rPr>
        <w:t>139, 17-25.</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 xml:space="preserve">Marzi, </w:t>
      </w:r>
      <w:r>
        <w:rPr>
          <w:rFonts w:asciiTheme="majorHAnsi" w:hAnsiTheme="majorHAnsi" w:cstheme="majorHAnsi"/>
        </w:rPr>
        <w:t>R., Torkelson, B., Olson, R. 1993</w:t>
      </w:r>
      <w:r w:rsidRPr="009264F1">
        <w:rPr>
          <w:rFonts w:asciiTheme="majorHAnsi" w:hAnsiTheme="majorHAnsi" w:cstheme="majorHAnsi"/>
        </w:rPr>
        <w:t xml:space="preserve">. A revised carbon preference index. </w:t>
      </w:r>
      <w:r w:rsidRPr="009264F1">
        <w:rPr>
          <w:rFonts w:asciiTheme="majorHAnsi" w:hAnsiTheme="majorHAnsi" w:cstheme="majorHAnsi"/>
          <w:i/>
        </w:rPr>
        <w:t xml:space="preserve">Organic </w:t>
      </w:r>
      <w:r w:rsidRPr="009264F1">
        <w:rPr>
          <w:rFonts w:asciiTheme="majorHAnsi" w:hAnsiTheme="majorHAnsi" w:cstheme="majorHAnsi"/>
          <w:i/>
        </w:rPr>
        <w:tab/>
        <w:t>Geochemistry, 20(8)</w:t>
      </w:r>
      <w:r w:rsidRPr="009264F1">
        <w:rPr>
          <w:rFonts w:asciiTheme="majorHAnsi" w:hAnsiTheme="majorHAnsi" w:cstheme="majorHAnsi"/>
        </w:rPr>
        <w:t>, 1303-1306.</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 xml:space="preserve">McCaffrey, M. A., Dahl, J. E., Sundararaman, P., </w:t>
      </w:r>
      <w:r>
        <w:rPr>
          <w:rFonts w:asciiTheme="majorHAnsi" w:hAnsiTheme="majorHAnsi" w:cstheme="majorHAnsi"/>
        </w:rPr>
        <w:t>Moldowan, J. M., Schoell, M. 1994</w:t>
      </w:r>
      <w:r w:rsidRPr="009264F1">
        <w:rPr>
          <w:rFonts w:asciiTheme="majorHAnsi" w:hAnsiTheme="majorHAnsi" w:cstheme="majorHAnsi"/>
        </w:rPr>
        <w:t xml:space="preserve">. </w:t>
      </w:r>
      <w:r w:rsidRPr="009264F1">
        <w:rPr>
          <w:rFonts w:asciiTheme="majorHAnsi" w:hAnsiTheme="majorHAnsi" w:cstheme="majorHAnsi"/>
        </w:rPr>
        <w:tab/>
        <w:t>Source rock quality determination from oil bi</w:t>
      </w:r>
      <w:r>
        <w:rPr>
          <w:rFonts w:asciiTheme="majorHAnsi" w:hAnsiTheme="majorHAnsi" w:cstheme="majorHAnsi"/>
        </w:rPr>
        <w:t>omarkers II-a case study using</w:t>
      </w:r>
      <w:r>
        <w:rPr>
          <w:rFonts w:asciiTheme="majorHAnsi" w:hAnsiTheme="majorHAnsi" w:cstheme="majorHAnsi"/>
        </w:rPr>
        <w:tab/>
      </w:r>
      <w:r w:rsidRPr="009264F1">
        <w:rPr>
          <w:rFonts w:asciiTheme="majorHAnsi" w:hAnsiTheme="majorHAnsi" w:cstheme="majorHAnsi"/>
        </w:rPr>
        <w:t xml:space="preserve">Tertiary -reservoired Beaufort Sea Oils. </w:t>
      </w:r>
      <w:r w:rsidRPr="009264F1">
        <w:rPr>
          <w:rFonts w:asciiTheme="majorHAnsi" w:hAnsiTheme="majorHAnsi" w:cstheme="majorHAnsi"/>
          <w:i/>
        </w:rPr>
        <w:t>AAPG Bullletin, 78</w:t>
      </w:r>
      <w:r w:rsidRPr="009264F1">
        <w:rPr>
          <w:rFonts w:asciiTheme="majorHAnsi" w:hAnsiTheme="majorHAnsi" w:cstheme="majorHAnsi"/>
        </w:rPr>
        <w:t>, 1527-1540.</w:t>
      </w: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McGhee, G. R., Clapham, M. E., Sheehan, P. M., Bot</w:t>
      </w:r>
      <w:r>
        <w:rPr>
          <w:rFonts w:asciiTheme="majorHAnsi" w:hAnsiTheme="majorHAnsi" w:cstheme="majorHAnsi"/>
        </w:rPr>
        <w:t>tjer, D. J., Droser, M. L. 2013</w:t>
      </w:r>
      <w:r w:rsidRPr="009264F1">
        <w:rPr>
          <w:rFonts w:asciiTheme="majorHAnsi" w:hAnsiTheme="majorHAnsi" w:cstheme="majorHAnsi"/>
        </w:rPr>
        <w:t xml:space="preserve">. </w:t>
      </w:r>
      <w:r w:rsidRPr="009264F1">
        <w:rPr>
          <w:rFonts w:asciiTheme="majorHAnsi" w:hAnsiTheme="majorHAnsi" w:cstheme="majorHAnsi"/>
        </w:rPr>
        <w:tab/>
        <w:t xml:space="preserve">A new ecological-severity ranking of major Phanerozoic biodiversity crises. </w:t>
      </w:r>
      <w:r w:rsidRPr="009264F1">
        <w:rPr>
          <w:rFonts w:asciiTheme="majorHAnsi" w:hAnsiTheme="majorHAnsi" w:cstheme="majorHAnsi"/>
        </w:rPr>
        <w:tab/>
      </w:r>
      <w:r w:rsidRPr="009264F1">
        <w:rPr>
          <w:rFonts w:asciiTheme="majorHAnsi" w:hAnsiTheme="majorHAnsi" w:cstheme="majorHAnsi"/>
          <w:i/>
        </w:rPr>
        <w:t xml:space="preserve">Palaeogeography, Palaeoclimatology, Palaeoecology, 370, </w:t>
      </w:r>
      <w:r w:rsidRPr="009264F1">
        <w:rPr>
          <w:rFonts w:asciiTheme="majorHAnsi" w:hAnsiTheme="majorHAnsi" w:cstheme="majorHAnsi"/>
        </w:rPr>
        <w:t>260-270</w:t>
      </w:r>
      <w:r>
        <w:rPr>
          <w:rFonts w:asciiTheme="majorHAnsi" w:hAnsiTheme="majorHAnsi" w:cstheme="majorHAnsi"/>
        </w:rPr>
        <w:t>.</w:t>
      </w:r>
    </w:p>
    <w:p w:rsidR="00C87CE1" w:rsidRPr="009264F1" w:rsidRDefault="00C87CE1" w:rsidP="00C87CE1">
      <w:pPr>
        <w:spacing w:before="100" w:beforeAutospacing="1" w:after="100" w:afterAutospacing="1" w:line="240" w:lineRule="auto"/>
        <w:jc w:val="both"/>
        <w:rPr>
          <w:rStyle w:val="Kpr"/>
          <w:rFonts w:asciiTheme="majorHAnsi" w:hAnsiTheme="majorHAnsi" w:cstheme="majorHAnsi"/>
          <w:color w:val="0070C0"/>
        </w:rPr>
      </w:pPr>
      <w:r>
        <w:rPr>
          <w:rFonts w:asciiTheme="majorHAnsi" w:hAnsiTheme="majorHAnsi" w:cstheme="majorHAnsi"/>
        </w:rPr>
        <w:lastRenderedPageBreak/>
        <w:t>Mitchell, J. 2012, March</w:t>
      </w:r>
      <w:r w:rsidRPr="009264F1">
        <w:rPr>
          <w:rFonts w:asciiTheme="majorHAnsi" w:hAnsiTheme="majorHAnsi" w:cstheme="majorHAnsi"/>
        </w:rPr>
        <w:t xml:space="preserve">. The Anadarko Basin: Oil and Gas Exploration – Past, Present </w:t>
      </w:r>
      <w:r w:rsidRPr="009264F1">
        <w:rPr>
          <w:rFonts w:asciiTheme="majorHAnsi" w:hAnsiTheme="majorHAnsi" w:cstheme="majorHAnsi"/>
        </w:rPr>
        <w:tab/>
        <w:t>and Fut</w:t>
      </w:r>
      <w:r>
        <w:rPr>
          <w:rFonts w:asciiTheme="majorHAnsi" w:hAnsiTheme="majorHAnsi" w:cstheme="majorHAnsi"/>
        </w:rPr>
        <w:t>ure. Retrieved January 06, 2017.</w:t>
      </w:r>
      <w:r w:rsidRPr="009264F1">
        <w:rPr>
          <w:rFonts w:asciiTheme="majorHAnsi" w:hAnsiTheme="majorHAnsi" w:cstheme="majorHAnsi"/>
        </w:rPr>
        <w:t xml:space="preserve"> from </w:t>
      </w:r>
      <w:r w:rsidRPr="009264F1">
        <w:rPr>
          <w:rFonts w:asciiTheme="majorHAnsi" w:hAnsiTheme="majorHAnsi" w:cstheme="majorHAnsi"/>
          <w:color w:val="0070C0"/>
        </w:rPr>
        <w:tab/>
      </w:r>
      <w:hyperlink r:id="rId89" w:history="1">
        <w:r w:rsidRPr="009264F1">
          <w:rPr>
            <w:rStyle w:val="Kpr"/>
            <w:rFonts w:asciiTheme="majorHAnsi" w:hAnsiTheme="majorHAnsi" w:cstheme="majorHAnsi"/>
            <w:color w:val="0070C0"/>
          </w:rPr>
          <w:t>http://www.ogs.ou.edu/MEETINGS/Presentations/OilGasMar2012/MITCHELL</w:t>
        </w:r>
        <w:r w:rsidRPr="009264F1">
          <w:rPr>
            <w:rStyle w:val="Kpr"/>
            <w:rFonts w:asciiTheme="majorHAnsi" w:hAnsiTheme="majorHAnsi" w:cstheme="majorHAnsi"/>
            <w:color w:val="0070C0"/>
            <w:u w:val="none"/>
          </w:rPr>
          <w:tab/>
        </w:r>
        <w:r w:rsidRPr="009264F1">
          <w:rPr>
            <w:rStyle w:val="Kpr"/>
            <w:rFonts w:asciiTheme="majorHAnsi" w:hAnsiTheme="majorHAnsi" w:cstheme="majorHAnsi"/>
            <w:color w:val="0070C0"/>
          </w:rPr>
          <w:t>ANDARKO.pdf</w:t>
        </w:r>
      </w:hyperlink>
    </w:p>
    <w:p w:rsidR="00C87CE1" w:rsidRPr="009264F1" w:rsidRDefault="00C87CE1" w:rsidP="00C87CE1">
      <w:pPr>
        <w:spacing w:before="100" w:beforeAutospacing="1" w:after="100" w:afterAutospacing="1" w:line="240" w:lineRule="auto"/>
        <w:jc w:val="both"/>
        <w:rPr>
          <w:rStyle w:val="Kpr"/>
          <w:rFonts w:asciiTheme="majorHAnsi" w:hAnsiTheme="majorHAnsi" w:cstheme="majorHAnsi"/>
          <w:color w:val="auto"/>
          <w:u w:val="none"/>
        </w:rPr>
      </w:pPr>
      <w:r w:rsidRPr="009264F1">
        <w:rPr>
          <w:rStyle w:val="Kpr"/>
          <w:rFonts w:asciiTheme="majorHAnsi" w:hAnsiTheme="majorHAnsi" w:cstheme="majorHAnsi"/>
          <w:color w:val="auto"/>
          <w:u w:val="none"/>
        </w:rPr>
        <w:t>Mol</w:t>
      </w:r>
      <w:r>
        <w:rPr>
          <w:rStyle w:val="Kpr"/>
          <w:rFonts w:asciiTheme="majorHAnsi" w:hAnsiTheme="majorHAnsi" w:cstheme="majorHAnsi"/>
          <w:color w:val="auto"/>
          <w:u w:val="none"/>
        </w:rPr>
        <w:t xml:space="preserve">dowan, J. M., Seifert, W. K., </w:t>
      </w:r>
      <w:r w:rsidRPr="009264F1">
        <w:rPr>
          <w:rStyle w:val="Kpr"/>
          <w:rFonts w:asciiTheme="majorHAnsi" w:hAnsiTheme="majorHAnsi" w:cstheme="majorHAnsi"/>
          <w:color w:val="auto"/>
          <w:u w:val="none"/>
        </w:rPr>
        <w:t>Gallegos, E. J. 1985. R</w:t>
      </w:r>
      <w:r>
        <w:rPr>
          <w:rStyle w:val="Kpr"/>
          <w:rFonts w:asciiTheme="majorHAnsi" w:hAnsiTheme="majorHAnsi" w:cstheme="majorHAnsi"/>
          <w:color w:val="auto"/>
          <w:u w:val="none"/>
        </w:rPr>
        <w:t>elationship Between Petroleum</w:t>
      </w:r>
      <w:r>
        <w:rPr>
          <w:rStyle w:val="Kpr"/>
          <w:rFonts w:asciiTheme="majorHAnsi" w:hAnsiTheme="majorHAnsi" w:cstheme="majorHAnsi"/>
          <w:color w:val="auto"/>
          <w:u w:val="none"/>
        </w:rPr>
        <w:tab/>
      </w:r>
      <w:r w:rsidRPr="009264F1">
        <w:rPr>
          <w:rStyle w:val="Kpr"/>
          <w:rFonts w:asciiTheme="majorHAnsi" w:hAnsiTheme="majorHAnsi" w:cstheme="majorHAnsi"/>
          <w:color w:val="auto"/>
          <w:u w:val="none"/>
        </w:rPr>
        <w:t>Composition and Depositional E</w:t>
      </w:r>
      <w:r>
        <w:rPr>
          <w:rStyle w:val="Kpr"/>
          <w:rFonts w:asciiTheme="majorHAnsi" w:hAnsiTheme="majorHAnsi" w:cstheme="majorHAnsi"/>
          <w:color w:val="auto"/>
          <w:u w:val="none"/>
        </w:rPr>
        <w:t xml:space="preserve">nvironment of Petroleum Source </w:t>
      </w:r>
      <w:r w:rsidRPr="009264F1">
        <w:rPr>
          <w:rStyle w:val="Kpr"/>
          <w:rFonts w:asciiTheme="majorHAnsi" w:hAnsiTheme="majorHAnsi" w:cstheme="majorHAnsi"/>
          <w:color w:val="auto"/>
          <w:u w:val="none"/>
        </w:rPr>
        <w:t xml:space="preserve">Rocks. </w:t>
      </w:r>
      <w:r w:rsidRPr="00DB176C">
        <w:rPr>
          <w:rStyle w:val="Kpr"/>
          <w:rFonts w:asciiTheme="majorHAnsi" w:hAnsiTheme="majorHAnsi" w:cstheme="majorHAnsi"/>
          <w:i/>
          <w:color w:val="auto"/>
          <w:u w:val="none"/>
        </w:rPr>
        <w:t xml:space="preserve">AAPG </w:t>
      </w:r>
      <w:r w:rsidRPr="00DB176C">
        <w:rPr>
          <w:rStyle w:val="Kpr"/>
          <w:rFonts w:asciiTheme="majorHAnsi" w:hAnsiTheme="majorHAnsi" w:cstheme="majorHAnsi"/>
          <w:i/>
          <w:color w:val="auto"/>
          <w:u w:val="none"/>
        </w:rPr>
        <w:tab/>
        <w:t>Bulletin, 69,</w:t>
      </w:r>
      <w:r w:rsidRPr="009264F1">
        <w:rPr>
          <w:rStyle w:val="Kpr"/>
          <w:rFonts w:asciiTheme="majorHAnsi" w:hAnsiTheme="majorHAnsi" w:cstheme="majorHAnsi"/>
          <w:color w:val="auto"/>
          <w:u w:val="none"/>
        </w:rPr>
        <w:t xml:space="preserve"> 1255-68.</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Moldowan, J. M., F</w:t>
      </w:r>
      <w:r>
        <w:rPr>
          <w:rFonts w:asciiTheme="majorHAnsi" w:hAnsiTheme="majorHAnsi" w:cstheme="majorHAnsi"/>
        </w:rPr>
        <w:t xml:space="preserve">ago, F. J., Lee, C. Y., Jacopson, S.R., Watt, D.S., Slougui, N., </w:t>
      </w:r>
      <w:r>
        <w:rPr>
          <w:rFonts w:asciiTheme="majorHAnsi" w:hAnsiTheme="majorHAnsi" w:cstheme="majorHAnsi"/>
        </w:rPr>
        <w:tab/>
        <w:t>Jeganathan, A., Young, D.C. 1990. Sedimentary 24-n-</w:t>
      </w:r>
      <w:r w:rsidRPr="009264F1">
        <w:rPr>
          <w:rFonts w:asciiTheme="majorHAnsi" w:hAnsiTheme="majorHAnsi" w:cstheme="majorHAnsi"/>
        </w:rPr>
        <w:t>Propylcholestanes</w:t>
      </w:r>
      <w:r>
        <w:rPr>
          <w:rFonts w:asciiTheme="majorHAnsi" w:hAnsiTheme="majorHAnsi" w:cstheme="majorHAnsi"/>
        </w:rPr>
        <w:t xml:space="preserve">, </w:t>
      </w:r>
      <w:r>
        <w:rPr>
          <w:rFonts w:asciiTheme="majorHAnsi" w:hAnsiTheme="majorHAnsi" w:cstheme="majorHAnsi"/>
        </w:rPr>
        <w:tab/>
        <w:t xml:space="preserve">Molecular Fossils Diagnostic </w:t>
      </w:r>
      <w:r w:rsidRPr="009264F1">
        <w:rPr>
          <w:rFonts w:asciiTheme="majorHAnsi" w:hAnsiTheme="majorHAnsi" w:cstheme="majorHAnsi"/>
        </w:rPr>
        <w:t>of Marine Algae</w:t>
      </w:r>
      <w:r>
        <w:rPr>
          <w:rFonts w:asciiTheme="majorHAnsi" w:hAnsiTheme="majorHAnsi" w:cstheme="majorHAnsi"/>
          <w:i/>
        </w:rPr>
        <w:t>. Science,</w:t>
      </w:r>
      <w:r w:rsidRPr="009264F1">
        <w:rPr>
          <w:rFonts w:asciiTheme="majorHAnsi" w:hAnsiTheme="majorHAnsi" w:cstheme="majorHAnsi"/>
          <w:i/>
        </w:rPr>
        <w:t xml:space="preserve"> 247(4940),</w:t>
      </w:r>
      <w:r w:rsidRPr="009264F1">
        <w:rPr>
          <w:rFonts w:asciiTheme="majorHAnsi" w:hAnsiTheme="majorHAnsi" w:cstheme="majorHAnsi"/>
        </w:rPr>
        <w:t xml:space="preserve"> 309-312.</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Moldowan</w:t>
      </w:r>
      <w:r w:rsidR="00706671">
        <w:rPr>
          <w:rFonts w:asciiTheme="majorHAnsi" w:hAnsiTheme="majorHAnsi" w:cstheme="majorHAnsi"/>
        </w:rPr>
        <w:t>,</w:t>
      </w:r>
      <w:r>
        <w:rPr>
          <w:rFonts w:asciiTheme="majorHAnsi" w:hAnsiTheme="majorHAnsi" w:cstheme="majorHAnsi"/>
        </w:rPr>
        <w:t xml:space="preserve"> J. M</w:t>
      </w:r>
      <w:r w:rsidR="00B03F3A">
        <w:rPr>
          <w:rFonts w:asciiTheme="majorHAnsi" w:hAnsiTheme="majorHAnsi" w:cstheme="majorHAnsi"/>
        </w:rPr>
        <w:t>.</w:t>
      </w:r>
      <w:r>
        <w:rPr>
          <w:rFonts w:asciiTheme="majorHAnsi" w:hAnsiTheme="majorHAnsi" w:cstheme="majorHAnsi"/>
        </w:rPr>
        <w:t>, Fago</w:t>
      </w:r>
      <w:r w:rsidR="00706671">
        <w:rPr>
          <w:rFonts w:asciiTheme="majorHAnsi" w:hAnsiTheme="majorHAnsi" w:cstheme="majorHAnsi"/>
        </w:rPr>
        <w:t>,</w:t>
      </w:r>
      <w:r>
        <w:rPr>
          <w:rFonts w:asciiTheme="majorHAnsi" w:hAnsiTheme="majorHAnsi" w:cstheme="majorHAnsi"/>
        </w:rPr>
        <w:t xml:space="preserve"> F. J, Carlson</w:t>
      </w:r>
      <w:r w:rsidR="00706671">
        <w:rPr>
          <w:rFonts w:asciiTheme="majorHAnsi" w:hAnsiTheme="majorHAnsi" w:cstheme="majorHAnsi"/>
        </w:rPr>
        <w:t>,</w:t>
      </w:r>
      <w:r>
        <w:rPr>
          <w:rFonts w:asciiTheme="majorHAnsi" w:hAnsiTheme="majorHAnsi" w:cstheme="majorHAnsi"/>
        </w:rPr>
        <w:t xml:space="preserve"> R</w:t>
      </w:r>
      <w:r w:rsidR="00706671">
        <w:rPr>
          <w:rFonts w:asciiTheme="majorHAnsi" w:hAnsiTheme="majorHAnsi" w:cstheme="majorHAnsi"/>
        </w:rPr>
        <w:t>.M.K.</w:t>
      </w:r>
      <w:r>
        <w:rPr>
          <w:rFonts w:asciiTheme="majorHAnsi" w:hAnsiTheme="majorHAnsi" w:cstheme="majorHAnsi"/>
        </w:rPr>
        <w:t xml:space="preserve"> 1991a.</w:t>
      </w:r>
      <w:r w:rsidRPr="009264F1">
        <w:rPr>
          <w:rFonts w:asciiTheme="majorHAnsi" w:hAnsiTheme="majorHAnsi" w:cstheme="majorHAnsi"/>
        </w:rPr>
        <w:t xml:space="preserve"> Rear</w:t>
      </w:r>
      <w:r w:rsidR="00706671">
        <w:rPr>
          <w:rFonts w:asciiTheme="majorHAnsi" w:hAnsiTheme="majorHAnsi" w:cstheme="majorHAnsi"/>
        </w:rPr>
        <w:t xml:space="preserve">ranged hopanes in sediments </w:t>
      </w:r>
      <w:r w:rsidR="00706671">
        <w:rPr>
          <w:rFonts w:asciiTheme="majorHAnsi" w:hAnsiTheme="majorHAnsi" w:cstheme="majorHAnsi"/>
        </w:rPr>
        <w:tab/>
        <w:t>and</w:t>
      </w:r>
      <w:r w:rsidRPr="009264F1">
        <w:rPr>
          <w:rFonts w:asciiTheme="majorHAnsi" w:hAnsiTheme="majorHAnsi" w:cstheme="majorHAnsi"/>
        </w:rPr>
        <w:t xml:space="preserve"> petroleum. </w:t>
      </w:r>
      <w:r w:rsidRPr="009264F1">
        <w:rPr>
          <w:rFonts w:asciiTheme="majorHAnsi" w:hAnsiTheme="majorHAnsi" w:cstheme="majorHAnsi"/>
          <w:i/>
        </w:rPr>
        <w:t>Geochemica et Cosmochimica Acta, 55</w:t>
      </w:r>
      <w:r w:rsidRPr="009264F1">
        <w:rPr>
          <w:rFonts w:asciiTheme="majorHAnsi" w:hAnsiTheme="majorHAnsi" w:cstheme="majorHAnsi"/>
        </w:rPr>
        <w:t>: 3333―3353</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Moldowan, J.</w:t>
      </w:r>
      <w:r>
        <w:rPr>
          <w:rFonts w:asciiTheme="majorHAnsi" w:hAnsiTheme="majorHAnsi" w:cstheme="majorHAnsi"/>
        </w:rPr>
        <w:t>M.</w:t>
      </w:r>
      <w:r w:rsidRPr="009264F1">
        <w:rPr>
          <w:rFonts w:asciiTheme="majorHAnsi" w:hAnsiTheme="majorHAnsi" w:cstheme="majorHAnsi"/>
        </w:rPr>
        <w:t>, Lee, C. Y., Watt, D. S., Jeganathan, A., S</w:t>
      </w:r>
      <w:r>
        <w:rPr>
          <w:rFonts w:asciiTheme="majorHAnsi" w:hAnsiTheme="majorHAnsi" w:cstheme="majorHAnsi"/>
        </w:rPr>
        <w:t>lougui, N., Gallegos, E. J.</w:t>
      </w:r>
      <w:r>
        <w:rPr>
          <w:rFonts w:asciiTheme="majorHAnsi" w:hAnsiTheme="majorHAnsi" w:cstheme="majorHAnsi"/>
        </w:rPr>
        <w:tab/>
        <w:t xml:space="preserve"> 1991b</w:t>
      </w:r>
      <w:r w:rsidRPr="009264F1">
        <w:rPr>
          <w:rFonts w:asciiTheme="majorHAnsi" w:hAnsiTheme="majorHAnsi" w:cstheme="majorHAnsi"/>
        </w:rPr>
        <w:t>. Analysis and occurrence of C26-steranes in petroleum and source rocks.</w:t>
      </w:r>
      <w:r w:rsidRPr="009264F1">
        <w:rPr>
          <w:rFonts w:asciiTheme="majorHAnsi" w:hAnsiTheme="majorHAnsi" w:cstheme="majorHAnsi"/>
        </w:rPr>
        <w:tab/>
        <w:t xml:space="preserve"> </w:t>
      </w:r>
      <w:r w:rsidRPr="009264F1">
        <w:rPr>
          <w:rFonts w:asciiTheme="majorHAnsi" w:hAnsiTheme="majorHAnsi" w:cstheme="majorHAnsi"/>
          <w:i/>
        </w:rPr>
        <w:t>Geochimica et Cosmochimica Acta, 55(4),</w:t>
      </w:r>
      <w:r w:rsidRPr="009264F1">
        <w:rPr>
          <w:rFonts w:asciiTheme="majorHAnsi" w:hAnsiTheme="majorHAnsi" w:cstheme="majorHAnsi"/>
        </w:rPr>
        <w:t xml:space="preserve"> 1065-1081.</w:t>
      </w:r>
    </w:p>
    <w:p w:rsidR="00C87CE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Moldowan, J. M., Dahl, J., Huizinga, B. J., Fago, F. J., Hickey, L. J., Pe</w:t>
      </w:r>
      <w:r>
        <w:rPr>
          <w:rFonts w:asciiTheme="majorHAnsi" w:hAnsiTheme="majorHAnsi" w:cstheme="majorHAnsi"/>
        </w:rPr>
        <w:t>akman, T. M.,</w:t>
      </w:r>
      <w:r>
        <w:rPr>
          <w:rFonts w:asciiTheme="majorHAnsi" w:hAnsiTheme="majorHAnsi" w:cstheme="majorHAnsi"/>
        </w:rPr>
        <w:tab/>
        <w:t xml:space="preserve"> Taylor, D. W. 1994</w:t>
      </w:r>
      <w:r w:rsidRPr="009264F1">
        <w:rPr>
          <w:rFonts w:asciiTheme="majorHAnsi" w:hAnsiTheme="majorHAnsi" w:cstheme="majorHAnsi"/>
        </w:rPr>
        <w:t>. The Molecular Fossil Record of Oleanane and Its Relation</w:t>
      </w:r>
      <w:r w:rsidRPr="009264F1">
        <w:rPr>
          <w:rFonts w:asciiTheme="majorHAnsi" w:hAnsiTheme="majorHAnsi" w:cstheme="majorHAnsi"/>
        </w:rPr>
        <w:tab/>
        <w:t xml:space="preserve">  to Angiosperms. </w:t>
      </w:r>
      <w:r w:rsidRPr="009264F1">
        <w:rPr>
          <w:rFonts w:asciiTheme="majorHAnsi" w:hAnsiTheme="majorHAnsi" w:cstheme="majorHAnsi"/>
          <w:i/>
          <w:iCs/>
        </w:rPr>
        <w:t>Science,</w:t>
      </w:r>
      <w:r w:rsidRPr="009264F1">
        <w:rPr>
          <w:rFonts w:asciiTheme="majorHAnsi" w:hAnsiTheme="majorHAnsi" w:cstheme="majorHAnsi"/>
        </w:rPr>
        <w:t> </w:t>
      </w:r>
      <w:r w:rsidRPr="009264F1">
        <w:rPr>
          <w:rFonts w:asciiTheme="majorHAnsi" w:hAnsiTheme="majorHAnsi" w:cstheme="majorHAnsi"/>
          <w:i/>
          <w:iCs/>
        </w:rPr>
        <w:t>265</w:t>
      </w:r>
      <w:r w:rsidRPr="009264F1">
        <w:rPr>
          <w:rFonts w:asciiTheme="majorHAnsi" w:hAnsiTheme="majorHAnsi" w:cstheme="majorHAnsi"/>
        </w:rPr>
        <w:t>(5173), 768-771. </w:t>
      </w:r>
    </w:p>
    <w:p w:rsidR="001565B4" w:rsidRPr="009264F1" w:rsidRDefault="001565B4" w:rsidP="00C87CE1">
      <w:pPr>
        <w:spacing w:before="100" w:beforeAutospacing="1" w:after="100" w:afterAutospacing="1" w:line="240" w:lineRule="auto"/>
        <w:jc w:val="both"/>
        <w:rPr>
          <w:rStyle w:val="Kpr"/>
          <w:rFonts w:asciiTheme="majorHAnsi" w:hAnsiTheme="majorHAnsi" w:cstheme="majorHAnsi"/>
          <w:color w:val="auto"/>
          <w:u w:val="none"/>
        </w:rPr>
      </w:pPr>
      <w:r w:rsidRPr="001565B4">
        <w:rPr>
          <w:rStyle w:val="Kpr"/>
          <w:rFonts w:asciiTheme="majorHAnsi" w:hAnsiTheme="majorHAnsi" w:cstheme="majorHAnsi"/>
          <w:color w:val="auto"/>
          <w:u w:val="none"/>
        </w:rPr>
        <w:t>Moldowan, J., &amp; M</w:t>
      </w:r>
      <w:r>
        <w:rPr>
          <w:rStyle w:val="Kpr"/>
          <w:rFonts w:asciiTheme="majorHAnsi" w:hAnsiTheme="majorHAnsi" w:cstheme="majorHAnsi"/>
          <w:color w:val="auto"/>
          <w:u w:val="none"/>
        </w:rPr>
        <w:t>ccaffrey, M. A. 1995. A Novel Microbial Hydrocarbon D</w:t>
      </w:r>
      <w:r w:rsidRPr="001565B4">
        <w:rPr>
          <w:rStyle w:val="Kpr"/>
          <w:rFonts w:asciiTheme="majorHAnsi" w:hAnsiTheme="majorHAnsi" w:cstheme="majorHAnsi"/>
          <w:color w:val="auto"/>
          <w:u w:val="none"/>
        </w:rPr>
        <w:t>egradation</w:t>
      </w:r>
      <w:r>
        <w:rPr>
          <w:rStyle w:val="Kpr"/>
          <w:rFonts w:asciiTheme="majorHAnsi" w:hAnsiTheme="majorHAnsi" w:cstheme="majorHAnsi"/>
          <w:color w:val="auto"/>
          <w:u w:val="none"/>
        </w:rPr>
        <w:t xml:space="preserve"> </w:t>
      </w:r>
      <w:r>
        <w:rPr>
          <w:rStyle w:val="Kpr"/>
          <w:rFonts w:asciiTheme="majorHAnsi" w:hAnsiTheme="majorHAnsi" w:cstheme="majorHAnsi"/>
          <w:color w:val="auto"/>
          <w:u w:val="none"/>
        </w:rPr>
        <w:tab/>
        <w:t xml:space="preserve"> Pathway Revealed by Hopane Demethylation in a Petroleum R</w:t>
      </w:r>
      <w:r w:rsidRPr="001565B4">
        <w:rPr>
          <w:rStyle w:val="Kpr"/>
          <w:rFonts w:asciiTheme="majorHAnsi" w:hAnsiTheme="majorHAnsi" w:cstheme="majorHAnsi"/>
          <w:color w:val="auto"/>
          <w:u w:val="none"/>
        </w:rPr>
        <w:t xml:space="preserve">eservoir. </w:t>
      </w:r>
      <w:r>
        <w:rPr>
          <w:rStyle w:val="Kpr"/>
          <w:rFonts w:asciiTheme="majorHAnsi" w:hAnsiTheme="majorHAnsi" w:cstheme="majorHAnsi"/>
          <w:color w:val="auto"/>
          <w:u w:val="none"/>
        </w:rPr>
        <w:tab/>
      </w:r>
      <w:r w:rsidR="000576EC">
        <w:rPr>
          <w:rStyle w:val="Kpr"/>
          <w:rFonts w:asciiTheme="majorHAnsi" w:hAnsiTheme="majorHAnsi" w:cstheme="majorHAnsi"/>
          <w:i/>
          <w:color w:val="auto"/>
          <w:u w:val="none"/>
        </w:rPr>
        <w:t xml:space="preserve">Geochimica </w:t>
      </w:r>
      <w:r w:rsidRPr="001565B4">
        <w:rPr>
          <w:rStyle w:val="Kpr"/>
          <w:rFonts w:asciiTheme="majorHAnsi" w:hAnsiTheme="majorHAnsi" w:cstheme="majorHAnsi"/>
          <w:i/>
          <w:color w:val="auto"/>
          <w:u w:val="none"/>
        </w:rPr>
        <w:t xml:space="preserve"> et Cosmochimica Acta, 59(9)</w:t>
      </w:r>
      <w:r w:rsidRPr="001565B4">
        <w:rPr>
          <w:rStyle w:val="Kpr"/>
          <w:rFonts w:asciiTheme="majorHAnsi" w:hAnsiTheme="majorHAnsi" w:cstheme="majorHAnsi"/>
          <w:color w:val="auto"/>
          <w:u w:val="none"/>
        </w:rPr>
        <w:t>, 1891-1894.</w:t>
      </w:r>
    </w:p>
    <w:p w:rsidR="00C87CE1" w:rsidRDefault="00C87CE1" w:rsidP="00C87CE1">
      <w:pPr>
        <w:spacing w:line="240" w:lineRule="auto"/>
        <w:jc w:val="both"/>
        <w:rPr>
          <w:rFonts w:asciiTheme="majorHAnsi" w:hAnsiTheme="majorHAnsi" w:cstheme="majorHAnsi"/>
        </w:rPr>
      </w:pPr>
      <w:r w:rsidRPr="009264F1">
        <w:rPr>
          <w:rFonts w:asciiTheme="majorHAnsi" w:hAnsiTheme="majorHAnsi" w:cstheme="majorHAnsi"/>
        </w:rPr>
        <w:t>Mon</w:t>
      </w:r>
      <w:r>
        <w:rPr>
          <w:rFonts w:asciiTheme="majorHAnsi" w:hAnsiTheme="majorHAnsi" w:cstheme="majorHAnsi"/>
        </w:rPr>
        <w:t>tañez, I. P., Poulsen, C. J. 2013</w:t>
      </w:r>
      <w:r w:rsidRPr="009264F1">
        <w:rPr>
          <w:rFonts w:asciiTheme="majorHAnsi" w:hAnsiTheme="majorHAnsi" w:cstheme="majorHAnsi"/>
        </w:rPr>
        <w:t xml:space="preserve">. The Late Paleozoic Ice Age: An Evolving </w:t>
      </w:r>
      <w:r w:rsidRPr="009264F1">
        <w:rPr>
          <w:rFonts w:asciiTheme="majorHAnsi" w:hAnsiTheme="majorHAnsi" w:cstheme="majorHAnsi"/>
        </w:rPr>
        <w:tab/>
        <w:t xml:space="preserve">Paradigm. </w:t>
      </w:r>
      <w:r w:rsidRPr="009264F1">
        <w:rPr>
          <w:rFonts w:asciiTheme="majorHAnsi" w:hAnsiTheme="majorHAnsi" w:cstheme="majorHAnsi"/>
          <w:i/>
        </w:rPr>
        <w:t>Annual Review of Earth and Planetary Sciences, 41(1)</w:t>
      </w:r>
      <w:r>
        <w:rPr>
          <w:rFonts w:asciiTheme="majorHAnsi" w:hAnsiTheme="majorHAnsi" w:cstheme="majorHAnsi"/>
        </w:rPr>
        <w:t>, 629-656</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shd w:val="clear" w:color="auto" w:fill="FFFFFF"/>
        </w:rPr>
      </w:pPr>
      <w:r>
        <w:rPr>
          <w:shd w:val="clear" w:color="auto" w:fill="FFFFFF"/>
        </w:rPr>
        <w:t>Moore, R. C. 1944</w:t>
      </w:r>
      <w:r w:rsidRPr="009264F1">
        <w:rPr>
          <w:shd w:val="clear" w:color="auto" w:fill="FFFFFF"/>
        </w:rPr>
        <w:t xml:space="preserve">. Correlation of Pennsylvanian formations of North </w:t>
      </w:r>
      <w:r>
        <w:rPr>
          <w:shd w:val="clear" w:color="auto" w:fill="FFFFFF"/>
        </w:rPr>
        <w:t>America.</w:t>
      </w:r>
      <w:r w:rsidRPr="009264F1">
        <w:rPr>
          <w:shd w:val="clear" w:color="auto" w:fill="FFFFFF"/>
        </w:rPr>
        <w:tab/>
      </w:r>
      <w:r w:rsidRPr="009264F1">
        <w:rPr>
          <w:i/>
          <w:iCs/>
        </w:rPr>
        <w:t>Geological Society of America Bulletin,</w:t>
      </w:r>
      <w:r w:rsidR="00706671">
        <w:rPr>
          <w:i/>
          <w:iCs/>
        </w:rPr>
        <w:t xml:space="preserve"> </w:t>
      </w:r>
      <w:r w:rsidRPr="009264F1">
        <w:rPr>
          <w:i/>
          <w:iCs/>
        </w:rPr>
        <w:t>55</w:t>
      </w:r>
      <w:r w:rsidRPr="009264F1">
        <w:rPr>
          <w:shd w:val="clear" w:color="auto" w:fill="FFFFFF"/>
        </w:rPr>
        <w:t>(6), 657-706.</w:t>
      </w:r>
    </w:p>
    <w:p w:rsidR="00C87CE1" w:rsidRPr="009264F1" w:rsidRDefault="00C87CE1" w:rsidP="00C87CE1">
      <w:pPr>
        <w:spacing w:line="240" w:lineRule="auto"/>
        <w:jc w:val="both"/>
        <w:rPr>
          <w:shd w:val="clear" w:color="auto" w:fill="FFFFFF"/>
        </w:rPr>
      </w:pPr>
    </w:p>
    <w:p w:rsidR="00C87CE1" w:rsidRPr="009264F1" w:rsidRDefault="00C87CE1" w:rsidP="00C87CE1">
      <w:pPr>
        <w:spacing w:line="240" w:lineRule="auto"/>
        <w:jc w:val="both"/>
        <w:rPr>
          <w:shd w:val="clear" w:color="auto" w:fill="FFFFFF"/>
        </w:rPr>
      </w:pPr>
      <w:r>
        <w:t>Murchison</w:t>
      </w:r>
      <w:r w:rsidR="00706671">
        <w:t>,</w:t>
      </w:r>
      <w:r>
        <w:t xml:space="preserve"> D. G.,</w:t>
      </w:r>
      <w:r w:rsidRPr="009264F1">
        <w:t xml:space="preserve"> Raymond</w:t>
      </w:r>
      <w:r w:rsidR="00706671">
        <w:t>,</w:t>
      </w:r>
      <w:r>
        <w:t xml:space="preserve"> A. C. 1989.</w:t>
      </w:r>
      <w:r w:rsidRPr="009264F1">
        <w:t xml:space="preserve"> Igneous activity and organic maturation in </w:t>
      </w:r>
      <w:r w:rsidRPr="009264F1">
        <w:tab/>
        <w:t xml:space="preserve">the Midland Valley of Scotland. </w:t>
      </w:r>
      <w:r w:rsidRPr="009264F1">
        <w:rPr>
          <w:i/>
        </w:rPr>
        <w:t>Int</w:t>
      </w:r>
      <w:r>
        <w:rPr>
          <w:i/>
        </w:rPr>
        <w:t>ernational Journal of Coal Geology</w:t>
      </w:r>
      <w:r w:rsidRPr="009264F1">
        <w:rPr>
          <w:i/>
        </w:rPr>
        <w:t xml:space="preserve"> 14,</w:t>
      </w:r>
      <w:r w:rsidRPr="009264F1">
        <w:t xml:space="preserve"> 47-</w:t>
      </w:r>
      <w:r>
        <w:tab/>
      </w:r>
      <w:r w:rsidRPr="009264F1">
        <w:t>82.</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rPr>
          <w:rFonts w:asciiTheme="majorHAnsi" w:hAnsiTheme="majorHAnsi" w:cstheme="majorHAnsi"/>
        </w:rPr>
      </w:pPr>
      <w:r w:rsidRPr="009264F1">
        <w:rPr>
          <w:rFonts w:asciiTheme="majorHAnsi" w:hAnsiTheme="majorHAnsi" w:cstheme="majorHAnsi"/>
        </w:rPr>
        <w:t>Murray, A. P., Sosrowidjojo, I. B., Alexander, R., Kagi, R. I., Nor</w:t>
      </w:r>
      <w:r>
        <w:rPr>
          <w:rFonts w:asciiTheme="majorHAnsi" w:hAnsiTheme="majorHAnsi" w:cstheme="majorHAnsi"/>
        </w:rPr>
        <w:t xml:space="preserve">gate, C. M., </w:t>
      </w:r>
      <w:r>
        <w:rPr>
          <w:rFonts w:asciiTheme="majorHAnsi" w:hAnsiTheme="majorHAnsi" w:cstheme="majorHAnsi"/>
        </w:rPr>
        <w:tab/>
        <w:t>Summons, R. E. 1997a</w:t>
      </w:r>
      <w:r w:rsidRPr="009264F1">
        <w:rPr>
          <w:rFonts w:asciiTheme="majorHAnsi" w:hAnsiTheme="majorHAnsi" w:cstheme="majorHAnsi"/>
        </w:rPr>
        <w:t xml:space="preserve">. 98/01938 Oleananes in oils and sediments: Evidence of </w:t>
      </w:r>
      <w:r w:rsidRPr="009264F1">
        <w:rPr>
          <w:rFonts w:asciiTheme="majorHAnsi" w:hAnsiTheme="majorHAnsi" w:cstheme="majorHAnsi"/>
        </w:rPr>
        <w:tab/>
        <w:t xml:space="preserve">marine influence during early diagenesis? </w:t>
      </w:r>
      <w:r w:rsidRPr="009264F1">
        <w:rPr>
          <w:rFonts w:asciiTheme="majorHAnsi" w:hAnsiTheme="majorHAnsi" w:cstheme="majorHAnsi"/>
          <w:i/>
        </w:rPr>
        <w:t xml:space="preserve">Geochemica et Cosmochimica Acta, </w:t>
      </w:r>
      <w:r w:rsidRPr="009264F1">
        <w:rPr>
          <w:rFonts w:asciiTheme="majorHAnsi" w:hAnsiTheme="majorHAnsi" w:cstheme="majorHAnsi"/>
          <w:i/>
        </w:rPr>
        <w:tab/>
        <w:t>61(6)</w:t>
      </w:r>
      <w:r w:rsidRPr="009264F1">
        <w:rPr>
          <w:rFonts w:asciiTheme="majorHAnsi" w:hAnsiTheme="majorHAnsi" w:cstheme="majorHAnsi"/>
        </w:rPr>
        <w:t>, 1261-1276.</w:t>
      </w:r>
    </w:p>
    <w:p w:rsidR="00706671" w:rsidRDefault="00706671" w:rsidP="00C87CE1">
      <w:pPr>
        <w:spacing w:line="240" w:lineRule="auto"/>
        <w:jc w:val="both"/>
        <w:rPr>
          <w:rFonts w:asciiTheme="majorHAnsi" w:hAnsiTheme="majorHAnsi" w:cstheme="majorHAnsi"/>
        </w:rPr>
      </w:pPr>
    </w:p>
    <w:p w:rsidR="00706671" w:rsidRDefault="00706671" w:rsidP="00C87CE1">
      <w:pPr>
        <w:spacing w:line="240" w:lineRule="auto"/>
        <w:jc w:val="both"/>
        <w:rPr>
          <w:rFonts w:asciiTheme="majorHAnsi" w:hAnsiTheme="majorHAnsi" w:cstheme="majorHAnsi"/>
        </w:rPr>
      </w:pPr>
    </w:p>
    <w:p w:rsidR="00706671" w:rsidRPr="009264F1" w:rsidRDefault="0070667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lastRenderedPageBreak/>
        <w:t>Murray, A. P., Sosrowidjojo, I. B., A</w:t>
      </w:r>
      <w:r>
        <w:rPr>
          <w:rFonts w:asciiTheme="majorHAnsi" w:hAnsiTheme="majorHAnsi" w:cstheme="majorHAnsi"/>
        </w:rPr>
        <w:t>lexander, R., Summons, R. E. 1997b</w:t>
      </w:r>
      <w:r w:rsidRPr="009264F1">
        <w:rPr>
          <w:rFonts w:asciiTheme="majorHAnsi" w:hAnsiTheme="majorHAnsi" w:cstheme="majorHAnsi"/>
        </w:rPr>
        <w:t xml:space="preserve">. Locating </w:t>
      </w:r>
      <w:r w:rsidRPr="009264F1">
        <w:rPr>
          <w:rFonts w:asciiTheme="majorHAnsi" w:hAnsiTheme="majorHAnsi" w:cstheme="majorHAnsi"/>
        </w:rPr>
        <w:tab/>
        <w:t>effective source rocks in deltaic petroleum systems: making better use of land-</w:t>
      </w:r>
      <w:r w:rsidRPr="009264F1">
        <w:rPr>
          <w:rFonts w:asciiTheme="majorHAnsi" w:hAnsiTheme="majorHAnsi" w:cstheme="majorHAnsi"/>
        </w:rPr>
        <w:tab/>
        <w:t xml:space="preserve">plant biomarkers. In </w:t>
      </w:r>
      <w:r w:rsidRPr="009264F1">
        <w:rPr>
          <w:rFonts w:asciiTheme="majorHAnsi" w:hAnsiTheme="majorHAnsi" w:cstheme="majorHAnsi"/>
          <w:i/>
        </w:rPr>
        <w:t xml:space="preserve">Proceedings of an International Conference on Petroleum </w:t>
      </w:r>
      <w:r w:rsidRPr="009264F1">
        <w:rPr>
          <w:rFonts w:asciiTheme="majorHAnsi" w:hAnsiTheme="majorHAnsi" w:cstheme="majorHAnsi"/>
          <w:i/>
        </w:rPr>
        <w:tab/>
        <w:t xml:space="preserve">Systems of SE Asia and Australasia </w:t>
      </w:r>
      <w:r w:rsidRPr="009264F1">
        <w:rPr>
          <w:rFonts w:asciiTheme="majorHAnsi" w:hAnsiTheme="majorHAnsi" w:cstheme="majorHAnsi"/>
        </w:rPr>
        <w:t xml:space="preserve">(J.V.C. Howes and R.A. Noble, eds.), </w:t>
      </w:r>
      <w:r w:rsidRPr="009264F1">
        <w:rPr>
          <w:rFonts w:asciiTheme="majorHAnsi" w:hAnsiTheme="majorHAnsi" w:cstheme="majorHAnsi"/>
        </w:rPr>
        <w:tab/>
        <w:t>Indonesian Petroleum Ass</w:t>
      </w:r>
      <w:r>
        <w:rPr>
          <w:rFonts w:asciiTheme="majorHAnsi" w:hAnsiTheme="majorHAnsi" w:cstheme="majorHAnsi"/>
        </w:rPr>
        <w:t>ociation, Jakarta, Indonesia,</w:t>
      </w:r>
      <w:r w:rsidRPr="009264F1">
        <w:rPr>
          <w:rFonts w:asciiTheme="majorHAnsi" w:hAnsiTheme="majorHAnsi" w:cstheme="majorHAnsi"/>
        </w:rPr>
        <w:t xml:space="preserve"> 939-45.</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Noble, R.</w:t>
      </w:r>
      <w:r>
        <w:rPr>
          <w:rFonts w:asciiTheme="majorHAnsi" w:hAnsiTheme="majorHAnsi" w:cstheme="majorHAnsi"/>
        </w:rPr>
        <w:t>, Alexander, R., Kagi, R. I. 1985</w:t>
      </w:r>
      <w:r w:rsidRPr="009264F1">
        <w:rPr>
          <w:rFonts w:asciiTheme="majorHAnsi" w:hAnsiTheme="majorHAnsi" w:cstheme="majorHAnsi"/>
        </w:rPr>
        <w:t xml:space="preserve">. </w:t>
      </w:r>
      <w:r>
        <w:rPr>
          <w:rFonts w:asciiTheme="majorHAnsi" w:hAnsiTheme="majorHAnsi" w:cstheme="majorHAnsi"/>
        </w:rPr>
        <w:t>The occurrence of bisnorhopane,</w:t>
      </w:r>
      <w:r>
        <w:rPr>
          <w:rFonts w:asciiTheme="majorHAnsi" w:hAnsiTheme="majorHAnsi" w:cstheme="majorHAnsi"/>
        </w:rPr>
        <w:tab/>
      </w:r>
      <w:r w:rsidRPr="009264F1">
        <w:rPr>
          <w:rFonts w:asciiTheme="majorHAnsi" w:hAnsiTheme="majorHAnsi" w:cstheme="majorHAnsi"/>
        </w:rPr>
        <w:t>trisnorhopane and 25-norhopanes as free h</w:t>
      </w:r>
      <w:r>
        <w:rPr>
          <w:rFonts w:asciiTheme="majorHAnsi" w:hAnsiTheme="majorHAnsi" w:cstheme="majorHAnsi"/>
        </w:rPr>
        <w:t>ydrocarbons in some Australian</w:t>
      </w:r>
      <w:r>
        <w:rPr>
          <w:rFonts w:asciiTheme="majorHAnsi" w:hAnsiTheme="majorHAnsi" w:cstheme="majorHAnsi"/>
        </w:rPr>
        <w:tab/>
      </w:r>
      <w:r w:rsidRPr="009264F1">
        <w:rPr>
          <w:rFonts w:asciiTheme="majorHAnsi" w:hAnsiTheme="majorHAnsi" w:cstheme="majorHAnsi"/>
        </w:rPr>
        <w:t>Shales. </w:t>
      </w:r>
      <w:r w:rsidRPr="009264F1">
        <w:rPr>
          <w:rFonts w:asciiTheme="majorHAnsi" w:hAnsiTheme="majorHAnsi" w:cstheme="majorHAnsi"/>
          <w:i/>
          <w:iCs/>
        </w:rPr>
        <w:t>Organic Geochemistry,</w:t>
      </w:r>
      <w:r w:rsidRPr="009264F1">
        <w:rPr>
          <w:rFonts w:asciiTheme="majorHAnsi" w:hAnsiTheme="majorHAnsi" w:cstheme="majorHAnsi"/>
        </w:rPr>
        <w:t> </w:t>
      </w:r>
      <w:r w:rsidRPr="009264F1">
        <w:rPr>
          <w:rFonts w:asciiTheme="majorHAnsi" w:hAnsiTheme="majorHAnsi" w:cstheme="majorHAnsi"/>
          <w:i/>
          <w:iCs/>
        </w:rPr>
        <w:t>8</w:t>
      </w:r>
      <w:r w:rsidRPr="009264F1">
        <w:rPr>
          <w:rFonts w:asciiTheme="majorHAnsi" w:hAnsiTheme="majorHAnsi" w:cstheme="majorHAnsi"/>
        </w:rPr>
        <w:t>(2), 171-176. </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Noble, R. A., Alexander,</w:t>
      </w:r>
      <w:r>
        <w:rPr>
          <w:rFonts w:asciiTheme="majorHAnsi" w:hAnsiTheme="majorHAnsi" w:cstheme="majorHAnsi"/>
        </w:rPr>
        <w:t xml:space="preserve"> R., Kagi, R. I., Nox, J. K. 1986. Identification of some</w:t>
      </w:r>
      <w:r>
        <w:rPr>
          <w:rFonts w:asciiTheme="majorHAnsi" w:hAnsiTheme="majorHAnsi" w:cstheme="majorHAnsi"/>
        </w:rPr>
        <w:tab/>
      </w:r>
      <w:r w:rsidRPr="009264F1">
        <w:rPr>
          <w:rFonts w:asciiTheme="majorHAnsi" w:hAnsiTheme="majorHAnsi" w:cstheme="majorHAnsi"/>
        </w:rPr>
        <w:t xml:space="preserve">diterpenoid hydrocarbons in petroleum. </w:t>
      </w:r>
      <w:r w:rsidRPr="009264F1">
        <w:rPr>
          <w:rFonts w:asciiTheme="majorHAnsi" w:hAnsiTheme="majorHAnsi" w:cstheme="majorHAnsi"/>
          <w:i/>
        </w:rPr>
        <w:t>Organic Geochemistry, 10(4-6),</w:t>
      </w:r>
      <w:r w:rsidRPr="009264F1">
        <w:rPr>
          <w:rFonts w:asciiTheme="majorHAnsi" w:hAnsiTheme="majorHAnsi" w:cstheme="majorHAnsi"/>
        </w:rPr>
        <w:t xml:space="preserve"> 825-</w:t>
      </w:r>
      <w:r w:rsidRPr="009264F1">
        <w:rPr>
          <w:rFonts w:asciiTheme="majorHAnsi" w:hAnsiTheme="majorHAnsi" w:cstheme="majorHAnsi"/>
        </w:rPr>
        <w:tab/>
        <w:t>829.</w:t>
      </w:r>
    </w:p>
    <w:p w:rsidR="00C87CE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pPr>
      <w:r>
        <w:t>Nolte, C. J. 1990. Anomalous mechanical well log resistivities in the middle Morrow</w:t>
      </w:r>
      <w:r>
        <w:tab/>
        <w:t xml:space="preserve">sandstones of southeast Colorado, in S. A. Sonnenberg, L. T. Shannon, K. Rader, </w:t>
      </w:r>
      <w:r>
        <w:tab/>
        <w:t xml:space="preserve">W. F. Von Drehle, and G. W. Martin, eds., Morrow sandstones of southeast </w:t>
      </w:r>
      <w:r>
        <w:tab/>
        <w:t xml:space="preserve">Colorado and adjacent areas: </w:t>
      </w:r>
      <w:r w:rsidRPr="00210A56">
        <w:rPr>
          <w:i/>
        </w:rPr>
        <w:t>Rocky Mountain Association of Geologists,</w:t>
      </w:r>
      <w:r>
        <w:t xml:space="preserve"> 227–</w:t>
      </w:r>
      <w:r>
        <w:tab/>
        <w:t>231.</w:t>
      </w:r>
    </w:p>
    <w:p w:rsidR="00706671" w:rsidRPr="009264F1" w:rsidRDefault="00706671" w:rsidP="00C87CE1">
      <w:pPr>
        <w:spacing w:line="240" w:lineRule="auto"/>
        <w:jc w:val="both"/>
        <w:rPr>
          <w:rFonts w:asciiTheme="majorHAnsi" w:hAnsiTheme="majorHAnsi" w:cstheme="majorHAnsi"/>
        </w:rPr>
      </w:pPr>
    </w:p>
    <w:p w:rsidR="00C87CE1" w:rsidRPr="009264F1" w:rsidRDefault="00C87CE1" w:rsidP="00C87CE1">
      <w:pPr>
        <w:spacing w:line="240" w:lineRule="auto"/>
        <w:jc w:val="both"/>
      </w:pPr>
      <w:r w:rsidRPr="009264F1">
        <w:t>Nuccio, V.F.,</w:t>
      </w:r>
      <w:r>
        <w:t xml:space="preserve"> Barker, C.E. 1989.</w:t>
      </w:r>
      <w:r w:rsidRPr="009264F1">
        <w:t xml:space="preserve"> Applications of</w:t>
      </w:r>
      <w:r>
        <w:t xml:space="preserve"> thermal maturation studies to</w:t>
      </w:r>
      <w:r>
        <w:tab/>
      </w:r>
      <w:r w:rsidRPr="009264F1">
        <w:t>energy exploration, in Lorenz, J.C., and Lucas, S.G.,</w:t>
      </w:r>
      <w:r>
        <w:t xml:space="preserve"> eds., Energy Frontiers in the</w:t>
      </w:r>
      <w:r>
        <w:tab/>
      </w:r>
      <w:r w:rsidRPr="009264F1">
        <w:t xml:space="preserve">Rockies: </w:t>
      </w:r>
      <w:r w:rsidRPr="009264F1">
        <w:rPr>
          <w:i/>
        </w:rPr>
        <w:t>Albuquerque Geological Society</w:t>
      </w:r>
      <w:r>
        <w:t xml:space="preserve">, </w:t>
      </w:r>
      <w:r w:rsidRPr="009264F1">
        <w:t>111–120.</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Nytoft, H. P., Bojesen-Koefoed, J. A., Christiansen, F. G.,</w:t>
      </w:r>
      <w:r>
        <w:rPr>
          <w:rFonts w:asciiTheme="majorHAnsi" w:hAnsiTheme="majorHAnsi" w:cstheme="majorHAnsi"/>
        </w:rPr>
        <w:t xml:space="preserve"> Fowler, M. G. 1997</w:t>
      </w:r>
      <w:r w:rsidRPr="009264F1">
        <w:rPr>
          <w:rFonts w:asciiTheme="majorHAnsi" w:hAnsiTheme="majorHAnsi" w:cstheme="majorHAnsi"/>
        </w:rPr>
        <w:t xml:space="preserve">. HPLC </w:t>
      </w:r>
      <w:r w:rsidRPr="009264F1">
        <w:rPr>
          <w:rFonts w:asciiTheme="majorHAnsi" w:hAnsiTheme="majorHAnsi" w:cstheme="majorHAnsi"/>
        </w:rPr>
        <w:tab/>
        <w:t>seperation of coe</w:t>
      </w:r>
      <w:r>
        <w:rPr>
          <w:rFonts w:asciiTheme="majorHAnsi" w:hAnsiTheme="majorHAnsi" w:cstheme="majorHAnsi"/>
        </w:rPr>
        <w:t>luting lupane and oleanane-conf</w:t>
      </w:r>
      <w:r w:rsidRPr="009264F1">
        <w:rPr>
          <w:rFonts w:asciiTheme="majorHAnsi" w:hAnsiTheme="majorHAnsi" w:cstheme="majorHAnsi"/>
        </w:rPr>
        <w:t xml:space="preserve">irmation of the presence of </w:t>
      </w:r>
      <w:r w:rsidRPr="009264F1">
        <w:rPr>
          <w:rFonts w:asciiTheme="majorHAnsi" w:hAnsiTheme="majorHAnsi" w:cstheme="majorHAnsi"/>
        </w:rPr>
        <w:tab/>
        <w:t xml:space="preserve">lupane in oils derived from terrigenous source rocks of Cretaceous-Tertiary age. </w:t>
      </w:r>
      <w:r w:rsidRPr="009264F1">
        <w:rPr>
          <w:rFonts w:asciiTheme="majorHAnsi" w:hAnsiTheme="majorHAnsi" w:cstheme="majorHAnsi"/>
        </w:rPr>
        <w:tab/>
      </w:r>
      <w:r w:rsidRPr="009264F1">
        <w:rPr>
          <w:rFonts w:asciiTheme="majorHAnsi" w:hAnsiTheme="majorHAnsi" w:cstheme="majorHAnsi"/>
          <w:i/>
        </w:rPr>
        <w:t>Abstracts from the 18th In</w:t>
      </w:r>
      <w:r>
        <w:rPr>
          <w:rFonts w:asciiTheme="majorHAnsi" w:hAnsiTheme="majorHAnsi" w:cstheme="majorHAnsi"/>
          <w:i/>
        </w:rPr>
        <w:t xml:space="preserve">ternational Meeting on Organic </w:t>
      </w:r>
      <w:r w:rsidRPr="009264F1">
        <w:rPr>
          <w:rFonts w:asciiTheme="majorHAnsi" w:hAnsiTheme="majorHAnsi" w:cstheme="majorHAnsi"/>
          <w:i/>
        </w:rPr>
        <w:t>Geochemistry,</w:t>
      </w:r>
      <w:r>
        <w:rPr>
          <w:rFonts w:asciiTheme="majorHAnsi" w:hAnsiTheme="majorHAnsi" w:cstheme="majorHAnsi"/>
          <w:i/>
        </w:rPr>
        <w:tab/>
      </w:r>
      <w:r w:rsidRPr="009264F1">
        <w:rPr>
          <w:rFonts w:asciiTheme="majorHAnsi" w:hAnsiTheme="majorHAnsi" w:cstheme="majorHAnsi"/>
          <w:i/>
        </w:rPr>
        <w:t>September 22-26,</w:t>
      </w:r>
      <w:r w:rsidRPr="009264F1">
        <w:rPr>
          <w:rFonts w:asciiTheme="majorHAnsi" w:hAnsiTheme="majorHAnsi" w:cstheme="majorHAnsi"/>
        </w:rPr>
        <w:t xml:space="preserve"> 313-314</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Nytoft, H. P., Bojesen-Koefoed, J. A., Christ</w:t>
      </w:r>
      <w:r>
        <w:rPr>
          <w:rFonts w:asciiTheme="majorHAnsi" w:hAnsiTheme="majorHAnsi" w:cstheme="majorHAnsi"/>
        </w:rPr>
        <w:t>iansen, F. G., Fowler, M. G. 2002</w:t>
      </w:r>
      <w:r w:rsidRPr="009264F1">
        <w:rPr>
          <w:rFonts w:asciiTheme="majorHAnsi" w:hAnsiTheme="majorHAnsi" w:cstheme="majorHAnsi"/>
        </w:rPr>
        <w:t xml:space="preserve">. </w:t>
      </w:r>
      <w:r w:rsidRPr="009264F1">
        <w:rPr>
          <w:rFonts w:asciiTheme="majorHAnsi" w:hAnsiTheme="majorHAnsi" w:cstheme="majorHAnsi"/>
        </w:rPr>
        <w:tab/>
        <w:t>Oleanane or lupane? Reappraisal of the presence of oleanane in Cretaceous–</w:t>
      </w:r>
      <w:r w:rsidRPr="009264F1">
        <w:rPr>
          <w:rFonts w:asciiTheme="majorHAnsi" w:hAnsiTheme="majorHAnsi" w:cstheme="majorHAnsi"/>
        </w:rPr>
        <w:tab/>
        <w:t xml:space="preserve">Tertiary oils and sediments. </w:t>
      </w:r>
      <w:r w:rsidRPr="009264F1">
        <w:rPr>
          <w:rFonts w:asciiTheme="majorHAnsi" w:hAnsiTheme="majorHAnsi" w:cstheme="majorHAnsi"/>
          <w:i/>
        </w:rPr>
        <w:t xml:space="preserve">Organic Geochemistry, 33(11), </w:t>
      </w:r>
      <w:r w:rsidRPr="009264F1">
        <w:rPr>
          <w:rFonts w:asciiTheme="majorHAnsi" w:hAnsiTheme="majorHAnsi" w:cstheme="majorHAnsi"/>
        </w:rPr>
        <w:t>1225-1240</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rPr>
          <w:rFonts w:asciiTheme="majorHAnsi" w:hAnsiTheme="majorHAnsi" w:cstheme="majorHAnsi"/>
        </w:rPr>
      </w:pPr>
      <w:r w:rsidRPr="009264F1">
        <w:rPr>
          <w:rFonts w:asciiTheme="majorHAnsi" w:hAnsiTheme="majorHAnsi" w:cstheme="majorHAnsi"/>
        </w:rPr>
        <w:t>Orc</w:t>
      </w:r>
      <w:r>
        <w:rPr>
          <w:rFonts w:asciiTheme="majorHAnsi" w:hAnsiTheme="majorHAnsi" w:cstheme="majorHAnsi"/>
        </w:rPr>
        <w:t>hard, D. M., Kidwell, M. R.</w:t>
      </w:r>
      <w:r w:rsidRPr="009264F1">
        <w:rPr>
          <w:rFonts w:asciiTheme="majorHAnsi" w:hAnsiTheme="majorHAnsi" w:cstheme="majorHAnsi"/>
        </w:rPr>
        <w:t xml:space="preserve"> 1984, Morrowan stratigraphy, depositional systems, </w:t>
      </w:r>
      <w:r w:rsidRPr="009264F1">
        <w:rPr>
          <w:rFonts w:asciiTheme="majorHAnsi" w:hAnsiTheme="majorHAnsi" w:cstheme="majorHAnsi"/>
        </w:rPr>
        <w:tab/>
        <w:t>hydrocarbon</w:t>
      </w:r>
      <w:r>
        <w:rPr>
          <w:rFonts w:asciiTheme="majorHAnsi" w:hAnsiTheme="majorHAnsi" w:cstheme="majorHAnsi"/>
        </w:rPr>
        <w:t xml:space="preserve"> accumulation in Sorrento field, Cheyenne County, Colorado.</w:t>
      </w:r>
      <w:r w:rsidRPr="009264F1">
        <w:rPr>
          <w:rFonts w:asciiTheme="majorHAnsi" w:hAnsiTheme="majorHAnsi" w:cstheme="majorHAnsi"/>
        </w:rPr>
        <w:t xml:space="preserve"> </w:t>
      </w:r>
      <w:r>
        <w:rPr>
          <w:rFonts w:asciiTheme="majorHAnsi" w:hAnsiTheme="majorHAnsi" w:cstheme="majorHAnsi"/>
          <w:i/>
        </w:rPr>
        <w:t xml:space="preserve">Oil and </w:t>
      </w:r>
      <w:r>
        <w:rPr>
          <w:rFonts w:asciiTheme="majorHAnsi" w:hAnsiTheme="majorHAnsi" w:cstheme="majorHAnsi"/>
          <w:i/>
        </w:rPr>
        <w:tab/>
        <w:t xml:space="preserve">Gas Journal, </w:t>
      </w:r>
      <w:r w:rsidRPr="009264F1">
        <w:rPr>
          <w:rFonts w:asciiTheme="majorHAnsi" w:hAnsiTheme="majorHAnsi" w:cstheme="majorHAnsi"/>
          <w:i/>
        </w:rPr>
        <w:t>82</w:t>
      </w:r>
      <w:r w:rsidRPr="009264F1">
        <w:rPr>
          <w:rFonts w:asciiTheme="majorHAnsi" w:hAnsiTheme="majorHAnsi" w:cstheme="majorHAnsi"/>
        </w:rPr>
        <w:t>, 102-107</w:t>
      </w:r>
      <w:r>
        <w:rPr>
          <w:rFonts w:asciiTheme="majorHAnsi" w:hAnsiTheme="majorHAnsi" w:cstheme="majorHAnsi"/>
        </w:rPr>
        <w:t>.</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 xml:space="preserve">Ourisson, </w:t>
      </w:r>
      <w:r>
        <w:rPr>
          <w:rFonts w:asciiTheme="majorHAnsi" w:hAnsiTheme="majorHAnsi" w:cstheme="majorHAnsi"/>
        </w:rPr>
        <w:t>G., Albrecht, P., Rohmer, M. 1982</w:t>
      </w:r>
      <w:r w:rsidRPr="009264F1">
        <w:rPr>
          <w:rFonts w:asciiTheme="majorHAnsi" w:hAnsiTheme="majorHAnsi" w:cstheme="majorHAnsi"/>
        </w:rPr>
        <w:t xml:space="preserve">. Predictive microbial biochemistry — </w:t>
      </w:r>
      <w:r w:rsidRPr="009264F1">
        <w:rPr>
          <w:rFonts w:asciiTheme="majorHAnsi" w:hAnsiTheme="majorHAnsi" w:cstheme="majorHAnsi"/>
        </w:rPr>
        <w:tab/>
        <w:t xml:space="preserve">from molecular fossils to procaryotic membranes. </w:t>
      </w:r>
      <w:r w:rsidRPr="009264F1">
        <w:rPr>
          <w:rFonts w:asciiTheme="majorHAnsi" w:hAnsiTheme="majorHAnsi" w:cstheme="majorHAnsi"/>
          <w:i/>
        </w:rPr>
        <w:t xml:space="preserve">Trends in Biochemical </w:t>
      </w:r>
      <w:r w:rsidRPr="009264F1">
        <w:rPr>
          <w:rFonts w:asciiTheme="majorHAnsi" w:hAnsiTheme="majorHAnsi" w:cstheme="majorHAnsi"/>
          <w:i/>
        </w:rPr>
        <w:tab/>
        <w:t>Sciences, 7(7),</w:t>
      </w:r>
      <w:r w:rsidRPr="009264F1">
        <w:rPr>
          <w:rFonts w:asciiTheme="majorHAnsi" w:hAnsiTheme="majorHAnsi" w:cstheme="majorHAnsi"/>
        </w:rPr>
        <w:t xml:space="preserve"> 236-239.</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 xml:space="preserve">Ourisson, </w:t>
      </w:r>
      <w:r>
        <w:rPr>
          <w:rFonts w:asciiTheme="majorHAnsi" w:hAnsiTheme="majorHAnsi" w:cstheme="majorHAnsi"/>
        </w:rPr>
        <w:t>G., Rohmer, M. and Porolla, K. 1987</w:t>
      </w:r>
      <w:r w:rsidRPr="009264F1">
        <w:rPr>
          <w:rFonts w:asciiTheme="majorHAnsi" w:hAnsiTheme="majorHAnsi" w:cstheme="majorHAnsi"/>
        </w:rPr>
        <w:t xml:space="preserve">. Prokaryotic Hopanoids and Other </w:t>
      </w:r>
      <w:r w:rsidRPr="009264F1">
        <w:rPr>
          <w:rFonts w:asciiTheme="majorHAnsi" w:hAnsiTheme="majorHAnsi" w:cstheme="majorHAnsi"/>
        </w:rPr>
        <w:tab/>
        <w:t xml:space="preserve">Polyterpenoid Sterol Surrogates. </w:t>
      </w:r>
      <w:r w:rsidRPr="009264F1">
        <w:rPr>
          <w:rFonts w:asciiTheme="majorHAnsi" w:hAnsiTheme="majorHAnsi" w:cstheme="majorHAnsi"/>
          <w:i/>
        </w:rPr>
        <w:t>Annual Review of Microbiology, 41(1),</w:t>
      </w:r>
      <w:r>
        <w:rPr>
          <w:rFonts w:asciiTheme="majorHAnsi" w:hAnsiTheme="majorHAnsi" w:cstheme="majorHAnsi"/>
        </w:rPr>
        <w:t xml:space="preserve"> </w:t>
      </w:r>
      <w:r w:rsidRPr="009264F1">
        <w:rPr>
          <w:rFonts w:asciiTheme="majorHAnsi" w:hAnsiTheme="majorHAnsi" w:cstheme="majorHAnsi"/>
        </w:rPr>
        <w:t>301-333.</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lastRenderedPageBreak/>
        <w:t>Ourisson, G., Albrecht, P. 1992</w:t>
      </w:r>
      <w:r w:rsidRPr="009264F1">
        <w:rPr>
          <w:rFonts w:asciiTheme="majorHAnsi" w:hAnsiTheme="majorHAnsi" w:cstheme="majorHAnsi"/>
        </w:rPr>
        <w:t>. Hopanoids. 1. G</w:t>
      </w:r>
      <w:r>
        <w:rPr>
          <w:rFonts w:asciiTheme="majorHAnsi" w:hAnsiTheme="majorHAnsi" w:cstheme="majorHAnsi"/>
        </w:rPr>
        <w:t>eohopanoids: the most abundant</w:t>
      </w:r>
      <w:r>
        <w:rPr>
          <w:rFonts w:asciiTheme="majorHAnsi" w:hAnsiTheme="majorHAnsi" w:cstheme="majorHAnsi"/>
        </w:rPr>
        <w:tab/>
      </w:r>
      <w:r w:rsidRPr="009264F1">
        <w:rPr>
          <w:rFonts w:asciiTheme="majorHAnsi" w:hAnsiTheme="majorHAnsi" w:cstheme="majorHAnsi"/>
        </w:rPr>
        <w:t xml:space="preserve">natural products on Earth? </w:t>
      </w:r>
      <w:r w:rsidRPr="00991534">
        <w:rPr>
          <w:rFonts w:asciiTheme="majorHAnsi" w:hAnsiTheme="majorHAnsi" w:cstheme="majorHAnsi"/>
          <w:i/>
        </w:rPr>
        <w:t>Accounts</w:t>
      </w:r>
      <w:r>
        <w:rPr>
          <w:rFonts w:asciiTheme="majorHAnsi" w:hAnsiTheme="majorHAnsi" w:cstheme="majorHAnsi"/>
          <w:i/>
        </w:rPr>
        <w:t xml:space="preserve"> of</w:t>
      </w:r>
      <w:r w:rsidRPr="00991534">
        <w:rPr>
          <w:rFonts w:asciiTheme="majorHAnsi" w:hAnsiTheme="majorHAnsi" w:cstheme="majorHAnsi"/>
          <w:i/>
        </w:rPr>
        <w:t xml:space="preserve"> Chemical Research</w:t>
      </w:r>
      <w:r w:rsidRPr="009264F1">
        <w:rPr>
          <w:rFonts w:asciiTheme="majorHAnsi" w:hAnsiTheme="majorHAnsi" w:cstheme="majorHAnsi"/>
        </w:rPr>
        <w:t xml:space="preserve">, </w:t>
      </w:r>
      <w:r w:rsidRPr="00991534">
        <w:rPr>
          <w:rFonts w:asciiTheme="majorHAnsi" w:hAnsiTheme="majorHAnsi" w:cstheme="majorHAnsi"/>
          <w:i/>
        </w:rPr>
        <w:t>25(9)</w:t>
      </w:r>
      <w:r w:rsidRPr="009264F1">
        <w:rPr>
          <w:rFonts w:asciiTheme="majorHAnsi" w:hAnsiTheme="majorHAnsi" w:cstheme="majorHAnsi"/>
        </w:rPr>
        <w:t>, 398-402.</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pPr>
      <w:r>
        <w:t>Peace, H.W. 1989.</w:t>
      </w:r>
      <w:r w:rsidRPr="009264F1">
        <w:t xml:space="preserve"> Mississippian facies relationships, ea</w:t>
      </w:r>
      <w:r>
        <w:t xml:space="preserve">stern Anadarko Basin, </w:t>
      </w:r>
      <w:r>
        <w:tab/>
        <w:t>Oklahoma,</w:t>
      </w:r>
      <w:r w:rsidRPr="009264F1">
        <w:t xml:space="preserve"> </w:t>
      </w:r>
      <w:r w:rsidRPr="009264F1">
        <w:rPr>
          <w:i/>
        </w:rPr>
        <w:t>University of Oklahoma,</w:t>
      </w:r>
      <w:r>
        <w:t xml:space="preserve"> unpublished M.S. thesis.</w:t>
      </w:r>
    </w:p>
    <w:p w:rsidR="00C87CE1" w:rsidRPr="009264F1" w:rsidRDefault="00C87CE1" w:rsidP="00C87CE1">
      <w:pPr>
        <w:spacing w:line="240" w:lineRule="auto"/>
        <w:jc w:val="both"/>
      </w:pPr>
    </w:p>
    <w:p w:rsidR="00C87CE1" w:rsidRPr="009264F1" w:rsidRDefault="00C87CE1" w:rsidP="00C87CE1">
      <w:pPr>
        <w:spacing w:line="240" w:lineRule="auto"/>
        <w:jc w:val="both"/>
        <w:rPr>
          <w:rFonts w:asciiTheme="majorHAnsi" w:hAnsiTheme="majorHAnsi" w:cstheme="majorHAnsi"/>
        </w:rPr>
      </w:pPr>
      <w:r w:rsidRPr="009264F1">
        <w:t>Peters, K.E.</w:t>
      </w:r>
      <w:r>
        <w:t xml:space="preserve"> 1986.</w:t>
      </w:r>
      <w:r w:rsidRPr="009264F1">
        <w:t xml:space="preserve"> Guidelines for evaluating petroleum source ro</w:t>
      </w:r>
      <w:r>
        <w:t>cks using programmed</w:t>
      </w:r>
      <w:r>
        <w:tab/>
        <w:t xml:space="preserve"> pyrolysis,</w:t>
      </w:r>
      <w:r w:rsidRPr="009264F1">
        <w:t xml:space="preserve"> </w:t>
      </w:r>
      <w:r w:rsidRPr="009264F1">
        <w:rPr>
          <w:i/>
        </w:rPr>
        <w:t>AAPG Bulletin, v. 70</w:t>
      </w:r>
      <w:r>
        <w:t>,</w:t>
      </w:r>
      <w:r w:rsidRPr="009264F1">
        <w:t xml:space="preserve"> 318-329.</w:t>
      </w:r>
    </w:p>
    <w:p w:rsidR="00C87CE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pPr>
      <w:r>
        <w:t xml:space="preserve">Peters, K. E., Moldowan, J. W. 1993. The Biomarker Guide: Interpreting Molecular </w:t>
      </w:r>
      <w:r>
        <w:tab/>
        <w:t xml:space="preserve">Fossils in Petroleum and Ancient Sediments. </w:t>
      </w:r>
      <w:r w:rsidRPr="00147161">
        <w:rPr>
          <w:i/>
        </w:rPr>
        <w:t xml:space="preserve">Englewood Cliffs, New Jersey: </w:t>
      </w:r>
      <w:r w:rsidRPr="00147161">
        <w:rPr>
          <w:i/>
        </w:rPr>
        <w:tab/>
        <w:t>Prentice Hall.</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rPr>
          <w:rFonts w:asciiTheme="majorHAnsi" w:hAnsiTheme="majorHAnsi" w:cstheme="majorHAnsi"/>
        </w:rPr>
      </w:pPr>
      <w:r>
        <w:rPr>
          <w:rFonts w:asciiTheme="majorHAnsi" w:hAnsiTheme="majorHAnsi" w:cstheme="majorHAnsi"/>
        </w:rPr>
        <w:t>Peters, K.E., Cassa, M.R. 1994</w:t>
      </w:r>
      <w:r w:rsidRPr="009264F1">
        <w:rPr>
          <w:rFonts w:asciiTheme="majorHAnsi" w:hAnsiTheme="majorHAnsi" w:cstheme="majorHAnsi"/>
        </w:rPr>
        <w:t xml:space="preserve">. “Applied Source Rock Geochemistry”, Chapter 5, </w:t>
      </w:r>
      <w:r w:rsidRPr="009264F1">
        <w:rPr>
          <w:rFonts w:asciiTheme="majorHAnsi" w:hAnsiTheme="majorHAnsi" w:cstheme="majorHAnsi"/>
        </w:rPr>
        <w:tab/>
        <w:t xml:space="preserve">in Magoon, L.B., and W.G. Dow, eds. “The petroleum system—from source to </w:t>
      </w:r>
      <w:r w:rsidRPr="009264F1">
        <w:rPr>
          <w:rFonts w:asciiTheme="majorHAnsi" w:hAnsiTheme="majorHAnsi" w:cstheme="majorHAnsi"/>
        </w:rPr>
        <w:tab/>
        <w:t xml:space="preserve">trap”, </w:t>
      </w:r>
      <w:r w:rsidRPr="009264F1">
        <w:rPr>
          <w:rFonts w:asciiTheme="majorHAnsi" w:hAnsiTheme="majorHAnsi" w:cstheme="majorHAnsi"/>
          <w:i/>
        </w:rPr>
        <w:t>AAPG Memoir 60,</w:t>
      </w:r>
      <w:r w:rsidRPr="009264F1">
        <w:rPr>
          <w:rFonts w:asciiTheme="majorHAnsi" w:hAnsiTheme="majorHAnsi" w:cstheme="majorHAnsi"/>
        </w:rPr>
        <w:t xml:space="preserve"> 93-120.</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Peters, K. E., C</w:t>
      </w:r>
      <w:r>
        <w:rPr>
          <w:rFonts w:asciiTheme="majorHAnsi" w:hAnsiTheme="majorHAnsi" w:cstheme="majorHAnsi"/>
        </w:rPr>
        <w:t>lutson, M. J., Robertson, G. 1999</w:t>
      </w:r>
      <w:r w:rsidRPr="009264F1">
        <w:rPr>
          <w:rFonts w:asciiTheme="majorHAnsi" w:hAnsiTheme="majorHAnsi" w:cstheme="majorHAnsi"/>
        </w:rPr>
        <w:t xml:space="preserve">. Mixed marine and lacustrine input </w:t>
      </w:r>
      <w:r w:rsidRPr="009264F1">
        <w:rPr>
          <w:rFonts w:asciiTheme="majorHAnsi" w:hAnsiTheme="majorHAnsi" w:cstheme="majorHAnsi"/>
        </w:rPr>
        <w:tab/>
        <w:t xml:space="preserve">to an oil-cemented sandstone breccia from Brora, Scotland. </w:t>
      </w:r>
      <w:r w:rsidRPr="00991534">
        <w:rPr>
          <w:rFonts w:asciiTheme="majorHAnsi" w:hAnsiTheme="majorHAnsi" w:cstheme="majorHAnsi"/>
          <w:i/>
        </w:rPr>
        <w:t xml:space="preserve">Organic </w:t>
      </w:r>
      <w:r w:rsidRPr="00991534">
        <w:rPr>
          <w:rFonts w:asciiTheme="majorHAnsi" w:hAnsiTheme="majorHAnsi" w:cstheme="majorHAnsi"/>
          <w:i/>
        </w:rPr>
        <w:tab/>
        <w:t>Geochemistry</w:t>
      </w:r>
      <w:r w:rsidRPr="009264F1">
        <w:rPr>
          <w:rFonts w:asciiTheme="majorHAnsi" w:hAnsiTheme="majorHAnsi" w:cstheme="majorHAnsi"/>
        </w:rPr>
        <w:t>,</w:t>
      </w:r>
      <w:r w:rsidRPr="00991534">
        <w:rPr>
          <w:rFonts w:asciiTheme="majorHAnsi" w:hAnsiTheme="majorHAnsi" w:cstheme="majorHAnsi"/>
          <w:i/>
        </w:rPr>
        <w:t xml:space="preserve"> 30(4)</w:t>
      </w:r>
      <w:r w:rsidRPr="009264F1">
        <w:rPr>
          <w:rFonts w:asciiTheme="majorHAnsi" w:hAnsiTheme="majorHAnsi" w:cstheme="majorHAnsi"/>
        </w:rPr>
        <w:t>, 237-248.</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Peters, K. E., Snedden, J. W., Sulaeman, A.</w:t>
      </w:r>
      <w:r>
        <w:rPr>
          <w:rFonts w:asciiTheme="majorHAnsi" w:hAnsiTheme="majorHAnsi" w:cstheme="majorHAnsi"/>
        </w:rPr>
        <w:t>, Sarg, J. F., Enrico, R. J. 2000. A new</w:t>
      </w:r>
      <w:r>
        <w:rPr>
          <w:rFonts w:asciiTheme="majorHAnsi" w:hAnsiTheme="majorHAnsi" w:cstheme="majorHAnsi"/>
        </w:rPr>
        <w:tab/>
      </w:r>
      <w:r w:rsidRPr="009264F1">
        <w:rPr>
          <w:rFonts w:asciiTheme="majorHAnsi" w:hAnsiTheme="majorHAnsi" w:cstheme="majorHAnsi"/>
        </w:rPr>
        <w:t xml:space="preserve">geochemical-sequence stratigraphic model for </w:t>
      </w:r>
      <w:r>
        <w:rPr>
          <w:rFonts w:asciiTheme="majorHAnsi" w:hAnsiTheme="majorHAnsi" w:cstheme="majorHAnsi"/>
        </w:rPr>
        <w:t>the Mahakam Delta and Makassar</w:t>
      </w:r>
      <w:r>
        <w:rPr>
          <w:rFonts w:asciiTheme="majorHAnsi" w:hAnsiTheme="majorHAnsi" w:cstheme="majorHAnsi"/>
        </w:rPr>
        <w:tab/>
      </w:r>
      <w:r w:rsidRPr="009264F1">
        <w:rPr>
          <w:rFonts w:asciiTheme="majorHAnsi" w:hAnsiTheme="majorHAnsi" w:cstheme="majorHAnsi"/>
        </w:rPr>
        <w:t xml:space="preserve">slope, Kalimantan, Indonesia. </w:t>
      </w:r>
      <w:r w:rsidRPr="009264F1">
        <w:rPr>
          <w:rFonts w:asciiTheme="majorHAnsi" w:hAnsiTheme="majorHAnsi" w:cstheme="majorHAnsi"/>
          <w:i/>
        </w:rPr>
        <w:t>AAPG Bulletin, 84</w:t>
      </w:r>
      <w:r w:rsidRPr="009264F1">
        <w:rPr>
          <w:rFonts w:asciiTheme="majorHAnsi" w:hAnsiTheme="majorHAnsi" w:cstheme="majorHAnsi"/>
        </w:rPr>
        <w:t>, 12-44.</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P</w:t>
      </w:r>
      <w:r>
        <w:rPr>
          <w:rFonts w:asciiTheme="majorHAnsi" w:hAnsiTheme="majorHAnsi" w:cstheme="majorHAnsi"/>
        </w:rPr>
        <w:t xml:space="preserve">eters, K. E., Walters, C. C., </w:t>
      </w:r>
      <w:r w:rsidRPr="009264F1">
        <w:rPr>
          <w:rFonts w:asciiTheme="majorHAnsi" w:hAnsiTheme="majorHAnsi" w:cstheme="majorHAnsi"/>
        </w:rPr>
        <w:t>Moldowan, J.</w:t>
      </w:r>
      <w:r>
        <w:rPr>
          <w:rFonts w:asciiTheme="majorHAnsi" w:hAnsiTheme="majorHAnsi" w:cstheme="majorHAnsi"/>
        </w:rPr>
        <w:t xml:space="preserve"> M. 2005. The Biomarker Guide: Volume 2,</w:t>
      </w:r>
      <w:r>
        <w:rPr>
          <w:rFonts w:asciiTheme="majorHAnsi" w:hAnsiTheme="majorHAnsi" w:cstheme="majorHAnsi"/>
        </w:rPr>
        <w:tab/>
      </w:r>
      <w:r w:rsidRPr="009264F1">
        <w:rPr>
          <w:rFonts w:asciiTheme="majorHAnsi" w:hAnsiTheme="majorHAnsi" w:cstheme="majorHAnsi"/>
        </w:rPr>
        <w:t xml:space="preserve">Biomarkers and Isotopes </w:t>
      </w:r>
      <w:r>
        <w:rPr>
          <w:rFonts w:asciiTheme="majorHAnsi" w:hAnsiTheme="majorHAnsi" w:cstheme="majorHAnsi"/>
        </w:rPr>
        <w:t xml:space="preserve">in Petroleum Systems and Earth </w:t>
      </w:r>
      <w:r w:rsidRPr="009264F1">
        <w:rPr>
          <w:rFonts w:asciiTheme="majorHAnsi" w:hAnsiTheme="majorHAnsi" w:cstheme="majorHAnsi"/>
        </w:rPr>
        <w:t>H</w:t>
      </w:r>
      <w:r>
        <w:rPr>
          <w:rFonts w:asciiTheme="majorHAnsi" w:hAnsiTheme="majorHAnsi" w:cstheme="majorHAnsi"/>
        </w:rPr>
        <w:t xml:space="preserve">istory </w:t>
      </w:r>
      <w:r w:rsidRPr="009264F1">
        <w:rPr>
          <w:rFonts w:asciiTheme="majorHAnsi" w:hAnsiTheme="majorHAnsi" w:cstheme="majorHAnsi"/>
        </w:rPr>
        <w:t xml:space="preserve">(Vol. 2). </w:t>
      </w:r>
      <w:r>
        <w:rPr>
          <w:rFonts w:asciiTheme="majorHAnsi" w:hAnsiTheme="majorHAnsi" w:cstheme="majorHAnsi"/>
        </w:rPr>
        <w:tab/>
      </w:r>
      <w:r w:rsidRPr="009264F1">
        <w:rPr>
          <w:rFonts w:asciiTheme="majorHAnsi" w:hAnsiTheme="majorHAnsi" w:cstheme="majorHAnsi"/>
          <w:i/>
        </w:rPr>
        <w:t>Cambridge University Press</w:t>
      </w:r>
      <w:r w:rsidRPr="009264F1">
        <w:rPr>
          <w:rFonts w:asciiTheme="majorHAnsi" w:hAnsiTheme="majorHAnsi" w:cstheme="majorHAnsi"/>
        </w:rPr>
        <w:t>.</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rPr>
          <w:rFonts w:asciiTheme="majorHAnsi" w:hAnsiTheme="majorHAnsi" w:cstheme="majorHAnsi"/>
        </w:rPr>
      </w:pPr>
      <w:r w:rsidRPr="009264F1">
        <w:rPr>
          <w:rFonts w:asciiTheme="majorHAnsi" w:hAnsiTheme="majorHAnsi" w:cstheme="majorHAnsi"/>
        </w:rPr>
        <w:t xml:space="preserve">Philp, R. P., </w:t>
      </w:r>
      <w:r>
        <w:rPr>
          <w:rFonts w:asciiTheme="majorHAnsi" w:hAnsiTheme="majorHAnsi" w:cstheme="majorHAnsi"/>
        </w:rPr>
        <w:t xml:space="preserve">Gilbert, T. D., Friedrich, J. </w:t>
      </w:r>
      <w:r w:rsidRPr="009264F1">
        <w:rPr>
          <w:rFonts w:asciiTheme="majorHAnsi" w:hAnsiTheme="majorHAnsi" w:cstheme="majorHAnsi"/>
        </w:rPr>
        <w:t xml:space="preserve">1981. Bicyclic sesquiterpenoids and </w:t>
      </w:r>
      <w:r w:rsidRPr="009264F1">
        <w:rPr>
          <w:rFonts w:asciiTheme="majorHAnsi" w:hAnsiTheme="majorHAnsi" w:cstheme="majorHAnsi"/>
        </w:rPr>
        <w:tab/>
        <w:t xml:space="preserve">diterpenoids in Australian crude oils. </w:t>
      </w:r>
      <w:r w:rsidRPr="009264F1">
        <w:rPr>
          <w:rFonts w:asciiTheme="majorHAnsi" w:hAnsiTheme="majorHAnsi" w:cstheme="majorHAnsi"/>
          <w:i/>
        </w:rPr>
        <w:t>Geochimica et Cosmochimica Acta, 45(7)</w:t>
      </w:r>
      <w:r w:rsidRPr="009264F1">
        <w:rPr>
          <w:rFonts w:asciiTheme="majorHAnsi" w:hAnsiTheme="majorHAnsi" w:cstheme="majorHAnsi"/>
        </w:rPr>
        <w:t xml:space="preserve">, </w:t>
      </w:r>
      <w:r w:rsidRPr="009264F1">
        <w:rPr>
          <w:rFonts w:asciiTheme="majorHAnsi" w:hAnsiTheme="majorHAnsi" w:cstheme="majorHAnsi"/>
        </w:rPr>
        <w:tab/>
        <w:t>1173-1180.</w:t>
      </w:r>
    </w:p>
    <w:p w:rsidR="00C87CE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t>Philp</w:t>
      </w:r>
      <w:r w:rsidR="00706671">
        <w:t>,</w:t>
      </w:r>
      <w:r>
        <w:t xml:space="preserve"> R. P. 1983. Correlation of crude oils from the San Jorges Basin, Argentina. </w:t>
      </w:r>
      <w:r>
        <w:tab/>
      </w:r>
      <w:r w:rsidRPr="009264F1">
        <w:rPr>
          <w:rFonts w:asciiTheme="majorHAnsi" w:hAnsiTheme="majorHAnsi" w:cstheme="majorHAnsi"/>
          <w:i/>
        </w:rPr>
        <w:t>Geochimica et Cosmochimica Acta</w:t>
      </w:r>
      <w:r>
        <w:t xml:space="preserve"> ,</w:t>
      </w:r>
      <w:r w:rsidRPr="00DD475E">
        <w:rPr>
          <w:i/>
        </w:rPr>
        <w:t>47</w:t>
      </w:r>
      <w:r>
        <w:t>, 267-275.</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Philp, R. P.,</w:t>
      </w:r>
      <w:r w:rsidRPr="009264F1">
        <w:rPr>
          <w:rFonts w:asciiTheme="majorHAnsi" w:hAnsiTheme="majorHAnsi" w:cstheme="majorHAnsi"/>
        </w:rPr>
        <w:t xml:space="preserve"> Gilbert, T. 1986. Biomarker distributions in Australian oils predominantly</w:t>
      </w:r>
      <w:r w:rsidRPr="009264F1">
        <w:rPr>
          <w:rFonts w:asciiTheme="majorHAnsi" w:hAnsiTheme="majorHAnsi" w:cstheme="majorHAnsi"/>
        </w:rPr>
        <w:tab/>
        <w:t xml:space="preserve"> derived from terrigenous source material. </w:t>
      </w:r>
      <w:r w:rsidRPr="00A605AC">
        <w:rPr>
          <w:rFonts w:asciiTheme="majorHAnsi" w:hAnsiTheme="majorHAnsi" w:cstheme="majorHAnsi"/>
          <w:i/>
        </w:rPr>
        <w:t>Organic Geochemistry, 10(1-3),</w:t>
      </w:r>
      <w:r w:rsidRPr="009264F1">
        <w:rPr>
          <w:rFonts w:asciiTheme="majorHAnsi" w:hAnsiTheme="majorHAnsi" w:cstheme="majorHAnsi"/>
        </w:rPr>
        <w:t xml:space="preserve"> 73-84.</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Powell,</w:t>
      </w:r>
      <w:r>
        <w:rPr>
          <w:rFonts w:asciiTheme="majorHAnsi" w:hAnsiTheme="majorHAnsi" w:cstheme="majorHAnsi"/>
        </w:rPr>
        <w:t xml:space="preserve"> T. G., McKirdy, D. M. 1973</w:t>
      </w:r>
      <w:r w:rsidRPr="009264F1">
        <w:rPr>
          <w:rFonts w:asciiTheme="majorHAnsi" w:hAnsiTheme="majorHAnsi" w:cstheme="majorHAnsi"/>
        </w:rPr>
        <w:t>. Relationshi</w:t>
      </w:r>
      <w:r>
        <w:rPr>
          <w:rFonts w:asciiTheme="majorHAnsi" w:hAnsiTheme="majorHAnsi" w:cstheme="majorHAnsi"/>
        </w:rPr>
        <w:t xml:space="preserve">p between Ratio of Pristane to </w:t>
      </w:r>
      <w:r>
        <w:rPr>
          <w:rFonts w:asciiTheme="majorHAnsi" w:hAnsiTheme="majorHAnsi" w:cstheme="majorHAnsi"/>
        </w:rPr>
        <w:tab/>
      </w:r>
      <w:r w:rsidRPr="009264F1">
        <w:rPr>
          <w:rFonts w:asciiTheme="majorHAnsi" w:hAnsiTheme="majorHAnsi" w:cstheme="majorHAnsi"/>
        </w:rPr>
        <w:t>Phytane, Crude Oil Composition and Geol</w:t>
      </w:r>
      <w:r>
        <w:rPr>
          <w:rFonts w:asciiTheme="majorHAnsi" w:hAnsiTheme="majorHAnsi" w:cstheme="majorHAnsi"/>
        </w:rPr>
        <w:t>ogical Environment in Australia</w:t>
      </w:r>
      <w:r w:rsidRPr="009264F1">
        <w:rPr>
          <w:rFonts w:asciiTheme="majorHAnsi" w:hAnsiTheme="majorHAnsi" w:cstheme="majorHAnsi"/>
        </w:rPr>
        <w:t xml:space="preserve"> </w:t>
      </w:r>
      <w:r w:rsidRPr="009264F1">
        <w:rPr>
          <w:rFonts w:asciiTheme="majorHAnsi" w:hAnsiTheme="majorHAnsi" w:cstheme="majorHAnsi"/>
          <w:i/>
        </w:rPr>
        <w:t xml:space="preserve">Nature </w:t>
      </w:r>
      <w:r>
        <w:rPr>
          <w:rFonts w:asciiTheme="majorHAnsi" w:hAnsiTheme="majorHAnsi" w:cstheme="majorHAnsi"/>
          <w:i/>
        </w:rPr>
        <w:tab/>
      </w:r>
      <w:r w:rsidRPr="009264F1">
        <w:rPr>
          <w:rFonts w:asciiTheme="majorHAnsi" w:hAnsiTheme="majorHAnsi" w:cstheme="majorHAnsi"/>
          <w:i/>
        </w:rPr>
        <w:t>Physical Science, 243(124),</w:t>
      </w:r>
      <w:r w:rsidRPr="009264F1">
        <w:rPr>
          <w:rFonts w:asciiTheme="majorHAnsi" w:hAnsiTheme="majorHAnsi" w:cstheme="majorHAnsi"/>
        </w:rPr>
        <w:t xml:space="preserve"> 37-39.</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Powell, M. 2008</w:t>
      </w:r>
      <w:r w:rsidRPr="009264F1">
        <w:rPr>
          <w:rFonts w:asciiTheme="majorHAnsi" w:hAnsiTheme="majorHAnsi" w:cstheme="majorHAnsi"/>
        </w:rPr>
        <w:t xml:space="preserve">. Timing and Selectivity of the Late Mississippian Mass Extinction of </w:t>
      </w:r>
      <w:r w:rsidRPr="009264F1">
        <w:rPr>
          <w:rFonts w:asciiTheme="majorHAnsi" w:hAnsiTheme="majorHAnsi" w:cstheme="majorHAnsi"/>
        </w:rPr>
        <w:tab/>
        <w:t>Brachiopod Genera from the Central Appalachian Basin. </w:t>
      </w:r>
      <w:r w:rsidRPr="009264F1">
        <w:rPr>
          <w:rFonts w:asciiTheme="majorHAnsi" w:hAnsiTheme="majorHAnsi" w:cstheme="majorHAnsi"/>
          <w:i/>
          <w:iCs/>
        </w:rPr>
        <w:t>PALAIOS,</w:t>
      </w:r>
      <w:r w:rsidRPr="009264F1">
        <w:rPr>
          <w:rFonts w:asciiTheme="majorHAnsi" w:hAnsiTheme="majorHAnsi" w:cstheme="majorHAnsi"/>
        </w:rPr>
        <w:t> </w:t>
      </w:r>
      <w:r w:rsidRPr="009264F1">
        <w:rPr>
          <w:rFonts w:asciiTheme="majorHAnsi" w:hAnsiTheme="majorHAnsi" w:cstheme="majorHAnsi"/>
          <w:i/>
          <w:iCs/>
        </w:rPr>
        <w:t>23</w:t>
      </w:r>
      <w:r w:rsidRPr="009264F1">
        <w:rPr>
          <w:rFonts w:asciiTheme="majorHAnsi" w:hAnsiTheme="majorHAnsi" w:cstheme="majorHAnsi"/>
        </w:rPr>
        <w:t>(7/8), 525-</w:t>
      </w:r>
      <w:r w:rsidRPr="009264F1">
        <w:rPr>
          <w:rFonts w:asciiTheme="majorHAnsi" w:hAnsiTheme="majorHAnsi" w:cstheme="majorHAnsi"/>
        </w:rPr>
        <w:tab/>
        <w:t>534</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shd w:val="clear" w:color="auto" w:fill="FFFFFF"/>
        </w:rPr>
      </w:pPr>
      <w:r w:rsidRPr="009264F1">
        <w:rPr>
          <w:shd w:val="clear" w:color="auto" w:fill="FFFFFF"/>
        </w:rPr>
        <w:t xml:space="preserve">Price, L. C., </w:t>
      </w:r>
      <w:r>
        <w:rPr>
          <w:shd w:val="clear" w:color="auto" w:fill="FFFFFF"/>
        </w:rPr>
        <w:t>Clayton, J. L., Rumen, L. L. 1981</w:t>
      </w:r>
      <w:r w:rsidRPr="009264F1">
        <w:rPr>
          <w:shd w:val="clear" w:color="auto" w:fill="FFFFFF"/>
        </w:rPr>
        <w:t xml:space="preserve">. Organic geochemistry of the 9.6 km </w:t>
      </w:r>
      <w:r w:rsidRPr="009264F1">
        <w:rPr>
          <w:shd w:val="clear" w:color="auto" w:fill="FFFFFF"/>
        </w:rPr>
        <w:tab/>
        <w:t>Bertha Rogers No. 1. well, Oklahoma. </w:t>
      </w:r>
      <w:r w:rsidRPr="009264F1">
        <w:rPr>
          <w:i/>
          <w:iCs/>
        </w:rPr>
        <w:t>Organic Geochemistry,3</w:t>
      </w:r>
      <w:r w:rsidRPr="009264F1">
        <w:rPr>
          <w:shd w:val="clear" w:color="auto" w:fill="FFFFFF"/>
        </w:rPr>
        <w:t>(3), 59-77.</w:t>
      </w:r>
    </w:p>
    <w:p w:rsidR="00C87CE1" w:rsidRPr="009264F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sidRPr="009264F1">
        <w:rPr>
          <w:rFonts w:asciiTheme="majorHAnsi" w:hAnsiTheme="majorHAnsi" w:cstheme="majorHAnsi"/>
          <w:bCs/>
          <w:shd w:val="clear" w:color="auto" w:fill="FFFFFF"/>
        </w:rPr>
        <w:t>P</w:t>
      </w:r>
      <w:r>
        <w:rPr>
          <w:rFonts w:asciiTheme="majorHAnsi" w:hAnsiTheme="majorHAnsi" w:cstheme="majorHAnsi"/>
          <w:bCs/>
          <w:shd w:val="clear" w:color="auto" w:fill="FFFFFF"/>
        </w:rPr>
        <w:t>u, F., Philip, R., Zhenxi, L., Guangguo, Y. 1990</w:t>
      </w:r>
      <w:r w:rsidRPr="009264F1">
        <w:rPr>
          <w:rFonts w:asciiTheme="majorHAnsi" w:hAnsiTheme="majorHAnsi" w:cstheme="majorHAnsi"/>
          <w:bCs/>
          <w:shd w:val="clear" w:color="auto" w:fill="FFFFFF"/>
        </w:rPr>
        <w:t xml:space="preserve">. Geochemical characteristics of </w:t>
      </w:r>
      <w:r w:rsidRPr="009264F1">
        <w:rPr>
          <w:rFonts w:asciiTheme="majorHAnsi" w:hAnsiTheme="majorHAnsi" w:cstheme="majorHAnsi"/>
          <w:bCs/>
          <w:shd w:val="clear" w:color="auto" w:fill="FFFFFF"/>
        </w:rPr>
        <w:tab/>
        <w:t xml:space="preserve">aromatic hydrocarbons of crude oils and source rocks from different sedimentary </w:t>
      </w:r>
      <w:r w:rsidRPr="009264F1">
        <w:rPr>
          <w:rFonts w:asciiTheme="majorHAnsi" w:hAnsiTheme="majorHAnsi" w:cstheme="majorHAnsi"/>
          <w:bCs/>
          <w:shd w:val="clear" w:color="auto" w:fill="FFFFFF"/>
        </w:rPr>
        <w:tab/>
        <w:t>environments. </w:t>
      </w:r>
      <w:r w:rsidRPr="009264F1">
        <w:rPr>
          <w:rFonts w:asciiTheme="majorHAnsi" w:hAnsiTheme="majorHAnsi" w:cstheme="majorHAnsi"/>
          <w:bCs/>
          <w:i/>
          <w:iCs/>
          <w:shd w:val="clear" w:color="auto" w:fill="FFFFFF"/>
        </w:rPr>
        <w:t>Organic Geochemistry,</w:t>
      </w:r>
      <w:r w:rsidRPr="009264F1">
        <w:rPr>
          <w:rFonts w:asciiTheme="majorHAnsi" w:hAnsiTheme="majorHAnsi" w:cstheme="majorHAnsi"/>
          <w:bCs/>
          <w:shd w:val="clear" w:color="auto" w:fill="FFFFFF"/>
        </w:rPr>
        <w:t> </w:t>
      </w:r>
      <w:r w:rsidRPr="00A605AC">
        <w:rPr>
          <w:rFonts w:asciiTheme="majorHAnsi" w:hAnsiTheme="majorHAnsi" w:cstheme="majorHAnsi"/>
          <w:bCs/>
          <w:i/>
          <w:iCs/>
          <w:shd w:val="clear" w:color="auto" w:fill="FFFFFF"/>
        </w:rPr>
        <w:t>16</w:t>
      </w:r>
      <w:r w:rsidRPr="00A605AC">
        <w:rPr>
          <w:rFonts w:asciiTheme="majorHAnsi" w:hAnsiTheme="majorHAnsi" w:cstheme="majorHAnsi"/>
          <w:bCs/>
          <w:i/>
          <w:shd w:val="clear" w:color="auto" w:fill="FFFFFF"/>
        </w:rPr>
        <w:t xml:space="preserve">(1-3), </w:t>
      </w:r>
      <w:r w:rsidRPr="009264F1">
        <w:rPr>
          <w:rFonts w:asciiTheme="majorHAnsi" w:hAnsiTheme="majorHAnsi" w:cstheme="majorHAnsi"/>
          <w:bCs/>
          <w:shd w:val="clear" w:color="auto" w:fill="FFFFFF"/>
        </w:rPr>
        <w:t>427-435.</w:t>
      </w:r>
    </w:p>
    <w:p w:rsidR="00C87CE1" w:rsidRDefault="00C87CE1" w:rsidP="00C87CE1">
      <w:pPr>
        <w:spacing w:line="240" w:lineRule="auto"/>
        <w:jc w:val="both"/>
      </w:pPr>
      <w:r w:rsidRPr="009264F1">
        <w:t>Puckette, J., Abdall</w:t>
      </w:r>
      <w:r>
        <w:t>a</w:t>
      </w:r>
      <w:r w:rsidR="00B03F3A">
        <w:t>,</w:t>
      </w:r>
      <w:r w:rsidR="00706671" w:rsidRPr="00706671">
        <w:t xml:space="preserve"> </w:t>
      </w:r>
      <w:r w:rsidR="00706671" w:rsidRPr="009264F1">
        <w:t>A.</w:t>
      </w:r>
      <w:r>
        <w:t>, Rice</w:t>
      </w:r>
      <w:r w:rsidR="00B03F3A">
        <w:t>, A.</w:t>
      </w:r>
      <w:r>
        <w:t>, Al-Shaieb</w:t>
      </w:r>
      <w:r w:rsidR="00B03F3A">
        <w:t>,</w:t>
      </w:r>
      <w:r w:rsidR="00706671" w:rsidRPr="00706671">
        <w:t xml:space="preserve"> </w:t>
      </w:r>
      <w:r w:rsidR="00706671">
        <w:t>Z.</w:t>
      </w:r>
      <w:r>
        <w:t xml:space="preserve"> 1996.</w:t>
      </w:r>
      <w:r w:rsidRPr="009264F1">
        <w:t xml:space="preserve"> The upper Morrow reservoirs: </w:t>
      </w:r>
      <w:r w:rsidRPr="009264F1">
        <w:tab/>
        <w:t xml:space="preserve">complex fluvio-deltaic depositional systems, in Johnson, K., ed., Deltaic </w:t>
      </w:r>
      <w:r w:rsidRPr="009264F1">
        <w:tab/>
        <w:t xml:space="preserve">reservoirs in the southern midcontinent, 1993 symposium, </w:t>
      </w:r>
      <w:r w:rsidRPr="00A605AC">
        <w:rPr>
          <w:i/>
        </w:rPr>
        <w:t xml:space="preserve">Oklahoma Geological </w:t>
      </w:r>
      <w:r w:rsidRPr="00A605AC">
        <w:rPr>
          <w:i/>
        </w:rPr>
        <w:tab/>
        <w:t>Society Circular</w:t>
      </w:r>
      <w:r>
        <w:t xml:space="preserve">, </w:t>
      </w:r>
      <w:r w:rsidRPr="00A605AC">
        <w:rPr>
          <w:i/>
        </w:rPr>
        <w:t>no. 98</w:t>
      </w:r>
      <w:r>
        <w:t>,</w:t>
      </w:r>
      <w:r w:rsidRPr="009264F1">
        <w:t xml:space="preserve"> 47-84.</w:t>
      </w:r>
    </w:p>
    <w:p w:rsidR="00706671" w:rsidRPr="009264F1" w:rsidRDefault="00706671" w:rsidP="00C87CE1">
      <w:pPr>
        <w:spacing w:line="240" w:lineRule="auto"/>
        <w:jc w:val="both"/>
      </w:pPr>
    </w:p>
    <w:p w:rsidR="00C87CE1" w:rsidRPr="009264F1" w:rsidRDefault="00C87CE1" w:rsidP="00C87CE1">
      <w:pPr>
        <w:spacing w:line="240" w:lineRule="auto"/>
        <w:jc w:val="both"/>
        <w:rPr>
          <w:rFonts w:asciiTheme="majorHAnsi" w:hAnsiTheme="majorHAnsi" w:cstheme="majorHAnsi"/>
        </w:rPr>
      </w:pPr>
      <w:r w:rsidRPr="009264F1">
        <w:t>Puckette, J., A</w:t>
      </w:r>
      <w:r>
        <w:t>l-Shaieb, Z., Van Evera, E. 2008.</w:t>
      </w:r>
      <w:r w:rsidRPr="009264F1">
        <w:t xml:space="preserve"> Sequence stratigraphy, lithofacies,</w:t>
      </w:r>
      <w:r w:rsidRPr="009264F1">
        <w:tab/>
        <w:t xml:space="preserve"> and reservoir quality, upper Morrow sandstones, northwestern shelf, Anadarko</w:t>
      </w:r>
      <w:r w:rsidRPr="009264F1">
        <w:tab/>
        <w:t xml:space="preserve"> Basin, in Andrews, R. D., ed., Morrow and Springer in the southern midcontinent,</w:t>
      </w:r>
      <w:r w:rsidRPr="009264F1">
        <w:tab/>
        <w:t xml:space="preserve"> 2005 symposium: </w:t>
      </w:r>
      <w:r w:rsidRPr="009264F1">
        <w:rPr>
          <w:i/>
        </w:rPr>
        <w:t>Oklahoma Geological Survey Circular, no. 111</w:t>
      </w:r>
      <w:r>
        <w:t xml:space="preserve">, </w:t>
      </w:r>
      <w:r w:rsidRPr="009264F1">
        <w:t>81-97.</w:t>
      </w:r>
    </w:p>
    <w:p w:rsidR="00C87CE1" w:rsidRPr="009264F1" w:rsidRDefault="00C87CE1" w:rsidP="00C87CE1">
      <w:pPr>
        <w:spacing w:line="240" w:lineRule="auto"/>
        <w:jc w:val="both"/>
        <w:rPr>
          <w:rFonts w:asciiTheme="majorHAnsi" w:hAnsiTheme="majorHAnsi" w:cstheme="majorHAnsi"/>
        </w:rPr>
      </w:pPr>
    </w:p>
    <w:p w:rsidR="00C87CE1" w:rsidRPr="00210A56" w:rsidRDefault="00C87CE1" w:rsidP="00C87CE1">
      <w:pPr>
        <w:spacing w:line="240" w:lineRule="auto"/>
        <w:jc w:val="both"/>
        <w:rPr>
          <w:rFonts w:asciiTheme="majorHAnsi" w:hAnsiTheme="majorHAnsi" w:cstheme="majorHAnsi"/>
          <w:i/>
        </w:rPr>
      </w:pPr>
      <w:r w:rsidRPr="00210A56">
        <w:rPr>
          <w:rFonts w:asciiTheme="majorHAnsi" w:hAnsiTheme="majorHAnsi" w:cstheme="majorHAnsi"/>
        </w:rPr>
        <w:t>Purdue, A. H., Ad</w:t>
      </w:r>
      <w:r>
        <w:rPr>
          <w:rFonts w:asciiTheme="majorHAnsi" w:hAnsiTheme="majorHAnsi" w:cstheme="majorHAnsi"/>
        </w:rPr>
        <w:t>a</w:t>
      </w:r>
      <w:r w:rsidRPr="00210A56">
        <w:rPr>
          <w:rFonts w:asciiTheme="majorHAnsi" w:hAnsiTheme="majorHAnsi" w:cstheme="majorHAnsi"/>
        </w:rPr>
        <w:t>ms, G. I., Burcha</w:t>
      </w:r>
      <w:r>
        <w:rPr>
          <w:rFonts w:asciiTheme="majorHAnsi" w:hAnsiTheme="majorHAnsi" w:cstheme="majorHAnsi"/>
        </w:rPr>
        <w:t>rd, E. F., Ulrich, E. O. 1904</w:t>
      </w:r>
      <w:r w:rsidRPr="00210A56">
        <w:rPr>
          <w:rFonts w:asciiTheme="majorHAnsi" w:hAnsiTheme="majorHAnsi" w:cstheme="majorHAnsi"/>
        </w:rPr>
        <w:t>. Zinc and lead deposits</w:t>
      </w:r>
      <w:r>
        <w:rPr>
          <w:rFonts w:asciiTheme="majorHAnsi" w:hAnsiTheme="majorHAnsi" w:cstheme="majorHAnsi"/>
        </w:rPr>
        <w:tab/>
      </w:r>
      <w:r w:rsidRPr="00210A56">
        <w:rPr>
          <w:rFonts w:asciiTheme="majorHAnsi" w:hAnsiTheme="majorHAnsi" w:cstheme="majorHAnsi"/>
        </w:rPr>
        <w:t xml:space="preserve"> of northern Arkansas</w:t>
      </w:r>
      <w:r w:rsidRPr="00210A56">
        <w:rPr>
          <w:rFonts w:asciiTheme="majorHAnsi" w:hAnsiTheme="majorHAnsi" w:cstheme="majorHAnsi"/>
          <w:i/>
        </w:rPr>
        <w:t>. US Geological Surv</w:t>
      </w:r>
      <w:r>
        <w:rPr>
          <w:rFonts w:asciiTheme="majorHAnsi" w:hAnsiTheme="majorHAnsi" w:cstheme="majorHAnsi"/>
          <w:i/>
        </w:rPr>
        <w:t>ey Professional Paper</w:t>
      </w:r>
      <w:r w:rsidRPr="00210A56">
        <w:rPr>
          <w:rFonts w:asciiTheme="majorHAnsi" w:hAnsiTheme="majorHAnsi" w:cstheme="majorHAnsi"/>
          <w:i/>
        </w:rPr>
        <w:t>, 24.</w:t>
      </w:r>
    </w:p>
    <w:p w:rsidR="00C87CE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Pusey, W.C. 1973.</w:t>
      </w:r>
      <w:r w:rsidRPr="009264F1">
        <w:rPr>
          <w:rFonts w:asciiTheme="majorHAnsi" w:hAnsiTheme="majorHAnsi" w:cstheme="majorHAnsi"/>
        </w:rPr>
        <w:t xml:space="preserve"> The ESR method- A new technique of estimating the organic maturity </w:t>
      </w:r>
      <w:r w:rsidRPr="009264F1">
        <w:rPr>
          <w:rFonts w:asciiTheme="majorHAnsi" w:hAnsiTheme="majorHAnsi" w:cstheme="majorHAnsi"/>
        </w:rPr>
        <w:tab/>
        <w:t xml:space="preserve">of sedimentary rocks. </w:t>
      </w:r>
      <w:r>
        <w:rPr>
          <w:rFonts w:asciiTheme="majorHAnsi" w:hAnsiTheme="majorHAnsi" w:cstheme="majorHAnsi"/>
          <w:i/>
        </w:rPr>
        <w:t>Petrol Times, 77</w:t>
      </w:r>
      <w:r w:rsidRPr="009264F1">
        <w:rPr>
          <w:rFonts w:asciiTheme="majorHAnsi" w:hAnsiTheme="majorHAnsi" w:cstheme="majorHAnsi"/>
          <w:i/>
        </w:rPr>
        <w:t xml:space="preserve">, </w:t>
      </w:r>
      <w:r>
        <w:rPr>
          <w:rFonts w:asciiTheme="majorHAnsi" w:hAnsiTheme="majorHAnsi" w:cstheme="majorHAnsi"/>
        </w:rPr>
        <w:t>21-26</w:t>
      </w:r>
      <w:r w:rsidRPr="009264F1">
        <w:rPr>
          <w:rFonts w:asciiTheme="majorHAnsi" w:hAnsiTheme="majorHAnsi" w:cstheme="majorHAnsi"/>
        </w:rPr>
        <w:t>.</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Püttmann, W., Villar, H. 1987</w:t>
      </w:r>
      <w:r w:rsidRPr="009264F1">
        <w:rPr>
          <w:rFonts w:asciiTheme="majorHAnsi" w:hAnsiTheme="majorHAnsi" w:cstheme="majorHAnsi"/>
        </w:rPr>
        <w:t>. Occurrence and geochemical significance of 1,2,5,6-</w:t>
      </w:r>
      <w:r w:rsidRPr="009264F1">
        <w:rPr>
          <w:rFonts w:asciiTheme="majorHAnsi" w:hAnsiTheme="majorHAnsi" w:cstheme="majorHAnsi"/>
        </w:rPr>
        <w:tab/>
        <w:t xml:space="preserve">tetramethylnaphthalene. </w:t>
      </w:r>
      <w:r w:rsidRPr="009264F1">
        <w:rPr>
          <w:rFonts w:asciiTheme="majorHAnsi" w:hAnsiTheme="majorHAnsi" w:cstheme="majorHAnsi"/>
          <w:i/>
        </w:rPr>
        <w:t>Geochimica et Cosmochimica Acta 51,</w:t>
      </w:r>
      <w:r w:rsidRPr="009264F1">
        <w:rPr>
          <w:rFonts w:asciiTheme="majorHAnsi" w:hAnsiTheme="majorHAnsi" w:cstheme="majorHAnsi"/>
        </w:rPr>
        <w:t xml:space="preserve"> 3023–3029.</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Radke,</w:t>
      </w:r>
      <w:r>
        <w:rPr>
          <w:rFonts w:asciiTheme="majorHAnsi" w:hAnsiTheme="majorHAnsi" w:cstheme="majorHAnsi"/>
        </w:rPr>
        <w:t xml:space="preserve"> M., Welte, D.H., Willsch, H. 1982</w:t>
      </w:r>
      <w:r w:rsidRPr="009264F1">
        <w:rPr>
          <w:rFonts w:asciiTheme="majorHAnsi" w:hAnsiTheme="majorHAnsi" w:cstheme="majorHAnsi"/>
        </w:rPr>
        <w:t>. Geochemical study on a well in the Western</w:t>
      </w:r>
      <w:r w:rsidRPr="009264F1">
        <w:rPr>
          <w:rFonts w:asciiTheme="majorHAnsi" w:hAnsiTheme="majorHAnsi" w:cstheme="majorHAnsi"/>
        </w:rPr>
        <w:tab/>
        <w:t xml:space="preserve"> Canada Basin: relation of the aromatic distribution pattern to maturity of organic</w:t>
      </w:r>
      <w:r w:rsidRPr="009264F1">
        <w:rPr>
          <w:rFonts w:asciiTheme="majorHAnsi" w:hAnsiTheme="majorHAnsi" w:cstheme="majorHAnsi"/>
        </w:rPr>
        <w:tab/>
        <w:t xml:space="preserve"> matter. </w:t>
      </w:r>
      <w:r w:rsidRPr="009264F1">
        <w:rPr>
          <w:rFonts w:asciiTheme="majorHAnsi" w:hAnsiTheme="majorHAnsi" w:cstheme="majorHAnsi"/>
          <w:i/>
        </w:rPr>
        <w:t>Geochimica et Cosmochimica Acta 46,</w:t>
      </w:r>
      <w:r w:rsidRPr="009264F1">
        <w:rPr>
          <w:rFonts w:asciiTheme="majorHAnsi" w:hAnsiTheme="majorHAnsi" w:cstheme="majorHAnsi"/>
        </w:rPr>
        <w:t xml:space="preserve"> 1–10.</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pPr>
      <w:r>
        <w:t>Radke</w:t>
      </w:r>
      <w:r w:rsidR="00706671">
        <w:t>,</w:t>
      </w:r>
      <w:r>
        <w:t xml:space="preserve"> M., Welte</w:t>
      </w:r>
      <w:r w:rsidR="00706671">
        <w:t>,</w:t>
      </w:r>
      <w:r>
        <w:t xml:space="preserve"> D. H. 1983.</w:t>
      </w:r>
      <w:r w:rsidRPr="009264F1">
        <w:t xml:space="preserve"> The Methylphenanthrene Index (MPI): a maturity </w:t>
      </w:r>
      <w:r w:rsidRPr="009264F1">
        <w:tab/>
        <w:t xml:space="preserve">parameter based on aromatic hydrocarbons. In Advances in Organic </w:t>
      </w:r>
      <w:r w:rsidRPr="009264F1">
        <w:tab/>
        <w:t>Ge</w:t>
      </w:r>
      <w:r>
        <w:t>ochemistry 1981 (Edited by Bjoré</w:t>
      </w:r>
      <w:r w:rsidRPr="009264F1">
        <w:t xml:space="preserve">y M. et </w:t>
      </w:r>
      <w:r>
        <w:t xml:space="preserve">al.), 504-512. Wiley and Sons, </w:t>
      </w:r>
      <w:r>
        <w:tab/>
      </w:r>
      <w:r w:rsidRPr="009264F1">
        <w:t>Chichester.</w:t>
      </w:r>
    </w:p>
    <w:p w:rsidR="00C87CE1" w:rsidRPr="009264F1" w:rsidRDefault="00C87CE1" w:rsidP="00C87CE1">
      <w:pPr>
        <w:spacing w:line="240" w:lineRule="auto"/>
        <w:jc w:val="both"/>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Radke</w:t>
      </w:r>
      <w:r>
        <w:rPr>
          <w:rFonts w:asciiTheme="majorHAnsi" w:hAnsiTheme="majorHAnsi" w:cstheme="majorHAnsi"/>
        </w:rPr>
        <w:t>, M., Welte, D.H., Willsch, H. 1986</w:t>
      </w:r>
      <w:r w:rsidRPr="009264F1">
        <w:rPr>
          <w:rFonts w:asciiTheme="majorHAnsi" w:hAnsiTheme="majorHAnsi" w:cstheme="majorHAnsi"/>
        </w:rPr>
        <w:t>. Maturit</w:t>
      </w:r>
      <w:r>
        <w:rPr>
          <w:rFonts w:asciiTheme="majorHAnsi" w:hAnsiTheme="majorHAnsi" w:cstheme="majorHAnsi"/>
        </w:rPr>
        <w:t>y parameters based on aromatic</w:t>
      </w:r>
      <w:r>
        <w:rPr>
          <w:rFonts w:asciiTheme="majorHAnsi" w:hAnsiTheme="majorHAnsi" w:cstheme="majorHAnsi"/>
        </w:rPr>
        <w:tab/>
      </w:r>
      <w:r w:rsidRPr="009264F1">
        <w:rPr>
          <w:rFonts w:asciiTheme="majorHAnsi" w:hAnsiTheme="majorHAnsi" w:cstheme="majorHAnsi"/>
        </w:rPr>
        <w:t xml:space="preserve">hydrocarbons: influence of the organic matter type. </w:t>
      </w:r>
      <w:r w:rsidRPr="009264F1">
        <w:rPr>
          <w:rFonts w:asciiTheme="majorHAnsi" w:hAnsiTheme="majorHAnsi" w:cstheme="majorHAnsi"/>
          <w:i/>
        </w:rPr>
        <w:t>Organic Geochemistry 10,</w:t>
      </w:r>
      <w:r>
        <w:rPr>
          <w:rFonts w:asciiTheme="majorHAnsi" w:hAnsiTheme="majorHAnsi" w:cstheme="majorHAnsi"/>
        </w:rPr>
        <w:tab/>
      </w:r>
      <w:r w:rsidRPr="009264F1">
        <w:rPr>
          <w:rFonts w:asciiTheme="majorHAnsi" w:hAnsiTheme="majorHAnsi" w:cstheme="majorHAnsi"/>
        </w:rPr>
        <w:t>51–63.</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rPr>
          <w:rFonts w:asciiTheme="majorHAnsi" w:hAnsiTheme="majorHAnsi" w:cstheme="majorHAnsi"/>
        </w:rPr>
      </w:pPr>
      <w:r>
        <w:rPr>
          <w:rFonts w:asciiTheme="majorHAnsi" w:hAnsiTheme="majorHAnsi" w:cstheme="majorHAnsi"/>
        </w:rPr>
        <w:t>Radke, M. 1988</w:t>
      </w:r>
      <w:r w:rsidRPr="009264F1">
        <w:rPr>
          <w:rFonts w:asciiTheme="majorHAnsi" w:hAnsiTheme="majorHAnsi" w:cstheme="majorHAnsi"/>
        </w:rPr>
        <w:t>. Application of aromatic compounds as maturity indicators in source</w:t>
      </w:r>
      <w:r w:rsidRPr="009264F1">
        <w:rPr>
          <w:rFonts w:asciiTheme="majorHAnsi" w:hAnsiTheme="majorHAnsi" w:cstheme="majorHAnsi"/>
        </w:rPr>
        <w:tab/>
        <w:t xml:space="preserve"> rocks and crude oils. </w:t>
      </w:r>
      <w:r w:rsidRPr="009264F1">
        <w:rPr>
          <w:rFonts w:asciiTheme="majorHAnsi" w:hAnsiTheme="majorHAnsi" w:cstheme="majorHAnsi"/>
          <w:i/>
        </w:rPr>
        <w:t>Marine and Petroleum Geology, 5(3),</w:t>
      </w:r>
      <w:r w:rsidRPr="009264F1">
        <w:rPr>
          <w:rFonts w:asciiTheme="majorHAnsi" w:hAnsiTheme="majorHAnsi" w:cstheme="majorHAnsi"/>
        </w:rPr>
        <w:t xml:space="preserve"> 224-236.</w:t>
      </w:r>
    </w:p>
    <w:p w:rsidR="00C87CE1" w:rsidRDefault="00C87CE1" w:rsidP="00C87CE1">
      <w:pPr>
        <w:spacing w:line="240" w:lineRule="auto"/>
        <w:jc w:val="both"/>
        <w:rPr>
          <w:rFonts w:asciiTheme="majorHAnsi" w:hAnsiTheme="majorHAnsi" w:cstheme="majorHAnsi"/>
        </w:rPr>
      </w:pPr>
    </w:p>
    <w:p w:rsidR="00C87CE1" w:rsidRPr="002030C1" w:rsidRDefault="00C87CE1" w:rsidP="00C87CE1">
      <w:pPr>
        <w:spacing w:line="240" w:lineRule="auto"/>
        <w:jc w:val="both"/>
        <w:rPr>
          <w:rFonts w:asciiTheme="majorHAnsi" w:hAnsiTheme="majorHAnsi" w:cstheme="majorHAnsi"/>
        </w:rPr>
      </w:pPr>
      <w:r w:rsidRPr="002030C1">
        <w:rPr>
          <w:rFonts w:asciiTheme="majorHAnsi" w:hAnsiTheme="majorHAnsi" w:cstheme="majorHAnsi"/>
        </w:rPr>
        <w:t>Radke, M., Vr</w:t>
      </w:r>
      <w:r>
        <w:rPr>
          <w:rFonts w:asciiTheme="majorHAnsi" w:hAnsiTheme="majorHAnsi" w:cstheme="majorHAnsi"/>
        </w:rPr>
        <w:t>iend, S.P., Ramanampisoa, L.R. 2000.</w:t>
      </w:r>
      <w:r w:rsidRPr="002030C1">
        <w:rPr>
          <w:rFonts w:asciiTheme="majorHAnsi" w:hAnsiTheme="majorHAnsi" w:cstheme="majorHAnsi"/>
        </w:rPr>
        <w:t xml:space="preserve"> Alkyldibenzofurans in terrestrial </w:t>
      </w:r>
      <w:r>
        <w:rPr>
          <w:rFonts w:asciiTheme="majorHAnsi" w:hAnsiTheme="majorHAnsi" w:cstheme="majorHAnsi"/>
        </w:rPr>
        <w:tab/>
      </w:r>
      <w:r w:rsidRPr="002030C1">
        <w:rPr>
          <w:rFonts w:asciiTheme="majorHAnsi" w:hAnsiTheme="majorHAnsi" w:cstheme="majorHAnsi"/>
        </w:rPr>
        <w:t xml:space="preserve">rocks: influence of organic facies and maturation. </w:t>
      </w:r>
      <w:r w:rsidRPr="002030C1">
        <w:rPr>
          <w:rFonts w:asciiTheme="majorHAnsi" w:hAnsiTheme="majorHAnsi" w:cstheme="majorHAnsi"/>
          <w:i/>
        </w:rPr>
        <w:t xml:space="preserve">Geochimica et Cosmochimica </w:t>
      </w:r>
      <w:r>
        <w:rPr>
          <w:rFonts w:asciiTheme="majorHAnsi" w:hAnsiTheme="majorHAnsi" w:cstheme="majorHAnsi"/>
          <w:i/>
        </w:rPr>
        <w:tab/>
      </w:r>
      <w:r w:rsidRPr="002030C1">
        <w:rPr>
          <w:rFonts w:asciiTheme="majorHAnsi" w:hAnsiTheme="majorHAnsi" w:cstheme="majorHAnsi"/>
          <w:i/>
        </w:rPr>
        <w:t>Acta</w:t>
      </w:r>
      <w:r>
        <w:rPr>
          <w:rFonts w:asciiTheme="majorHAnsi" w:hAnsiTheme="majorHAnsi" w:cstheme="majorHAnsi"/>
          <w:i/>
        </w:rPr>
        <w:t>,</w:t>
      </w:r>
      <w:r w:rsidRPr="002030C1">
        <w:rPr>
          <w:rFonts w:asciiTheme="majorHAnsi" w:hAnsiTheme="majorHAnsi" w:cstheme="majorHAnsi"/>
        </w:rPr>
        <w:t xml:space="preserve"> 64, 275-286.</w:t>
      </w:r>
    </w:p>
    <w:p w:rsidR="00C87CE1" w:rsidRDefault="00C87CE1" w:rsidP="00C87CE1">
      <w:pPr>
        <w:spacing w:line="240" w:lineRule="auto"/>
        <w:jc w:val="both"/>
        <w:rPr>
          <w:rFonts w:asciiTheme="majorHAnsi" w:hAnsiTheme="majorHAnsi" w:cstheme="majorHAnsi"/>
        </w:rPr>
      </w:pPr>
      <w:r w:rsidRPr="009264F1">
        <w:rPr>
          <w:rFonts w:asciiTheme="majorHAnsi" w:hAnsiTheme="majorHAnsi" w:cstheme="majorHAnsi"/>
        </w:rPr>
        <w:lastRenderedPageBreak/>
        <w:t>Ramshaw, J. A., Richardson, D. L., Meatyard, B. T.,</w:t>
      </w:r>
      <w:r>
        <w:rPr>
          <w:rFonts w:asciiTheme="majorHAnsi" w:hAnsiTheme="majorHAnsi" w:cstheme="majorHAnsi"/>
        </w:rPr>
        <w:t xml:space="preserve"> Brown, R. H., Richardson, M.,</w:t>
      </w:r>
      <w:r>
        <w:rPr>
          <w:rFonts w:asciiTheme="majorHAnsi" w:hAnsiTheme="majorHAnsi" w:cstheme="majorHAnsi"/>
        </w:rPr>
        <w:tab/>
        <w:t>Thompson, E. W., Boulter, D. 1972. The time of o</w:t>
      </w:r>
      <w:r w:rsidRPr="009264F1">
        <w:rPr>
          <w:rFonts w:asciiTheme="majorHAnsi" w:hAnsiTheme="majorHAnsi" w:cstheme="majorHAnsi"/>
        </w:rPr>
        <w:t xml:space="preserve">rigin of </w:t>
      </w:r>
      <w:r>
        <w:rPr>
          <w:rFonts w:asciiTheme="majorHAnsi" w:hAnsiTheme="majorHAnsi" w:cstheme="majorHAnsi"/>
        </w:rPr>
        <w:t>t</w:t>
      </w:r>
      <w:r w:rsidRPr="009264F1">
        <w:rPr>
          <w:rFonts w:asciiTheme="majorHAnsi" w:hAnsiTheme="majorHAnsi" w:cstheme="majorHAnsi"/>
        </w:rPr>
        <w:t>he</w:t>
      </w:r>
      <w:r>
        <w:rPr>
          <w:rFonts w:asciiTheme="majorHAnsi" w:hAnsiTheme="majorHAnsi" w:cstheme="majorHAnsi"/>
        </w:rPr>
        <w:t xml:space="preserve"> flowering p</w:t>
      </w:r>
      <w:r w:rsidRPr="009264F1">
        <w:rPr>
          <w:rFonts w:asciiTheme="majorHAnsi" w:hAnsiTheme="majorHAnsi" w:cstheme="majorHAnsi"/>
        </w:rPr>
        <w:t xml:space="preserve">lants </w:t>
      </w:r>
      <w:r>
        <w:rPr>
          <w:rFonts w:asciiTheme="majorHAnsi" w:hAnsiTheme="majorHAnsi" w:cstheme="majorHAnsi"/>
        </w:rPr>
        <w:tab/>
        <w:t>d</w:t>
      </w:r>
      <w:r w:rsidRPr="009264F1">
        <w:rPr>
          <w:rFonts w:asciiTheme="majorHAnsi" w:hAnsiTheme="majorHAnsi" w:cstheme="majorHAnsi"/>
        </w:rPr>
        <w:t xml:space="preserve">etermined </w:t>
      </w:r>
      <w:r>
        <w:rPr>
          <w:rFonts w:asciiTheme="majorHAnsi" w:hAnsiTheme="majorHAnsi" w:cstheme="majorHAnsi"/>
        </w:rPr>
        <w:t>b</w:t>
      </w:r>
      <w:r w:rsidRPr="009264F1">
        <w:rPr>
          <w:rFonts w:asciiTheme="majorHAnsi" w:hAnsiTheme="majorHAnsi" w:cstheme="majorHAnsi"/>
        </w:rPr>
        <w:t xml:space="preserve">y </w:t>
      </w:r>
      <w:r>
        <w:rPr>
          <w:rFonts w:asciiTheme="majorHAnsi" w:hAnsiTheme="majorHAnsi" w:cstheme="majorHAnsi"/>
        </w:rPr>
        <w:t>u</w:t>
      </w:r>
      <w:r w:rsidRPr="009264F1">
        <w:rPr>
          <w:rFonts w:asciiTheme="majorHAnsi" w:hAnsiTheme="majorHAnsi" w:cstheme="majorHAnsi"/>
        </w:rPr>
        <w:t xml:space="preserve">sing </w:t>
      </w:r>
      <w:r>
        <w:rPr>
          <w:rFonts w:asciiTheme="majorHAnsi" w:hAnsiTheme="majorHAnsi" w:cstheme="majorHAnsi"/>
        </w:rPr>
        <w:t>a</w:t>
      </w:r>
      <w:r w:rsidRPr="009264F1">
        <w:rPr>
          <w:rFonts w:asciiTheme="majorHAnsi" w:hAnsiTheme="majorHAnsi" w:cstheme="majorHAnsi"/>
        </w:rPr>
        <w:t xml:space="preserve">mino </w:t>
      </w:r>
      <w:r>
        <w:rPr>
          <w:rFonts w:asciiTheme="majorHAnsi" w:hAnsiTheme="majorHAnsi" w:cstheme="majorHAnsi"/>
        </w:rPr>
        <w:t>a</w:t>
      </w:r>
      <w:r w:rsidRPr="009264F1">
        <w:rPr>
          <w:rFonts w:asciiTheme="majorHAnsi" w:hAnsiTheme="majorHAnsi" w:cstheme="majorHAnsi"/>
        </w:rPr>
        <w:t xml:space="preserve">cid </w:t>
      </w:r>
      <w:r>
        <w:rPr>
          <w:rFonts w:asciiTheme="majorHAnsi" w:hAnsiTheme="majorHAnsi" w:cstheme="majorHAnsi"/>
        </w:rPr>
        <w:t>s</w:t>
      </w:r>
      <w:r w:rsidRPr="009264F1">
        <w:rPr>
          <w:rFonts w:asciiTheme="majorHAnsi" w:hAnsiTheme="majorHAnsi" w:cstheme="majorHAnsi"/>
        </w:rPr>
        <w:t xml:space="preserve">equence </w:t>
      </w:r>
      <w:r>
        <w:rPr>
          <w:rFonts w:asciiTheme="majorHAnsi" w:hAnsiTheme="majorHAnsi" w:cstheme="majorHAnsi"/>
        </w:rPr>
        <w:t>d</w:t>
      </w:r>
      <w:r w:rsidRPr="009264F1">
        <w:rPr>
          <w:rFonts w:asciiTheme="majorHAnsi" w:hAnsiTheme="majorHAnsi" w:cstheme="majorHAnsi"/>
        </w:rPr>
        <w:t xml:space="preserve">ata of </w:t>
      </w:r>
      <w:r>
        <w:rPr>
          <w:rFonts w:asciiTheme="majorHAnsi" w:hAnsiTheme="majorHAnsi" w:cstheme="majorHAnsi"/>
        </w:rPr>
        <w:t xml:space="preserve">cytochrome. </w:t>
      </w:r>
      <w:r>
        <w:rPr>
          <w:rFonts w:asciiTheme="majorHAnsi" w:hAnsiTheme="majorHAnsi" w:cstheme="majorHAnsi"/>
          <w:i/>
          <w:iCs/>
        </w:rPr>
        <w:t>New</w:t>
      </w:r>
      <w:r>
        <w:rPr>
          <w:rFonts w:asciiTheme="majorHAnsi" w:hAnsiTheme="majorHAnsi" w:cstheme="majorHAnsi"/>
          <w:i/>
          <w:iCs/>
        </w:rPr>
        <w:tab/>
      </w:r>
      <w:r w:rsidRPr="009264F1">
        <w:rPr>
          <w:rFonts w:asciiTheme="majorHAnsi" w:hAnsiTheme="majorHAnsi" w:cstheme="majorHAnsi"/>
          <w:i/>
          <w:iCs/>
        </w:rPr>
        <w:t>Phytologist,</w:t>
      </w:r>
      <w:r w:rsidRPr="009264F1">
        <w:rPr>
          <w:rFonts w:asciiTheme="majorHAnsi" w:hAnsiTheme="majorHAnsi" w:cstheme="majorHAnsi"/>
        </w:rPr>
        <w:t> </w:t>
      </w:r>
      <w:r w:rsidRPr="009264F1">
        <w:rPr>
          <w:rFonts w:asciiTheme="majorHAnsi" w:hAnsiTheme="majorHAnsi" w:cstheme="majorHAnsi"/>
          <w:i/>
          <w:iCs/>
        </w:rPr>
        <w:t>71</w:t>
      </w:r>
      <w:r w:rsidRPr="009264F1">
        <w:rPr>
          <w:rFonts w:asciiTheme="majorHAnsi" w:hAnsiTheme="majorHAnsi" w:cstheme="majorHAnsi"/>
          <w:i/>
        </w:rPr>
        <w:t>(5),</w:t>
      </w:r>
      <w:r w:rsidRPr="009264F1">
        <w:rPr>
          <w:rFonts w:asciiTheme="majorHAnsi" w:hAnsiTheme="majorHAnsi" w:cstheme="majorHAnsi"/>
        </w:rPr>
        <w:t xml:space="preserve"> 773-779.</w:t>
      </w:r>
    </w:p>
    <w:p w:rsidR="00706671" w:rsidRPr="009264F1" w:rsidRDefault="0070667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shd w:val="clear" w:color="auto" w:fill="FFFFFF"/>
        </w:rPr>
      </w:pPr>
      <w:r>
        <w:rPr>
          <w:shd w:val="clear" w:color="auto" w:fill="FFFFFF"/>
        </w:rPr>
        <w:t>Rascoe, B., Adler, F. J. 1983</w:t>
      </w:r>
      <w:r w:rsidRPr="009264F1">
        <w:rPr>
          <w:shd w:val="clear" w:color="auto" w:fill="FFFFFF"/>
        </w:rPr>
        <w:t xml:space="preserve">. Permo-Carboniferous Hydrocarbon Accumulations, </w:t>
      </w:r>
      <w:r w:rsidRPr="009264F1">
        <w:rPr>
          <w:shd w:val="clear" w:color="auto" w:fill="FFFFFF"/>
        </w:rPr>
        <w:tab/>
        <w:t>Mid-Continent, U.S.A. </w:t>
      </w:r>
      <w:r w:rsidRPr="009264F1">
        <w:rPr>
          <w:i/>
          <w:iCs/>
        </w:rPr>
        <w:t>AAPG Bulletin,67</w:t>
      </w:r>
      <w:r w:rsidRPr="009264F1">
        <w:rPr>
          <w:shd w:val="clear" w:color="auto" w:fill="FFFFFF"/>
        </w:rPr>
        <w:t>, 979-1001.</w:t>
      </w:r>
    </w:p>
    <w:p w:rsidR="00C87CE1" w:rsidRPr="009264F1" w:rsidRDefault="00C87CE1" w:rsidP="00C87CE1">
      <w:pPr>
        <w:spacing w:line="240" w:lineRule="auto"/>
        <w:jc w:val="both"/>
        <w:rPr>
          <w:shd w:val="clear" w:color="auto" w:fill="FFFFFF"/>
        </w:rPr>
      </w:pPr>
    </w:p>
    <w:p w:rsidR="00C87CE1" w:rsidRDefault="00C87CE1" w:rsidP="00C87CE1">
      <w:pPr>
        <w:spacing w:line="240" w:lineRule="auto"/>
        <w:jc w:val="both"/>
        <w:rPr>
          <w:shd w:val="clear" w:color="auto" w:fill="FFFFFF"/>
        </w:rPr>
      </w:pPr>
      <w:r w:rsidRPr="009264F1">
        <w:rPr>
          <w:shd w:val="clear" w:color="auto" w:fill="FFFFFF"/>
        </w:rPr>
        <w:t>Revill</w:t>
      </w:r>
      <w:r w:rsidR="00706671">
        <w:rPr>
          <w:shd w:val="clear" w:color="auto" w:fill="FFFFFF"/>
        </w:rPr>
        <w:t>, A.</w:t>
      </w:r>
      <w:r w:rsidRPr="009264F1">
        <w:rPr>
          <w:shd w:val="clear" w:color="auto" w:fill="FFFFFF"/>
        </w:rPr>
        <w:t>T., Volkman</w:t>
      </w:r>
      <w:r w:rsidR="00706671">
        <w:rPr>
          <w:shd w:val="clear" w:color="auto" w:fill="FFFFFF"/>
        </w:rPr>
        <w:t>, J.</w:t>
      </w:r>
      <w:r w:rsidRPr="009264F1">
        <w:rPr>
          <w:shd w:val="clear" w:color="auto" w:fill="FFFFFF"/>
        </w:rPr>
        <w:t>K.</w:t>
      </w:r>
      <w:r>
        <w:rPr>
          <w:shd w:val="clear" w:color="auto" w:fill="FFFFFF"/>
        </w:rPr>
        <w:t>, O’Leary</w:t>
      </w:r>
      <w:r w:rsidR="00706671">
        <w:rPr>
          <w:shd w:val="clear" w:color="auto" w:fill="FFFFFF"/>
        </w:rPr>
        <w:t>,</w:t>
      </w:r>
      <w:r>
        <w:rPr>
          <w:shd w:val="clear" w:color="auto" w:fill="FFFFFF"/>
        </w:rPr>
        <w:t xml:space="preserve"> T., Summons</w:t>
      </w:r>
      <w:r w:rsidR="00706671">
        <w:rPr>
          <w:shd w:val="clear" w:color="auto" w:fill="FFFFFF"/>
        </w:rPr>
        <w:t>,</w:t>
      </w:r>
      <w:r>
        <w:rPr>
          <w:shd w:val="clear" w:color="auto" w:fill="FFFFFF"/>
        </w:rPr>
        <w:t xml:space="preserve"> R.E. 1993. Aromatic </w:t>
      </w:r>
      <w:r>
        <w:rPr>
          <w:shd w:val="clear" w:color="auto" w:fill="FFFFFF"/>
        </w:rPr>
        <w:tab/>
      </w:r>
      <w:r w:rsidRPr="009264F1">
        <w:rPr>
          <w:shd w:val="clear" w:color="auto" w:fill="FFFFFF"/>
        </w:rPr>
        <w:t xml:space="preserve">hydrocarbon </w:t>
      </w:r>
      <w:r>
        <w:rPr>
          <w:shd w:val="clear" w:color="auto" w:fill="FFFFFF"/>
        </w:rPr>
        <w:tab/>
      </w:r>
      <w:r w:rsidRPr="009264F1">
        <w:rPr>
          <w:shd w:val="clear" w:color="auto" w:fill="FFFFFF"/>
        </w:rPr>
        <w:t xml:space="preserve">biomarkers in tasmanite oil shales from Tasmania, Australia. </w:t>
      </w:r>
      <w:r w:rsidRPr="009264F1">
        <w:rPr>
          <w:i/>
          <w:shd w:val="clear" w:color="auto" w:fill="FFFFFF"/>
        </w:rPr>
        <w:t>Organic</w:t>
      </w:r>
      <w:r>
        <w:rPr>
          <w:i/>
          <w:shd w:val="clear" w:color="auto" w:fill="FFFFFF"/>
        </w:rPr>
        <w:t xml:space="preserve"> </w:t>
      </w:r>
      <w:r>
        <w:rPr>
          <w:i/>
          <w:shd w:val="clear" w:color="auto" w:fill="FFFFFF"/>
        </w:rPr>
        <w:tab/>
      </w:r>
      <w:r w:rsidRPr="009264F1">
        <w:rPr>
          <w:i/>
          <w:shd w:val="clear" w:color="auto" w:fill="FFFFFF"/>
        </w:rPr>
        <w:t xml:space="preserve">Geochemistry: Poster Sessions from the 16th International Meeting on </w:t>
      </w:r>
      <w:r w:rsidRPr="009264F1">
        <w:rPr>
          <w:i/>
          <w:shd w:val="clear" w:color="auto" w:fill="FFFFFF"/>
        </w:rPr>
        <w:tab/>
        <w:t>Organic Geochemistry</w:t>
      </w:r>
      <w:r>
        <w:rPr>
          <w:shd w:val="clear" w:color="auto" w:fill="FFFFFF"/>
        </w:rPr>
        <w:t>.</w:t>
      </w:r>
    </w:p>
    <w:p w:rsidR="00706671" w:rsidRPr="009264F1" w:rsidRDefault="00706671" w:rsidP="00C87CE1">
      <w:pPr>
        <w:spacing w:line="240" w:lineRule="auto"/>
        <w:jc w:val="both"/>
        <w:rPr>
          <w:shd w:val="clear" w:color="auto" w:fill="FFFFFF"/>
        </w:rPr>
      </w:pPr>
    </w:p>
    <w:p w:rsidR="00C87CE1" w:rsidRPr="009264F1" w:rsidRDefault="00C87CE1" w:rsidP="00C87CE1">
      <w:pPr>
        <w:spacing w:line="240" w:lineRule="auto"/>
        <w:jc w:val="both"/>
      </w:pPr>
      <w:r w:rsidRPr="009264F1">
        <w:t>Rice, D.D., Thre</w:t>
      </w:r>
      <w:r>
        <w:t>lkeld, C.N., Vuletich, A.K. 1988.</w:t>
      </w:r>
      <w:r w:rsidRPr="009264F1">
        <w:t xml:space="preserve"> Character, origin, and occurrence </w:t>
      </w:r>
      <w:r w:rsidRPr="009264F1">
        <w:tab/>
        <w:t xml:space="preserve">of natural gases in the Anadarko basin, southeastern Kansas, southwestern </w:t>
      </w:r>
      <w:r w:rsidRPr="009264F1">
        <w:tab/>
        <w:t xml:space="preserve">Oklahoma, and Texas Panhandle, U.S.A.: </w:t>
      </w:r>
      <w:r>
        <w:rPr>
          <w:i/>
        </w:rPr>
        <w:t xml:space="preserve">Chemical Geology, </w:t>
      </w:r>
      <w:r w:rsidRPr="009264F1">
        <w:rPr>
          <w:i/>
        </w:rPr>
        <w:t>71</w:t>
      </w:r>
      <w:r>
        <w:t xml:space="preserve">, </w:t>
      </w:r>
      <w:r w:rsidRPr="009264F1">
        <w:t>149-157.</w:t>
      </w:r>
    </w:p>
    <w:p w:rsidR="00C87CE1" w:rsidRPr="009264F1" w:rsidRDefault="00C87CE1" w:rsidP="00C87CE1">
      <w:pPr>
        <w:spacing w:line="240" w:lineRule="auto"/>
        <w:jc w:val="both"/>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Riva, A., Caccialanza, P.,</w:t>
      </w:r>
      <w:r w:rsidRPr="009264F1">
        <w:rPr>
          <w:rFonts w:asciiTheme="majorHAnsi" w:hAnsiTheme="majorHAnsi" w:cstheme="majorHAnsi"/>
        </w:rPr>
        <w:t xml:space="preserve"> Quagliaroli, F. 1988. Recogn</w:t>
      </w:r>
      <w:r>
        <w:rPr>
          <w:rFonts w:asciiTheme="majorHAnsi" w:hAnsiTheme="majorHAnsi" w:cstheme="majorHAnsi"/>
        </w:rPr>
        <w:t>ition of 18β (H) oleanane in</w:t>
      </w:r>
      <w:r>
        <w:rPr>
          <w:rFonts w:asciiTheme="majorHAnsi" w:hAnsiTheme="majorHAnsi" w:cstheme="majorHAnsi"/>
        </w:rPr>
        <w:tab/>
      </w:r>
      <w:r w:rsidRPr="009264F1">
        <w:rPr>
          <w:rFonts w:asciiTheme="majorHAnsi" w:hAnsiTheme="majorHAnsi" w:cstheme="majorHAnsi"/>
        </w:rPr>
        <w:t>several crudes and Tertiary-Upper Cretaceous sediments. Definition of a new</w:t>
      </w:r>
      <w:r w:rsidRPr="009264F1">
        <w:rPr>
          <w:rFonts w:asciiTheme="majorHAnsi" w:hAnsiTheme="majorHAnsi" w:cstheme="majorHAnsi"/>
        </w:rPr>
        <w:tab/>
        <w:t xml:space="preserve"> maturity parameter. </w:t>
      </w:r>
      <w:r w:rsidRPr="0082410E">
        <w:rPr>
          <w:rFonts w:asciiTheme="majorHAnsi" w:hAnsiTheme="majorHAnsi" w:cstheme="majorHAnsi"/>
          <w:i/>
        </w:rPr>
        <w:t>Organic Geochemistry, 13(4-6),</w:t>
      </w:r>
      <w:r w:rsidRPr="009264F1">
        <w:rPr>
          <w:rFonts w:asciiTheme="majorHAnsi" w:hAnsiTheme="majorHAnsi" w:cstheme="majorHAnsi"/>
        </w:rPr>
        <w:t xml:space="preserve"> 671-675.</w:t>
      </w: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ab/>
      </w:r>
    </w:p>
    <w:p w:rsidR="00C87CE1" w:rsidRDefault="00C87CE1" w:rsidP="00C87CE1">
      <w:pPr>
        <w:spacing w:line="240" w:lineRule="auto"/>
        <w:jc w:val="both"/>
        <w:rPr>
          <w:rFonts w:asciiTheme="majorHAnsi" w:hAnsiTheme="majorHAnsi" w:cstheme="majorHAnsi"/>
          <w:i/>
        </w:rPr>
      </w:pPr>
      <w:r>
        <w:rPr>
          <w:rFonts w:asciiTheme="majorHAnsi" w:hAnsiTheme="majorHAnsi" w:cstheme="majorHAnsi"/>
        </w:rPr>
        <w:t>Rubinstein, I., Sieskind, O., Albrecht, P. 1975</w:t>
      </w:r>
      <w:r w:rsidRPr="009264F1">
        <w:rPr>
          <w:rFonts w:asciiTheme="majorHAnsi" w:hAnsiTheme="majorHAnsi" w:cstheme="majorHAnsi"/>
        </w:rPr>
        <w:t xml:space="preserve">. Rearranged steranes in a shale: </w:t>
      </w:r>
      <w:r w:rsidRPr="009264F1">
        <w:rPr>
          <w:rFonts w:asciiTheme="majorHAnsi" w:hAnsiTheme="majorHAnsi" w:cstheme="majorHAnsi"/>
        </w:rPr>
        <w:tab/>
        <w:t xml:space="preserve">occurrence and simulated formations. </w:t>
      </w:r>
      <w:r w:rsidRPr="009264F1">
        <w:rPr>
          <w:rFonts w:asciiTheme="majorHAnsi" w:hAnsiTheme="majorHAnsi" w:cstheme="majorHAnsi"/>
          <w:i/>
        </w:rPr>
        <w:t>Journal of the Chemical Society,</w:t>
      </w:r>
      <w:r>
        <w:rPr>
          <w:rFonts w:asciiTheme="majorHAnsi" w:hAnsiTheme="majorHAnsi" w:cstheme="majorHAnsi"/>
          <w:i/>
        </w:rPr>
        <w:t xml:space="preserve"> </w:t>
      </w:r>
      <w:r w:rsidRPr="009264F1">
        <w:rPr>
          <w:rFonts w:asciiTheme="majorHAnsi" w:hAnsiTheme="majorHAnsi" w:cstheme="majorHAnsi"/>
          <w:i/>
        </w:rPr>
        <w:t xml:space="preserve">Perkin </w:t>
      </w:r>
      <w:r w:rsidRPr="009264F1">
        <w:rPr>
          <w:rFonts w:asciiTheme="majorHAnsi" w:hAnsiTheme="majorHAnsi" w:cstheme="majorHAnsi"/>
          <w:i/>
        </w:rPr>
        <w:tab/>
        <w:t xml:space="preserve">Transaction I, 1833-6. </w:t>
      </w:r>
    </w:p>
    <w:p w:rsidR="00C87CE1" w:rsidRDefault="00C87CE1" w:rsidP="00C87CE1">
      <w:pPr>
        <w:spacing w:line="240" w:lineRule="auto"/>
        <w:jc w:val="both"/>
        <w:rPr>
          <w:rFonts w:asciiTheme="majorHAnsi" w:hAnsiTheme="majorHAnsi" w:cstheme="majorHAnsi"/>
          <w:i/>
        </w:rPr>
      </w:pPr>
    </w:p>
    <w:p w:rsidR="00C87CE1" w:rsidRPr="009264F1" w:rsidRDefault="00C87CE1" w:rsidP="00C87CE1">
      <w:pPr>
        <w:spacing w:line="240" w:lineRule="auto"/>
        <w:jc w:val="both"/>
        <w:rPr>
          <w:rFonts w:asciiTheme="majorHAnsi" w:hAnsiTheme="majorHAnsi" w:cstheme="majorHAnsi"/>
          <w:i/>
        </w:rPr>
      </w:pPr>
      <w:r>
        <w:t>Rullkötter</w:t>
      </w:r>
      <w:r w:rsidR="00706671">
        <w:t>,</w:t>
      </w:r>
      <w:r>
        <w:t xml:space="preserve"> J., Wendisch</w:t>
      </w:r>
      <w:r w:rsidR="00706671">
        <w:t>,</w:t>
      </w:r>
      <w:r>
        <w:t xml:space="preserve"> D. 1982. Microbial alteration</w:t>
      </w:r>
      <w:r w:rsidR="00706671">
        <w:t xml:space="preserve"> of 17a(H)-hopanes in Madaganz</w:t>
      </w:r>
      <w:r w:rsidR="00706671">
        <w:tab/>
      </w:r>
      <w:r>
        <w:t xml:space="preserve">asphalts: removal of C- 10 methyl group and ring opening. </w:t>
      </w:r>
      <w:r w:rsidRPr="009264F1">
        <w:rPr>
          <w:rFonts w:asciiTheme="majorHAnsi" w:hAnsiTheme="majorHAnsi" w:cstheme="majorHAnsi"/>
          <w:i/>
        </w:rPr>
        <w:t>Geochimica</w:t>
      </w:r>
      <w:r>
        <w:t xml:space="preserve"> </w:t>
      </w:r>
      <w:r>
        <w:rPr>
          <w:rFonts w:asciiTheme="majorHAnsi" w:hAnsiTheme="majorHAnsi" w:cstheme="majorHAnsi"/>
          <w:i/>
        </w:rPr>
        <w:t xml:space="preserve">et </w:t>
      </w:r>
      <w:r>
        <w:rPr>
          <w:rFonts w:asciiTheme="majorHAnsi" w:hAnsiTheme="majorHAnsi" w:cstheme="majorHAnsi"/>
          <w:i/>
        </w:rPr>
        <w:tab/>
        <w:t xml:space="preserve">Cosmochimica </w:t>
      </w:r>
      <w:r w:rsidRPr="009264F1">
        <w:rPr>
          <w:rFonts w:asciiTheme="majorHAnsi" w:hAnsiTheme="majorHAnsi" w:cstheme="majorHAnsi"/>
          <w:i/>
        </w:rPr>
        <w:t>Acta</w:t>
      </w:r>
      <w:r>
        <w:rPr>
          <w:rFonts w:asciiTheme="majorHAnsi" w:hAnsiTheme="majorHAnsi" w:cstheme="majorHAnsi"/>
          <w:i/>
        </w:rPr>
        <w:t>,</w:t>
      </w:r>
      <w:r>
        <w:t xml:space="preserve"> </w:t>
      </w:r>
      <w:r w:rsidRPr="00DD475E">
        <w:rPr>
          <w:i/>
        </w:rPr>
        <w:t>46</w:t>
      </w:r>
      <w:r>
        <w:t>, 1545-1553.</w:t>
      </w:r>
    </w:p>
    <w:p w:rsidR="00C87CE1" w:rsidRPr="009264F1" w:rsidRDefault="00C87CE1" w:rsidP="00C87CE1">
      <w:pPr>
        <w:spacing w:line="240" w:lineRule="auto"/>
        <w:jc w:val="both"/>
        <w:rPr>
          <w:rFonts w:asciiTheme="majorHAnsi" w:hAnsiTheme="majorHAnsi" w:cstheme="majorHAnsi"/>
          <w: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Scal</w:t>
      </w:r>
      <w:r>
        <w:rPr>
          <w:rFonts w:asciiTheme="majorHAnsi" w:hAnsiTheme="majorHAnsi" w:cstheme="majorHAnsi"/>
        </w:rPr>
        <w:t>an, R. S., Smith, J. E. 1970</w:t>
      </w:r>
      <w:r w:rsidRPr="009264F1">
        <w:rPr>
          <w:rFonts w:asciiTheme="majorHAnsi" w:hAnsiTheme="majorHAnsi" w:cstheme="majorHAnsi"/>
        </w:rPr>
        <w:t xml:space="preserve">. An improved measure of the odd-even </w:t>
      </w:r>
      <w:r w:rsidRPr="009264F1">
        <w:rPr>
          <w:rFonts w:asciiTheme="majorHAnsi" w:hAnsiTheme="majorHAnsi" w:cstheme="majorHAnsi"/>
        </w:rPr>
        <w:tab/>
        <w:t>predominance</w:t>
      </w:r>
      <w:r>
        <w:rPr>
          <w:rFonts w:asciiTheme="majorHAnsi" w:hAnsiTheme="majorHAnsi" w:cstheme="majorHAnsi"/>
        </w:rPr>
        <w:t xml:space="preserve"> </w:t>
      </w:r>
      <w:r w:rsidRPr="009264F1">
        <w:rPr>
          <w:rFonts w:asciiTheme="majorHAnsi" w:hAnsiTheme="majorHAnsi" w:cstheme="majorHAnsi"/>
        </w:rPr>
        <w:t xml:space="preserve">in the normal alkanes of sediment extracts and petroleum. </w:t>
      </w:r>
      <w:r w:rsidRPr="009264F1">
        <w:rPr>
          <w:rFonts w:asciiTheme="majorHAnsi" w:hAnsiTheme="majorHAnsi" w:cstheme="majorHAnsi"/>
        </w:rPr>
        <w:tab/>
      </w:r>
      <w:r w:rsidRPr="009264F1">
        <w:rPr>
          <w:rFonts w:asciiTheme="majorHAnsi" w:hAnsiTheme="majorHAnsi" w:cstheme="majorHAnsi"/>
          <w:i/>
        </w:rPr>
        <w:t>Geochimica et Cosmochimica Acta, 34(5),</w:t>
      </w:r>
      <w:r w:rsidRPr="009264F1">
        <w:rPr>
          <w:rFonts w:asciiTheme="majorHAnsi" w:hAnsiTheme="majorHAnsi" w:cstheme="majorHAnsi"/>
        </w:rPr>
        <w:t xml:space="preserve"> 611-620.</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 xml:space="preserve">Schenck, P. A., Havenaar, I. 1969. International series of monographs in earth sciences, </w:t>
      </w:r>
      <w:r>
        <w:rPr>
          <w:rFonts w:asciiTheme="majorHAnsi" w:hAnsiTheme="majorHAnsi" w:cstheme="majorHAnsi"/>
        </w:rPr>
        <w:tab/>
      </w:r>
      <w:r w:rsidRPr="0015671A">
        <w:rPr>
          <w:rFonts w:asciiTheme="majorHAnsi" w:hAnsiTheme="majorHAnsi" w:cstheme="majorHAnsi"/>
          <w:i/>
        </w:rPr>
        <w:t>Advances in Organic Geochemistry, 1968</w:t>
      </w:r>
      <w:r>
        <w:rPr>
          <w:rFonts w:asciiTheme="majorHAnsi" w:hAnsiTheme="majorHAnsi" w:cstheme="majorHAnsi"/>
        </w:rPr>
        <w:t>, 617.</w:t>
      </w:r>
    </w:p>
    <w:p w:rsidR="00C87CE1" w:rsidRPr="009264F1" w:rsidRDefault="00C87CE1" w:rsidP="00C87CE1">
      <w:pPr>
        <w:spacing w:line="240" w:lineRule="auto"/>
        <w:jc w:val="both"/>
        <w:rPr>
          <w:rFonts w:asciiTheme="majorHAnsi" w:hAnsiTheme="majorHAnsi" w:cstheme="majorHAnsi"/>
          <w:i/>
        </w:rPr>
      </w:pPr>
    </w:p>
    <w:p w:rsidR="00C87CE1" w:rsidRPr="009264F1" w:rsidRDefault="00C87CE1" w:rsidP="00C87CE1">
      <w:pPr>
        <w:spacing w:line="240" w:lineRule="auto"/>
        <w:jc w:val="both"/>
      </w:pPr>
      <w:r w:rsidRPr="009264F1">
        <w:t xml:space="preserve">Schiefelbein, C. F., Zumberge, J. E., </w:t>
      </w:r>
      <w:r>
        <w:t>Cameron, N. R., Brown, S. W. 1999</w:t>
      </w:r>
      <w:r w:rsidRPr="009264F1">
        <w:t xml:space="preserve">. Petroleum </w:t>
      </w:r>
      <w:r w:rsidRPr="009264F1">
        <w:tab/>
        <w:t>systems in</w:t>
      </w:r>
      <w:r>
        <w:t xml:space="preserve"> the South Atlantic margins.</w:t>
      </w:r>
      <w:r w:rsidRPr="009264F1">
        <w:t xml:space="preserve"> </w:t>
      </w:r>
      <w:r w:rsidRPr="009264F1">
        <w:rPr>
          <w:i/>
        </w:rPr>
        <w:t xml:space="preserve">The Oil and Gas Habitats of the South </w:t>
      </w:r>
      <w:r w:rsidRPr="009264F1">
        <w:rPr>
          <w:i/>
        </w:rPr>
        <w:tab/>
        <w:t xml:space="preserve">Atlantic, </w:t>
      </w:r>
      <w:r w:rsidRPr="0082410E">
        <w:rPr>
          <w:i/>
        </w:rPr>
        <w:t>Geological Society, London, Special Publications, 153(1),</w:t>
      </w:r>
      <w:r w:rsidRPr="009264F1">
        <w:t xml:space="preserve"> 169-179.</w:t>
      </w:r>
    </w:p>
    <w:p w:rsidR="00C87CE1" w:rsidRDefault="00C87CE1" w:rsidP="00C87CE1">
      <w:pPr>
        <w:spacing w:line="240" w:lineRule="auto"/>
        <w:jc w:val="both"/>
      </w:pPr>
    </w:p>
    <w:p w:rsidR="00C87CE1" w:rsidRDefault="00C87CE1" w:rsidP="00C87CE1">
      <w:pPr>
        <w:spacing w:line="240" w:lineRule="auto"/>
        <w:jc w:val="both"/>
      </w:pPr>
      <w:r>
        <w:t xml:space="preserve">Schwark, L., Empt, P. </w:t>
      </w:r>
      <w:r w:rsidRPr="00F32B70">
        <w:t>2006</w:t>
      </w:r>
      <w:r>
        <w:t>.</w:t>
      </w:r>
      <w:r w:rsidRPr="00F32B70">
        <w:t xml:space="preserve"> Sterane Biomarkers as Indicators of Palaeozoic Algal </w:t>
      </w:r>
      <w:r>
        <w:tab/>
      </w:r>
      <w:r w:rsidRPr="00F32B70">
        <w:t xml:space="preserve">Evolution and Extinction Events. </w:t>
      </w:r>
      <w:r w:rsidRPr="00F32B70">
        <w:rPr>
          <w:i/>
        </w:rPr>
        <w:t xml:space="preserve">Palaeogeography Palaeoclimatology </w:t>
      </w:r>
      <w:r>
        <w:rPr>
          <w:i/>
        </w:rPr>
        <w:tab/>
      </w:r>
      <w:r w:rsidRPr="00F32B70">
        <w:rPr>
          <w:i/>
        </w:rPr>
        <w:t>Palaeoecology</w:t>
      </w:r>
      <w:r w:rsidRPr="00F32B70">
        <w:t xml:space="preserve">, </w:t>
      </w:r>
      <w:r w:rsidRPr="00F32B70">
        <w:rPr>
          <w:i/>
        </w:rPr>
        <w:t>240</w:t>
      </w:r>
      <w:r w:rsidRPr="00F32B70">
        <w:t>, 225-236.</w:t>
      </w:r>
    </w:p>
    <w:p w:rsidR="00C87CE1" w:rsidRPr="009264F1" w:rsidRDefault="00C87CE1" w:rsidP="00C87CE1">
      <w:pPr>
        <w:spacing w:line="240" w:lineRule="auto"/>
        <w:jc w:val="both"/>
      </w:pPr>
    </w:p>
    <w:p w:rsidR="00C87CE1" w:rsidRPr="009264F1" w:rsidRDefault="00C87CE1" w:rsidP="00C87CE1">
      <w:pPr>
        <w:spacing w:line="240" w:lineRule="auto"/>
        <w:jc w:val="both"/>
      </w:pPr>
      <w:r>
        <w:t>Scott</w:t>
      </w:r>
      <w:r w:rsidR="00706671">
        <w:t>,</w:t>
      </w:r>
      <w:r>
        <w:t xml:space="preserve"> A. C. 1989.</w:t>
      </w:r>
      <w:r w:rsidRPr="009264F1">
        <w:t xml:space="preserve"> Observations on the nature and origin of fusain. </w:t>
      </w:r>
      <w:r w:rsidRPr="009264F1">
        <w:rPr>
          <w:i/>
        </w:rPr>
        <w:t>Int. J. Coal Geol. 12,</w:t>
      </w:r>
      <w:r>
        <w:tab/>
      </w:r>
      <w:r w:rsidRPr="009264F1">
        <w:t>443-475.</w:t>
      </w:r>
    </w:p>
    <w:p w:rsidR="00C87CE1" w:rsidRPr="009264F1" w:rsidRDefault="001A4D74" w:rsidP="00C87CE1">
      <w:pPr>
        <w:spacing w:line="240" w:lineRule="auto"/>
        <w:jc w:val="both"/>
      </w:pPr>
      <w:r>
        <w:lastRenderedPageBreak/>
        <w:t>Scott, A. 2000. The p</w:t>
      </w:r>
      <w:r w:rsidR="00C87CE1">
        <w:t>re-</w:t>
      </w:r>
      <w:r w:rsidR="00C87CE1" w:rsidRPr="009264F1">
        <w:t xml:space="preserve">Quaternary history of fire. </w:t>
      </w:r>
      <w:r w:rsidR="00C87CE1" w:rsidRPr="0082410E">
        <w:rPr>
          <w:i/>
        </w:rPr>
        <w:t xml:space="preserve">Palaeogeography, </w:t>
      </w:r>
      <w:r w:rsidR="00C87CE1" w:rsidRPr="0082410E">
        <w:rPr>
          <w:i/>
        </w:rPr>
        <w:tab/>
        <w:t>Palaeoclimatology, Palaeoecology, 164(1-4)</w:t>
      </w:r>
      <w:r w:rsidR="00C87CE1" w:rsidRPr="009264F1">
        <w:t>, 281-329.</w:t>
      </w:r>
    </w:p>
    <w:p w:rsidR="004F7E5C" w:rsidRDefault="004F7E5C"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i/>
        </w:rPr>
      </w:pPr>
      <w:r>
        <w:rPr>
          <w:rFonts w:asciiTheme="majorHAnsi" w:hAnsiTheme="majorHAnsi" w:cstheme="majorHAnsi"/>
        </w:rPr>
        <w:t>Shanmugam, G. 1985</w:t>
      </w:r>
      <w:r w:rsidRPr="009264F1">
        <w:rPr>
          <w:rFonts w:asciiTheme="majorHAnsi" w:hAnsiTheme="majorHAnsi" w:cstheme="majorHAnsi"/>
        </w:rPr>
        <w:t>. Significance of Coniferous Ra</w:t>
      </w:r>
      <w:r>
        <w:rPr>
          <w:rFonts w:asciiTheme="majorHAnsi" w:hAnsiTheme="majorHAnsi" w:cstheme="majorHAnsi"/>
        </w:rPr>
        <w:t>in Forests and Related Organic</w:t>
      </w:r>
      <w:r>
        <w:rPr>
          <w:rFonts w:asciiTheme="majorHAnsi" w:hAnsiTheme="majorHAnsi" w:cstheme="majorHAnsi"/>
        </w:rPr>
        <w:tab/>
      </w:r>
      <w:r w:rsidRPr="009264F1">
        <w:rPr>
          <w:rFonts w:asciiTheme="majorHAnsi" w:hAnsiTheme="majorHAnsi" w:cstheme="majorHAnsi"/>
        </w:rPr>
        <w:t>Matter in Generating Commercial Quantities of Oil, Gippsland Basin, Australia.</w:t>
      </w:r>
      <w:r w:rsidRPr="009264F1">
        <w:rPr>
          <w:rFonts w:asciiTheme="majorHAnsi" w:hAnsiTheme="majorHAnsi" w:cstheme="majorHAnsi"/>
        </w:rPr>
        <w:tab/>
      </w:r>
      <w:r>
        <w:rPr>
          <w:rFonts w:asciiTheme="majorHAnsi" w:hAnsiTheme="majorHAnsi" w:cstheme="majorHAnsi"/>
          <w:i/>
        </w:rPr>
        <w:t>AAPG</w:t>
      </w:r>
      <w:r w:rsidRPr="009264F1">
        <w:rPr>
          <w:rFonts w:asciiTheme="majorHAnsi" w:hAnsiTheme="majorHAnsi" w:cstheme="majorHAnsi"/>
          <w:i/>
        </w:rPr>
        <w:t xml:space="preserve"> Bulletin, 69.</w:t>
      </w:r>
    </w:p>
    <w:p w:rsidR="00C87CE1" w:rsidRPr="009264F1" w:rsidRDefault="00C87CE1" w:rsidP="00C87CE1">
      <w:pPr>
        <w:spacing w:line="240" w:lineRule="auto"/>
        <w:jc w:val="both"/>
        <w:rPr>
          <w:rFonts w:asciiTheme="majorHAnsi" w:hAnsiTheme="majorHAnsi" w:cstheme="majorHAnsi"/>
          <w:i/>
        </w:rPr>
      </w:pPr>
    </w:p>
    <w:p w:rsidR="00C87CE1" w:rsidRPr="009264F1" w:rsidRDefault="00C87CE1" w:rsidP="00C87CE1">
      <w:pPr>
        <w:spacing w:line="240" w:lineRule="auto"/>
        <w:jc w:val="both"/>
        <w:rPr>
          <w:rFonts w:asciiTheme="majorHAnsi" w:hAnsiTheme="majorHAnsi" w:cstheme="majorHAnsi"/>
          <w:i/>
        </w:rPr>
      </w:pPr>
      <w:r>
        <w:t>Shelby, J.M. 1980.</w:t>
      </w:r>
      <w:r w:rsidRPr="009264F1">
        <w:t xml:space="preserve"> Geologic and economic signific</w:t>
      </w:r>
      <w:r>
        <w:t>ance of the Upper Morrow chert</w:t>
      </w:r>
      <w:r>
        <w:tab/>
      </w:r>
      <w:r w:rsidRPr="009264F1">
        <w:t xml:space="preserve">conglomerate reservoir of the Anadarko Basin: </w:t>
      </w:r>
      <w:r w:rsidRPr="0082410E">
        <w:rPr>
          <w:i/>
        </w:rPr>
        <w:t>Journal of Petrole</w:t>
      </w:r>
      <w:r>
        <w:rPr>
          <w:i/>
        </w:rPr>
        <w:t xml:space="preserve">um </w:t>
      </w:r>
      <w:r>
        <w:rPr>
          <w:i/>
        </w:rPr>
        <w:tab/>
        <w:t>Technology,</w:t>
      </w:r>
      <w:r w:rsidRPr="0082410E">
        <w:rPr>
          <w:i/>
        </w:rPr>
        <w:t xml:space="preserve"> 32</w:t>
      </w:r>
      <w:r>
        <w:t>,</w:t>
      </w:r>
      <w:r w:rsidRPr="009264F1">
        <w:t xml:space="preserve"> 489-495</w:t>
      </w:r>
    </w:p>
    <w:p w:rsidR="00C87CE1" w:rsidRPr="009264F1" w:rsidRDefault="00C87CE1" w:rsidP="00C87CE1">
      <w:pPr>
        <w:spacing w:line="240" w:lineRule="auto"/>
        <w:jc w:val="both"/>
        <w:rPr>
          <w:rFonts w:asciiTheme="majorHAnsi" w:hAnsiTheme="majorHAnsi" w:cstheme="majorHAnsi"/>
          <w: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Sivan, P.</w:t>
      </w:r>
      <w:r>
        <w:rPr>
          <w:rFonts w:asciiTheme="majorHAnsi" w:hAnsiTheme="majorHAnsi" w:cstheme="majorHAnsi"/>
        </w:rPr>
        <w:t>, Datta, G. C., Singh, R. R. 2008</w:t>
      </w:r>
      <w:r w:rsidRPr="009264F1">
        <w:rPr>
          <w:rFonts w:asciiTheme="majorHAnsi" w:hAnsiTheme="majorHAnsi" w:cstheme="majorHAnsi"/>
        </w:rPr>
        <w:t xml:space="preserve">. Aromatic biomarkers as indicators of </w:t>
      </w:r>
      <w:r w:rsidRPr="009264F1">
        <w:rPr>
          <w:rFonts w:asciiTheme="majorHAnsi" w:hAnsiTheme="majorHAnsi" w:cstheme="majorHAnsi"/>
        </w:rPr>
        <w:tab/>
        <w:t xml:space="preserve">source, depositional environment, maturity and secondary migration in the oils of </w:t>
      </w:r>
      <w:r w:rsidRPr="009264F1">
        <w:rPr>
          <w:rFonts w:asciiTheme="majorHAnsi" w:hAnsiTheme="majorHAnsi" w:cstheme="majorHAnsi"/>
        </w:rPr>
        <w:tab/>
        <w:t xml:space="preserve">Cambay Basin, India. </w:t>
      </w:r>
      <w:r w:rsidRPr="009264F1">
        <w:rPr>
          <w:rFonts w:asciiTheme="majorHAnsi" w:hAnsiTheme="majorHAnsi" w:cstheme="majorHAnsi"/>
          <w:i/>
        </w:rPr>
        <w:t>Organic Geochemistry, 39(11),</w:t>
      </w:r>
      <w:r w:rsidRPr="009264F1">
        <w:rPr>
          <w:rFonts w:asciiTheme="majorHAnsi" w:hAnsiTheme="majorHAnsi" w:cstheme="majorHAnsi"/>
        </w:rPr>
        <w:t xml:space="preserve"> 1620-1630.</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Smith, J.T. 1994</w:t>
      </w:r>
      <w:r w:rsidRPr="009264F1">
        <w:rPr>
          <w:rFonts w:asciiTheme="majorHAnsi" w:hAnsiTheme="majorHAnsi" w:cstheme="majorHAnsi"/>
        </w:rPr>
        <w:t xml:space="preserve">. “Petroleum System Logic as an Exploration Tool in a Frontier </w:t>
      </w:r>
      <w:r w:rsidRPr="009264F1">
        <w:rPr>
          <w:rFonts w:asciiTheme="majorHAnsi" w:hAnsiTheme="majorHAnsi" w:cstheme="majorHAnsi"/>
        </w:rPr>
        <w:tab/>
        <w:t>Setting”, Chapter 2, in Magoon, L.B., and Dow, W.G., eds. “The Petroleu</w:t>
      </w:r>
      <w:r>
        <w:rPr>
          <w:rFonts w:asciiTheme="majorHAnsi" w:hAnsiTheme="majorHAnsi" w:cstheme="majorHAnsi"/>
        </w:rPr>
        <w:t xml:space="preserve">m </w:t>
      </w:r>
      <w:r>
        <w:rPr>
          <w:rFonts w:asciiTheme="majorHAnsi" w:hAnsiTheme="majorHAnsi" w:cstheme="majorHAnsi"/>
        </w:rPr>
        <w:tab/>
        <w:t xml:space="preserve">System—from Source to Trap”, </w:t>
      </w:r>
      <w:r w:rsidRPr="009264F1">
        <w:rPr>
          <w:rFonts w:asciiTheme="majorHAnsi" w:hAnsiTheme="majorHAnsi" w:cstheme="majorHAnsi"/>
          <w:i/>
        </w:rPr>
        <w:t>AAPG Memoir 60, Tulsa</w:t>
      </w:r>
      <w:r>
        <w:rPr>
          <w:rFonts w:asciiTheme="majorHAnsi" w:hAnsiTheme="majorHAnsi" w:cstheme="majorHAnsi"/>
        </w:rPr>
        <w:t>, 25-49.</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Smith, L. B.,</w:t>
      </w:r>
      <w:r w:rsidRPr="009264F1">
        <w:rPr>
          <w:rFonts w:asciiTheme="majorHAnsi" w:hAnsiTheme="majorHAnsi" w:cstheme="majorHAnsi"/>
        </w:rPr>
        <w:t xml:space="preserve"> Read,</w:t>
      </w:r>
      <w:r>
        <w:rPr>
          <w:rFonts w:asciiTheme="majorHAnsi" w:hAnsiTheme="majorHAnsi" w:cstheme="majorHAnsi"/>
        </w:rPr>
        <w:t xml:space="preserve"> J. F. 2000</w:t>
      </w:r>
      <w:r w:rsidRPr="009264F1">
        <w:rPr>
          <w:rFonts w:asciiTheme="majorHAnsi" w:hAnsiTheme="majorHAnsi" w:cstheme="majorHAnsi"/>
        </w:rPr>
        <w:t xml:space="preserve">. Rapid onset of late Paleozoic glaciation on Gondwana: </w:t>
      </w:r>
      <w:r w:rsidRPr="009264F1">
        <w:rPr>
          <w:rFonts w:asciiTheme="majorHAnsi" w:hAnsiTheme="majorHAnsi" w:cstheme="majorHAnsi"/>
        </w:rPr>
        <w:tab/>
        <w:t xml:space="preserve">Evidence from Upper Mississippian strata of the Midcontinent, United States. </w:t>
      </w:r>
      <w:r w:rsidRPr="009264F1">
        <w:rPr>
          <w:rFonts w:asciiTheme="majorHAnsi" w:hAnsiTheme="majorHAnsi" w:cstheme="majorHAnsi"/>
        </w:rPr>
        <w:tab/>
      </w:r>
      <w:r w:rsidRPr="009264F1">
        <w:rPr>
          <w:rFonts w:asciiTheme="majorHAnsi" w:hAnsiTheme="majorHAnsi" w:cstheme="majorHAnsi"/>
          <w:i/>
        </w:rPr>
        <w:t>Geology, 28(3)</w:t>
      </w:r>
      <w:r w:rsidRPr="009264F1">
        <w:rPr>
          <w:rFonts w:asciiTheme="majorHAnsi" w:hAnsiTheme="majorHAnsi" w:cstheme="majorHAnsi"/>
        </w:rPr>
        <w:t>, 279</w:t>
      </w:r>
    </w:p>
    <w:p w:rsidR="00C87CE1" w:rsidRPr="009264F1" w:rsidRDefault="00C87CE1" w:rsidP="00C87CE1">
      <w:pPr>
        <w:spacing w:line="240" w:lineRule="auto"/>
        <w:jc w:val="both"/>
        <w:rPr>
          <w:rFonts w:asciiTheme="majorHAnsi" w:hAnsiTheme="majorHAnsi" w:cstheme="majorHAnsi"/>
        </w:rPr>
      </w:pPr>
    </w:p>
    <w:p w:rsidR="00C87CE1" w:rsidRPr="00D765D4" w:rsidRDefault="00C87CE1" w:rsidP="00C87CE1">
      <w:pPr>
        <w:spacing w:line="240" w:lineRule="auto"/>
        <w:jc w:val="both"/>
        <w:rPr>
          <w:rFonts w:ascii="Times New Roman" w:hAnsi="Times New Roman"/>
          <w:lang w:bidi="ar-SA"/>
        </w:rPr>
      </w:pPr>
      <w:r w:rsidRPr="00D765D4">
        <w:rPr>
          <w:rFonts w:ascii="Times New Roman" w:hAnsi="Times New Roman"/>
          <w:shd w:val="clear" w:color="auto" w:fill="FFFFFF"/>
          <w:lang w:bidi="ar-SA"/>
        </w:rPr>
        <w:t xml:space="preserve">Smith, S. A., Beaulieu, J. M., Stamatakis, A., Donoghue, M. J. 2011. Understanding </w:t>
      </w:r>
      <w:r w:rsidRPr="00D765D4">
        <w:rPr>
          <w:rFonts w:ascii="Times New Roman" w:hAnsi="Times New Roman"/>
          <w:shd w:val="clear" w:color="auto" w:fill="FFFFFF"/>
          <w:lang w:bidi="ar-SA"/>
        </w:rPr>
        <w:tab/>
        <w:t>angiosperm diversification using small and large phylogenetic trees. </w:t>
      </w:r>
      <w:r w:rsidRPr="00D765D4">
        <w:rPr>
          <w:rFonts w:ascii="Times New Roman" w:hAnsi="Times New Roman"/>
          <w:i/>
          <w:iCs/>
          <w:lang w:bidi="ar-SA"/>
        </w:rPr>
        <w:t xml:space="preserve">American </w:t>
      </w:r>
      <w:r w:rsidRPr="00D765D4">
        <w:rPr>
          <w:rFonts w:ascii="Times New Roman" w:hAnsi="Times New Roman"/>
          <w:i/>
          <w:iCs/>
          <w:lang w:bidi="ar-SA"/>
        </w:rPr>
        <w:tab/>
        <w:t>Journal of Botany,98</w:t>
      </w:r>
      <w:r w:rsidRPr="00D765D4">
        <w:rPr>
          <w:rFonts w:ascii="Times New Roman" w:hAnsi="Times New Roman"/>
          <w:shd w:val="clear" w:color="auto" w:fill="FFFFFF"/>
          <w:lang w:bidi="ar-SA"/>
        </w:rPr>
        <w:t>(3), 404-414.</w:t>
      </w:r>
    </w:p>
    <w:p w:rsidR="00C87CE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Pr>
          <w:rFonts w:asciiTheme="majorHAnsi" w:hAnsiTheme="majorHAnsi" w:cstheme="majorHAnsi"/>
          <w:bCs/>
          <w:shd w:val="clear" w:color="auto" w:fill="FFFFFF"/>
        </w:rPr>
        <w:t>Sonnenberg, S. A.</w:t>
      </w:r>
      <w:r w:rsidRPr="009264F1">
        <w:rPr>
          <w:rFonts w:asciiTheme="majorHAnsi" w:hAnsiTheme="majorHAnsi" w:cstheme="majorHAnsi"/>
          <w:bCs/>
          <w:shd w:val="clear" w:color="auto" w:fill="FFFFFF"/>
        </w:rPr>
        <w:t xml:space="preserve"> 1985. Tectonic and Sedimentation Model for Morrow Sandstone</w:t>
      </w:r>
      <w:r w:rsidRPr="009264F1">
        <w:rPr>
          <w:rFonts w:asciiTheme="majorHAnsi" w:hAnsiTheme="majorHAnsi" w:cstheme="majorHAnsi"/>
          <w:bCs/>
          <w:shd w:val="clear" w:color="auto" w:fill="FFFFFF"/>
        </w:rPr>
        <w:tab/>
        <w:t xml:space="preserve"> Deposition, Sorrento Field Area, Denver Basin, Colorado.</w:t>
      </w:r>
      <w:r w:rsidRPr="009264F1">
        <w:rPr>
          <w:rStyle w:val="apple-converted-space"/>
          <w:rFonts w:asciiTheme="majorHAnsi" w:hAnsiTheme="majorHAnsi" w:cstheme="majorHAnsi"/>
          <w:bCs/>
          <w:shd w:val="clear" w:color="auto" w:fill="FFFFFF"/>
        </w:rPr>
        <w:t> </w:t>
      </w:r>
      <w:r w:rsidRPr="009264F1">
        <w:rPr>
          <w:rFonts w:asciiTheme="majorHAnsi" w:hAnsiTheme="majorHAnsi" w:cstheme="majorHAnsi"/>
          <w:bCs/>
          <w:i/>
          <w:iCs/>
          <w:shd w:val="clear" w:color="auto" w:fill="FFFFFF"/>
        </w:rPr>
        <w:t xml:space="preserve">The Mountain </w:t>
      </w:r>
      <w:r w:rsidRPr="009264F1">
        <w:rPr>
          <w:rFonts w:asciiTheme="majorHAnsi" w:hAnsiTheme="majorHAnsi" w:cstheme="majorHAnsi"/>
          <w:bCs/>
          <w:i/>
          <w:iCs/>
          <w:shd w:val="clear" w:color="auto" w:fill="FFFFFF"/>
        </w:rPr>
        <w:tab/>
        <w:t>Geologist,22</w:t>
      </w:r>
      <w:r w:rsidRPr="009264F1">
        <w:rPr>
          <w:rFonts w:asciiTheme="majorHAnsi" w:hAnsiTheme="majorHAnsi" w:cstheme="majorHAnsi"/>
          <w:bCs/>
          <w:shd w:val="clear" w:color="auto" w:fill="FFFFFF"/>
        </w:rPr>
        <w:t>, 180-191.</w:t>
      </w:r>
    </w:p>
    <w:p w:rsidR="00706671" w:rsidRPr="009264F1" w:rsidRDefault="00706671" w:rsidP="0070667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Strachan, M.</w:t>
      </w:r>
      <w:r>
        <w:rPr>
          <w:rFonts w:asciiTheme="majorHAnsi" w:hAnsiTheme="majorHAnsi" w:cstheme="majorHAnsi"/>
        </w:rPr>
        <w:t>G., Alexander, R., Kagi, R.I. 1988</w:t>
      </w:r>
      <w:r w:rsidRPr="009264F1">
        <w:rPr>
          <w:rFonts w:asciiTheme="majorHAnsi" w:hAnsiTheme="majorHAnsi" w:cstheme="majorHAnsi"/>
        </w:rPr>
        <w:t xml:space="preserve">. Trimethylnaphthalenes in crude oils </w:t>
      </w:r>
      <w:r w:rsidRPr="009264F1">
        <w:rPr>
          <w:rFonts w:asciiTheme="majorHAnsi" w:hAnsiTheme="majorHAnsi" w:cstheme="majorHAnsi"/>
        </w:rPr>
        <w:tab/>
        <w:t xml:space="preserve">and sediments: effects of source and maturity. </w:t>
      </w:r>
      <w:r w:rsidRPr="009264F1">
        <w:rPr>
          <w:rFonts w:asciiTheme="majorHAnsi" w:hAnsiTheme="majorHAnsi" w:cstheme="majorHAnsi"/>
          <w:i/>
        </w:rPr>
        <w:t xml:space="preserve">Geochimica et Cosmochimica </w:t>
      </w:r>
      <w:r w:rsidRPr="009264F1">
        <w:rPr>
          <w:rFonts w:asciiTheme="majorHAnsi" w:hAnsiTheme="majorHAnsi" w:cstheme="majorHAnsi"/>
          <w:i/>
        </w:rPr>
        <w:tab/>
        <w:t>Acta 52,</w:t>
      </w:r>
      <w:r w:rsidRPr="009264F1">
        <w:rPr>
          <w:rFonts w:asciiTheme="majorHAnsi" w:hAnsiTheme="majorHAnsi" w:cstheme="majorHAnsi"/>
        </w:rPr>
        <w:t xml:space="preserve"> 1255–1264.</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Swanson, D. C. 1979.</w:t>
      </w:r>
      <w:r w:rsidRPr="009264F1">
        <w:rPr>
          <w:rFonts w:asciiTheme="majorHAnsi" w:hAnsiTheme="majorHAnsi" w:cstheme="majorHAnsi"/>
        </w:rPr>
        <w:t xml:space="preserve"> Deltaic deposits in the Pennsylvanian upper Morrow Formation </w:t>
      </w:r>
      <w:r w:rsidRPr="009264F1">
        <w:rPr>
          <w:rFonts w:asciiTheme="majorHAnsi" w:hAnsiTheme="majorHAnsi" w:cstheme="majorHAnsi"/>
        </w:rPr>
        <w:tab/>
        <w:t xml:space="preserve">of the Anadarko basin, in Pennsylvanian sandstones of the Mid-continent: </w:t>
      </w:r>
      <w:r w:rsidRPr="009264F1">
        <w:rPr>
          <w:rFonts w:asciiTheme="majorHAnsi" w:hAnsiTheme="majorHAnsi" w:cstheme="majorHAnsi"/>
          <w:i/>
        </w:rPr>
        <w:t xml:space="preserve">Tulsa </w:t>
      </w:r>
      <w:r w:rsidRPr="009264F1">
        <w:rPr>
          <w:rFonts w:asciiTheme="majorHAnsi" w:hAnsiTheme="majorHAnsi" w:cstheme="majorHAnsi"/>
          <w:i/>
        </w:rPr>
        <w:tab/>
        <w:t>Geological Society Publication,1</w:t>
      </w:r>
      <w:r>
        <w:rPr>
          <w:rFonts w:asciiTheme="majorHAnsi" w:hAnsiTheme="majorHAnsi" w:cstheme="majorHAnsi"/>
        </w:rPr>
        <w:t>, 115–</w:t>
      </w:r>
      <w:r w:rsidRPr="009264F1">
        <w:rPr>
          <w:rFonts w:asciiTheme="majorHAnsi" w:hAnsiTheme="majorHAnsi" w:cstheme="majorHAnsi"/>
        </w:rPr>
        <w:t>168.</w:t>
      </w:r>
    </w:p>
    <w:p w:rsidR="00C87CE1" w:rsidRPr="009264F1" w:rsidRDefault="00C87CE1" w:rsidP="00C87CE1">
      <w:pPr>
        <w:spacing w:before="100" w:beforeAutospacing="1" w:after="100" w:afterAutospacing="1" w:line="240" w:lineRule="auto"/>
        <w:jc w:val="both"/>
      </w:pPr>
      <w:r w:rsidRPr="009264F1">
        <w:t>Sykes, R., and S</w:t>
      </w:r>
      <w:r>
        <w:t>nowdon, L.R. 2002.</w:t>
      </w:r>
      <w:r w:rsidRPr="009264F1">
        <w:t xml:space="preserve"> Guidelines for assess</w:t>
      </w:r>
      <w:r>
        <w:t>ing the petroleum potential of</w:t>
      </w:r>
      <w:r>
        <w:tab/>
      </w:r>
      <w:r w:rsidRPr="009264F1">
        <w:t xml:space="preserve">coaly source rocks using Rock-Eval pyrolysis: </w:t>
      </w:r>
      <w:r w:rsidRPr="009264F1">
        <w:rPr>
          <w:i/>
        </w:rPr>
        <w:t>Organic Geochemistry, 33</w:t>
      </w:r>
      <w:r>
        <w:t>,</w:t>
      </w:r>
      <w:r>
        <w:tab/>
        <w:t>1441– 1</w:t>
      </w:r>
      <w:r w:rsidRPr="009264F1">
        <w:t>455</w:t>
      </w:r>
    </w:p>
    <w:p w:rsidR="00C87CE1" w:rsidRPr="00814DBA"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Tan, Y. L., Kong, A., Monetti, M. A. 1996</w:t>
      </w:r>
      <w:r w:rsidRPr="00AD017D">
        <w:rPr>
          <w:rFonts w:asciiTheme="majorHAnsi" w:hAnsiTheme="majorHAnsi" w:cstheme="majorHAnsi"/>
        </w:rPr>
        <w:t xml:space="preserve">. Biogenic Polycyclic Aromatic </w:t>
      </w:r>
      <w:r w:rsidRPr="00AD017D">
        <w:rPr>
          <w:rFonts w:asciiTheme="majorHAnsi" w:hAnsiTheme="majorHAnsi" w:cstheme="majorHAnsi"/>
        </w:rPr>
        <w:tab/>
        <w:t xml:space="preserve">Hydrocarbons in an Alaskan Arctic Lake Sediment. </w:t>
      </w:r>
      <w:r w:rsidRPr="00AD017D">
        <w:rPr>
          <w:rFonts w:asciiTheme="majorHAnsi" w:hAnsiTheme="majorHAnsi" w:cstheme="majorHAnsi"/>
          <w:i/>
        </w:rPr>
        <w:t xml:space="preserve">Polycyclic Aromatic </w:t>
      </w:r>
      <w:r w:rsidRPr="00AD017D">
        <w:rPr>
          <w:rFonts w:asciiTheme="majorHAnsi" w:hAnsiTheme="majorHAnsi" w:cstheme="majorHAnsi"/>
          <w:i/>
        </w:rPr>
        <w:tab/>
        <w:t xml:space="preserve">Compounds, 9(1-4), </w:t>
      </w:r>
      <w:r w:rsidRPr="00AD017D">
        <w:rPr>
          <w:rFonts w:asciiTheme="majorHAnsi" w:hAnsiTheme="majorHAnsi" w:cstheme="majorHAnsi"/>
        </w:rPr>
        <w:t>185-192.</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lastRenderedPageBreak/>
        <w:t xml:space="preserve">Tao, </w:t>
      </w:r>
      <w:r>
        <w:rPr>
          <w:rFonts w:asciiTheme="majorHAnsi" w:hAnsiTheme="majorHAnsi" w:cstheme="majorHAnsi"/>
        </w:rPr>
        <w:t>S., Wang, C., Du, J., Liu, L.,</w:t>
      </w:r>
      <w:r w:rsidRPr="009264F1">
        <w:rPr>
          <w:rFonts w:asciiTheme="majorHAnsi" w:hAnsiTheme="majorHAnsi" w:cstheme="majorHAnsi"/>
        </w:rPr>
        <w:t xml:space="preserve"> Chen, Z. 2015. Geochemical application of tricyclic </w:t>
      </w:r>
      <w:r w:rsidRPr="009264F1">
        <w:rPr>
          <w:rFonts w:asciiTheme="majorHAnsi" w:hAnsiTheme="majorHAnsi" w:cstheme="majorHAnsi"/>
        </w:rPr>
        <w:tab/>
        <w:t xml:space="preserve">and tetracyclic terpanes biomarkers in crude oils of NW China. </w:t>
      </w:r>
      <w:r w:rsidRPr="009264F1">
        <w:rPr>
          <w:rFonts w:asciiTheme="majorHAnsi" w:hAnsiTheme="majorHAnsi" w:cstheme="majorHAnsi"/>
          <w:i/>
        </w:rPr>
        <w:t xml:space="preserve">Marine and </w:t>
      </w:r>
      <w:r w:rsidRPr="009264F1">
        <w:rPr>
          <w:rFonts w:asciiTheme="majorHAnsi" w:hAnsiTheme="majorHAnsi" w:cstheme="majorHAnsi"/>
          <w:i/>
        </w:rPr>
        <w:tab/>
        <w:t>Petroleum Geology, 67</w:t>
      </w:r>
      <w:r w:rsidRPr="009264F1">
        <w:rPr>
          <w:rFonts w:asciiTheme="majorHAnsi" w:hAnsiTheme="majorHAnsi" w:cstheme="majorHAnsi"/>
        </w:rPr>
        <w:t>, 460-467.</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Taylor, D. W., Li, H., Dahl, J., Fago, F. J., Z</w:t>
      </w:r>
      <w:r>
        <w:rPr>
          <w:rFonts w:asciiTheme="majorHAnsi" w:hAnsiTheme="majorHAnsi" w:cstheme="majorHAnsi"/>
        </w:rPr>
        <w:t>inniker, D., Moldowan, J. M. 2006.</w:t>
      </w:r>
      <w:r>
        <w:rPr>
          <w:rFonts w:asciiTheme="majorHAnsi" w:hAnsiTheme="majorHAnsi" w:cstheme="majorHAnsi"/>
        </w:rPr>
        <w:tab/>
      </w:r>
      <w:r w:rsidRPr="009264F1">
        <w:rPr>
          <w:rFonts w:asciiTheme="majorHAnsi" w:hAnsiTheme="majorHAnsi" w:cstheme="majorHAnsi"/>
        </w:rPr>
        <w:t>Biogeochemical evidence for the presence of t</w:t>
      </w:r>
      <w:r>
        <w:rPr>
          <w:rFonts w:asciiTheme="majorHAnsi" w:hAnsiTheme="majorHAnsi" w:cstheme="majorHAnsi"/>
        </w:rPr>
        <w:t>he angiosperm molecular fossil</w:t>
      </w:r>
      <w:r>
        <w:rPr>
          <w:rFonts w:asciiTheme="majorHAnsi" w:hAnsiTheme="majorHAnsi" w:cstheme="majorHAnsi"/>
        </w:rPr>
        <w:tab/>
      </w:r>
      <w:r w:rsidRPr="009264F1">
        <w:rPr>
          <w:rFonts w:asciiTheme="majorHAnsi" w:hAnsiTheme="majorHAnsi" w:cstheme="majorHAnsi"/>
        </w:rPr>
        <w:t xml:space="preserve">oleanane in Paleozoic and Mesozoic non-angiospermous fossils. </w:t>
      </w:r>
      <w:r>
        <w:rPr>
          <w:rFonts w:asciiTheme="majorHAnsi" w:hAnsiTheme="majorHAnsi" w:cstheme="majorHAnsi"/>
          <w:i/>
        </w:rPr>
        <w:t>Paleobiology,</w:t>
      </w:r>
      <w:r>
        <w:rPr>
          <w:rFonts w:asciiTheme="majorHAnsi" w:hAnsiTheme="majorHAnsi" w:cstheme="majorHAnsi"/>
          <w:i/>
        </w:rPr>
        <w:tab/>
      </w:r>
      <w:r w:rsidRPr="009264F1">
        <w:rPr>
          <w:rFonts w:asciiTheme="majorHAnsi" w:hAnsiTheme="majorHAnsi" w:cstheme="majorHAnsi"/>
          <w:i/>
        </w:rPr>
        <w:t>32(2),</w:t>
      </w:r>
      <w:r w:rsidRPr="009264F1">
        <w:rPr>
          <w:rFonts w:asciiTheme="majorHAnsi" w:hAnsiTheme="majorHAnsi" w:cstheme="majorHAnsi"/>
        </w:rPr>
        <w:t xml:space="preserve"> 179-190. </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t xml:space="preserve">ten Haven, H.L., </w:t>
      </w:r>
      <w:r>
        <w:t>de Leeuw, J.W., Schenck, P.A. 1985</w:t>
      </w:r>
      <w:r w:rsidRPr="009264F1">
        <w:t>. Or</w:t>
      </w:r>
      <w:r>
        <w:t xml:space="preserve">ganic geochemical studies of </w:t>
      </w:r>
      <w:r>
        <w:tab/>
        <w:t xml:space="preserve">a </w:t>
      </w:r>
      <w:r w:rsidRPr="009264F1">
        <w:t xml:space="preserve">Messinian evaporitic basin, northern Apennines (Italy) I: hydrocarbon </w:t>
      </w:r>
      <w:r w:rsidRPr="009264F1">
        <w:tab/>
        <w:t xml:space="preserve">biological markers for a hypersaline environment. </w:t>
      </w:r>
      <w:r w:rsidRPr="009264F1">
        <w:rPr>
          <w:i/>
        </w:rPr>
        <w:t xml:space="preserve">Geochimica et Cosmochimica </w:t>
      </w:r>
      <w:r w:rsidRPr="009264F1">
        <w:rPr>
          <w:i/>
        </w:rPr>
        <w:tab/>
        <w:t>Acta 49,</w:t>
      </w:r>
      <w:r w:rsidRPr="009264F1">
        <w:t xml:space="preserve"> 2181–2191.</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Thompson, M. L. 1944</w:t>
      </w:r>
      <w:r w:rsidRPr="009264F1">
        <w:rPr>
          <w:rFonts w:asciiTheme="majorHAnsi" w:hAnsiTheme="majorHAnsi" w:cstheme="majorHAnsi"/>
        </w:rPr>
        <w:t xml:space="preserve">. Pennsylvanian rocks and fusulinids of Kansas. </w:t>
      </w:r>
      <w:r w:rsidRPr="009264F1">
        <w:rPr>
          <w:rFonts w:asciiTheme="majorHAnsi" w:hAnsiTheme="majorHAnsi" w:cstheme="majorHAnsi"/>
          <w:i/>
        </w:rPr>
        <w:t xml:space="preserve">Kansas </w:t>
      </w:r>
      <w:r w:rsidRPr="009264F1">
        <w:rPr>
          <w:rFonts w:asciiTheme="majorHAnsi" w:hAnsiTheme="majorHAnsi" w:cstheme="majorHAnsi"/>
          <w:i/>
        </w:rPr>
        <w:tab/>
        <w:t>Geological Survey Bulletin, 52,</w:t>
      </w:r>
      <w:r w:rsidRPr="009264F1">
        <w:rPr>
          <w:rFonts w:asciiTheme="majorHAnsi" w:hAnsiTheme="majorHAnsi" w:cstheme="majorHAnsi"/>
        </w:rPr>
        <w:t xml:space="preserve"> 409-431.</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Tissot, B. P., Welte, D. H. 1984</w:t>
      </w:r>
      <w:r w:rsidRPr="009264F1">
        <w:rPr>
          <w:rFonts w:asciiTheme="majorHAnsi" w:hAnsiTheme="majorHAnsi" w:cstheme="majorHAnsi"/>
        </w:rPr>
        <w:t xml:space="preserve">. Petroleum formation and occurrence. Berlin: </w:t>
      </w:r>
      <w:r w:rsidRPr="009264F1">
        <w:rPr>
          <w:rFonts w:asciiTheme="majorHAnsi" w:hAnsiTheme="majorHAnsi" w:cstheme="majorHAnsi"/>
        </w:rPr>
        <w:tab/>
        <w:t>Springer.</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shd w:val="clear" w:color="auto" w:fill="FFFFFF"/>
        </w:rPr>
        <w:t>Totten, R. B. 1956</w:t>
      </w:r>
      <w:r w:rsidRPr="009264F1">
        <w:rPr>
          <w:shd w:val="clear" w:color="auto" w:fill="FFFFFF"/>
        </w:rPr>
        <w:t xml:space="preserve">. General Geology and Historical Development, Texas and Oklahoma </w:t>
      </w:r>
      <w:r w:rsidRPr="009264F1">
        <w:rPr>
          <w:shd w:val="clear" w:color="auto" w:fill="FFFFFF"/>
        </w:rPr>
        <w:tab/>
        <w:t>Panhandles. </w:t>
      </w:r>
      <w:r w:rsidRPr="009264F1">
        <w:rPr>
          <w:i/>
          <w:iCs/>
        </w:rPr>
        <w:t>AAPG Bulletin, 40</w:t>
      </w:r>
      <w:r w:rsidRPr="009264F1">
        <w:rPr>
          <w:shd w:val="clear" w:color="auto" w:fill="FFFFFF"/>
        </w:rPr>
        <w:t>.</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Tsiris, V. L. 1983</w:t>
      </w:r>
      <w:r w:rsidRPr="009264F1">
        <w:rPr>
          <w:rFonts w:asciiTheme="majorHAnsi" w:hAnsiTheme="majorHAnsi" w:cstheme="majorHAnsi"/>
        </w:rPr>
        <w:t xml:space="preserve">. Organic Geochemistry and Thermal History of the Uppermost </w:t>
      </w:r>
      <w:r w:rsidRPr="009264F1">
        <w:rPr>
          <w:rFonts w:asciiTheme="majorHAnsi" w:hAnsiTheme="majorHAnsi" w:cstheme="majorHAnsi"/>
        </w:rPr>
        <w:tab/>
        <w:t xml:space="preserve">Morrow Shale (Lower Pennsylvanian) in the Anadarko Basin, Oklahoma </w:t>
      </w:r>
      <w:r w:rsidRPr="009264F1">
        <w:rPr>
          <w:rFonts w:asciiTheme="majorHAnsi" w:hAnsiTheme="majorHAnsi" w:cstheme="majorHAnsi"/>
        </w:rPr>
        <w:tab/>
        <w:t xml:space="preserve">(Unpublished master's thesis). </w:t>
      </w:r>
      <w:r w:rsidRPr="009264F1">
        <w:rPr>
          <w:rFonts w:asciiTheme="majorHAnsi" w:hAnsiTheme="majorHAnsi" w:cstheme="majorHAnsi"/>
          <w:i/>
        </w:rPr>
        <w:t>The University of Oklahoma</w:t>
      </w:r>
      <w:r w:rsidRPr="009264F1">
        <w:rPr>
          <w:rFonts w:asciiTheme="majorHAnsi" w:hAnsiTheme="majorHAnsi" w:cstheme="majorHAnsi"/>
        </w:rPr>
        <w:t>.</w:t>
      </w:r>
    </w:p>
    <w:p w:rsidR="00C87CE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Udo</w:t>
      </w:r>
      <w:r w:rsidR="00706671">
        <w:rPr>
          <w:rFonts w:asciiTheme="majorHAnsi" w:hAnsiTheme="majorHAnsi" w:cstheme="majorHAnsi"/>
        </w:rPr>
        <w:t>,</w:t>
      </w:r>
      <w:r w:rsidRPr="009264F1">
        <w:rPr>
          <w:rFonts w:asciiTheme="majorHAnsi" w:hAnsiTheme="majorHAnsi" w:cstheme="majorHAnsi"/>
        </w:rPr>
        <w:t xml:space="preserve"> O. T. and Ekweozor</w:t>
      </w:r>
      <w:r w:rsidR="00706671">
        <w:rPr>
          <w:rFonts w:asciiTheme="majorHAnsi" w:hAnsiTheme="majorHAnsi" w:cstheme="majorHAnsi"/>
        </w:rPr>
        <w:t>,</w:t>
      </w:r>
      <w:r w:rsidRPr="009264F1">
        <w:rPr>
          <w:rFonts w:asciiTheme="majorHAnsi" w:hAnsiTheme="majorHAnsi" w:cstheme="majorHAnsi"/>
        </w:rPr>
        <w:t xml:space="preserve"> C. M. 1990</w:t>
      </w:r>
      <w:r>
        <w:rPr>
          <w:rFonts w:asciiTheme="majorHAnsi" w:hAnsiTheme="majorHAnsi" w:cstheme="majorHAnsi"/>
        </w:rPr>
        <w:t>.</w:t>
      </w:r>
      <w:r w:rsidRPr="009264F1">
        <w:rPr>
          <w:rFonts w:asciiTheme="majorHAnsi" w:hAnsiTheme="majorHAnsi" w:cstheme="majorHAnsi"/>
        </w:rPr>
        <w:t xml:space="preserve"> Significance of oleanane occurrence in shales of </w:t>
      </w:r>
      <w:r>
        <w:rPr>
          <w:rFonts w:asciiTheme="majorHAnsi" w:hAnsiTheme="majorHAnsi" w:cstheme="majorHAnsi"/>
        </w:rPr>
        <w:tab/>
      </w:r>
      <w:r w:rsidRPr="009264F1">
        <w:rPr>
          <w:rFonts w:asciiTheme="majorHAnsi" w:hAnsiTheme="majorHAnsi" w:cstheme="majorHAnsi"/>
        </w:rPr>
        <w:t xml:space="preserve">Opuama Channel Complex, Niger delta. </w:t>
      </w:r>
      <w:r w:rsidRPr="009264F1">
        <w:rPr>
          <w:rFonts w:asciiTheme="majorHAnsi" w:hAnsiTheme="majorHAnsi" w:cstheme="majorHAnsi"/>
          <w:i/>
        </w:rPr>
        <w:t>Energy Fuels 4,</w:t>
      </w:r>
      <w:r w:rsidRPr="009264F1">
        <w:rPr>
          <w:rFonts w:asciiTheme="majorHAnsi" w:hAnsiTheme="majorHAnsi" w:cstheme="majorHAnsi"/>
        </w:rPr>
        <w:t xml:space="preserve"> 248-254.</w:t>
      </w:r>
    </w:p>
    <w:p w:rsidR="00C87CE1" w:rsidRPr="009264F1" w:rsidRDefault="00436E1E"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van Aa</w:t>
      </w:r>
      <w:r w:rsidR="00C87CE1" w:rsidRPr="002030C1">
        <w:rPr>
          <w:rFonts w:asciiTheme="majorHAnsi" w:hAnsiTheme="majorHAnsi" w:cstheme="majorHAnsi"/>
        </w:rPr>
        <w:t>rs</w:t>
      </w:r>
      <w:r>
        <w:rPr>
          <w:rFonts w:asciiTheme="majorHAnsi" w:hAnsiTheme="majorHAnsi" w:cstheme="majorHAnsi"/>
        </w:rPr>
        <w:t>s</w:t>
      </w:r>
      <w:r w:rsidR="00C87CE1" w:rsidRPr="002030C1">
        <w:rPr>
          <w:rFonts w:asciiTheme="majorHAnsi" w:hAnsiTheme="majorHAnsi" w:cstheme="majorHAnsi"/>
        </w:rPr>
        <w:t>en, B.G.K.,</w:t>
      </w:r>
      <w:r w:rsidR="00C87CE1">
        <w:rPr>
          <w:rFonts w:asciiTheme="majorHAnsi" w:hAnsiTheme="majorHAnsi" w:cstheme="majorHAnsi"/>
        </w:rPr>
        <w:t xml:space="preserve"> Alexander, R., Kagi, R.I. 2000.</w:t>
      </w:r>
      <w:r w:rsidR="00C87CE1" w:rsidRPr="002030C1">
        <w:rPr>
          <w:rFonts w:asciiTheme="majorHAnsi" w:hAnsiTheme="majorHAnsi" w:cstheme="majorHAnsi"/>
        </w:rPr>
        <w:t xml:space="preserve"> Higher plant biomarkers </w:t>
      </w:r>
      <w:r w:rsidR="00C87CE1" w:rsidRPr="002030C1">
        <w:rPr>
          <w:rFonts w:asciiTheme="majorHAnsi" w:hAnsiTheme="majorHAnsi" w:cstheme="majorHAnsi"/>
        </w:rPr>
        <w:tab/>
        <w:t xml:space="preserve">reflect paleovegetation changes during the Jurassic times. </w:t>
      </w:r>
      <w:r w:rsidR="00C87CE1" w:rsidRPr="00436E1E">
        <w:rPr>
          <w:rFonts w:asciiTheme="majorHAnsi" w:hAnsiTheme="majorHAnsi" w:cstheme="majorHAnsi"/>
          <w:i/>
        </w:rPr>
        <w:t xml:space="preserve">Geochimica et </w:t>
      </w:r>
      <w:r w:rsidR="00C87CE1" w:rsidRPr="00436E1E">
        <w:rPr>
          <w:rFonts w:asciiTheme="majorHAnsi" w:hAnsiTheme="majorHAnsi" w:cstheme="majorHAnsi"/>
          <w:i/>
        </w:rPr>
        <w:tab/>
        <w:t>Cosmochimica Acta 64</w:t>
      </w:r>
      <w:r w:rsidR="00C87CE1">
        <w:rPr>
          <w:rFonts w:asciiTheme="majorHAnsi" w:hAnsiTheme="majorHAnsi" w:cstheme="majorHAnsi"/>
        </w:rPr>
        <w:t>, 1417-1424.</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van Krevelen, D.W.</w:t>
      </w:r>
      <w:r w:rsidRPr="009264F1">
        <w:rPr>
          <w:rFonts w:asciiTheme="majorHAnsi" w:hAnsiTheme="majorHAnsi" w:cstheme="majorHAnsi"/>
        </w:rPr>
        <w:t xml:space="preserve"> 1950. Graphical-statistical method for the study of structure and </w:t>
      </w:r>
      <w:r w:rsidRPr="009264F1">
        <w:rPr>
          <w:rFonts w:asciiTheme="majorHAnsi" w:hAnsiTheme="majorHAnsi" w:cstheme="majorHAnsi"/>
        </w:rPr>
        <w:tab/>
        <w:t>reaction processes of coal,</w:t>
      </w:r>
      <w:r w:rsidRPr="009264F1">
        <w:rPr>
          <w:rFonts w:asciiTheme="majorHAnsi" w:hAnsiTheme="majorHAnsi" w:cstheme="majorHAnsi"/>
          <w:i/>
        </w:rPr>
        <w:t xml:space="preserve"> Fuel, 29</w:t>
      </w:r>
      <w:r w:rsidRPr="009264F1">
        <w:rPr>
          <w:rFonts w:asciiTheme="majorHAnsi" w:hAnsiTheme="majorHAnsi" w:cstheme="majorHAnsi"/>
        </w:rPr>
        <w:t>, 269-284</w:t>
      </w:r>
    </w:p>
    <w:p w:rsidR="00C87CE1" w:rsidRPr="00785F43" w:rsidRDefault="00E77BBB" w:rsidP="00C87CE1">
      <w:pPr>
        <w:spacing w:before="100" w:beforeAutospacing="1" w:after="100" w:afterAutospacing="1" w:line="240" w:lineRule="auto"/>
        <w:jc w:val="both"/>
        <w:rPr>
          <w:i/>
          <w:color w:val="000000" w:themeColor="text1"/>
          <w:shd w:val="clear" w:color="auto" w:fill="FFFFFF"/>
        </w:rPr>
      </w:pPr>
      <w:r>
        <w:rPr>
          <w:color w:val="000000" w:themeColor="text1"/>
          <w:shd w:val="clear" w:color="auto" w:fill="FFFFFF"/>
        </w:rPr>
        <w:t>van Kre</w:t>
      </w:r>
      <w:r w:rsidR="00C87CE1" w:rsidRPr="00785F43">
        <w:rPr>
          <w:color w:val="000000" w:themeColor="text1"/>
          <w:shd w:val="clear" w:color="auto" w:fill="FFFFFF"/>
        </w:rPr>
        <w:t>velen, D. W. 1984. </w:t>
      </w:r>
      <w:r w:rsidR="00C87CE1" w:rsidRPr="00785F43">
        <w:rPr>
          <w:iCs/>
          <w:color w:val="000000" w:themeColor="text1"/>
        </w:rPr>
        <w:t xml:space="preserve">Coal: typology, chemistry, physics, constitution </w:t>
      </w:r>
      <w:r w:rsidR="00C87CE1" w:rsidRPr="00785F43">
        <w:rPr>
          <w:color w:val="000000" w:themeColor="text1"/>
          <w:shd w:val="clear" w:color="auto" w:fill="FFFFFF"/>
        </w:rPr>
        <w:t xml:space="preserve">(3rd ed.). </w:t>
      </w:r>
      <w:r w:rsidR="00C87CE1" w:rsidRPr="00785F43">
        <w:rPr>
          <w:color w:val="000000" w:themeColor="text1"/>
          <w:shd w:val="clear" w:color="auto" w:fill="FFFFFF"/>
        </w:rPr>
        <w:tab/>
      </w:r>
      <w:r w:rsidR="00C87CE1" w:rsidRPr="00785F43">
        <w:rPr>
          <w:i/>
          <w:color w:val="000000" w:themeColor="text1"/>
          <w:shd w:val="clear" w:color="auto" w:fill="FFFFFF"/>
        </w:rPr>
        <w:t>Elsevier.</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t>Volk</w:t>
      </w:r>
      <w:r w:rsidR="00736DA4">
        <w:t>,</w:t>
      </w:r>
      <w:r w:rsidRPr="009264F1">
        <w:t xml:space="preserve"> H</w:t>
      </w:r>
      <w:r w:rsidR="00736DA4">
        <w:t>.</w:t>
      </w:r>
      <w:r w:rsidRPr="009264F1">
        <w:t>, George</w:t>
      </w:r>
      <w:r w:rsidR="00736DA4">
        <w:t>,</w:t>
      </w:r>
      <w:r w:rsidRPr="009264F1">
        <w:t xml:space="preserve"> S</w:t>
      </w:r>
      <w:r w:rsidR="00736DA4">
        <w:t>.</w:t>
      </w:r>
      <w:r w:rsidRPr="009264F1">
        <w:t>C</w:t>
      </w:r>
      <w:r w:rsidR="00736DA4">
        <w:t>.</w:t>
      </w:r>
      <w:r w:rsidRPr="009264F1">
        <w:t>, Dutkiewicz</w:t>
      </w:r>
      <w:r w:rsidR="00736DA4">
        <w:t>,</w:t>
      </w:r>
      <w:r w:rsidRPr="009264F1">
        <w:t xml:space="preserve"> A</w:t>
      </w:r>
      <w:r w:rsidR="00736DA4">
        <w:t>.</w:t>
      </w:r>
      <w:r w:rsidRPr="009264F1">
        <w:t>, Ridley</w:t>
      </w:r>
      <w:r w:rsidR="00736DA4">
        <w:t>,</w:t>
      </w:r>
      <w:r w:rsidRPr="009264F1">
        <w:t xml:space="preserve"> J</w:t>
      </w:r>
      <w:r>
        <w:t>.</w:t>
      </w:r>
      <w:r w:rsidRPr="009264F1">
        <w:t xml:space="preserve"> 2005. Chara</w:t>
      </w:r>
      <w:r w:rsidR="00736DA4">
        <w:t xml:space="preserve">cterisation of fluid </w:t>
      </w:r>
      <w:r w:rsidR="00736DA4">
        <w:tab/>
        <w:t xml:space="preserve">inclusion </w:t>
      </w:r>
      <w:r w:rsidRPr="009264F1">
        <w:t xml:space="preserve">oil in a mid-Proterozoic sandstone and dolerite </w:t>
      </w:r>
      <w:r w:rsidR="00736DA4">
        <w:t xml:space="preserve">(Roper Superbasin, </w:t>
      </w:r>
      <w:r w:rsidR="00736DA4">
        <w:tab/>
        <w:t xml:space="preserve">Australia). </w:t>
      </w:r>
      <w:r w:rsidRPr="009264F1">
        <w:rPr>
          <w:i/>
        </w:rPr>
        <w:t>Chem</w:t>
      </w:r>
      <w:r>
        <w:rPr>
          <w:i/>
        </w:rPr>
        <w:t>ical</w:t>
      </w:r>
      <w:r w:rsidRPr="009264F1">
        <w:rPr>
          <w:i/>
        </w:rPr>
        <w:t xml:space="preserve"> Geol</w:t>
      </w:r>
      <w:r>
        <w:rPr>
          <w:i/>
        </w:rPr>
        <w:t>ology</w:t>
      </w:r>
      <w:r w:rsidRPr="009264F1">
        <w:rPr>
          <w:i/>
        </w:rPr>
        <w:t xml:space="preserve"> 223</w:t>
      </w:r>
      <w:r>
        <w:t xml:space="preserve">, </w:t>
      </w:r>
      <w:r w:rsidRPr="009264F1">
        <w:t>109–135</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lastRenderedPageBreak/>
        <w:t>Volkman, J. K., Alexander, R., K</w:t>
      </w:r>
      <w:r>
        <w:rPr>
          <w:rFonts w:asciiTheme="majorHAnsi" w:hAnsiTheme="majorHAnsi" w:cstheme="majorHAnsi"/>
        </w:rPr>
        <w:t>agi, R. I., Woodhouse, G. W. 1983</w:t>
      </w:r>
      <w:r w:rsidRPr="009264F1">
        <w:rPr>
          <w:rFonts w:asciiTheme="majorHAnsi" w:hAnsiTheme="majorHAnsi" w:cstheme="majorHAnsi"/>
        </w:rPr>
        <w:t xml:space="preserve">. Demethylated </w:t>
      </w:r>
      <w:r w:rsidRPr="009264F1">
        <w:rPr>
          <w:rFonts w:asciiTheme="majorHAnsi" w:hAnsiTheme="majorHAnsi" w:cstheme="majorHAnsi"/>
        </w:rPr>
        <w:tab/>
        <w:t xml:space="preserve">hopanes in crude oils and their applications in petroleum geochemistry. </w:t>
      </w:r>
      <w:r w:rsidRPr="009264F1">
        <w:rPr>
          <w:rFonts w:asciiTheme="majorHAnsi" w:hAnsiTheme="majorHAnsi" w:cstheme="majorHAnsi"/>
        </w:rPr>
        <w:tab/>
      </w:r>
      <w:r w:rsidRPr="009264F1">
        <w:rPr>
          <w:rFonts w:asciiTheme="majorHAnsi" w:hAnsiTheme="majorHAnsi" w:cstheme="majorHAnsi"/>
          <w:i/>
        </w:rPr>
        <w:t>Geochimica et Cosmochimica Acta, 47(4)</w:t>
      </w:r>
      <w:r w:rsidRPr="009264F1">
        <w:rPr>
          <w:rFonts w:asciiTheme="majorHAnsi" w:hAnsiTheme="majorHAnsi" w:cstheme="majorHAnsi"/>
        </w:rPr>
        <w:t>, 785-794.</w:t>
      </w:r>
    </w:p>
    <w:p w:rsidR="00C87CE1" w:rsidRPr="009264F1" w:rsidRDefault="00C87CE1" w:rsidP="00C87CE1">
      <w:pPr>
        <w:spacing w:before="100" w:beforeAutospacing="1" w:after="100" w:afterAutospacing="1" w:line="240" w:lineRule="auto"/>
        <w:jc w:val="both"/>
        <w:rPr>
          <w:rFonts w:asciiTheme="majorHAnsi" w:hAnsiTheme="majorHAnsi" w:cstheme="majorHAnsi"/>
        </w:rPr>
      </w:pPr>
      <w:r>
        <w:rPr>
          <w:rFonts w:asciiTheme="majorHAnsi" w:hAnsiTheme="majorHAnsi" w:cstheme="majorHAnsi"/>
        </w:rPr>
        <w:t>Volkman, J. K. 1986</w:t>
      </w:r>
      <w:r w:rsidRPr="009264F1">
        <w:rPr>
          <w:rFonts w:asciiTheme="majorHAnsi" w:hAnsiTheme="majorHAnsi" w:cstheme="majorHAnsi"/>
        </w:rPr>
        <w:t xml:space="preserve">. A review of sterol markers for marine and terrigenous organic </w:t>
      </w:r>
      <w:r>
        <w:rPr>
          <w:rFonts w:asciiTheme="majorHAnsi" w:hAnsiTheme="majorHAnsi" w:cstheme="majorHAnsi"/>
        </w:rPr>
        <w:tab/>
      </w:r>
      <w:r w:rsidRPr="009264F1">
        <w:rPr>
          <w:rFonts w:asciiTheme="majorHAnsi" w:hAnsiTheme="majorHAnsi" w:cstheme="majorHAnsi"/>
        </w:rPr>
        <w:t xml:space="preserve">matter. </w:t>
      </w:r>
      <w:r w:rsidRPr="009264F1">
        <w:rPr>
          <w:rFonts w:asciiTheme="majorHAnsi" w:hAnsiTheme="majorHAnsi" w:cstheme="majorHAnsi"/>
          <w:i/>
        </w:rPr>
        <w:t>Organic Geochemistry, 9(2),</w:t>
      </w:r>
      <w:r w:rsidRPr="009264F1">
        <w:rPr>
          <w:rFonts w:asciiTheme="majorHAnsi" w:hAnsiTheme="majorHAnsi" w:cstheme="majorHAnsi"/>
        </w:rPr>
        <w:t xml:space="preserve"> 83-99.</w:t>
      </w:r>
    </w:p>
    <w:p w:rsidR="00C87CE1" w:rsidRDefault="00C87CE1" w:rsidP="00C87CE1">
      <w:pPr>
        <w:spacing w:line="240" w:lineRule="auto"/>
        <w:jc w:val="both"/>
        <w:rPr>
          <w:rFonts w:asciiTheme="majorHAnsi" w:hAnsiTheme="majorHAnsi" w:cstheme="majorHAnsi"/>
        </w:rPr>
      </w:pPr>
      <w:r w:rsidRPr="009264F1">
        <w:rPr>
          <w:rFonts w:asciiTheme="majorHAnsi" w:hAnsiTheme="majorHAnsi" w:cstheme="majorHAnsi"/>
        </w:rPr>
        <w:t>Volkman</w:t>
      </w:r>
      <w:r w:rsidR="00736DA4">
        <w:rPr>
          <w:rFonts w:asciiTheme="majorHAnsi" w:hAnsiTheme="majorHAnsi" w:cstheme="majorHAnsi"/>
        </w:rPr>
        <w:t>,</w:t>
      </w:r>
      <w:r w:rsidRPr="009264F1">
        <w:rPr>
          <w:rFonts w:asciiTheme="majorHAnsi" w:hAnsiTheme="majorHAnsi" w:cstheme="majorHAnsi"/>
        </w:rPr>
        <w:t xml:space="preserve"> J. K</w:t>
      </w:r>
      <w:r w:rsidR="000576EC">
        <w:rPr>
          <w:rFonts w:asciiTheme="majorHAnsi" w:hAnsiTheme="majorHAnsi" w:cstheme="majorHAnsi"/>
        </w:rPr>
        <w:t>.</w:t>
      </w:r>
      <w:r w:rsidRPr="009264F1">
        <w:rPr>
          <w:rFonts w:asciiTheme="majorHAnsi" w:hAnsiTheme="majorHAnsi" w:cstheme="majorHAnsi"/>
        </w:rPr>
        <w:t>, Banks</w:t>
      </w:r>
      <w:r w:rsidR="00736DA4">
        <w:rPr>
          <w:rFonts w:asciiTheme="majorHAnsi" w:hAnsiTheme="majorHAnsi" w:cstheme="majorHAnsi"/>
        </w:rPr>
        <w:t>,</w:t>
      </w:r>
      <w:r w:rsidRPr="009264F1">
        <w:rPr>
          <w:rFonts w:asciiTheme="majorHAnsi" w:hAnsiTheme="majorHAnsi" w:cstheme="majorHAnsi"/>
        </w:rPr>
        <w:t xml:space="preserve"> M. R., D</w:t>
      </w:r>
      <w:r>
        <w:rPr>
          <w:rFonts w:asciiTheme="majorHAnsi" w:hAnsiTheme="majorHAnsi" w:cstheme="majorHAnsi"/>
        </w:rPr>
        <w:t>enwer</w:t>
      </w:r>
      <w:r w:rsidR="00736DA4">
        <w:rPr>
          <w:rFonts w:asciiTheme="majorHAnsi" w:hAnsiTheme="majorHAnsi" w:cstheme="majorHAnsi"/>
        </w:rPr>
        <w:t>,</w:t>
      </w:r>
      <w:r>
        <w:rPr>
          <w:rFonts w:asciiTheme="majorHAnsi" w:hAnsiTheme="majorHAnsi" w:cstheme="majorHAnsi"/>
        </w:rPr>
        <w:t xml:space="preserve"> K. Aquino Neto</w:t>
      </w:r>
      <w:r w:rsidR="00736DA4">
        <w:rPr>
          <w:rFonts w:asciiTheme="majorHAnsi" w:hAnsiTheme="majorHAnsi" w:cstheme="majorHAnsi"/>
        </w:rPr>
        <w:t>,</w:t>
      </w:r>
      <w:r>
        <w:rPr>
          <w:rFonts w:asciiTheme="majorHAnsi" w:hAnsiTheme="majorHAnsi" w:cstheme="majorHAnsi"/>
        </w:rPr>
        <w:t xml:space="preserve"> F. R. 1989.</w:t>
      </w:r>
      <w:r w:rsidRPr="009264F1">
        <w:rPr>
          <w:rFonts w:asciiTheme="majorHAnsi" w:hAnsiTheme="majorHAnsi" w:cstheme="majorHAnsi"/>
        </w:rPr>
        <w:t xml:space="preserve"> Biomarker </w:t>
      </w:r>
      <w:r w:rsidR="00736DA4">
        <w:rPr>
          <w:rFonts w:asciiTheme="majorHAnsi" w:hAnsiTheme="majorHAnsi" w:cstheme="majorHAnsi"/>
        </w:rPr>
        <w:tab/>
      </w:r>
      <w:r>
        <w:rPr>
          <w:rFonts w:asciiTheme="majorHAnsi" w:hAnsiTheme="majorHAnsi" w:cstheme="majorHAnsi"/>
        </w:rPr>
        <w:t>composition</w:t>
      </w:r>
      <w:r w:rsidR="00736DA4">
        <w:rPr>
          <w:rFonts w:asciiTheme="majorHAnsi" w:hAnsiTheme="majorHAnsi" w:cstheme="majorHAnsi"/>
        </w:rPr>
        <w:t xml:space="preserve"> </w:t>
      </w:r>
      <w:r w:rsidRPr="009264F1">
        <w:rPr>
          <w:rFonts w:asciiTheme="majorHAnsi" w:hAnsiTheme="majorHAnsi" w:cstheme="majorHAnsi"/>
        </w:rPr>
        <w:t>and depositional setting of tas</w:t>
      </w:r>
      <w:r>
        <w:rPr>
          <w:rFonts w:asciiTheme="majorHAnsi" w:hAnsiTheme="majorHAnsi" w:cstheme="majorHAnsi"/>
        </w:rPr>
        <w:t xml:space="preserve">manite oil shale from northern </w:t>
      </w:r>
      <w:r w:rsidR="00736DA4">
        <w:rPr>
          <w:rFonts w:asciiTheme="majorHAnsi" w:hAnsiTheme="majorHAnsi" w:cstheme="majorHAnsi"/>
        </w:rPr>
        <w:tab/>
      </w:r>
      <w:r w:rsidRPr="009264F1">
        <w:rPr>
          <w:rFonts w:asciiTheme="majorHAnsi" w:hAnsiTheme="majorHAnsi" w:cstheme="majorHAnsi"/>
        </w:rPr>
        <w:t xml:space="preserve">Tasmania, Australia. </w:t>
      </w:r>
      <w:r w:rsidRPr="009264F1">
        <w:rPr>
          <w:rFonts w:asciiTheme="majorHAnsi" w:hAnsiTheme="majorHAnsi" w:cstheme="majorHAnsi"/>
          <w:i/>
        </w:rPr>
        <w:t>Paper presented at the</w:t>
      </w:r>
      <w:r>
        <w:rPr>
          <w:rFonts w:asciiTheme="majorHAnsi" w:hAnsiTheme="majorHAnsi" w:cstheme="majorHAnsi"/>
          <w:i/>
        </w:rPr>
        <w:t xml:space="preserve"> 14th International Meeting on </w:t>
      </w:r>
      <w:r w:rsidR="00736DA4">
        <w:rPr>
          <w:rFonts w:asciiTheme="majorHAnsi" w:hAnsiTheme="majorHAnsi" w:cstheme="majorHAnsi"/>
          <w:i/>
        </w:rPr>
        <w:tab/>
      </w:r>
      <w:r>
        <w:rPr>
          <w:rFonts w:asciiTheme="majorHAnsi" w:hAnsiTheme="majorHAnsi" w:cstheme="majorHAnsi"/>
          <w:i/>
        </w:rPr>
        <w:t xml:space="preserve">Organic </w:t>
      </w:r>
      <w:r w:rsidRPr="009264F1">
        <w:rPr>
          <w:rFonts w:asciiTheme="majorHAnsi" w:hAnsiTheme="majorHAnsi" w:cstheme="majorHAnsi"/>
          <w:i/>
        </w:rPr>
        <w:t>Geochemistry, Paris, France</w:t>
      </w:r>
      <w:r w:rsidRPr="009264F1">
        <w:rPr>
          <w:rFonts w:asciiTheme="majorHAnsi" w:hAnsiTheme="majorHAnsi" w:cstheme="majorHAnsi"/>
        </w:rPr>
        <w:t>.</w:t>
      </w:r>
    </w:p>
    <w:p w:rsidR="00736DA4" w:rsidRPr="009264F1" w:rsidRDefault="00736DA4" w:rsidP="00C87CE1">
      <w:pPr>
        <w:spacing w:line="240" w:lineRule="auto"/>
        <w:jc w:val="both"/>
        <w:rPr>
          <w:rFonts w:asciiTheme="majorHAnsi" w:hAnsiTheme="majorHAnsi" w:cstheme="majorHAnsi"/>
        </w:rPr>
      </w:pPr>
    </w:p>
    <w:p w:rsidR="00C87CE1" w:rsidRDefault="00C87CE1" w:rsidP="00C87CE1">
      <w:pPr>
        <w:spacing w:line="240" w:lineRule="auto"/>
        <w:jc w:val="both"/>
        <w:rPr>
          <w:rFonts w:asciiTheme="majorHAnsi" w:hAnsiTheme="majorHAnsi" w:cstheme="majorHAnsi"/>
        </w:rPr>
      </w:pPr>
      <w:r w:rsidRPr="00F32B70">
        <w:rPr>
          <w:rFonts w:asciiTheme="majorHAnsi" w:hAnsiTheme="majorHAnsi" w:cstheme="majorHAnsi"/>
        </w:rPr>
        <w:t xml:space="preserve">Volkman, J. </w:t>
      </w:r>
      <w:r>
        <w:rPr>
          <w:rFonts w:asciiTheme="majorHAnsi" w:hAnsiTheme="majorHAnsi" w:cstheme="majorHAnsi"/>
        </w:rPr>
        <w:t xml:space="preserve">K. 2003. Sterols in microorganisms. </w:t>
      </w:r>
      <w:r w:rsidRPr="00F32B70">
        <w:rPr>
          <w:rFonts w:asciiTheme="majorHAnsi" w:hAnsiTheme="majorHAnsi" w:cstheme="majorHAnsi"/>
          <w:i/>
        </w:rPr>
        <w:t xml:space="preserve">Applied Microbiology and </w:t>
      </w:r>
      <w:r>
        <w:rPr>
          <w:rFonts w:asciiTheme="majorHAnsi" w:hAnsiTheme="majorHAnsi" w:cstheme="majorHAnsi"/>
          <w:i/>
        </w:rPr>
        <w:tab/>
      </w:r>
      <w:r w:rsidRPr="00F32B70">
        <w:rPr>
          <w:rFonts w:asciiTheme="majorHAnsi" w:hAnsiTheme="majorHAnsi" w:cstheme="majorHAnsi"/>
          <w:i/>
        </w:rPr>
        <w:t>Biotechnology, 60,</w:t>
      </w:r>
      <w:r w:rsidRPr="00F32B70">
        <w:rPr>
          <w:rFonts w:asciiTheme="majorHAnsi" w:hAnsiTheme="majorHAnsi" w:cstheme="majorHAnsi"/>
        </w:rPr>
        <w:t xml:space="preserve"> 495.</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rPr>
          <w:rStyle w:val="Kpr"/>
          <w:shd w:val="clear" w:color="auto" w:fill="FFFFFF"/>
        </w:rPr>
      </w:pPr>
      <w:r w:rsidRPr="009264F1">
        <w:rPr>
          <w:shd w:val="clear" w:color="auto" w:fill="FFFFFF"/>
        </w:rPr>
        <w:t xml:space="preserve">Waggoner, B. M. (1996, July 2). The Carboniferous Period. Retrieved December 20, </w:t>
      </w:r>
      <w:r w:rsidRPr="009264F1">
        <w:rPr>
          <w:shd w:val="clear" w:color="auto" w:fill="FFFFFF"/>
        </w:rPr>
        <w:tab/>
        <w:t xml:space="preserve">2017, from </w:t>
      </w:r>
      <w:hyperlink r:id="rId90" w:history="1">
        <w:r w:rsidRPr="009264F1">
          <w:rPr>
            <w:rStyle w:val="Kpr"/>
            <w:shd w:val="clear" w:color="auto" w:fill="FFFFFF"/>
          </w:rPr>
          <w:t>http://www.ucmp.berkeley.edu/carboniferous/carboniferous.php</w:t>
        </w:r>
      </w:hyperlink>
    </w:p>
    <w:p w:rsidR="00C87CE1" w:rsidRPr="00814DBA" w:rsidRDefault="00C87CE1" w:rsidP="00C87CE1">
      <w:pPr>
        <w:spacing w:line="240" w:lineRule="auto"/>
        <w:jc w:val="both"/>
        <w:rPr>
          <w:color w:val="323232"/>
          <w:shd w:val="clear" w:color="auto" w:fill="FFFFFF"/>
        </w:rPr>
      </w:pPr>
    </w:p>
    <w:p w:rsidR="00C87CE1" w:rsidRPr="009264F1" w:rsidRDefault="00C87CE1" w:rsidP="00C87CE1">
      <w:pPr>
        <w:spacing w:line="240" w:lineRule="auto"/>
        <w:jc w:val="both"/>
        <w:rPr>
          <w:shd w:val="clear" w:color="auto" w:fill="FFFFFF"/>
        </w:rPr>
      </w:pPr>
      <w:r>
        <w:rPr>
          <w:shd w:val="clear" w:color="auto" w:fill="FFFFFF"/>
        </w:rPr>
        <w:t xml:space="preserve">Walker, P. E. </w:t>
      </w:r>
      <w:r w:rsidRPr="009264F1">
        <w:rPr>
          <w:shd w:val="clear" w:color="auto" w:fill="FFFFFF"/>
        </w:rPr>
        <w:t>198</w:t>
      </w:r>
      <w:r>
        <w:rPr>
          <w:shd w:val="clear" w:color="auto" w:fill="FFFFFF"/>
        </w:rPr>
        <w:t>6</w:t>
      </w:r>
      <w:r w:rsidRPr="009264F1">
        <w:rPr>
          <w:shd w:val="clear" w:color="auto" w:fill="FFFFFF"/>
        </w:rPr>
        <w:t>. </w:t>
      </w:r>
      <w:r w:rsidRPr="009264F1">
        <w:rPr>
          <w:iCs/>
        </w:rPr>
        <w:t xml:space="preserve">A regional study of the diagenetic and geochemical character of </w:t>
      </w:r>
      <w:r w:rsidRPr="009264F1">
        <w:rPr>
          <w:iCs/>
        </w:rPr>
        <w:tab/>
        <w:t xml:space="preserve">the Pennsylvanian Morrow formation, Anadarko basin, Oklahoma </w:t>
      </w:r>
      <w:r w:rsidRPr="009264F1">
        <w:rPr>
          <w:shd w:val="clear" w:color="auto" w:fill="FFFFFF"/>
        </w:rPr>
        <w:t xml:space="preserve">(Unpublished </w:t>
      </w:r>
      <w:r w:rsidRPr="009264F1">
        <w:rPr>
          <w:shd w:val="clear" w:color="auto" w:fill="FFFFFF"/>
        </w:rPr>
        <w:tab/>
        <w:t xml:space="preserve">master's thesis). </w:t>
      </w:r>
      <w:r w:rsidRPr="009264F1">
        <w:rPr>
          <w:i/>
          <w:shd w:val="clear" w:color="auto" w:fill="FFFFFF"/>
        </w:rPr>
        <w:t>Oklahoma State University</w:t>
      </w:r>
      <w:r w:rsidRPr="009264F1">
        <w:rPr>
          <w:shd w:val="clear" w:color="auto" w:fill="FFFFFF"/>
        </w:rPr>
        <w:t>.</w:t>
      </w:r>
    </w:p>
    <w:p w:rsidR="00C87CE1" w:rsidRPr="00D765D4" w:rsidRDefault="00C87CE1" w:rsidP="00C87CE1">
      <w:pPr>
        <w:spacing w:line="240" w:lineRule="auto"/>
        <w:jc w:val="both"/>
        <w:rPr>
          <w:shd w:val="clear" w:color="auto" w:fill="FFFFFF"/>
        </w:rPr>
      </w:pPr>
    </w:p>
    <w:p w:rsidR="00C87CE1" w:rsidRDefault="00C87CE1" w:rsidP="00C87CE1">
      <w:pPr>
        <w:spacing w:line="240" w:lineRule="auto"/>
        <w:jc w:val="both"/>
        <w:rPr>
          <w:i/>
          <w:shd w:val="clear" w:color="auto" w:fill="FFFFFF"/>
        </w:rPr>
      </w:pPr>
      <w:r w:rsidRPr="00D765D4">
        <w:rPr>
          <w:shd w:val="clear" w:color="auto" w:fill="FFFFFF"/>
        </w:rPr>
        <w:t xml:space="preserve">Walters, C. 2007. The origin of petroleum. </w:t>
      </w:r>
      <w:r w:rsidRPr="00D765D4">
        <w:rPr>
          <w:i/>
          <w:shd w:val="clear" w:color="auto" w:fill="FFFFFF"/>
        </w:rPr>
        <w:t xml:space="preserve">Practical Advances in Petroleum Processing, </w:t>
      </w:r>
      <w:r w:rsidRPr="00D765D4">
        <w:rPr>
          <w:i/>
          <w:shd w:val="clear" w:color="auto" w:fill="FFFFFF"/>
        </w:rPr>
        <w:tab/>
        <w:t>79-101</w:t>
      </w:r>
    </w:p>
    <w:p w:rsidR="00736DA4" w:rsidRDefault="00736DA4" w:rsidP="00C87CE1">
      <w:pPr>
        <w:spacing w:before="100" w:beforeAutospacing="1" w:after="100" w:afterAutospacing="1" w:line="240" w:lineRule="auto"/>
        <w:jc w:val="both"/>
        <w:rPr>
          <w:rFonts w:asciiTheme="majorHAnsi" w:hAnsiTheme="majorHAnsi" w:cstheme="majorHAnsi"/>
        </w:rPr>
      </w:pPr>
      <w:r w:rsidRPr="009264F1">
        <w:rPr>
          <w:rFonts w:asciiTheme="majorHAnsi" w:hAnsiTheme="majorHAnsi" w:cstheme="majorHAnsi"/>
        </w:rPr>
        <w:t>Wa</w:t>
      </w:r>
      <w:r>
        <w:rPr>
          <w:rFonts w:asciiTheme="majorHAnsi" w:hAnsiTheme="majorHAnsi" w:cstheme="majorHAnsi"/>
        </w:rPr>
        <w:t>ng, C.Y., Du, J.G., Wang, W.C. 2012</w:t>
      </w:r>
      <w:r w:rsidRPr="009264F1">
        <w:rPr>
          <w:rFonts w:asciiTheme="majorHAnsi" w:hAnsiTheme="majorHAnsi" w:cstheme="majorHAnsi"/>
        </w:rPr>
        <w:t xml:space="preserve">. Distribution and isomerization of terpanes in </w:t>
      </w:r>
      <w:r w:rsidRPr="009264F1">
        <w:rPr>
          <w:rFonts w:asciiTheme="majorHAnsi" w:hAnsiTheme="majorHAnsi" w:cstheme="majorHAnsi"/>
        </w:rPr>
        <w:tab/>
        <w:t xml:space="preserve">pyrolysates of lignite at high pressures and temperatures. </w:t>
      </w:r>
      <w:r w:rsidRPr="009264F1">
        <w:rPr>
          <w:rFonts w:asciiTheme="majorHAnsi" w:hAnsiTheme="majorHAnsi" w:cstheme="majorHAnsi"/>
          <w:i/>
        </w:rPr>
        <w:t xml:space="preserve">Journal of Petroleum </w:t>
      </w:r>
      <w:r w:rsidRPr="009264F1">
        <w:rPr>
          <w:rFonts w:asciiTheme="majorHAnsi" w:hAnsiTheme="majorHAnsi" w:cstheme="majorHAnsi"/>
          <w:i/>
        </w:rPr>
        <w:tab/>
        <w:t>Geology 35</w:t>
      </w:r>
      <w:r>
        <w:rPr>
          <w:rFonts w:asciiTheme="majorHAnsi" w:hAnsiTheme="majorHAnsi" w:cstheme="majorHAnsi"/>
        </w:rPr>
        <w:t>, 377-388.</w:t>
      </w:r>
    </w:p>
    <w:p w:rsidR="00736DA4" w:rsidRPr="009264F1" w:rsidRDefault="00736DA4" w:rsidP="00736DA4">
      <w:pPr>
        <w:spacing w:line="240" w:lineRule="auto"/>
        <w:jc w:val="both"/>
        <w:rPr>
          <w:rFonts w:asciiTheme="majorHAnsi" w:hAnsiTheme="majorHAnsi" w:cstheme="majorHAnsi"/>
        </w:rPr>
      </w:pPr>
      <w:r w:rsidRPr="009264F1">
        <w:rPr>
          <w:rFonts w:asciiTheme="majorHAnsi" w:hAnsiTheme="majorHAnsi" w:cstheme="majorHAnsi"/>
        </w:rPr>
        <w:t>Wang, G., Chang, X</w:t>
      </w:r>
      <w:r>
        <w:rPr>
          <w:rFonts w:asciiTheme="majorHAnsi" w:hAnsiTheme="majorHAnsi" w:cstheme="majorHAnsi"/>
        </w:rPr>
        <w:t>., Wang, T., Simoneit, B. R. 2015. Pregnanes as molecular</w:t>
      </w:r>
      <w:r>
        <w:rPr>
          <w:rFonts w:asciiTheme="majorHAnsi" w:hAnsiTheme="majorHAnsi" w:cstheme="majorHAnsi"/>
        </w:rPr>
        <w:tab/>
      </w:r>
      <w:r w:rsidRPr="009264F1">
        <w:rPr>
          <w:rFonts w:asciiTheme="majorHAnsi" w:hAnsiTheme="majorHAnsi" w:cstheme="majorHAnsi"/>
        </w:rPr>
        <w:t xml:space="preserve">indicators for depositional environments of </w:t>
      </w:r>
      <w:r>
        <w:rPr>
          <w:rFonts w:asciiTheme="majorHAnsi" w:hAnsiTheme="majorHAnsi" w:cstheme="majorHAnsi"/>
        </w:rPr>
        <w:t>sediments and petroleum source</w:t>
      </w:r>
      <w:r>
        <w:rPr>
          <w:rFonts w:asciiTheme="majorHAnsi" w:hAnsiTheme="majorHAnsi" w:cstheme="majorHAnsi"/>
        </w:rPr>
        <w:tab/>
      </w:r>
      <w:r w:rsidRPr="009264F1">
        <w:rPr>
          <w:rFonts w:asciiTheme="majorHAnsi" w:hAnsiTheme="majorHAnsi" w:cstheme="majorHAnsi"/>
        </w:rPr>
        <w:t xml:space="preserve">rocks. </w:t>
      </w:r>
      <w:r w:rsidRPr="009264F1">
        <w:rPr>
          <w:rFonts w:asciiTheme="majorHAnsi" w:hAnsiTheme="majorHAnsi" w:cstheme="majorHAnsi"/>
          <w:i/>
        </w:rPr>
        <w:t>Organic Geochemistry, 78,</w:t>
      </w:r>
      <w:r w:rsidRPr="009264F1">
        <w:rPr>
          <w:rFonts w:asciiTheme="majorHAnsi" w:hAnsiTheme="majorHAnsi" w:cstheme="majorHAnsi"/>
        </w:rPr>
        <w:t xml:space="preserve"> 110-120.</w:t>
      </w:r>
    </w:p>
    <w:p w:rsidR="00C87CE1" w:rsidRPr="009264F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Pr>
          <w:rFonts w:asciiTheme="majorHAnsi" w:hAnsiTheme="majorHAnsi" w:cstheme="majorHAnsi"/>
          <w:bCs/>
          <w:shd w:val="clear" w:color="auto" w:fill="FFFFFF"/>
        </w:rPr>
        <w:t>Wang, H. D. 1993</w:t>
      </w:r>
      <w:r w:rsidRPr="009264F1">
        <w:rPr>
          <w:rFonts w:asciiTheme="majorHAnsi" w:hAnsiTheme="majorHAnsi" w:cstheme="majorHAnsi"/>
          <w:bCs/>
          <w:shd w:val="clear" w:color="auto" w:fill="FFFFFF"/>
        </w:rPr>
        <w:t>.</w:t>
      </w:r>
      <w:r w:rsidRPr="009264F1">
        <w:rPr>
          <w:rStyle w:val="apple-converted-space"/>
          <w:rFonts w:asciiTheme="majorHAnsi" w:hAnsiTheme="majorHAnsi" w:cstheme="majorHAnsi"/>
          <w:bCs/>
          <w:shd w:val="clear" w:color="auto" w:fill="FFFFFF"/>
        </w:rPr>
        <w:t> </w:t>
      </w:r>
      <w:r w:rsidRPr="00016BBD">
        <w:rPr>
          <w:rFonts w:asciiTheme="majorHAnsi" w:hAnsiTheme="majorHAnsi" w:cstheme="majorHAnsi"/>
          <w:bCs/>
          <w:iCs/>
          <w:shd w:val="clear" w:color="auto" w:fill="FFFFFF"/>
        </w:rPr>
        <w:t xml:space="preserve">A Geochemical Study of Potential Source Rocks and Crude Oils in </w:t>
      </w:r>
      <w:r w:rsidRPr="00016BBD">
        <w:rPr>
          <w:rFonts w:asciiTheme="majorHAnsi" w:hAnsiTheme="majorHAnsi" w:cstheme="majorHAnsi"/>
          <w:bCs/>
          <w:iCs/>
          <w:shd w:val="clear" w:color="auto" w:fill="FFFFFF"/>
        </w:rPr>
        <w:tab/>
        <w:t>the Anadarko Basin, Oklahoma</w:t>
      </w:r>
      <w:r w:rsidRPr="009264F1">
        <w:rPr>
          <w:rStyle w:val="apple-converted-space"/>
          <w:rFonts w:asciiTheme="majorHAnsi" w:hAnsiTheme="majorHAnsi" w:cstheme="majorHAnsi"/>
          <w:bCs/>
          <w:shd w:val="clear" w:color="auto" w:fill="FFFFFF"/>
        </w:rPr>
        <w:t> </w:t>
      </w:r>
      <w:r w:rsidRPr="009264F1">
        <w:rPr>
          <w:rFonts w:asciiTheme="majorHAnsi" w:hAnsiTheme="majorHAnsi" w:cstheme="majorHAnsi"/>
          <w:bCs/>
          <w:shd w:val="clear" w:color="auto" w:fill="FFFFFF"/>
        </w:rPr>
        <w:t xml:space="preserve">(Unpublished PhD thesis). </w:t>
      </w:r>
      <w:r w:rsidRPr="009264F1">
        <w:rPr>
          <w:rFonts w:asciiTheme="majorHAnsi" w:hAnsiTheme="majorHAnsi" w:cstheme="majorHAnsi"/>
          <w:bCs/>
          <w:i/>
          <w:shd w:val="clear" w:color="auto" w:fill="FFFFFF"/>
        </w:rPr>
        <w:t xml:space="preserve">The University of </w:t>
      </w:r>
      <w:r w:rsidRPr="009264F1">
        <w:rPr>
          <w:rFonts w:asciiTheme="majorHAnsi" w:hAnsiTheme="majorHAnsi" w:cstheme="majorHAnsi"/>
          <w:bCs/>
          <w:i/>
          <w:shd w:val="clear" w:color="auto" w:fill="FFFFFF"/>
        </w:rPr>
        <w:tab/>
        <w:t>Oklahoma</w:t>
      </w:r>
      <w:r w:rsidRPr="009264F1">
        <w:rPr>
          <w:rFonts w:asciiTheme="majorHAnsi" w:hAnsiTheme="majorHAnsi" w:cstheme="majorHAnsi"/>
          <w:bCs/>
          <w:shd w:val="clear" w:color="auto" w:fill="FFFFFF"/>
        </w:rPr>
        <w:t>.</w:t>
      </w:r>
    </w:p>
    <w:p w:rsidR="00C87CE1" w:rsidRPr="009264F1" w:rsidRDefault="00C87CE1" w:rsidP="00C87CE1">
      <w:pPr>
        <w:spacing w:before="100" w:beforeAutospacing="1" w:after="100" w:afterAutospacing="1" w:line="240" w:lineRule="auto"/>
        <w:jc w:val="both"/>
        <w:rPr>
          <w:rFonts w:asciiTheme="majorHAnsi" w:hAnsiTheme="majorHAnsi" w:cstheme="majorHAnsi"/>
          <w:bCs/>
          <w:i/>
          <w:shd w:val="clear" w:color="auto" w:fill="FFFFFF"/>
        </w:rPr>
      </w:pPr>
      <w:r>
        <w:rPr>
          <w:rFonts w:asciiTheme="majorHAnsi" w:hAnsiTheme="majorHAnsi" w:cstheme="majorHAnsi"/>
          <w:bCs/>
          <w:shd w:val="clear" w:color="auto" w:fill="FFFFFF"/>
        </w:rPr>
        <w:t>Wang, H. D., Philp, R. P. 1997</w:t>
      </w:r>
      <w:r w:rsidRPr="009264F1">
        <w:rPr>
          <w:rFonts w:asciiTheme="majorHAnsi" w:hAnsiTheme="majorHAnsi" w:cstheme="majorHAnsi"/>
          <w:bCs/>
          <w:shd w:val="clear" w:color="auto" w:fill="FFFFFF"/>
        </w:rPr>
        <w:t xml:space="preserve">. Geochemical Study of Potential Source Rocks and </w:t>
      </w:r>
      <w:r w:rsidRPr="009264F1">
        <w:rPr>
          <w:rFonts w:asciiTheme="majorHAnsi" w:hAnsiTheme="majorHAnsi" w:cstheme="majorHAnsi"/>
          <w:bCs/>
          <w:shd w:val="clear" w:color="auto" w:fill="FFFFFF"/>
        </w:rPr>
        <w:tab/>
        <w:t>Crude Oils in the Anadarko Basin, Oklahoma.</w:t>
      </w:r>
      <w:r w:rsidRPr="009264F1">
        <w:rPr>
          <w:rFonts w:asciiTheme="majorHAnsi" w:hAnsiTheme="majorHAnsi" w:cstheme="majorHAnsi"/>
        </w:rPr>
        <w:t> </w:t>
      </w:r>
      <w:r w:rsidRPr="009264F1">
        <w:rPr>
          <w:rFonts w:asciiTheme="majorHAnsi" w:hAnsiTheme="majorHAnsi" w:cstheme="majorHAnsi"/>
          <w:bCs/>
          <w:i/>
          <w:shd w:val="clear" w:color="auto" w:fill="FFFFFF"/>
        </w:rPr>
        <w:t>AAPG Bulletin, 81.</w:t>
      </w:r>
    </w:p>
    <w:p w:rsidR="00C87CE1" w:rsidRPr="009264F1" w:rsidRDefault="00C87CE1" w:rsidP="00C87CE1">
      <w:pPr>
        <w:spacing w:before="100" w:beforeAutospacing="1" w:after="100" w:afterAutospacing="1" w:line="240" w:lineRule="auto"/>
        <w:jc w:val="both"/>
      </w:pPr>
      <w:r>
        <w:t>Wang, H.D., Philp</w:t>
      </w:r>
      <w:r w:rsidR="000576EC">
        <w:t>,</w:t>
      </w:r>
      <w:r w:rsidR="00736DA4" w:rsidRPr="00736DA4">
        <w:t xml:space="preserve"> </w:t>
      </w:r>
      <w:r w:rsidR="00736DA4">
        <w:t>R.P</w:t>
      </w:r>
      <w:r>
        <w:t>. 2001.</w:t>
      </w:r>
      <w:r w:rsidRPr="009264F1">
        <w:t xml:space="preserve"> Geochemical characterization of selected oils and </w:t>
      </w:r>
      <w:r w:rsidRPr="009264F1">
        <w:tab/>
        <w:t xml:space="preserve">source rocks from the Chester Formation, Springer Formation, and Morrow </w:t>
      </w:r>
      <w:r w:rsidRPr="009264F1">
        <w:tab/>
        <w:t xml:space="preserve">Group of the Anadarko basin, in K.S. Johnson, ed., Pennsylvanian and Permian </w:t>
      </w:r>
      <w:r w:rsidRPr="009264F1">
        <w:tab/>
        <w:t>geology and petroleum in the southern Midcontinent, 1998 symposium</w:t>
      </w:r>
      <w:r w:rsidRPr="009264F1">
        <w:rPr>
          <w:i/>
        </w:rPr>
        <w:t xml:space="preserve">: OGS </w:t>
      </w:r>
      <w:r w:rsidRPr="009264F1">
        <w:rPr>
          <w:i/>
        </w:rPr>
        <w:tab/>
        <w:t>Circular 104</w:t>
      </w:r>
      <w:r w:rsidRPr="009264F1">
        <w:t>, 41-57.</w:t>
      </w:r>
    </w:p>
    <w:p w:rsidR="00C87CE1" w:rsidRPr="009264F1" w:rsidRDefault="00C87CE1" w:rsidP="00C87CE1">
      <w:pPr>
        <w:spacing w:before="100" w:beforeAutospacing="1" w:after="100" w:afterAutospacing="1" w:line="240" w:lineRule="auto"/>
        <w:jc w:val="both"/>
        <w:rPr>
          <w:rFonts w:asciiTheme="majorHAnsi" w:hAnsiTheme="majorHAnsi" w:cstheme="majorHAnsi"/>
          <w:bCs/>
          <w:shd w:val="clear" w:color="auto" w:fill="FFFFFF"/>
        </w:rPr>
      </w:pPr>
      <w:r w:rsidRPr="009264F1">
        <w:rPr>
          <w:rFonts w:asciiTheme="majorHAnsi" w:hAnsiTheme="majorHAnsi" w:cstheme="majorHAnsi"/>
          <w:bCs/>
          <w:shd w:val="clear" w:color="auto" w:fill="FFFFFF"/>
        </w:rPr>
        <w:lastRenderedPageBreak/>
        <w:t>Wang, Z., Yang, C</w:t>
      </w:r>
      <w:r>
        <w:rPr>
          <w:rFonts w:asciiTheme="majorHAnsi" w:hAnsiTheme="majorHAnsi" w:cstheme="majorHAnsi"/>
          <w:bCs/>
          <w:shd w:val="clear" w:color="auto" w:fill="FFFFFF"/>
        </w:rPr>
        <w:t>., Fingas, M., Hollebone, B. 2004. Biomarker Fingerprinting:</w:t>
      </w:r>
      <w:r>
        <w:rPr>
          <w:rFonts w:asciiTheme="majorHAnsi" w:hAnsiTheme="majorHAnsi" w:cstheme="majorHAnsi"/>
          <w:bCs/>
          <w:shd w:val="clear" w:color="auto" w:fill="FFFFFF"/>
        </w:rPr>
        <w:tab/>
      </w:r>
      <w:r w:rsidRPr="009264F1">
        <w:rPr>
          <w:rFonts w:asciiTheme="majorHAnsi" w:hAnsiTheme="majorHAnsi" w:cstheme="majorHAnsi"/>
          <w:bCs/>
          <w:shd w:val="clear" w:color="auto" w:fill="FFFFFF"/>
        </w:rPr>
        <w:t>Application and Limitation for Correlation and Sou</w:t>
      </w:r>
      <w:r>
        <w:rPr>
          <w:rFonts w:asciiTheme="majorHAnsi" w:hAnsiTheme="majorHAnsi" w:cstheme="majorHAnsi"/>
          <w:bCs/>
          <w:shd w:val="clear" w:color="auto" w:fill="FFFFFF"/>
        </w:rPr>
        <w:t>rce Identification of Oils and</w:t>
      </w:r>
      <w:r>
        <w:rPr>
          <w:rFonts w:asciiTheme="majorHAnsi" w:hAnsiTheme="majorHAnsi" w:cstheme="majorHAnsi"/>
          <w:bCs/>
          <w:shd w:val="clear" w:color="auto" w:fill="FFFFFF"/>
        </w:rPr>
        <w:tab/>
      </w:r>
      <w:r w:rsidRPr="009264F1">
        <w:rPr>
          <w:rFonts w:asciiTheme="majorHAnsi" w:hAnsiTheme="majorHAnsi" w:cstheme="majorHAnsi"/>
          <w:bCs/>
          <w:shd w:val="clear" w:color="auto" w:fill="FFFFFF"/>
        </w:rPr>
        <w:t xml:space="preserve">Petroleum Products. </w:t>
      </w:r>
      <w:r>
        <w:rPr>
          <w:rFonts w:asciiTheme="majorHAnsi" w:hAnsiTheme="majorHAnsi" w:cstheme="majorHAnsi"/>
          <w:bCs/>
          <w:i/>
          <w:shd w:val="clear" w:color="auto" w:fill="FFFFFF"/>
        </w:rPr>
        <w:t xml:space="preserve">Preprints of Papers Journal of the American Chemical </w:t>
      </w:r>
      <w:r>
        <w:rPr>
          <w:rFonts w:asciiTheme="majorHAnsi" w:hAnsiTheme="majorHAnsi" w:cstheme="majorHAnsi"/>
          <w:bCs/>
          <w:i/>
          <w:shd w:val="clear" w:color="auto" w:fill="FFFFFF"/>
        </w:rPr>
        <w:tab/>
        <w:t xml:space="preserve">Society Division of Fuel Chemistry, </w:t>
      </w:r>
      <w:r w:rsidRPr="009264F1">
        <w:rPr>
          <w:rFonts w:asciiTheme="majorHAnsi" w:hAnsiTheme="majorHAnsi" w:cstheme="majorHAnsi"/>
          <w:bCs/>
          <w:i/>
          <w:shd w:val="clear" w:color="auto" w:fill="FFFFFF"/>
        </w:rPr>
        <w:t>49(1),</w:t>
      </w:r>
      <w:r w:rsidRPr="009264F1">
        <w:rPr>
          <w:rFonts w:asciiTheme="majorHAnsi" w:hAnsiTheme="majorHAnsi" w:cstheme="majorHAnsi"/>
          <w:bCs/>
          <w:shd w:val="clear" w:color="auto" w:fill="FFFFFF"/>
        </w:rPr>
        <w:t xml:space="preserve"> 332.</w:t>
      </w: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Waple</w:t>
      </w:r>
      <w:r>
        <w:rPr>
          <w:rFonts w:asciiTheme="majorHAnsi" w:hAnsiTheme="majorHAnsi" w:cstheme="majorHAnsi"/>
        </w:rPr>
        <w:t>s, D.W. 1985</w:t>
      </w:r>
      <w:r w:rsidRPr="009264F1">
        <w:rPr>
          <w:rFonts w:asciiTheme="majorHAnsi" w:hAnsiTheme="majorHAnsi" w:cstheme="majorHAnsi"/>
        </w:rPr>
        <w:t xml:space="preserve">. Geochemistry in Petroleum Exploration. </w:t>
      </w:r>
      <w:r w:rsidRPr="009264F1">
        <w:rPr>
          <w:rFonts w:asciiTheme="majorHAnsi" w:hAnsiTheme="majorHAnsi" w:cstheme="majorHAnsi"/>
          <w:i/>
        </w:rPr>
        <w:t xml:space="preserve">Human Resources and </w:t>
      </w:r>
      <w:r w:rsidRPr="009264F1">
        <w:rPr>
          <w:rFonts w:asciiTheme="majorHAnsi" w:hAnsiTheme="majorHAnsi" w:cstheme="majorHAnsi"/>
          <w:i/>
        </w:rPr>
        <w:tab/>
        <w:t>Develop. Co., Boston,</w:t>
      </w:r>
      <w:r>
        <w:rPr>
          <w:rFonts w:asciiTheme="majorHAnsi" w:hAnsiTheme="majorHAnsi" w:cstheme="majorHAnsi"/>
        </w:rPr>
        <w:t xml:space="preserve"> inter. 232.</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Waples, D. W., Machihara, T. 1991</w:t>
      </w:r>
      <w:r w:rsidRPr="009264F1">
        <w:rPr>
          <w:rFonts w:asciiTheme="majorHAnsi" w:hAnsiTheme="majorHAnsi" w:cstheme="majorHAnsi"/>
        </w:rPr>
        <w:t>. </w:t>
      </w:r>
      <w:r w:rsidRPr="009264F1">
        <w:rPr>
          <w:rFonts w:asciiTheme="majorHAnsi" w:hAnsiTheme="majorHAnsi" w:cstheme="majorHAnsi"/>
          <w:i/>
          <w:iCs/>
        </w:rPr>
        <w:t>ME 9: Biomarkers for Geologists--A Practical</w:t>
      </w:r>
      <w:r w:rsidRPr="009264F1">
        <w:rPr>
          <w:rFonts w:asciiTheme="majorHAnsi" w:hAnsiTheme="majorHAnsi" w:cstheme="majorHAnsi"/>
          <w:i/>
          <w:iCs/>
        </w:rPr>
        <w:tab/>
        <w:t xml:space="preserve"> Guide to the Application of Steranes and Triterpanes in Petroleum Geology</w:t>
      </w:r>
      <w:r w:rsidRPr="009264F1">
        <w:rPr>
          <w:rFonts w:asciiTheme="majorHAnsi" w:hAnsiTheme="majorHAnsi" w:cstheme="majorHAnsi"/>
        </w:rPr>
        <w:t>.</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rPr>
          <w:shd w:val="clear" w:color="auto" w:fill="FFFFFF"/>
        </w:rPr>
      </w:pPr>
      <w:r w:rsidRPr="009264F1">
        <w:rPr>
          <w:shd w:val="clear" w:color="auto" w:fill="FFFFFF"/>
        </w:rPr>
        <w:t>Weimer, R.,</w:t>
      </w:r>
      <w:r>
        <w:rPr>
          <w:shd w:val="clear" w:color="auto" w:fill="FFFFFF"/>
        </w:rPr>
        <w:t xml:space="preserve"> Sonnenberg, S., Shannon, L. 1988</w:t>
      </w:r>
      <w:r w:rsidRPr="009264F1">
        <w:rPr>
          <w:shd w:val="clear" w:color="auto" w:fill="FFFFFF"/>
        </w:rPr>
        <w:t xml:space="preserve">. Production from Valley-Fill </w:t>
      </w:r>
      <w:r w:rsidRPr="009264F1">
        <w:rPr>
          <w:shd w:val="clear" w:color="auto" w:fill="FFFFFF"/>
        </w:rPr>
        <w:tab/>
        <w:t xml:space="preserve">Deposits, Morrow Sandstone, Southeast Colorado: New Exploration Challenges </w:t>
      </w:r>
      <w:r w:rsidRPr="009264F1">
        <w:rPr>
          <w:shd w:val="clear" w:color="auto" w:fill="FFFFFF"/>
        </w:rPr>
        <w:tab/>
        <w:t>and Rewards. </w:t>
      </w:r>
      <w:r w:rsidRPr="009264F1">
        <w:rPr>
          <w:i/>
          <w:iCs/>
        </w:rPr>
        <w:t>AAPG Bulletin,</w:t>
      </w:r>
      <w:r>
        <w:rPr>
          <w:i/>
          <w:iCs/>
        </w:rPr>
        <w:t xml:space="preserve"> </w:t>
      </w:r>
      <w:r w:rsidRPr="009264F1">
        <w:rPr>
          <w:i/>
          <w:iCs/>
        </w:rPr>
        <w:t>72</w:t>
      </w:r>
      <w:r w:rsidRPr="009264F1">
        <w:rPr>
          <w:shd w:val="clear" w:color="auto" w:fill="FFFFFF"/>
        </w:rPr>
        <w:t>, 884.</w:t>
      </w:r>
    </w:p>
    <w:p w:rsidR="00C87CE1" w:rsidRPr="009264F1" w:rsidRDefault="00C87CE1" w:rsidP="00C87CE1">
      <w:pPr>
        <w:spacing w:line="240" w:lineRule="auto"/>
        <w:jc w:val="both"/>
        <w:rPr>
          <w:shd w:val="clear" w:color="auto" w:fill="FFFFFF"/>
        </w:rPr>
      </w:pPr>
    </w:p>
    <w:p w:rsidR="00C87CE1" w:rsidRPr="009264F1" w:rsidRDefault="00C87CE1" w:rsidP="00C87CE1">
      <w:pPr>
        <w:spacing w:line="240" w:lineRule="auto"/>
        <w:jc w:val="both"/>
        <w:rPr>
          <w:rFonts w:asciiTheme="majorHAnsi" w:hAnsiTheme="majorHAnsi" w:cstheme="majorHAnsi"/>
        </w:rPr>
      </w:pPr>
      <w:r>
        <w:rPr>
          <w:shd w:val="clear" w:color="auto" w:fill="FFFFFF"/>
        </w:rPr>
        <w:t>Wenger, L. M., Baker, D. R. 1986</w:t>
      </w:r>
      <w:r w:rsidRPr="009264F1">
        <w:rPr>
          <w:shd w:val="clear" w:color="auto" w:fill="FFFFFF"/>
        </w:rPr>
        <w:t>. Variations in organ</w:t>
      </w:r>
      <w:r>
        <w:rPr>
          <w:shd w:val="clear" w:color="auto" w:fill="FFFFFF"/>
        </w:rPr>
        <w:t>ic geochemistry of anoxic-oxic</w:t>
      </w:r>
      <w:r>
        <w:rPr>
          <w:shd w:val="clear" w:color="auto" w:fill="FFFFFF"/>
        </w:rPr>
        <w:tab/>
        <w:t xml:space="preserve">black </w:t>
      </w:r>
      <w:r w:rsidRPr="009264F1">
        <w:rPr>
          <w:shd w:val="clear" w:color="auto" w:fill="FFFFFF"/>
        </w:rPr>
        <w:t xml:space="preserve">shale-carbonate sequences in the Pennsylvanian of the Midcontinent, </w:t>
      </w:r>
      <w:r w:rsidRPr="009264F1">
        <w:rPr>
          <w:shd w:val="clear" w:color="auto" w:fill="FFFFFF"/>
        </w:rPr>
        <w:tab/>
        <w:t>U.S.A. </w:t>
      </w:r>
      <w:r w:rsidRPr="009264F1">
        <w:rPr>
          <w:i/>
          <w:iCs/>
        </w:rPr>
        <w:t>Organic Geochemistry,</w:t>
      </w:r>
      <w:r>
        <w:rPr>
          <w:i/>
          <w:iCs/>
        </w:rPr>
        <w:t xml:space="preserve"> </w:t>
      </w:r>
      <w:r w:rsidRPr="009264F1">
        <w:rPr>
          <w:i/>
          <w:iCs/>
        </w:rPr>
        <w:t>10</w:t>
      </w:r>
      <w:r w:rsidRPr="009264F1">
        <w:rPr>
          <w:shd w:val="clear" w:color="auto" w:fill="FFFFFF"/>
        </w:rPr>
        <w:t>(1-3), 85-92.</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Weston, R. J., Philp</w:t>
      </w:r>
      <w:r w:rsidR="000576EC">
        <w:rPr>
          <w:rFonts w:asciiTheme="majorHAnsi" w:hAnsiTheme="majorHAnsi" w:cstheme="majorHAnsi"/>
        </w:rPr>
        <w:t>,</w:t>
      </w:r>
      <w:r w:rsidR="00736DA4" w:rsidRPr="00736DA4">
        <w:rPr>
          <w:rFonts w:asciiTheme="majorHAnsi" w:hAnsiTheme="majorHAnsi" w:cstheme="majorHAnsi"/>
        </w:rPr>
        <w:t xml:space="preserve"> </w:t>
      </w:r>
      <w:r w:rsidR="00736DA4" w:rsidRPr="009264F1">
        <w:rPr>
          <w:rFonts w:asciiTheme="majorHAnsi" w:hAnsiTheme="majorHAnsi" w:cstheme="majorHAnsi"/>
        </w:rPr>
        <w:t>R. P.</w:t>
      </w:r>
      <w:r w:rsidRPr="009264F1">
        <w:rPr>
          <w:rFonts w:asciiTheme="majorHAnsi" w:hAnsiTheme="majorHAnsi" w:cstheme="majorHAnsi"/>
        </w:rPr>
        <w:t xml:space="preserve">, </w:t>
      </w:r>
      <w:r>
        <w:rPr>
          <w:rFonts w:asciiTheme="majorHAnsi" w:hAnsiTheme="majorHAnsi" w:cstheme="majorHAnsi"/>
        </w:rPr>
        <w:t>Sheppard</w:t>
      </w:r>
      <w:r w:rsidR="000576EC">
        <w:rPr>
          <w:rFonts w:asciiTheme="majorHAnsi" w:hAnsiTheme="majorHAnsi" w:cstheme="majorHAnsi"/>
        </w:rPr>
        <w:t>,</w:t>
      </w:r>
      <w:r w:rsidR="00736DA4" w:rsidRPr="00736DA4">
        <w:rPr>
          <w:rFonts w:asciiTheme="majorHAnsi" w:hAnsiTheme="majorHAnsi" w:cstheme="majorHAnsi"/>
        </w:rPr>
        <w:t xml:space="preserve"> </w:t>
      </w:r>
      <w:r w:rsidR="00736DA4" w:rsidRPr="009264F1">
        <w:rPr>
          <w:rFonts w:asciiTheme="majorHAnsi" w:hAnsiTheme="majorHAnsi" w:cstheme="majorHAnsi"/>
        </w:rPr>
        <w:t>C. M.</w:t>
      </w:r>
      <w:r>
        <w:rPr>
          <w:rFonts w:asciiTheme="majorHAnsi" w:hAnsiTheme="majorHAnsi" w:cstheme="majorHAnsi"/>
        </w:rPr>
        <w:t>, Woolhouse</w:t>
      </w:r>
      <w:r w:rsidR="00736DA4" w:rsidRPr="00736DA4">
        <w:rPr>
          <w:rFonts w:asciiTheme="majorHAnsi" w:hAnsiTheme="majorHAnsi" w:cstheme="majorHAnsi"/>
        </w:rPr>
        <w:t xml:space="preserve"> </w:t>
      </w:r>
      <w:r w:rsidR="00736DA4">
        <w:rPr>
          <w:rFonts w:asciiTheme="majorHAnsi" w:hAnsiTheme="majorHAnsi" w:cstheme="majorHAnsi"/>
        </w:rPr>
        <w:t>A. D</w:t>
      </w:r>
      <w:r>
        <w:rPr>
          <w:rFonts w:asciiTheme="majorHAnsi" w:hAnsiTheme="majorHAnsi" w:cstheme="majorHAnsi"/>
        </w:rPr>
        <w:t>. 1989</w:t>
      </w:r>
      <w:r w:rsidRPr="009264F1">
        <w:rPr>
          <w:rFonts w:asciiTheme="majorHAnsi" w:hAnsiTheme="majorHAnsi" w:cstheme="majorHAnsi"/>
        </w:rPr>
        <w:t xml:space="preserve">. Sesquiterpanes, </w:t>
      </w:r>
      <w:r w:rsidRPr="009264F1">
        <w:rPr>
          <w:rFonts w:asciiTheme="majorHAnsi" w:hAnsiTheme="majorHAnsi" w:cstheme="majorHAnsi"/>
        </w:rPr>
        <w:tab/>
        <w:t xml:space="preserve">diterpanes and other higher terpanes in oils from the Taranaki Basin of New </w:t>
      </w:r>
      <w:r w:rsidRPr="009264F1">
        <w:rPr>
          <w:rFonts w:asciiTheme="majorHAnsi" w:hAnsiTheme="majorHAnsi" w:cstheme="majorHAnsi"/>
        </w:rPr>
        <w:tab/>
        <w:t xml:space="preserve">Zealand: </w:t>
      </w:r>
      <w:r>
        <w:rPr>
          <w:rFonts w:asciiTheme="majorHAnsi" w:hAnsiTheme="majorHAnsi" w:cstheme="majorHAnsi"/>
          <w:i/>
        </w:rPr>
        <w:t xml:space="preserve">Organic Geochemistry, </w:t>
      </w:r>
      <w:r w:rsidRPr="009264F1">
        <w:rPr>
          <w:rFonts w:asciiTheme="majorHAnsi" w:hAnsiTheme="majorHAnsi" w:cstheme="majorHAnsi"/>
          <w:i/>
        </w:rPr>
        <w:t>14,</w:t>
      </w:r>
      <w:r w:rsidRPr="009264F1">
        <w:rPr>
          <w:rFonts w:asciiTheme="majorHAnsi" w:hAnsiTheme="majorHAnsi" w:cstheme="majorHAnsi"/>
        </w:rPr>
        <w:t xml:space="preserve"> 405–421.</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Wheeler, D., Scott</w:t>
      </w:r>
      <w:r w:rsidR="000576EC">
        <w:rPr>
          <w:rFonts w:asciiTheme="majorHAnsi" w:hAnsiTheme="majorHAnsi" w:cstheme="majorHAnsi"/>
        </w:rPr>
        <w:t>,</w:t>
      </w:r>
      <w:r w:rsidR="00736DA4" w:rsidRPr="00736DA4">
        <w:rPr>
          <w:rFonts w:asciiTheme="majorHAnsi" w:hAnsiTheme="majorHAnsi" w:cstheme="majorHAnsi"/>
        </w:rPr>
        <w:t xml:space="preserve"> </w:t>
      </w:r>
      <w:r w:rsidR="00736DA4" w:rsidRPr="009264F1">
        <w:rPr>
          <w:rFonts w:asciiTheme="majorHAnsi" w:hAnsiTheme="majorHAnsi" w:cstheme="majorHAnsi"/>
        </w:rPr>
        <w:t>A.</w:t>
      </w:r>
      <w:r w:rsidRPr="009264F1">
        <w:rPr>
          <w:rFonts w:asciiTheme="majorHAnsi" w:hAnsiTheme="majorHAnsi" w:cstheme="majorHAnsi"/>
        </w:rPr>
        <w:t>,</w:t>
      </w:r>
      <w:r>
        <w:rPr>
          <w:rFonts w:asciiTheme="majorHAnsi" w:hAnsiTheme="majorHAnsi" w:cstheme="majorHAnsi"/>
        </w:rPr>
        <w:t xml:space="preserve"> Coringrato</w:t>
      </w:r>
      <w:r w:rsidR="000576EC">
        <w:rPr>
          <w:rFonts w:asciiTheme="majorHAnsi" w:hAnsiTheme="majorHAnsi" w:cstheme="majorHAnsi"/>
        </w:rPr>
        <w:t>,</w:t>
      </w:r>
      <w:r w:rsidR="00736DA4" w:rsidRPr="00736DA4">
        <w:rPr>
          <w:rFonts w:asciiTheme="majorHAnsi" w:hAnsiTheme="majorHAnsi" w:cstheme="majorHAnsi"/>
        </w:rPr>
        <w:t xml:space="preserve"> </w:t>
      </w:r>
      <w:r w:rsidR="00736DA4">
        <w:rPr>
          <w:rFonts w:asciiTheme="majorHAnsi" w:hAnsiTheme="majorHAnsi" w:cstheme="majorHAnsi"/>
        </w:rPr>
        <w:t>V.</w:t>
      </w:r>
      <w:r>
        <w:rPr>
          <w:rFonts w:asciiTheme="majorHAnsi" w:hAnsiTheme="majorHAnsi" w:cstheme="majorHAnsi"/>
        </w:rPr>
        <w:t>, Devine</w:t>
      </w:r>
      <w:r w:rsidR="000576EC">
        <w:rPr>
          <w:rFonts w:asciiTheme="majorHAnsi" w:hAnsiTheme="majorHAnsi" w:cstheme="majorHAnsi"/>
        </w:rPr>
        <w:t>,</w:t>
      </w:r>
      <w:r w:rsidR="00736DA4">
        <w:rPr>
          <w:rFonts w:asciiTheme="majorHAnsi" w:hAnsiTheme="majorHAnsi" w:cstheme="majorHAnsi"/>
        </w:rPr>
        <w:t xml:space="preserve"> P</w:t>
      </w:r>
      <w:r>
        <w:rPr>
          <w:rFonts w:asciiTheme="majorHAnsi" w:hAnsiTheme="majorHAnsi" w:cstheme="majorHAnsi"/>
        </w:rPr>
        <w:t>. 1990.</w:t>
      </w:r>
      <w:r w:rsidRPr="009264F1">
        <w:rPr>
          <w:rFonts w:asciiTheme="majorHAnsi" w:hAnsiTheme="majorHAnsi" w:cstheme="majorHAnsi"/>
        </w:rPr>
        <w:t xml:space="preserve"> Stratigraphy and depositional </w:t>
      </w:r>
      <w:r w:rsidRPr="009264F1">
        <w:rPr>
          <w:rFonts w:asciiTheme="majorHAnsi" w:hAnsiTheme="majorHAnsi" w:cstheme="majorHAnsi"/>
        </w:rPr>
        <w:tab/>
        <w:t xml:space="preserve">history of the Morrow Formation, southeast Colorado and southwest Kansas in </w:t>
      </w:r>
      <w:r w:rsidRPr="009264F1">
        <w:rPr>
          <w:rFonts w:asciiTheme="majorHAnsi" w:hAnsiTheme="majorHAnsi" w:cstheme="majorHAnsi"/>
        </w:rPr>
        <w:tab/>
        <w:t xml:space="preserve">Sonnenberg, S., et al. eds. Morrow sandstones of southeast Colorado and adjacent </w:t>
      </w:r>
      <w:r w:rsidRPr="009264F1">
        <w:rPr>
          <w:rFonts w:asciiTheme="majorHAnsi" w:hAnsiTheme="majorHAnsi" w:cstheme="majorHAnsi"/>
        </w:rPr>
        <w:tab/>
        <w:t xml:space="preserve">areas: Denver, </w:t>
      </w:r>
      <w:r w:rsidRPr="009264F1">
        <w:rPr>
          <w:rFonts w:asciiTheme="majorHAnsi" w:hAnsiTheme="majorHAnsi" w:cstheme="majorHAnsi"/>
          <w:i/>
        </w:rPr>
        <w:t>The Rocky Mountain Association of Geologists</w:t>
      </w:r>
      <w:r>
        <w:rPr>
          <w:rFonts w:asciiTheme="majorHAnsi" w:hAnsiTheme="majorHAnsi" w:cstheme="majorHAnsi"/>
        </w:rPr>
        <w:t>,</w:t>
      </w:r>
      <w:r w:rsidRPr="009264F1">
        <w:rPr>
          <w:rFonts w:asciiTheme="majorHAnsi" w:hAnsiTheme="majorHAnsi" w:cstheme="majorHAnsi"/>
        </w:rPr>
        <w:t xml:space="preserve"> 9-35.</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shd w:val="clear" w:color="auto" w:fill="FFFFFF"/>
        </w:rPr>
        <w:t>Wood, M. K. 2017</w:t>
      </w:r>
      <w:r w:rsidRPr="009264F1">
        <w:rPr>
          <w:rFonts w:asciiTheme="majorHAnsi" w:hAnsiTheme="majorHAnsi" w:cstheme="majorHAnsi"/>
          <w:shd w:val="clear" w:color="auto" w:fill="FFFFFF"/>
        </w:rPr>
        <w:t>. </w:t>
      </w:r>
      <w:r w:rsidRPr="009264F1">
        <w:rPr>
          <w:rFonts w:asciiTheme="majorHAnsi" w:hAnsiTheme="majorHAnsi" w:cstheme="majorHAnsi"/>
          <w:iCs/>
        </w:rPr>
        <w:t xml:space="preserve">Novel biomarker distributions in the Chesterian Limestone of the </w:t>
      </w:r>
      <w:r w:rsidRPr="009264F1">
        <w:rPr>
          <w:rFonts w:asciiTheme="majorHAnsi" w:hAnsiTheme="majorHAnsi" w:cstheme="majorHAnsi"/>
          <w:iCs/>
        </w:rPr>
        <w:tab/>
        <w:t xml:space="preserve">Anadarko Basin, Oklahoma </w:t>
      </w:r>
      <w:r w:rsidRPr="009264F1">
        <w:rPr>
          <w:rFonts w:asciiTheme="majorHAnsi" w:hAnsiTheme="majorHAnsi" w:cstheme="majorHAnsi"/>
          <w:shd w:val="clear" w:color="auto" w:fill="FFFFFF"/>
        </w:rPr>
        <w:t xml:space="preserve">(Unpublished master's thesis). </w:t>
      </w:r>
      <w:r w:rsidRPr="009264F1">
        <w:rPr>
          <w:rFonts w:asciiTheme="majorHAnsi" w:hAnsiTheme="majorHAnsi" w:cstheme="majorHAnsi"/>
          <w:i/>
          <w:shd w:val="clear" w:color="auto" w:fill="FFFFFF"/>
        </w:rPr>
        <w:t xml:space="preserve">University of </w:t>
      </w:r>
      <w:r w:rsidRPr="009264F1">
        <w:rPr>
          <w:rFonts w:asciiTheme="majorHAnsi" w:hAnsiTheme="majorHAnsi" w:cstheme="majorHAnsi"/>
          <w:i/>
          <w:shd w:val="clear" w:color="auto" w:fill="FFFFFF"/>
        </w:rPr>
        <w:tab/>
        <w:t>Oklahoma</w:t>
      </w:r>
      <w:r w:rsidRPr="009264F1">
        <w:rPr>
          <w:rFonts w:asciiTheme="majorHAnsi" w:hAnsiTheme="majorHAnsi" w:cstheme="majorHAnsi"/>
          <w:shd w:val="clear" w:color="auto" w:fill="FFFFFF"/>
        </w:rPr>
        <w:t>.</w:t>
      </w:r>
    </w:p>
    <w:p w:rsidR="00C87CE1" w:rsidRPr="009264F1" w:rsidRDefault="00C87CE1" w:rsidP="00C87CE1">
      <w:pPr>
        <w:spacing w:line="240" w:lineRule="auto"/>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Pr>
          <w:rFonts w:asciiTheme="majorHAnsi" w:hAnsiTheme="majorHAnsi" w:cstheme="majorHAnsi"/>
        </w:rPr>
        <w:t>Yang, C., Wang, Z., Hollebone, B., Brown, C.,</w:t>
      </w:r>
      <w:r w:rsidRPr="009264F1">
        <w:rPr>
          <w:rFonts w:asciiTheme="majorHAnsi" w:hAnsiTheme="majorHAnsi" w:cstheme="majorHAnsi"/>
        </w:rPr>
        <w:t xml:space="preserve"> Landriault, M. 2008. GC/MS </w:t>
      </w:r>
      <w:r w:rsidRPr="009264F1">
        <w:rPr>
          <w:rFonts w:asciiTheme="majorHAnsi" w:hAnsiTheme="majorHAnsi" w:cstheme="majorHAnsi"/>
        </w:rPr>
        <w:tab/>
        <w:t xml:space="preserve">determination of bicyclic sesquiterpanes in crude oils and petroleum products. </w:t>
      </w:r>
      <w:r w:rsidRPr="009264F1">
        <w:rPr>
          <w:rFonts w:asciiTheme="majorHAnsi" w:hAnsiTheme="majorHAnsi" w:cstheme="majorHAnsi"/>
        </w:rPr>
        <w:tab/>
      </w:r>
      <w:r w:rsidRPr="009264F1">
        <w:rPr>
          <w:rFonts w:asciiTheme="majorHAnsi" w:hAnsiTheme="majorHAnsi" w:cstheme="majorHAnsi"/>
          <w:i/>
        </w:rPr>
        <w:t xml:space="preserve">Proceedings of the 31st AMOP Technical Seminar on Environmental </w:t>
      </w:r>
      <w:r w:rsidRPr="009264F1">
        <w:rPr>
          <w:rFonts w:asciiTheme="majorHAnsi" w:hAnsiTheme="majorHAnsi" w:cstheme="majorHAnsi"/>
          <w:i/>
        </w:rPr>
        <w:tab/>
        <w:t>Contamination and Response. 1</w:t>
      </w:r>
      <w:r w:rsidRPr="009264F1">
        <w:rPr>
          <w:rFonts w:asciiTheme="majorHAnsi" w:hAnsiTheme="majorHAnsi" w:cstheme="majorHAnsi"/>
        </w:rPr>
        <w:t>. 99-116.</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jc w:val="both"/>
        <w:rPr>
          <w:rFonts w:asciiTheme="majorHAnsi" w:hAnsiTheme="majorHAnsi" w:cstheme="majorHAnsi"/>
        </w:rPr>
      </w:pPr>
      <w:r>
        <w:rPr>
          <w:rFonts w:asciiTheme="majorHAnsi" w:hAnsiTheme="majorHAnsi" w:cstheme="majorHAnsi"/>
        </w:rPr>
        <w:t>Yang, W., Liu, G., Feng, Y. 2016</w:t>
      </w:r>
      <w:r w:rsidRPr="009264F1">
        <w:rPr>
          <w:rFonts w:asciiTheme="majorHAnsi" w:hAnsiTheme="majorHAnsi" w:cstheme="majorHAnsi"/>
        </w:rPr>
        <w:t xml:space="preserve">. Geochemical significance of 17α(H)-diahopane </w:t>
      </w:r>
      <w:r w:rsidRPr="009264F1">
        <w:rPr>
          <w:rFonts w:asciiTheme="majorHAnsi" w:hAnsiTheme="majorHAnsi" w:cstheme="majorHAnsi"/>
        </w:rPr>
        <w:tab/>
        <w:t>and its application in oil-source correlation of Yanchang formation in Longdong</w:t>
      </w:r>
      <w:r w:rsidRPr="009264F1">
        <w:rPr>
          <w:rFonts w:asciiTheme="majorHAnsi" w:hAnsiTheme="majorHAnsi" w:cstheme="majorHAnsi"/>
        </w:rPr>
        <w:tab/>
        <w:t xml:space="preserve"> area, Ordos basin, China. </w:t>
      </w:r>
      <w:r w:rsidRPr="009264F1">
        <w:rPr>
          <w:rFonts w:asciiTheme="majorHAnsi" w:hAnsiTheme="majorHAnsi" w:cstheme="majorHAnsi"/>
          <w:i/>
        </w:rPr>
        <w:t>Marine and Petroleum Geology, 71,</w:t>
      </w:r>
      <w:r w:rsidRPr="009264F1">
        <w:rPr>
          <w:rFonts w:asciiTheme="majorHAnsi" w:hAnsiTheme="majorHAnsi" w:cstheme="majorHAnsi"/>
        </w:rPr>
        <w:t xml:space="preserve"> 238-249.</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ind w:left="720" w:hanging="720"/>
        <w:jc w:val="both"/>
        <w:rPr>
          <w:rFonts w:asciiTheme="majorHAnsi" w:hAnsiTheme="majorHAnsi" w:cstheme="majorHAnsi"/>
        </w:rPr>
      </w:pPr>
      <w:r w:rsidRPr="00FF76B1">
        <w:rPr>
          <w:rFonts w:asciiTheme="majorHAnsi" w:hAnsiTheme="majorHAnsi" w:cstheme="majorHAnsi"/>
        </w:rPr>
        <w:t>Yunker, M.B., Macdonald, R.W., Vingarzan, R., Mitchell, R.H., Goyet</w:t>
      </w:r>
      <w:r>
        <w:rPr>
          <w:rFonts w:asciiTheme="majorHAnsi" w:hAnsiTheme="majorHAnsi" w:cstheme="majorHAnsi"/>
        </w:rPr>
        <w:t>te, D., Sylvestre, S. 2002.</w:t>
      </w:r>
      <w:r w:rsidRPr="00FF76B1">
        <w:rPr>
          <w:rFonts w:asciiTheme="majorHAnsi" w:hAnsiTheme="majorHAnsi" w:cstheme="majorHAnsi"/>
        </w:rPr>
        <w:t xml:space="preserve"> PAHs in the Fraser River basin: A critical appraisal of PAH ratios as indicators of PAH source and composition. </w:t>
      </w:r>
      <w:r w:rsidRPr="00FF76B1">
        <w:rPr>
          <w:rFonts w:asciiTheme="majorHAnsi" w:hAnsiTheme="majorHAnsi" w:cstheme="majorHAnsi"/>
          <w:i/>
        </w:rPr>
        <w:t>Organic Geochemistry</w:t>
      </w:r>
      <w:r w:rsidRPr="00FF76B1">
        <w:rPr>
          <w:rFonts w:asciiTheme="majorHAnsi" w:hAnsiTheme="majorHAnsi" w:cstheme="majorHAnsi"/>
        </w:rPr>
        <w:t xml:space="preserve"> 33, 489–515.</w:t>
      </w:r>
    </w:p>
    <w:p w:rsidR="00736DA4" w:rsidRPr="009264F1" w:rsidRDefault="00736DA4" w:rsidP="00736DA4">
      <w:pPr>
        <w:spacing w:line="240" w:lineRule="auto"/>
        <w:jc w:val="both"/>
        <w:rPr>
          <w:rFonts w:asciiTheme="majorHAnsi" w:hAnsiTheme="majorHAnsi" w:cstheme="majorHAnsi"/>
        </w:rPr>
      </w:pPr>
      <w:r>
        <w:rPr>
          <w:rFonts w:asciiTheme="majorHAnsi" w:hAnsiTheme="majorHAnsi" w:cstheme="majorHAnsi"/>
        </w:rPr>
        <w:lastRenderedPageBreak/>
        <w:t>Zhang, M., Philp, P.</w:t>
      </w:r>
      <w:r w:rsidRPr="009264F1">
        <w:rPr>
          <w:rFonts w:asciiTheme="majorHAnsi" w:hAnsiTheme="majorHAnsi" w:cstheme="majorHAnsi"/>
        </w:rPr>
        <w:t xml:space="preserve"> 2012. Geochemical characteristics of saturate hydrocarbons in </w:t>
      </w:r>
      <w:r w:rsidRPr="009264F1">
        <w:rPr>
          <w:rFonts w:asciiTheme="majorHAnsi" w:hAnsiTheme="majorHAnsi" w:cstheme="majorHAnsi"/>
        </w:rPr>
        <w:tab/>
        <w:t xml:space="preserve">crude oils and source rocks of the Qaidam, Tarim, Turpan basins, NW China. </w:t>
      </w:r>
      <w:r w:rsidRPr="009264F1">
        <w:rPr>
          <w:rFonts w:asciiTheme="majorHAnsi" w:hAnsiTheme="majorHAnsi" w:cstheme="majorHAnsi"/>
        </w:rPr>
        <w:tab/>
      </w:r>
      <w:r w:rsidRPr="009264F1">
        <w:rPr>
          <w:rFonts w:asciiTheme="majorHAnsi" w:hAnsiTheme="majorHAnsi" w:cstheme="majorHAnsi"/>
          <w:i/>
        </w:rPr>
        <w:t>Chinese Journal of Geochemistry. 31</w:t>
      </w:r>
      <w:r w:rsidRPr="009264F1">
        <w:rPr>
          <w:rFonts w:asciiTheme="majorHAnsi" w:hAnsiTheme="majorHAnsi" w:cstheme="majorHAnsi"/>
        </w:rPr>
        <w:t>, 264-275.</w:t>
      </w:r>
    </w:p>
    <w:p w:rsidR="00736DA4" w:rsidRPr="00FF76B1" w:rsidRDefault="00736DA4" w:rsidP="00C87CE1">
      <w:pPr>
        <w:spacing w:line="240" w:lineRule="auto"/>
        <w:ind w:left="720" w:hanging="720"/>
        <w:jc w:val="both"/>
        <w:rPr>
          <w:rFonts w:asciiTheme="majorHAnsi" w:hAnsiTheme="majorHAnsi" w:cstheme="majorHAnsi"/>
        </w:rPr>
      </w:pPr>
    </w:p>
    <w:p w:rsidR="00C87CE1" w:rsidRPr="009264F1" w:rsidRDefault="00C87CE1" w:rsidP="00C87CE1">
      <w:pPr>
        <w:spacing w:line="240" w:lineRule="auto"/>
        <w:jc w:val="both"/>
        <w:rPr>
          <w:rFonts w:asciiTheme="majorHAnsi" w:hAnsiTheme="majorHAnsi" w:cstheme="majorHAnsi"/>
        </w:rPr>
      </w:pPr>
      <w:r w:rsidRPr="009264F1">
        <w:rPr>
          <w:rFonts w:asciiTheme="majorHAnsi" w:hAnsiTheme="majorHAnsi" w:cstheme="majorHAnsi"/>
        </w:rPr>
        <w:t xml:space="preserve">Zhang, W., Yang, H., </w:t>
      </w:r>
      <w:r>
        <w:rPr>
          <w:rFonts w:asciiTheme="majorHAnsi" w:hAnsiTheme="majorHAnsi" w:cstheme="majorHAnsi"/>
        </w:rPr>
        <w:t>Hou, L., Liu, F. 2009</w:t>
      </w:r>
      <w:r w:rsidRPr="009264F1">
        <w:rPr>
          <w:rFonts w:asciiTheme="majorHAnsi" w:hAnsiTheme="majorHAnsi" w:cstheme="majorHAnsi"/>
        </w:rPr>
        <w:t xml:space="preserve">. Distribution and geological significance </w:t>
      </w:r>
      <w:r w:rsidRPr="009264F1">
        <w:rPr>
          <w:rFonts w:asciiTheme="majorHAnsi" w:hAnsiTheme="majorHAnsi" w:cstheme="majorHAnsi"/>
        </w:rPr>
        <w:tab/>
        <w:t xml:space="preserve">of 17α(H)-diahopanes from different hydrocarbon source rocks of Yanchang </w:t>
      </w:r>
      <w:r w:rsidRPr="009264F1">
        <w:rPr>
          <w:rFonts w:asciiTheme="majorHAnsi" w:hAnsiTheme="majorHAnsi" w:cstheme="majorHAnsi"/>
        </w:rPr>
        <w:tab/>
        <w:t xml:space="preserve">Formation in Ordos Basin. Science in China Series D: </w:t>
      </w:r>
      <w:r w:rsidRPr="009264F1">
        <w:rPr>
          <w:rFonts w:asciiTheme="majorHAnsi" w:hAnsiTheme="majorHAnsi" w:cstheme="majorHAnsi"/>
          <w:i/>
        </w:rPr>
        <w:t xml:space="preserve">Earth Sciences, 52(7), </w:t>
      </w:r>
      <w:r w:rsidRPr="009264F1">
        <w:rPr>
          <w:rFonts w:asciiTheme="majorHAnsi" w:hAnsiTheme="majorHAnsi" w:cstheme="majorHAnsi"/>
        </w:rPr>
        <w:t>965-</w:t>
      </w:r>
      <w:r w:rsidRPr="009264F1">
        <w:rPr>
          <w:rFonts w:asciiTheme="majorHAnsi" w:hAnsiTheme="majorHAnsi" w:cstheme="majorHAnsi"/>
        </w:rPr>
        <w:tab/>
        <w:t>974.</w:t>
      </w:r>
    </w:p>
    <w:p w:rsidR="00C87CE1" w:rsidRPr="009264F1" w:rsidRDefault="00C87CE1" w:rsidP="00C87CE1">
      <w:pPr>
        <w:spacing w:line="240" w:lineRule="auto"/>
        <w:jc w:val="both"/>
        <w:rPr>
          <w:rFonts w:asciiTheme="majorHAnsi" w:hAnsiTheme="majorHAnsi" w:cstheme="majorHAnsi"/>
        </w:rPr>
      </w:pPr>
    </w:p>
    <w:p w:rsidR="00C87CE1" w:rsidRDefault="00C87CE1" w:rsidP="00C87CE1">
      <w:pPr>
        <w:spacing w:line="240" w:lineRule="auto"/>
        <w:rPr>
          <w:rFonts w:cstheme="minorHAnsi"/>
        </w:rPr>
      </w:pPr>
    </w:p>
    <w:p w:rsidR="00C87CE1" w:rsidRDefault="00C87CE1" w:rsidP="00C87CE1">
      <w:pPr>
        <w:spacing w:line="240" w:lineRule="auto"/>
        <w:rPr>
          <w:rFonts w:cstheme="minorHAnsi"/>
        </w:rPr>
      </w:pPr>
      <w:r>
        <w:rPr>
          <w:rFonts w:cstheme="minorHAnsi"/>
        </w:rPr>
        <w:br w:type="page"/>
      </w:r>
    </w:p>
    <w:p w:rsidR="00C87CE1" w:rsidRDefault="00C87CE1" w:rsidP="00E1019B">
      <w:pPr>
        <w:pStyle w:val="Balk1"/>
      </w:pPr>
      <w:bookmarkStart w:id="156" w:name="_Toc507506668"/>
      <w:r>
        <w:lastRenderedPageBreak/>
        <w:t>Appendix A</w:t>
      </w:r>
      <w:r w:rsidR="00B23625">
        <w:t>: Compound Structures</w:t>
      </w:r>
      <w:bookmarkEnd w:id="156"/>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691008" behindDoc="0" locked="0" layoutInCell="1" allowOverlap="1" wp14:anchorId="7C6D39C4" wp14:editId="054E0A25">
                <wp:simplePos x="0" y="0"/>
                <wp:positionH relativeFrom="column">
                  <wp:posOffset>3603006</wp:posOffset>
                </wp:positionH>
                <wp:positionV relativeFrom="paragraph">
                  <wp:posOffset>390971</wp:posOffset>
                </wp:positionV>
                <wp:extent cx="1169043" cy="312516"/>
                <wp:effectExtent l="0" t="0" r="12065" b="17780"/>
                <wp:wrapNone/>
                <wp:docPr id="50" name="Text Box 1"/>
                <wp:cNvGraphicFramePr/>
                <a:graphic xmlns:a="http://schemas.openxmlformats.org/drawingml/2006/main">
                  <a:graphicData uri="http://schemas.microsoft.com/office/word/2010/wordprocessingShape">
                    <wps:wsp>
                      <wps:cNvSpPr txBox="1"/>
                      <wps:spPr>
                        <a:xfrm>
                          <a:off x="0" y="0"/>
                          <a:ext cx="1169043" cy="312516"/>
                        </a:xfrm>
                        <a:prstGeom prst="rect">
                          <a:avLst/>
                        </a:prstGeom>
                        <a:solidFill>
                          <a:schemeClr val="lt1"/>
                        </a:solidFill>
                        <a:ln w="6350">
                          <a:solidFill>
                            <a:prstClr val="black"/>
                          </a:solidFill>
                        </a:ln>
                      </wps:spPr>
                      <wps:txbx>
                        <w:txbxContent>
                          <w:p w:rsidR="008875B3" w:rsidRPr="006B24A9" w:rsidRDefault="008875B3" w:rsidP="00C87CE1">
                            <w:pPr>
                              <w:rPr>
                                <w:rFonts w:ascii="Times New Roman" w:hAnsi="Times New Roman"/>
                              </w:rPr>
                            </w:pPr>
                            <w:r w:rsidRPr="006B24A9">
                              <w:rPr>
                                <w:rFonts w:ascii="Times New Roman" w:hAnsi="Times New Roman"/>
                              </w:rPr>
                              <w:t>I:</w:t>
                            </w:r>
                            <w:r>
                              <w:rPr>
                                <w:rFonts w:ascii="Times New Roman" w:hAnsi="Times New Roman"/>
                              </w:rPr>
                              <w:t xml:space="preserve"> C</w:t>
                            </w:r>
                            <w:r>
                              <w:rPr>
                                <w:rFonts w:ascii="Times New Roman" w:hAnsi="Times New Roman"/>
                                <w:vertAlign w:val="subscript"/>
                              </w:rPr>
                              <w:t xml:space="preserve">17 </w:t>
                            </w:r>
                            <w:r w:rsidRPr="006B24A9">
                              <w:rPr>
                                <w:rFonts w:ascii="Times New Roman" w:hAnsi="Times New Roman"/>
                                <w:i/>
                              </w:rPr>
                              <w:t>n</w:t>
                            </w:r>
                            <w:r>
                              <w:rPr>
                                <w:rFonts w:ascii="Times New Roman" w:hAnsi="Times New Roman"/>
                              </w:rPr>
                              <w:t>-Alkane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D39C4" id="Text Box 1" o:spid="_x0000_s1038" type="#_x0000_t202" style="position:absolute;margin-left:283.7pt;margin-top:30.8pt;width:92.05pt;height:2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" fillcolor="white [3201]" strokeweight=".5pt">
                <v:textbox>
                  <w:txbxContent>
                    <w:p w:rsidR="008875B3" w:rsidRPr="006B24A9" w:rsidRDefault="008875B3" w:rsidP="00C87CE1">
                      <w:pPr>
                        <w:rPr>
                          <w:rFonts w:ascii="Times New Roman" w:hAnsi="Times New Roman"/>
                        </w:rPr>
                      </w:pPr>
                      <w:r w:rsidRPr="006B24A9">
                        <w:rPr>
                          <w:rFonts w:ascii="Times New Roman" w:hAnsi="Times New Roman"/>
                        </w:rPr>
                        <w:t>I:</w:t>
                      </w:r>
                      <w:r>
                        <w:rPr>
                          <w:rFonts w:ascii="Times New Roman" w:hAnsi="Times New Roman"/>
                        </w:rPr>
                        <w:t xml:space="preserve"> C</w:t>
                      </w:r>
                      <w:r>
                        <w:rPr>
                          <w:rFonts w:ascii="Times New Roman" w:hAnsi="Times New Roman"/>
                          <w:vertAlign w:val="subscript"/>
                        </w:rPr>
                        <w:t xml:space="preserve">17 </w:t>
                      </w:r>
                      <w:r w:rsidRPr="006B24A9">
                        <w:rPr>
                          <w:rFonts w:ascii="Times New Roman" w:hAnsi="Times New Roman"/>
                          <w:i/>
                        </w:rPr>
                        <w:t>n</w:t>
                      </w:r>
                      <w:r>
                        <w:rPr>
                          <w:rFonts w:ascii="Times New Roman" w:hAnsi="Times New Roman"/>
                        </w:rPr>
                        <w:t>-Alkane</w:t>
                      </w:r>
                    </w:p>
                  </w:txbxContent>
                </v:textbox>
              </v:shape>
            </w:pict>
          </mc:Fallback>
        </mc:AlternateContent>
      </w:r>
    </w:p>
    <w:p w:rsidR="00C87CE1" w:rsidRDefault="00C87CE1" w:rsidP="00C87CE1">
      <w:pPr>
        <w:rPr>
          <w:rFonts w:ascii="Times New Roman" w:hAnsi="Times New Roman"/>
          <w:b/>
          <w:sz w:val="28"/>
        </w:rPr>
      </w:pPr>
      <w:r>
        <w:rPr>
          <w:rFonts w:ascii="Times New Roman" w:hAnsi="Times New Roman"/>
          <w:b/>
          <w:noProof/>
          <w:sz w:val="28"/>
          <w:lang w:val="tr-TR" w:eastAsia="tr-TR" w:bidi="ar-SA"/>
        </w:rPr>
        <w:drawing>
          <wp:inline distT="0" distB="0" distL="0" distR="0" wp14:anchorId="1DE7DD53" wp14:editId="63226F40">
            <wp:extent cx="3208984" cy="140372"/>
            <wp:effectExtent l="0" t="0" r="0" b="0"/>
            <wp:docPr id="440" name="Resim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844881" cy="168188"/>
                    </a:xfrm>
                    <a:prstGeom prst="rect">
                      <a:avLst/>
                    </a:prstGeom>
                    <a:noFill/>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692032" behindDoc="0" locked="0" layoutInCell="1" allowOverlap="1" wp14:anchorId="3B12C9A2" wp14:editId="5ACE2E75">
                <wp:simplePos x="0" y="0"/>
                <wp:positionH relativeFrom="column">
                  <wp:posOffset>3623451</wp:posOffset>
                </wp:positionH>
                <wp:positionV relativeFrom="paragraph">
                  <wp:posOffset>321508</wp:posOffset>
                </wp:positionV>
                <wp:extent cx="1169035" cy="300942"/>
                <wp:effectExtent l="0" t="0" r="12065" b="17145"/>
                <wp:wrapNone/>
                <wp:docPr id="54" name="Text Box 3"/>
                <wp:cNvGraphicFramePr/>
                <a:graphic xmlns:a="http://schemas.openxmlformats.org/drawingml/2006/main">
                  <a:graphicData uri="http://schemas.microsoft.com/office/word/2010/wordprocessingShape">
                    <wps:wsp>
                      <wps:cNvSpPr txBox="1"/>
                      <wps:spPr>
                        <a:xfrm>
                          <a:off x="0" y="0"/>
                          <a:ext cx="1169035" cy="300942"/>
                        </a:xfrm>
                        <a:prstGeom prst="rect">
                          <a:avLst/>
                        </a:prstGeom>
                        <a:solidFill>
                          <a:schemeClr val="lt1"/>
                        </a:solidFill>
                        <a:ln w="6350">
                          <a:solidFill>
                            <a:prstClr val="black"/>
                          </a:solidFill>
                        </a:ln>
                      </wps:spPr>
                      <wps:txbx>
                        <w:txbxContent>
                          <w:p w:rsidR="008875B3" w:rsidRPr="006B24A9" w:rsidRDefault="008875B3" w:rsidP="00C87CE1">
                            <w:pPr>
                              <w:rPr>
                                <w:rFonts w:ascii="Times New Roman" w:hAnsi="Times New Roman"/>
                              </w:rPr>
                            </w:pPr>
                            <w:r w:rsidRPr="006B24A9">
                              <w:rPr>
                                <w:rFonts w:ascii="Times New Roman" w:hAnsi="Times New Roman"/>
                              </w:rPr>
                              <w:t>I</w:t>
                            </w:r>
                            <w:r>
                              <w:rPr>
                                <w:rFonts w:ascii="Times New Roman" w:hAnsi="Times New Roman"/>
                              </w:rPr>
                              <w:t>I</w:t>
                            </w:r>
                            <w:r w:rsidRPr="006B24A9">
                              <w:rPr>
                                <w:rFonts w:ascii="Times New Roman" w:hAnsi="Times New Roman"/>
                              </w:rPr>
                              <w:t>:</w:t>
                            </w:r>
                            <w:r>
                              <w:rPr>
                                <w:rFonts w:ascii="Times New Roman" w:hAnsi="Times New Roman"/>
                              </w:rPr>
                              <w:t xml:space="preserve"> C</w:t>
                            </w:r>
                            <w:r>
                              <w:rPr>
                                <w:rFonts w:ascii="Times New Roman" w:hAnsi="Times New Roman"/>
                                <w:vertAlign w:val="subscript"/>
                              </w:rPr>
                              <w:t xml:space="preserve">18 </w:t>
                            </w:r>
                            <w:r w:rsidRPr="006B24A9">
                              <w:rPr>
                                <w:rFonts w:ascii="Times New Roman" w:hAnsi="Times New Roman"/>
                                <w:i/>
                              </w:rPr>
                              <w:t>n</w:t>
                            </w:r>
                            <w:r>
                              <w:rPr>
                                <w:rFonts w:ascii="Times New Roman" w:hAnsi="Times New Roman"/>
                              </w:rPr>
                              <w:t>-Alkane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2C9A2" id="Text Box 3" o:spid="_x0000_s1039" type="#_x0000_t202" style="position:absolute;margin-left:285.3pt;margin-top:25.3pt;width:92.05pt;height:2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" fillcolor="white [3201]" strokeweight=".5pt">
                <v:textbox>
                  <w:txbxContent>
                    <w:p w:rsidR="008875B3" w:rsidRPr="006B24A9" w:rsidRDefault="008875B3" w:rsidP="00C87CE1">
                      <w:pPr>
                        <w:rPr>
                          <w:rFonts w:ascii="Times New Roman" w:hAnsi="Times New Roman"/>
                        </w:rPr>
                      </w:pPr>
                      <w:r w:rsidRPr="006B24A9">
                        <w:rPr>
                          <w:rFonts w:ascii="Times New Roman" w:hAnsi="Times New Roman"/>
                        </w:rPr>
                        <w:t>I</w:t>
                      </w:r>
                      <w:r>
                        <w:rPr>
                          <w:rFonts w:ascii="Times New Roman" w:hAnsi="Times New Roman"/>
                        </w:rPr>
                        <w:t>I</w:t>
                      </w:r>
                      <w:r w:rsidRPr="006B24A9">
                        <w:rPr>
                          <w:rFonts w:ascii="Times New Roman" w:hAnsi="Times New Roman"/>
                        </w:rPr>
                        <w:t>:</w:t>
                      </w:r>
                      <w:r>
                        <w:rPr>
                          <w:rFonts w:ascii="Times New Roman" w:hAnsi="Times New Roman"/>
                        </w:rPr>
                        <w:t xml:space="preserve"> C</w:t>
                      </w:r>
                      <w:r>
                        <w:rPr>
                          <w:rFonts w:ascii="Times New Roman" w:hAnsi="Times New Roman"/>
                          <w:vertAlign w:val="subscript"/>
                        </w:rPr>
                        <w:t xml:space="preserve">18 </w:t>
                      </w:r>
                      <w:r w:rsidRPr="006B24A9">
                        <w:rPr>
                          <w:rFonts w:ascii="Times New Roman" w:hAnsi="Times New Roman"/>
                          <w:i/>
                        </w:rPr>
                        <w:t>n</w:t>
                      </w:r>
                      <w:r>
                        <w:rPr>
                          <w:rFonts w:ascii="Times New Roman" w:hAnsi="Times New Roman"/>
                        </w:rPr>
                        <w:t>-Alkane</w:t>
                      </w:r>
                    </w:p>
                  </w:txbxContent>
                </v:textbox>
              </v:shape>
            </w:pict>
          </mc:Fallback>
        </mc:AlternateContent>
      </w:r>
    </w:p>
    <w:p w:rsidR="00C87CE1" w:rsidRDefault="00C87CE1" w:rsidP="00C87CE1">
      <w:pPr>
        <w:rPr>
          <w:rFonts w:ascii="Times New Roman" w:hAnsi="Times New Roman"/>
          <w:b/>
          <w:sz w:val="28"/>
        </w:rPr>
      </w:pPr>
      <w:r>
        <w:rPr>
          <w:rFonts w:ascii="Times New Roman" w:hAnsi="Times New Roman"/>
          <w:b/>
          <w:noProof/>
          <w:sz w:val="28"/>
          <w:lang w:val="tr-TR" w:eastAsia="tr-TR" w:bidi="ar-SA"/>
        </w:rPr>
        <w:drawing>
          <wp:inline distT="0" distB="0" distL="0" distR="0" wp14:anchorId="32D919D8" wp14:editId="4DC1370E">
            <wp:extent cx="3208655" cy="135616"/>
            <wp:effectExtent l="0" t="0" r="0" b="0"/>
            <wp:docPr id="441" name="Resim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rot="10800000" flipV="1">
                      <a:off x="0" y="0"/>
                      <a:ext cx="3838169" cy="162223"/>
                    </a:xfrm>
                    <a:prstGeom prst="rect">
                      <a:avLst/>
                    </a:prstGeom>
                    <a:noFill/>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693056" behindDoc="0" locked="0" layoutInCell="1" allowOverlap="1" wp14:anchorId="0869E7C9" wp14:editId="61EDB95F">
                <wp:simplePos x="0" y="0"/>
                <wp:positionH relativeFrom="column">
                  <wp:posOffset>3620787</wp:posOffset>
                </wp:positionH>
                <wp:positionV relativeFrom="paragraph">
                  <wp:posOffset>400685</wp:posOffset>
                </wp:positionV>
                <wp:extent cx="937549" cy="300942"/>
                <wp:effectExtent l="0" t="0" r="15240" b="17145"/>
                <wp:wrapNone/>
                <wp:docPr id="56" name="Text Box 4"/>
                <wp:cNvGraphicFramePr/>
                <a:graphic xmlns:a="http://schemas.openxmlformats.org/drawingml/2006/main">
                  <a:graphicData uri="http://schemas.microsoft.com/office/word/2010/wordprocessingShape">
                    <wps:wsp>
                      <wps:cNvSpPr txBox="1"/>
                      <wps:spPr>
                        <a:xfrm>
                          <a:off x="0" y="0"/>
                          <a:ext cx="937549" cy="300942"/>
                        </a:xfrm>
                        <a:prstGeom prst="rect">
                          <a:avLst/>
                        </a:prstGeom>
                        <a:solidFill>
                          <a:schemeClr val="lt1"/>
                        </a:solidFill>
                        <a:ln w="6350">
                          <a:solidFill>
                            <a:prstClr val="black"/>
                          </a:solidFill>
                        </a:ln>
                      </wps:spPr>
                      <wps:txbx>
                        <w:txbxContent>
                          <w:p w:rsidR="008875B3" w:rsidRPr="006B24A9" w:rsidRDefault="008875B3" w:rsidP="00C87CE1">
                            <w:pPr>
                              <w:rPr>
                                <w:rFonts w:ascii="Times New Roman" w:hAnsi="Times New Roman"/>
                              </w:rPr>
                            </w:pPr>
                            <w:r w:rsidRPr="006B24A9">
                              <w:rPr>
                                <w:rFonts w:ascii="Times New Roman" w:hAnsi="Times New Roman"/>
                              </w:rPr>
                              <w:t>I</w:t>
                            </w:r>
                            <w:r>
                              <w:rPr>
                                <w:rFonts w:ascii="Times New Roman" w:hAnsi="Times New Roman"/>
                              </w:rPr>
                              <w:t>II</w:t>
                            </w:r>
                            <w:r w:rsidRPr="006B24A9">
                              <w:rPr>
                                <w:rFonts w:ascii="Times New Roman" w:hAnsi="Times New Roman"/>
                              </w:rPr>
                              <w:t>:</w:t>
                            </w:r>
                            <w:r>
                              <w:rPr>
                                <w:rFonts w:ascii="Times New Roman" w:hAnsi="Times New Roman"/>
                              </w:rPr>
                              <w:t xml:space="preserve"> Pristane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9E7C9" id="Text Box 4" o:spid="_x0000_s1040" type="#_x0000_t202" style="position:absolute;margin-left:285.1pt;margin-top:31.55pt;width:73.8pt;height:23.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" fillcolor="white [3201]" strokeweight=".5pt">
                <v:textbox>
                  <w:txbxContent>
                    <w:p w:rsidR="008875B3" w:rsidRPr="006B24A9" w:rsidRDefault="008875B3" w:rsidP="00C87CE1">
                      <w:pPr>
                        <w:rPr>
                          <w:rFonts w:ascii="Times New Roman" w:hAnsi="Times New Roman"/>
                        </w:rPr>
                      </w:pPr>
                      <w:r w:rsidRPr="006B24A9">
                        <w:rPr>
                          <w:rFonts w:ascii="Times New Roman" w:hAnsi="Times New Roman"/>
                        </w:rPr>
                        <w:t>I</w:t>
                      </w:r>
                      <w:r>
                        <w:rPr>
                          <w:rFonts w:ascii="Times New Roman" w:hAnsi="Times New Roman"/>
                        </w:rPr>
                        <w:t>II</w:t>
                      </w:r>
                      <w:r w:rsidRPr="006B24A9">
                        <w:rPr>
                          <w:rFonts w:ascii="Times New Roman" w:hAnsi="Times New Roman"/>
                        </w:rPr>
                        <w:t>:</w:t>
                      </w:r>
                      <w:r>
                        <w:rPr>
                          <w:rFonts w:ascii="Times New Roman" w:hAnsi="Times New Roman"/>
                        </w:rPr>
                        <w:t xml:space="preserve"> Pristane</w:t>
                      </w:r>
                    </w:p>
                  </w:txbxContent>
                </v:textbox>
              </v:shape>
            </w:pict>
          </mc:Fallback>
        </mc:AlternateContent>
      </w:r>
    </w:p>
    <w:p w:rsidR="00C87CE1" w:rsidRDefault="00C87CE1" w:rsidP="00C87CE1">
      <w:pPr>
        <w:rPr>
          <w:rFonts w:ascii="Times New Roman" w:hAnsi="Times New Roman"/>
          <w:b/>
          <w:sz w:val="28"/>
        </w:rPr>
      </w:pPr>
      <w:r w:rsidRPr="00901591">
        <w:rPr>
          <w:rFonts w:ascii="Times New Roman" w:hAnsi="Times New Roman"/>
          <w:b/>
          <w:noProof/>
          <w:sz w:val="28"/>
          <w:lang w:val="tr-TR" w:eastAsia="tr-TR" w:bidi="ar-SA"/>
        </w:rPr>
        <w:drawing>
          <wp:inline distT="0" distB="0" distL="0" distR="0" wp14:anchorId="77ED69EB" wp14:editId="6A05589A">
            <wp:extent cx="2443655" cy="283022"/>
            <wp:effectExtent l="0" t="0" r="0" b="3175"/>
            <wp:docPr id="6185"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esim 41"/>
                    <pic:cNvPicPr>
                      <a:picLocks noChangeAspect="1"/>
                    </pic:cNvPicPr>
                  </pic:nvPicPr>
                  <pic:blipFill>
                    <a:blip r:embed="rId93"/>
                    <a:stretch>
                      <a:fillRect/>
                    </a:stretch>
                  </pic:blipFill>
                  <pic:spPr>
                    <a:xfrm>
                      <a:off x="0" y="0"/>
                      <a:ext cx="2631996" cy="304835"/>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694080" behindDoc="0" locked="0" layoutInCell="1" allowOverlap="1" wp14:anchorId="6A24EC13" wp14:editId="258196D4">
                <wp:simplePos x="0" y="0"/>
                <wp:positionH relativeFrom="column">
                  <wp:posOffset>3606419</wp:posOffset>
                </wp:positionH>
                <wp:positionV relativeFrom="paragraph">
                  <wp:posOffset>1600</wp:posOffset>
                </wp:positionV>
                <wp:extent cx="937549" cy="300942"/>
                <wp:effectExtent l="0" t="0" r="15240" b="17145"/>
                <wp:wrapNone/>
                <wp:docPr id="57" name="Text Box 5"/>
                <wp:cNvGraphicFramePr/>
                <a:graphic xmlns:a="http://schemas.openxmlformats.org/drawingml/2006/main">
                  <a:graphicData uri="http://schemas.microsoft.com/office/word/2010/wordprocessingShape">
                    <wps:wsp>
                      <wps:cNvSpPr txBox="1"/>
                      <wps:spPr>
                        <a:xfrm>
                          <a:off x="0" y="0"/>
                          <a:ext cx="937549" cy="300942"/>
                        </a:xfrm>
                        <a:prstGeom prst="rect">
                          <a:avLst/>
                        </a:prstGeom>
                        <a:solidFill>
                          <a:schemeClr val="lt1"/>
                        </a:solidFill>
                        <a:ln w="6350">
                          <a:solidFill>
                            <a:prstClr val="black"/>
                          </a:solidFill>
                        </a:ln>
                      </wps:spPr>
                      <wps:txbx>
                        <w:txbxContent>
                          <w:p w:rsidR="008875B3" w:rsidRPr="006B24A9" w:rsidRDefault="008875B3" w:rsidP="00C87CE1">
                            <w:pPr>
                              <w:rPr>
                                <w:rFonts w:ascii="Times New Roman" w:hAnsi="Times New Roman"/>
                              </w:rPr>
                            </w:pPr>
                            <w:r w:rsidRPr="006B24A9">
                              <w:rPr>
                                <w:rFonts w:ascii="Times New Roman" w:hAnsi="Times New Roman"/>
                              </w:rPr>
                              <w:t>I</w:t>
                            </w:r>
                            <w:r>
                              <w:rPr>
                                <w:rFonts w:ascii="Times New Roman" w:hAnsi="Times New Roman"/>
                              </w:rPr>
                              <w:t>V</w:t>
                            </w:r>
                            <w:r w:rsidRPr="006B24A9">
                              <w:rPr>
                                <w:rFonts w:ascii="Times New Roman" w:hAnsi="Times New Roman"/>
                              </w:rPr>
                              <w:t>:</w:t>
                            </w:r>
                            <w:r>
                              <w:rPr>
                                <w:rFonts w:ascii="Times New Roman" w:hAnsi="Times New Roman"/>
                              </w:rPr>
                              <w:t xml:space="preserve"> Phytane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4EC13" id="Text Box 5" o:spid="_x0000_s1041" type="#_x0000_t202" style="position:absolute;margin-left:283.95pt;margin-top:.15pt;width:73.8pt;height:23.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" fillcolor="white [3201]" strokeweight=".5pt">
                <v:textbox>
                  <w:txbxContent>
                    <w:p w:rsidR="008875B3" w:rsidRPr="006B24A9" w:rsidRDefault="008875B3" w:rsidP="00C87CE1">
                      <w:pPr>
                        <w:rPr>
                          <w:rFonts w:ascii="Times New Roman" w:hAnsi="Times New Roman"/>
                        </w:rPr>
                      </w:pPr>
                      <w:r w:rsidRPr="006B24A9">
                        <w:rPr>
                          <w:rFonts w:ascii="Times New Roman" w:hAnsi="Times New Roman"/>
                        </w:rPr>
                        <w:t>I</w:t>
                      </w:r>
                      <w:r>
                        <w:rPr>
                          <w:rFonts w:ascii="Times New Roman" w:hAnsi="Times New Roman"/>
                        </w:rPr>
                        <w:t>V</w:t>
                      </w:r>
                      <w:r w:rsidRPr="006B24A9">
                        <w:rPr>
                          <w:rFonts w:ascii="Times New Roman" w:hAnsi="Times New Roman"/>
                        </w:rPr>
                        <w:t>:</w:t>
                      </w:r>
                      <w:r>
                        <w:rPr>
                          <w:rFonts w:ascii="Times New Roman" w:hAnsi="Times New Roman"/>
                        </w:rPr>
                        <w:t xml:space="preserve"> Phytane</w:t>
                      </w:r>
                    </w:p>
                  </w:txbxContent>
                </v:textbox>
              </v:shape>
            </w:pict>
          </mc:Fallback>
        </mc:AlternateContent>
      </w:r>
      <w:r w:rsidRPr="00901591">
        <w:rPr>
          <w:rFonts w:ascii="Times New Roman" w:hAnsi="Times New Roman"/>
          <w:b/>
          <w:noProof/>
          <w:sz w:val="28"/>
          <w:lang w:val="tr-TR" w:eastAsia="tr-TR" w:bidi="ar-SA"/>
        </w:rPr>
        <w:drawing>
          <wp:inline distT="0" distB="0" distL="0" distR="0" wp14:anchorId="77841B81" wp14:editId="2220118F">
            <wp:extent cx="2719449" cy="290318"/>
            <wp:effectExtent l="0" t="0" r="5080" b="0"/>
            <wp:docPr id="222"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esim 41"/>
                    <pic:cNvPicPr>
                      <a:picLocks noChangeAspect="1"/>
                    </pic:cNvPicPr>
                  </pic:nvPicPr>
                  <pic:blipFill>
                    <a:blip r:embed="rId94"/>
                    <a:stretch>
                      <a:fillRect/>
                    </a:stretch>
                  </pic:blipFill>
                  <pic:spPr>
                    <a:xfrm>
                      <a:off x="0" y="0"/>
                      <a:ext cx="2811455" cy="300140"/>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695104" behindDoc="0" locked="0" layoutInCell="1" allowOverlap="1" wp14:anchorId="434E71CB" wp14:editId="3370403B">
                <wp:simplePos x="0" y="0"/>
                <wp:positionH relativeFrom="column">
                  <wp:posOffset>3546475</wp:posOffset>
                </wp:positionH>
                <wp:positionV relativeFrom="paragraph">
                  <wp:posOffset>560705</wp:posOffset>
                </wp:positionV>
                <wp:extent cx="1365805" cy="300942"/>
                <wp:effectExtent l="0" t="0" r="19050" b="17145"/>
                <wp:wrapNone/>
                <wp:docPr id="70" name="Text Box 70"/>
                <wp:cNvGraphicFramePr/>
                <a:graphic xmlns:a="http://schemas.openxmlformats.org/drawingml/2006/main">
                  <a:graphicData uri="http://schemas.microsoft.com/office/word/2010/wordprocessingShape">
                    <wps:wsp>
                      <wps:cNvSpPr txBox="1"/>
                      <wps:spPr>
                        <a:xfrm>
                          <a:off x="0" y="0"/>
                          <a:ext cx="1365805" cy="300942"/>
                        </a:xfrm>
                        <a:prstGeom prst="rect">
                          <a:avLst/>
                        </a:prstGeom>
                        <a:solidFill>
                          <a:schemeClr val="lt1"/>
                        </a:solidFill>
                        <a:ln w="6350">
                          <a:solidFill>
                            <a:prstClr val="black"/>
                          </a:solidFill>
                        </a:ln>
                      </wps:spPr>
                      <wps:txbx>
                        <w:txbxContent>
                          <w:p w:rsidR="008875B3" w:rsidRPr="006B24A9" w:rsidRDefault="008875B3" w:rsidP="00C87CE1">
                            <w:pPr>
                              <w:rPr>
                                <w:rFonts w:ascii="Times New Roman" w:hAnsi="Times New Roman"/>
                              </w:rPr>
                            </w:pPr>
                            <w:r>
                              <w:rPr>
                                <w:rFonts w:ascii="Times New Roman" w:hAnsi="Times New Roman"/>
                              </w:rPr>
                              <w:t>V: 8</w:t>
                            </w:r>
                            <w:r>
                              <w:rPr>
                                <w:rFonts w:ascii="Times New Roman" w:hAnsi="Times New Roman"/>
                              </w:rPr>
                              <w:sym w:font="Symbol" w:char="F062"/>
                            </w:r>
                            <w:r>
                              <w:rPr>
                                <w:rFonts w:ascii="Times New Roman" w:hAnsi="Times New Roman"/>
                              </w:rPr>
                              <w:t>(H)-Drimane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E71CB" id="Text Box 70" o:spid="_x0000_s1042" type="#_x0000_t202" style="position:absolute;margin-left:279.25pt;margin-top:44.15pt;width:107.55pt;height:23.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" fillcolor="white [3201]" strokeweight=".5pt">
                <v:textbox>
                  <w:txbxContent>
                    <w:p w:rsidR="008875B3" w:rsidRPr="006B24A9" w:rsidRDefault="008875B3" w:rsidP="00C87CE1">
                      <w:pPr>
                        <w:rPr>
                          <w:rFonts w:ascii="Times New Roman" w:hAnsi="Times New Roman"/>
                        </w:rPr>
                      </w:pPr>
                      <w:r>
                        <w:rPr>
                          <w:rFonts w:ascii="Times New Roman" w:hAnsi="Times New Roman"/>
                        </w:rPr>
                        <w:t>V: 8</w:t>
                      </w:r>
                      <w:r>
                        <w:rPr>
                          <w:rFonts w:ascii="Times New Roman" w:hAnsi="Times New Roman"/>
                        </w:rPr>
                        <w:sym w:font="Symbol" w:char="F062"/>
                      </w:r>
                      <w:r>
                        <w:rPr>
                          <w:rFonts w:ascii="Times New Roman" w:hAnsi="Times New Roman"/>
                        </w:rPr>
                        <w:t>(H)-Drimane</w:t>
                      </w:r>
                    </w:p>
                  </w:txbxContent>
                </v:textbox>
              </v:shape>
            </w:pict>
          </mc:Fallback>
        </mc:AlternateContent>
      </w:r>
      <w:r w:rsidRPr="00901591">
        <w:rPr>
          <w:rFonts w:ascii="Times New Roman" w:hAnsi="Times New Roman"/>
          <w:b/>
          <w:noProof/>
          <w:sz w:val="28"/>
          <w:lang w:val="tr-TR" w:eastAsia="tr-TR" w:bidi="ar-SA"/>
        </w:rPr>
        <w:drawing>
          <wp:inline distT="0" distB="0" distL="0" distR="0" wp14:anchorId="745CD5D9" wp14:editId="2884CB70">
            <wp:extent cx="1626147" cy="1562100"/>
            <wp:effectExtent l="0" t="0" r="0" b="0"/>
            <wp:docPr id="419"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sim 22"/>
                    <pic:cNvPicPr>
                      <a:picLocks noChangeAspect="1"/>
                    </pic:cNvPicPr>
                  </pic:nvPicPr>
                  <pic:blipFill>
                    <a:blip r:embed="rId95"/>
                    <a:stretch>
                      <a:fillRect/>
                    </a:stretch>
                  </pic:blipFill>
                  <pic:spPr>
                    <a:xfrm>
                      <a:off x="0" y="0"/>
                      <a:ext cx="1669598" cy="1603839"/>
                    </a:xfrm>
                    <a:prstGeom prst="rect">
                      <a:avLst/>
                    </a:prstGeom>
                  </pic:spPr>
                </pic:pic>
              </a:graphicData>
            </a:graphic>
          </wp:inline>
        </w:drawing>
      </w:r>
    </w:p>
    <w:p w:rsidR="00C87CE1" w:rsidRPr="00B05B79" w:rsidRDefault="00C87CE1" w:rsidP="00C87CE1">
      <w:pPr>
        <w:rPr>
          <w:rFonts w:ascii="Times New Roman" w:hAnsi="Times New Roman"/>
          <w:sz w:val="28"/>
        </w:rPr>
      </w:pPr>
      <w:r w:rsidRPr="00B05B79">
        <w:rPr>
          <w:rFonts w:ascii="Times New Roman" w:hAnsi="Times New Roman"/>
          <w:b/>
          <w:noProof/>
          <w:sz w:val="28"/>
          <w:lang w:val="tr-TR" w:eastAsia="tr-TR" w:bidi="ar-SA"/>
        </w:rPr>
        <w:drawing>
          <wp:anchor distT="0" distB="0" distL="114300" distR="114300" simplePos="0" relativeHeight="251737088" behindDoc="0" locked="0" layoutInCell="1" allowOverlap="1" wp14:anchorId="097D46DB" wp14:editId="2613F7C2">
            <wp:simplePos x="0" y="0"/>
            <wp:positionH relativeFrom="margin">
              <wp:align>left</wp:align>
            </wp:positionH>
            <wp:positionV relativeFrom="paragraph">
              <wp:posOffset>245110</wp:posOffset>
            </wp:positionV>
            <wp:extent cx="1525270" cy="1466850"/>
            <wp:effectExtent l="0" t="0" r="0" b="0"/>
            <wp:wrapSquare wrapText="bothSides"/>
            <wp:docPr id="43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esim 26"/>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525270" cy="1466850"/>
                    </a:xfrm>
                    <a:prstGeom prst="rect">
                      <a:avLst/>
                    </a:prstGeom>
                  </pic:spPr>
                </pic:pic>
              </a:graphicData>
            </a:graphic>
          </wp:anchor>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696128" behindDoc="0" locked="0" layoutInCell="1" allowOverlap="1" wp14:anchorId="671489CB" wp14:editId="19F7130E">
                <wp:simplePos x="0" y="0"/>
                <wp:positionH relativeFrom="margin">
                  <wp:align>right</wp:align>
                </wp:positionH>
                <wp:positionV relativeFrom="paragraph">
                  <wp:posOffset>450215</wp:posOffset>
                </wp:positionV>
                <wp:extent cx="1770927" cy="358815"/>
                <wp:effectExtent l="0" t="0" r="20320" b="22225"/>
                <wp:wrapNone/>
                <wp:docPr id="6157" name="Text Box 71"/>
                <wp:cNvGraphicFramePr/>
                <a:graphic xmlns:a="http://schemas.openxmlformats.org/drawingml/2006/main">
                  <a:graphicData uri="http://schemas.microsoft.com/office/word/2010/wordprocessingShape">
                    <wps:wsp>
                      <wps:cNvSpPr txBox="1"/>
                      <wps:spPr>
                        <a:xfrm>
                          <a:off x="0" y="0"/>
                          <a:ext cx="1770927" cy="358815"/>
                        </a:xfrm>
                        <a:prstGeom prst="rect">
                          <a:avLst/>
                        </a:prstGeom>
                        <a:solidFill>
                          <a:schemeClr val="lt1"/>
                        </a:solidFill>
                        <a:ln w="6350">
                          <a:solidFill>
                            <a:prstClr val="black"/>
                          </a:solidFill>
                        </a:ln>
                      </wps:spPr>
                      <wps:txbx>
                        <w:txbxContent>
                          <w:p w:rsidR="008875B3" w:rsidRPr="006B24A9" w:rsidRDefault="008875B3" w:rsidP="00C87CE1">
                            <w:pPr>
                              <w:rPr>
                                <w:rFonts w:ascii="Times New Roman" w:hAnsi="Times New Roman"/>
                              </w:rPr>
                            </w:pPr>
                            <w:r>
                              <w:rPr>
                                <w:rFonts w:ascii="Times New Roman" w:hAnsi="Times New Roman"/>
                              </w:rPr>
                              <w:t>VI: 8</w:t>
                            </w:r>
                            <w:r>
                              <w:rPr>
                                <w:rFonts w:ascii="Times New Roman" w:hAnsi="Times New Roman"/>
                              </w:rPr>
                              <w:sym w:font="Symbol" w:char="F062"/>
                            </w:r>
                            <w:r>
                              <w:rPr>
                                <w:rFonts w:ascii="Times New Roman" w:hAnsi="Times New Roman"/>
                              </w:rPr>
                              <w:t>(H)-Homodrimane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489CB" id="Text Box 71" o:spid="_x0000_s1043" type="#_x0000_t202" style="position:absolute;margin-left:88.25pt;margin-top:35.45pt;width:139.45pt;height:28.2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" fillcolor="white [3201]" strokeweight=".5pt">
                <v:textbox>
                  <w:txbxContent>
                    <w:p w:rsidR="008875B3" w:rsidRPr="006B24A9" w:rsidRDefault="008875B3" w:rsidP="00C87CE1">
                      <w:pPr>
                        <w:rPr>
                          <w:rFonts w:ascii="Times New Roman" w:hAnsi="Times New Roman"/>
                        </w:rPr>
                      </w:pPr>
                      <w:r>
                        <w:rPr>
                          <w:rFonts w:ascii="Times New Roman" w:hAnsi="Times New Roman"/>
                        </w:rPr>
                        <w:t>VI: 8</w:t>
                      </w:r>
                      <w:r>
                        <w:rPr>
                          <w:rFonts w:ascii="Times New Roman" w:hAnsi="Times New Roman"/>
                        </w:rPr>
                        <w:sym w:font="Symbol" w:char="F062"/>
                      </w:r>
                      <w:r>
                        <w:rPr>
                          <w:rFonts w:ascii="Times New Roman" w:hAnsi="Times New Roman"/>
                        </w:rPr>
                        <w:t>(H)-Homodrimane</w:t>
                      </w:r>
                    </w:p>
                  </w:txbxContent>
                </v:textbox>
                <w10:wrap anchorx="margin"/>
              </v:shape>
            </w:pict>
          </mc:Fallback>
        </mc:AlternateContent>
      </w:r>
    </w:p>
    <w:p w:rsidR="00C87CE1" w:rsidRDefault="00C87CE1" w:rsidP="00C87CE1">
      <w:pPr>
        <w:rPr>
          <w:rFonts w:ascii="Times New Roman" w:hAnsi="Times New Roman"/>
          <w:b/>
          <w:sz w:val="28"/>
        </w:rPr>
      </w:pPr>
      <w:r>
        <w:rPr>
          <w:noProof/>
          <w:lang w:val="tr-TR" w:eastAsia="tr-TR" w:bidi="ar-SA"/>
        </w:rPr>
        <w:lastRenderedPageBreak/>
        <mc:AlternateContent>
          <mc:Choice Requires="wps">
            <w:drawing>
              <wp:anchor distT="0" distB="0" distL="114300" distR="114300" simplePos="0" relativeHeight="251697152" behindDoc="0" locked="0" layoutInCell="1" allowOverlap="1" wp14:anchorId="36A2BF8D" wp14:editId="1C9B584B">
                <wp:simplePos x="0" y="0"/>
                <wp:positionH relativeFrom="margin">
                  <wp:align>right</wp:align>
                </wp:positionH>
                <wp:positionV relativeFrom="paragraph">
                  <wp:posOffset>357505</wp:posOffset>
                </wp:positionV>
                <wp:extent cx="1770927" cy="358815"/>
                <wp:effectExtent l="0" t="0" r="20320" b="22225"/>
                <wp:wrapNone/>
                <wp:docPr id="6158" name="Text Box 113"/>
                <wp:cNvGraphicFramePr/>
                <a:graphic xmlns:a="http://schemas.openxmlformats.org/drawingml/2006/main">
                  <a:graphicData uri="http://schemas.microsoft.com/office/word/2010/wordprocessingShape">
                    <wps:wsp>
                      <wps:cNvSpPr txBox="1"/>
                      <wps:spPr>
                        <a:xfrm>
                          <a:off x="0" y="0"/>
                          <a:ext cx="1770927" cy="358815"/>
                        </a:xfrm>
                        <a:prstGeom prst="rect">
                          <a:avLst/>
                        </a:prstGeom>
                        <a:solidFill>
                          <a:schemeClr val="lt1"/>
                        </a:solidFill>
                        <a:ln w="6350">
                          <a:solidFill>
                            <a:prstClr val="black"/>
                          </a:solidFill>
                        </a:ln>
                      </wps:spPr>
                      <wps:txbx>
                        <w:txbxContent>
                          <w:p w:rsidR="008875B3" w:rsidRPr="006B24A9" w:rsidRDefault="008875B3" w:rsidP="00C87CE1">
                            <w:pPr>
                              <w:rPr>
                                <w:rFonts w:ascii="Times New Roman" w:hAnsi="Times New Roman"/>
                              </w:rPr>
                            </w:pPr>
                            <w:r>
                              <w:rPr>
                                <w:rFonts w:ascii="Times New Roman" w:hAnsi="Times New Roman"/>
                              </w:rPr>
                              <w:t>VII: 4</w:t>
                            </w:r>
                            <w:r>
                              <w:rPr>
                                <w:rFonts w:ascii="Times New Roman" w:hAnsi="Times New Roman"/>
                              </w:rPr>
                              <w:sym w:font="Symbol" w:char="F062"/>
                            </w:r>
                            <w:r>
                              <w:rPr>
                                <w:rFonts w:ascii="Times New Roman" w:hAnsi="Times New Roman"/>
                              </w:rPr>
                              <w:t>(H)-Eudesmane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2BF8D" id="Text Box 113" o:spid="_x0000_s1044" type="#_x0000_t202" style="position:absolute;margin-left:88.25pt;margin-top:28.15pt;width:139.45pt;height:28.2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" fillcolor="white [3201]" strokeweight=".5pt">
                <v:textbox>
                  <w:txbxContent>
                    <w:p w:rsidR="008875B3" w:rsidRPr="006B24A9" w:rsidRDefault="008875B3" w:rsidP="00C87CE1">
                      <w:pPr>
                        <w:rPr>
                          <w:rFonts w:ascii="Times New Roman" w:hAnsi="Times New Roman"/>
                        </w:rPr>
                      </w:pPr>
                      <w:r>
                        <w:rPr>
                          <w:rFonts w:ascii="Times New Roman" w:hAnsi="Times New Roman"/>
                        </w:rPr>
                        <w:t>VII: 4</w:t>
                      </w:r>
                      <w:r>
                        <w:rPr>
                          <w:rFonts w:ascii="Times New Roman" w:hAnsi="Times New Roman"/>
                        </w:rPr>
                        <w:sym w:font="Symbol" w:char="F062"/>
                      </w:r>
                      <w:r>
                        <w:rPr>
                          <w:rFonts w:ascii="Times New Roman" w:hAnsi="Times New Roman"/>
                        </w:rPr>
                        <w:t>(H)-Eudesmane</w:t>
                      </w:r>
                    </w:p>
                  </w:txbxContent>
                </v:textbox>
                <w10:wrap anchorx="margin"/>
              </v:shape>
            </w:pict>
          </mc:Fallback>
        </mc:AlternateContent>
      </w:r>
      <w:r w:rsidRPr="00B05B79">
        <w:rPr>
          <w:rFonts w:ascii="Times New Roman" w:hAnsi="Times New Roman"/>
          <w:b/>
          <w:noProof/>
          <w:sz w:val="28"/>
          <w:lang w:val="tr-TR" w:eastAsia="tr-TR" w:bidi="ar-SA"/>
        </w:rPr>
        <w:drawing>
          <wp:inline distT="0" distB="0" distL="0" distR="0" wp14:anchorId="0E970772" wp14:editId="53055DDB">
            <wp:extent cx="1914525" cy="1401836"/>
            <wp:effectExtent l="0" t="0" r="0" b="8255"/>
            <wp:docPr id="437"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sim 22"/>
                    <pic:cNvPicPr>
                      <a:picLocks noChangeAspect="1"/>
                    </pic:cNvPicPr>
                  </pic:nvPicPr>
                  <pic:blipFill>
                    <a:blip r:embed="rId97"/>
                    <a:stretch>
                      <a:fillRect/>
                    </a:stretch>
                  </pic:blipFill>
                  <pic:spPr>
                    <a:xfrm>
                      <a:off x="0" y="0"/>
                      <a:ext cx="1947889" cy="1426266"/>
                    </a:xfrm>
                    <a:prstGeom prst="rect">
                      <a:avLst/>
                    </a:prstGeom>
                  </pic:spPr>
                </pic:pic>
              </a:graphicData>
            </a:graphic>
          </wp:inline>
        </w:drawing>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698176" behindDoc="0" locked="0" layoutInCell="1" allowOverlap="1" wp14:anchorId="0FEE724E" wp14:editId="49A3C259">
                <wp:simplePos x="0" y="0"/>
                <wp:positionH relativeFrom="column">
                  <wp:posOffset>3764280</wp:posOffset>
                </wp:positionH>
                <wp:positionV relativeFrom="paragraph">
                  <wp:posOffset>250825</wp:posOffset>
                </wp:positionV>
                <wp:extent cx="1041721" cy="266218"/>
                <wp:effectExtent l="0" t="0" r="12700" b="13335"/>
                <wp:wrapNone/>
                <wp:docPr id="158" name="Text Box 116"/>
                <wp:cNvGraphicFramePr/>
                <a:graphic xmlns:a="http://schemas.openxmlformats.org/drawingml/2006/main">
                  <a:graphicData uri="http://schemas.microsoft.com/office/word/2010/wordprocessingShape">
                    <wps:wsp>
                      <wps:cNvSpPr txBox="1"/>
                      <wps:spPr>
                        <a:xfrm>
                          <a:off x="0" y="0"/>
                          <a:ext cx="1041721" cy="266218"/>
                        </a:xfrm>
                        <a:prstGeom prst="rect">
                          <a:avLst/>
                        </a:prstGeom>
                        <a:solidFill>
                          <a:schemeClr val="lt1"/>
                        </a:solidFill>
                        <a:ln w="6350">
                          <a:solidFill>
                            <a:prstClr val="black"/>
                          </a:solidFill>
                        </a:ln>
                      </wps:spPr>
                      <wps:txbx>
                        <w:txbxContent>
                          <w:p w:rsidR="008875B3" w:rsidRPr="006B24A9" w:rsidRDefault="008875B3" w:rsidP="00C87CE1">
                            <w:pPr>
                              <w:rPr>
                                <w:rFonts w:ascii="Times New Roman" w:hAnsi="Times New Roman"/>
                              </w:rPr>
                            </w:pPr>
                            <w:r>
                              <w:rPr>
                                <w:rFonts w:ascii="Times New Roman" w:hAnsi="Times New Roman"/>
                              </w:rPr>
                              <w:t>VIII: Hopane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E724E" id="Text Box 116" o:spid="_x0000_s1045" type="#_x0000_t202" style="position:absolute;margin-left:296.4pt;margin-top:19.75pt;width:82.05pt;height:20.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" fillcolor="white [3201]" strokeweight=".5pt">
                <v:textbox>
                  <w:txbxContent>
                    <w:p w:rsidR="008875B3" w:rsidRPr="006B24A9" w:rsidRDefault="008875B3" w:rsidP="00C87CE1">
                      <w:pPr>
                        <w:rPr>
                          <w:rFonts w:ascii="Times New Roman" w:hAnsi="Times New Roman"/>
                        </w:rPr>
                      </w:pPr>
                      <w:r>
                        <w:rPr>
                          <w:rFonts w:ascii="Times New Roman" w:hAnsi="Times New Roman"/>
                        </w:rPr>
                        <w:t>VIII: Hopane</w:t>
                      </w:r>
                    </w:p>
                  </w:txbxContent>
                </v:textbox>
              </v:shape>
            </w:pict>
          </mc:Fallback>
        </mc:AlternateContent>
      </w:r>
      <w:r w:rsidRPr="00B05B79">
        <w:rPr>
          <w:rFonts w:ascii="Times New Roman" w:hAnsi="Times New Roman"/>
          <w:b/>
          <w:noProof/>
          <w:sz w:val="28"/>
          <w:lang w:val="tr-TR" w:eastAsia="tr-TR" w:bidi="ar-SA"/>
        </w:rPr>
        <w:drawing>
          <wp:inline distT="0" distB="0" distL="0" distR="0" wp14:anchorId="2A63AA06" wp14:editId="4C7E6BEA">
            <wp:extent cx="3744383" cy="2463642"/>
            <wp:effectExtent l="0" t="0" r="0" b="0"/>
            <wp:docPr id="111" name="Resi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Resim 110"/>
                    <pic:cNvPicPr>
                      <a:picLocks noChangeAspect="1"/>
                    </pic:cNvPicPr>
                  </pic:nvPicPr>
                  <pic:blipFill>
                    <a:blip r:embed="rId98"/>
                    <a:stretch>
                      <a:fillRect/>
                    </a:stretch>
                  </pic:blipFill>
                  <pic:spPr>
                    <a:xfrm>
                      <a:off x="0" y="0"/>
                      <a:ext cx="3758853" cy="2473163"/>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699200" behindDoc="0" locked="0" layoutInCell="1" allowOverlap="1" wp14:anchorId="28FED1A4" wp14:editId="52BD4E0E">
                <wp:simplePos x="0" y="0"/>
                <wp:positionH relativeFrom="margin">
                  <wp:align>right</wp:align>
                </wp:positionH>
                <wp:positionV relativeFrom="paragraph">
                  <wp:posOffset>1491310</wp:posOffset>
                </wp:positionV>
                <wp:extent cx="2490952" cy="370390"/>
                <wp:effectExtent l="0" t="0" r="24130" b="10795"/>
                <wp:wrapNone/>
                <wp:docPr id="159" name="Text Box 118"/>
                <wp:cNvGraphicFramePr/>
                <a:graphic xmlns:a="http://schemas.openxmlformats.org/drawingml/2006/main">
                  <a:graphicData uri="http://schemas.microsoft.com/office/word/2010/wordprocessingShape">
                    <wps:wsp>
                      <wps:cNvSpPr txBox="1"/>
                      <wps:spPr>
                        <a:xfrm>
                          <a:off x="0" y="0"/>
                          <a:ext cx="2490952" cy="370390"/>
                        </a:xfrm>
                        <a:prstGeom prst="rect">
                          <a:avLst/>
                        </a:prstGeom>
                        <a:solidFill>
                          <a:schemeClr val="lt1"/>
                        </a:solidFill>
                        <a:ln w="6350">
                          <a:solidFill>
                            <a:prstClr val="black"/>
                          </a:solidFill>
                        </a:ln>
                      </wps:spPr>
                      <wps:txbx>
                        <w:txbxContent>
                          <w:p w:rsidR="008875B3" w:rsidRPr="006B24A9" w:rsidRDefault="008875B3" w:rsidP="00C87CE1">
                            <w:pPr>
                              <w:rPr>
                                <w:rFonts w:ascii="Times New Roman" w:hAnsi="Times New Roman"/>
                              </w:rPr>
                            </w:pPr>
                            <w:r>
                              <w:rPr>
                                <w:rFonts w:ascii="Times New Roman" w:hAnsi="Times New Roman"/>
                              </w:rPr>
                              <w:t>IX: 18</w:t>
                            </w:r>
                            <w:r>
                              <w:rPr>
                                <w:rFonts w:ascii="Times New Roman" w:hAnsi="Times New Roman"/>
                              </w:rPr>
                              <w:sym w:font="Symbol" w:char="F061"/>
                            </w:r>
                            <w:r>
                              <w:rPr>
                                <w:rFonts w:ascii="Times New Roman" w:hAnsi="Times New Roman"/>
                              </w:rPr>
                              <w:t>(H)-22,29,30 Trisnorhopane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ED1A4" id="Text Box 118" o:spid="_x0000_s1046" type="#_x0000_t202" style="position:absolute;margin-left:144.95pt;margin-top:117.45pt;width:196.15pt;height:29.1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" fillcolor="white [3201]" strokeweight=".5pt">
                <v:textbox>
                  <w:txbxContent>
                    <w:p w:rsidR="008875B3" w:rsidRPr="006B24A9" w:rsidRDefault="008875B3" w:rsidP="00C87CE1">
                      <w:pPr>
                        <w:rPr>
                          <w:rFonts w:ascii="Times New Roman" w:hAnsi="Times New Roman"/>
                        </w:rPr>
                      </w:pPr>
                      <w:r>
                        <w:rPr>
                          <w:rFonts w:ascii="Times New Roman" w:hAnsi="Times New Roman"/>
                        </w:rPr>
                        <w:t>IX: 18</w:t>
                      </w:r>
                      <w:r>
                        <w:rPr>
                          <w:rFonts w:ascii="Times New Roman" w:hAnsi="Times New Roman"/>
                        </w:rPr>
                        <w:sym w:font="Symbol" w:char="F061"/>
                      </w:r>
                      <w:r>
                        <w:rPr>
                          <w:rFonts w:ascii="Times New Roman" w:hAnsi="Times New Roman"/>
                        </w:rPr>
                        <w:t>(H)-22,29,30 Trisnorhopane</w:t>
                      </w:r>
                    </w:p>
                  </w:txbxContent>
                </v:textbox>
                <w10:wrap anchorx="margin"/>
              </v:shape>
            </w:pict>
          </mc:Fallback>
        </mc:AlternateContent>
      </w:r>
      <w:r w:rsidRPr="00B05B79">
        <w:rPr>
          <w:rFonts w:ascii="Times New Roman" w:hAnsi="Times New Roman"/>
          <w:b/>
          <w:noProof/>
          <w:sz w:val="28"/>
          <w:lang w:val="tr-TR" w:eastAsia="tr-TR" w:bidi="ar-SA"/>
        </w:rPr>
        <w:drawing>
          <wp:inline distT="0" distB="0" distL="0" distR="0" wp14:anchorId="436841E2" wp14:editId="11B449EE">
            <wp:extent cx="3159956" cy="2519917"/>
            <wp:effectExtent l="0" t="0" r="0" b="0"/>
            <wp:docPr id="43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pic:cNvPicPr>
                      <a:picLocks noChangeAspect="1"/>
                    </pic:cNvPicPr>
                  </pic:nvPicPr>
                  <pic:blipFill>
                    <a:blip r:embed="rId99"/>
                    <a:stretch>
                      <a:fillRect/>
                    </a:stretch>
                  </pic:blipFill>
                  <pic:spPr>
                    <a:xfrm>
                      <a:off x="0" y="0"/>
                      <a:ext cx="3181211" cy="2536867"/>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w:lastRenderedPageBreak/>
        <mc:AlternateContent>
          <mc:Choice Requires="wps">
            <w:drawing>
              <wp:anchor distT="0" distB="0" distL="114300" distR="114300" simplePos="0" relativeHeight="251700224" behindDoc="0" locked="0" layoutInCell="1" allowOverlap="1" wp14:anchorId="4C84E63C" wp14:editId="21815D2C">
                <wp:simplePos x="0" y="0"/>
                <wp:positionH relativeFrom="margin">
                  <wp:posOffset>2945766</wp:posOffset>
                </wp:positionH>
                <wp:positionV relativeFrom="paragraph">
                  <wp:posOffset>548640</wp:posOffset>
                </wp:positionV>
                <wp:extent cx="2419248" cy="312517"/>
                <wp:effectExtent l="0" t="0" r="19685" b="11430"/>
                <wp:wrapNone/>
                <wp:docPr id="160" name="Text Box 120"/>
                <wp:cNvGraphicFramePr/>
                <a:graphic xmlns:a="http://schemas.openxmlformats.org/drawingml/2006/main">
                  <a:graphicData uri="http://schemas.microsoft.com/office/word/2010/wordprocessingShape">
                    <wps:wsp>
                      <wps:cNvSpPr txBox="1"/>
                      <wps:spPr>
                        <a:xfrm>
                          <a:off x="0" y="0"/>
                          <a:ext cx="2419248" cy="312517"/>
                        </a:xfrm>
                        <a:prstGeom prst="rect">
                          <a:avLst/>
                        </a:prstGeom>
                        <a:solidFill>
                          <a:schemeClr val="lt1"/>
                        </a:solidFill>
                        <a:ln w="6350">
                          <a:solidFill>
                            <a:prstClr val="black"/>
                          </a:solidFill>
                        </a:ln>
                      </wps:spPr>
                      <wps:txbx>
                        <w:txbxContent>
                          <w:p w:rsidR="008875B3" w:rsidRPr="006B24A9" w:rsidRDefault="008875B3" w:rsidP="00C87CE1">
                            <w:pPr>
                              <w:rPr>
                                <w:rFonts w:ascii="Times New Roman" w:hAnsi="Times New Roman"/>
                              </w:rPr>
                            </w:pPr>
                            <w:r>
                              <w:rPr>
                                <w:rFonts w:ascii="Times New Roman" w:hAnsi="Times New Roman"/>
                              </w:rPr>
                              <w:t>X: 17</w:t>
                            </w:r>
                            <w:r>
                              <w:rPr>
                                <w:rFonts w:ascii="Times New Roman" w:hAnsi="Times New Roman"/>
                              </w:rPr>
                              <w:sym w:font="Symbol" w:char="F061"/>
                            </w:r>
                            <w:r>
                              <w:rPr>
                                <w:rFonts w:ascii="Times New Roman" w:hAnsi="Times New Roman"/>
                              </w:rPr>
                              <w:t>(H)-22,29,30 Trisnorhopane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4E63C" id="Text Box 120" o:spid="_x0000_s1047" type="#_x0000_t202" style="position:absolute;margin-left:231.95pt;margin-top:43.2pt;width:190.5pt;height:24.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" fillcolor="white [3201]" strokeweight=".5pt">
                <v:textbox>
                  <w:txbxContent>
                    <w:p w:rsidR="008875B3" w:rsidRPr="006B24A9" w:rsidRDefault="008875B3" w:rsidP="00C87CE1">
                      <w:pPr>
                        <w:rPr>
                          <w:rFonts w:ascii="Times New Roman" w:hAnsi="Times New Roman"/>
                        </w:rPr>
                      </w:pPr>
                      <w:r>
                        <w:rPr>
                          <w:rFonts w:ascii="Times New Roman" w:hAnsi="Times New Roman"/>
                        </w:rPr>
                        <w:t>X: 17</w:t>
                      </w:r>
                      <w:r>
                        <w:rPr>
                          <w:rFonts w:ascii="Times New Roman" w:hAnsi="Times New Roman"/>
                        </w:rPr>
                        <w:sym w:font="Symbol" w:char="F061"/>
                      </w:r>
                      <w:r>
                        <w:rPr>
                          <w:rFonts w:ascii="Times New Roman" w:hAnsi="Times New Roman"/>
                        </w:rPr>
                        <w:t>(H)-22,29,30 Trisnorhopane</w:t>
                      </w:r>
                    </w:p>
                  </w:txbxContent>
                </v:textbox>
                <w10:wrap anchorx="margin"/>
              </v:shape>
            </w:pict>
          </mc:Fallback>
        </mc:AlternateContent>
      </w:r>
      <w:r w:rsidRPr="00B05B79">
        <w:rPr>
          <w:rFonts w:ascii="Times New Roman" w:hAnsi="Times New Roman"/>
          <w:b/>
          <w:noProof/>
          <w:sz w:val="28"/>
          <w:lang w:val="tr-TR" w:eastAsia="tr-TR" w:bidi="ar-SA"/>
        </w:rPr>
        <w:drawing>
          <wp:inline distT="0" distB="0" distL="0" distR="0" wp14:anchorId="7AE01E7F" wp14:editId="02FEF337">
            <wp:extent cx="2867025" cy="2239661"/>
            <wp:effectExtent l="0" t="0" r="0" b="0"/>
            <wp:docPr id="439" name="Resi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Resim 83"/>
                    <pic:cNvPicPr>
                      <a:picLocks noChangeAspect="1"/>
                    </pic:cNvPicPr>
                  </pic:nvPicPr>
                  <pic:blipFill>
                    <a:blip r:embed="rId100"/>
                    <a:stretch>
                      <a:fillRect/>
                    </a:stretch>
                  </pic:blipFill>
                  <pic:spPr>
                    <a:xfrm>
                      <a:off x="0" y="0"/>
                      <a:ext cx="2893521" cy="2260359"/>
                    </a:xfrm>
                    <a:prstGeom prst="rect">
                      <a:avLst/>
                    </a:prstGeom>
                  </pic:spPr>
                </pic:pic>
              </a:graphicData>
            </a:graphic>
          </wp:inline>
        </w:drawing>
      </w:r>
    </w:p>
    <w:p w:rsidR="00C87CE1" w:rsidRDefault="00C87CE1" w:rsidP="00C87CE1">
      <w:pPr>
        <w:rPr>
          <w:rFonts w:ascii="Times New Roman" w:hAnsi="Times New Roman"/>
          <w:b/>
          <w:sz w:val="28"/>
        </w:rPr>
      </w:pPr>
      <w:r w:rsidRPr="00B05B79">
        <w:rPr>
          <w:rFonts w:ascii="Times New Roman" w:hAnsi="Times New Roman"/>
          <w:b/>
          <w:noProof/>
          <w:sz w:val="28"/>
          <w:lang w:val="tr-TR" w:eastAsia="tr-TR" w:bidi="ar-SA"/>
        </w:rPr>
        <w:drawing>
          <wp:anchor distT="0" distB="0" distL="114300" distR="114300" simplePos="0" relativeHeight="251738112" behindDoc="0" locked="0" layoutInCell="1" allowOverlap="1" wp14:anchorId="09C528E0" wp14:editId="6BBDCD13">
            <wp:simplePos x="0" y="0"/>
            <wp:positionH relativeFrom="margin">
              <wp:align>left</wp:align>
            </wp:positionH>
            <wp:positionV relativeFrom="paragraph">
              <wp:posOffset>661035</wp:posOffset>
            </wp:positionV>
            <wp:extent cx="2945765" cy="1913255"/>
            <wp:effectExtent l="0" t="0" r="6985" b="0"/>
            <wp:wrapSquare wrapText="bothSides"/>
            <wp:docPr id="44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Resim 62"/>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945765" cy="1913255"/>
                    </a:xfrm>
                    <a:prstGeom prst="rect">
                      <a:avLst/>
                    </a:prstGeom>
                  </pic:spPr>
                </pic:pic>
              </a:graphicData>
            </a:graphic>
            <wp14:sizeRelH relativeFrom="margin">
              <wp14:pctWidth>0</wp14:pctWidth>
            </wp14:sizeRelH>
            <wp14:sizeRelV relativeFrom="margin">
              <wp14:pctHeight>0</wp14:pctHeight>
            </wp14:sizeRelV>
          </wp:anchor>
        </w:drawing>
      </w:r>
      <w:r>
        <w:rPr>
          <w:noProof/>
          <w:lang w:val="tr-TR" w:eastAsia="tr-TR" w:bidi="ar-SA"/>
        </w:rPr>
        <mc:AlternateContent>
          <mc:Choice Requires="wps">
            <w:drawing>
              <wp:anchor distT="0" distB="0" distL="114300" distR="114300" simplePos="0" relativeHeight="251701248" behindDoc="0" locked="0" layoutInCell="1" allowOverlap="1" wp14:anchorId="6B714F78" wp14:editId="7502B024">
                <wp:simplePos x="0" y="0"/>
                <wp:positionH relativeFrom="column">
                  <wp:posOffset>3625850</wp:posOffset>
                </wp:positionH>
                <wp:positionV relativeFrom="paragraph">
                  <wp:posOffset>978535</wp:posOffset>
                </wp:positionV>
                <wp:extent cx="891251" cy="370390"/>
                <wp:effectExtent l="0" t="0" r="10795" b="10795"/>
                <wp:wrapNone/>
                <wp:docPr id="161" name="Text Box 121"/>
                <wp:cNvGraphicFramePr/>
                <a:graphic xmlns:a="http://schemas.openxmlformats.org/drawingml/2006/main">
                  <a:graphicData uri="http://schemas.microsoft.com/office/word/2010/wordprocessingShape">
                    <wps:wsp>
                      <wps:cNvSpPr txBox="1"/>
                      <wps:spPr>
                        <a:xfrm>
                          <a:off x="0" y="0"/>
                          <a:ext cx="891251" cy="370390"/>
                        </a:xfrm>
                        <a:prstGeom prst="rect">
                          <a:avLst/>
                        </a:prstGeom>
                        <a:solidFill>
                          <a:schemeClr val="lt1"/>
                        </a:solidFill>
                        <a:ln w="6350">
                          <a:solidFill>
                            <a:prstClr val="black"/>
                          </a:solidFill>
                        </a:ln>
                      </wps:spPr>
                      <wps:txbx>
                        <w:txbxContent>
                          <w:p w:rsidR="008875B3" w:rsidRPr="00CB1602" w:rsidRDefault="008875B3" w:rsidP="00C87CE1">
                            <w:pPr>
                              <w:rPr>
                                <w:rFonts w:ascii="Times New Roman" w:hAnsi="Times New Roman"/>
                              </w:rPr>
                            </w:pPr>
                            <w:r>
                              <w:rPr>
                                <w:rFonts w:ascii="Times New Roman" w:hAnsi="Times New Roman"/>
                              </w:rPr>
                              <w:t>XI:</w:t>
                            </w:r>
                            <w:r w:rsidRPr="00CB1602">
                              <w:rPr>
                                <w:noProof/>
                              </w:rPr>
                              <w:t xml:space="preserve"> </w:t>
                            </w:r>
                            <w:r>
                              <w:rPr>
                                <w:noProof/>
                              </w:rPr>
                              <w:t>C</w:t>
                            </w:r>
                            <w:r>
                              <w:rPr>
                                <w:noProof/>
                                <w:vertAlign w:val="subscript"/>
                              </w:rPr>
                              <w:t xml:space="preserve">29 </w:t>
                            </w:r>
                            <w:r>
                              <w:rPr>
                                <w:noProof/>
                              </w:rP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14F78" id="Text Box 121" o:spid="_x0000_s1048" type="#_x0000_t202" style="position:absolute;margin-left:285.5pt;margin-top:77.05pt;width:70.2pt;height:29.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" fillcolor="white [3201]" strokeweight=".5pt">
                <v:textbox>
                  <w:txbxContent>
                    <w:p w:rsidR="008875B3" w:rsidRPr="00CB1602" w:rsidRDefault="008875B3" w:rsidP="00C87CE1">
                      <w:pPr>
                        <w:rPr>
                          <w:rFonts w:ascii="Times New Roman" w:hAnsi="Times New Roman"/>
                        </w:rPr>
                      </w:pPr>
                      <w:r>
                        <w:rPr>
                          <w:rFonts w:ascii="Times New Roman" w:hAnsi="Times New Roman"/>
                        </w:rPr>
                        <w:t>XI:</w:t>
                      </w:r>
                      <w:r w:rsidRPr="00CB1602">
                        <w:rPr>
                          <w:noProof/>
                        </w:rPr>
                        <w:t xml:space="preserve"> </w:t>
                      </w:r>
                      <w:r>
                        <w:rPr>
                          <w:noProof/>
                        </w:rPr>
                        <w:t>C</w:t>
                      </w:r>
                      <w:r>
                        <w:rPr>
                          <w:noProof/>
                          <w:vertAlign w:val="subscript"/>
                        </w:rPr>
                        <w:t xml:space="preserve">29 </w:t>
                      </w:r>
                      <w:r>
                        <w:rPr>
                          <w:noProof/>
                        </w:rPr>
                        <w:t>Ts</w:t>
                      </w:r>
                    </w:p>
                  </w:txbxContent>
                </v:textbox>
              </v:shape>
            </w:pict>
          </mc:Fallback>
        </mc:AlternateConten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02272" behindDoc="0" locked="0" layoutInCell="1" allowOverlap="1" wp14:anchorId="032C5788" wp14:editId="5726B906">
                <wp:simplePos x="0" y="0"/>
                <wp:positionH relativeFrom="margin">
                  <wp:align>right</wp:align>
                </wp:positionH>
                <wp:positionV relativeFrom="paragraph">
                  <wp:posOffset>1129030</wp:posOffset>
                </wp:positionV>
                <wp:extent cx="1655180" cy="266217"/>
                <wp:effectExtent l="0" t="0" r="21590" b="19685"/>
                <wp:wrapNone/>
                <wp:docPr id="162" name="Text Box 126"/>
                <wp:cNvGraphicFramePr/>
                <a:graphic xmlns:a="http://schemas.openxmlformats.org/drawingml/2006/main">
                  <a:graphicData uri="http://schemas.microsoft.com/office/word/2010/wordprocessingShape">
                    <wps:wsp>
                      <wps:cNvSpPr txBox="1"/>
                      <wps:spPr>
                        <a:xfrm>
                          <a:off x="0" y="0"/>
                          <a:ext cx="1655180" cy="266217"/>
                        </a:xfrm>
                        <a:prstGeom prst="rect">
                          <a:avLst/>
                        </a:prstGeom>
                        <a:solidFill>
                          <a:schemeClr val="lt1"/>
                        </a:solidFill>
                        <a:ln w="6350">
                          <a:solidFill>
                            <a:prstClr val="black"/>
                          </a:solidFill>
                        </a:ln>
                      </wps:spPr>
                      <wps:txbx>
                        <w:txbxContent>
                          <w:p w:rsidR="008875B3" w:rsidRPr="00CB1602" w:rsidRDefault="008875B3" w:rsidP="00C87CE1">
                            <w:pPr>
                              <w:rPr>
                                <w:rFonts w:ascii="Times New Roman" w:hAnsi="Times New Roman"/>
                              </w:rPr>
                            </w:pPr>
                            <w:r>
                              <w:rPr>
                                <w:rFonts w:ascii="Times New Roman" w:hAnsi="Times New Roman"/>
                              </w:rPr>
                              <w:t>XII:</w:t>
                            </w:r>
                            <w:r w:rsidRPr="00CB1602">
                              <w:rPr>
                                <w:noProof/>
                              </w:rPr>
                              <w:t xml:space="preserve"> </w:t>
                            </w:r>
                            <w:r>
                              <w:rPr>
                                <w:noProof/>
                              </w:rPr>
                              <w:t>17</w:t>
                            </w:r>
                            <w:r>
                              <w:rPr>
                                <w:noProof/>
                              </w:rPr>
                              <w:sym w:font="Symbol" w:char="F061"/>
                            </w:r>
                            <w:r>
                              <w:rPr>
                                <w:noProof/>
                              </w:rPr>
                              <w:t>(H)-Diahopane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C5788" id="Text Box 126" o:spid="_x0000_s1049" type="#_x0000_t202" style="position:absolute;margin-left:79.15pt;margin-top:88.9pt;width:130.35pt;height:20.9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" fillcolor="white [3201]" strokeweight=".5pt">
                <v:textbox>
                  <w:txbxContent>
                    <w:p w:rsidR="008875B3" w:rsidRPr="00CB1602" w:rsidRDefault="008875B3" w:rsidP="00C87CE1">
                      <w:pPr>
                        <w:rPr>
                          <w:rFonts w:ascii="Times New Roman" w:hAnsi="Times New Roman"/>
                        </w:rPr>
                      </w:pPr>
                      <w:r>
                        <w:rPr>
                          <w:rFonts w:ascii="Times New Roman" w:hAnsi="Times New Roman"/>
                        </w:rPr>
                        <w:t>XII:</w:t>
                      </w:r>
                      <w:r w:rsidRPr="00CB1602">
                        <w:rPr>
                          <w:noProof/>
                        </w:rPr>
                        <w:t xml:space="preserve"> </w:t>
                      </w:r>
                      <w:r>
                        <w:rPr>
                          <w:noProof/>
                        </w:rPr>
                        <w:t>17</w:t>
                      </w:r>
                      <w:r>
                        <w:rPr>
                          <w:noProof/>
                        </w:rPr>
                        <w:sym w:font="Symbol" w:char="F061"/>
                      </w:r>
                      <w:r>
                        <w:rPr>
                          <w:noProof/>
                        </w:rPr>
                        <w:t>(H)-Diahopane</w:t>
                      </w:r>
                    </w:p>
                  </w:txbxContent>
                </v:textbox>
                <w10:wrap anchorx="margin"/>
              </v:shape>
            </w:pict>
          </mc:Fallback>
        </mc:AlternateContent>
      </w:r>
      <w:r w:rsidRPr="00B05B79">
        <w:rPr>
          <w:rFonts w:ascii="Times New Roman" w:hAnsi="Times New Roman"/>
          <w:b/>
          <w:noProof/>
          <w:sz w:val="28"/>
          <w:lang w:val="tr-TR" w:eastAsia="tr-TR" w:bidi="ar-SA"/>
        </w:rPr>
        <w:drawing>
          <wp:inline distT="0" distB="0" distL="0" distR="0" wp14:anchorId="0394F301" wp14:editId="043B0CFD">
            <wp:extent cx="3588559" cy="2350135"/>
            <wp:effectExtent l="0" t="0" r="0" b="0"/>
            <wp:docPr id="95"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Resim 94"/>
                    <pic:cNvPicPr>
                      <a:picLocks noChangeAspect="1"/>
                    </pic:cNvPicPr>
                  </pic:nvPicPr>
                  <pic:blipFill>
                    <a:blip r:embed="rId102"/>
                    <a:stretch>
                      <a:fillRect/>
                    </a:stretch>
                  </pic:blipFill>
                  <pic:spPr>
                    <a:xfrm>
                      <a:off x="0" y="0"/>
                      <a:ext cx="3634685" cy="2380343"/>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w:lastRenderedPageBreak/>
        <mc:AlternateContent>
          <mc:Choice Requires="wps">
            <w:drawing>
              <wp:anchor distT="0" distB="0" distL="114300" distR="114300" simplePos="0" relativeHeight="251703296" behindDoc="0" locked="0" layoutInCell="1" allowOverlap="1" wp14:anchorId="686DEC0C" wp14:editId="5C0573A8">
                <wp:simplePos x="0" y="0"/>
                <wp:positionH relativeFrom="margin">
                  <wp:posOffset>3670935</wp:posOffset>
                </wp:positionH>
                <wp:positionV relativeFrom="paragraph">
                  <wp:posOffset>633095</wp:posOffset>
                </wp:positionV>
                <wp:extent cx="1180618" cy="324091"/>
                <wp:effectExtent l="0" t="0" r="19685" b="19050"/>
                <wp:wrapNone/>
                <wp:docPr id="163" name="Text Box 128"/>
                <wp:cNvGraphicFramePr/>
                <a:graphic xmlns:a="http://schemas.openxmlformats.org/drawingml/2006/main">
                  <a:graphicData uri="http://schemas.microsoft.com/office/word/2010/wordprocessingShape">
                    <wps:wsp>
                      <wps:cNvSpPr txBox="1"/>
                      <wps:spPr>
                        <a:xfrm>
                          <a:off x="0" y="0"/>
                          <a:ext cx="1180618" cy="324091"/>
                        </a:xfrm>
                        <a:prstGeom prst="rect">
                          <a:avLst/>
                        </a:prstGeom>
                        <a:solidFill>
                          <a:schemeClr val="lt1"/>
                        </a:solidFill>
                        <a:ln w="6350">
                          <a:solidFill>
                            <a:prstClr val="black"/>
                          </a:solidFill>
                        </a:ln>
                      </wps:spPr>
                      <wps:txbx>
                        <w:txbxContent>
                          <w:p w:rsidR="008875B3" w:rsidRPr="00CB1602" w:rsidRDefault="008875B3" w:rsidP="00C87CE1">
                            <w:pPr>
                              <w:rPr>
                                <w:rFonts w:ascii="Times New Roman" w:hAnsi="Times New Roman"/>
                              </w:rPr>
                            </w:pPr>
                            <w:r>
                              <w:rPr>
                                <w:rFonts w:ascii="Times New Roman" w:hAnsi="Times New Roman"/>
                              </w:rPr>
                              <w:t>XIII:</w:t>
                            </w:r>
                            <w:r>
                              <w:rPr>
                                <w:noProof/>
                              </w:rPr>
                              <w:t xml:space="preserve"> Oleanane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DEC0C" id="Text Box 128" o:spid="_x0000_s1050" type="#_x0000_t202" style="position:absolute;margin-left:289.05pt;margin-top:49.85pt;width:92.95pt;height:25.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" fillcolor="white [3201]" strokeweight=".5pt">
                <v:textbox>
                  <w:txbxContent>
                    <w:p w:rsidR="008875B3" w:rsidRPr="00CB1602" w:rsidRDefault="008875B3" w:rsidP="00C87CE1">
                      <w:pPr>
                        <w:rPr>
                          <w:rFonts w:ascii="Times New Roman" w:hAnsi="Times New Roman"/>
                        </w:rPr>
                      </w:pPr>
                      <w:r>
                        <w:rPr>
                          <w:rFonts w:ascii="Times New Roman" w:hAnsi="Times New Roman"/>
                        </w:rPr>
                        <w:t>XIII:</w:t>
                      </w:r>
                      <w:r>
                        <w:rPr>
                          <w:noProof/>
                        </w:rPr>
                        <w:t xml:space="preserve"> Oleanane</w:t>
                      </w:r>
                    </w:p>
                  </w:txbxContent>
                </v:textbox>
                <w10:wrap anchorx="margin"/>
              </v:shape>
            </w:pict>
          </mc:Fallback>
        </mc:AlternateContent>
      </w:r>
      <w:r w:rsidRPr="00B05B79">
        <w:rPr>
          <w:rFonts w:ascii="Times New Roman" w:hAnsi="Times New Roman"/>
          <w:b/>
          <w:noProof/>
          <w:sz w:val="28"/>
          <w:lang w:val="tr-TR" w:eastAsia="tr-TR" w:bidi="ar-SA"/>
        </w:rPr>
        <w:drawing>
          <wp:inline distT="0" distB="0" distL="0" distR="0" wp14:anchorId="5832D211" wp14:editId="30B1AE71">
            <wp:extent cx="2393950" cy="2227788"/>
            <wp:effectExtent l="0" t="0" r="6350" b="1270"/>
            <wp:docPr id="443"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esim 38"/>
                    <pic:cNvPicPr>
                      <a:picLocks noChangeAspect="1"/>
                    </pic:cNvPicPr>
                  </pic:nvPicPr>
                  <pic:blipFill>
                    <a:blip r:embed="rId103"/>
                    <a:stretch>
                      <a:fillRect/>
                    </a:stretch>
                  </pic:blipFill>
                  <pic:spPr>
                    <a:xfrm>
                      <a:off x="0" y="0"/>
                      <a:ext cx="2419079" cy="2251173"/>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04320" behindDoc="0" locked="0" layoutInCell="1" allowOverlap="1" wp14:anchorId="2B7DFDD8" wp14:editId="1B800450">
                <wp:simplePos x="0" y="0"/>
                <wp:positionH relativeFrom="column">
                  <wp:posOffset>3718560</wp:posOffset>
                </wp:positionH>
                <wp:positionV relativeFrom="paragraph">
                  <wp:posOffset>710565</wp:posOffset>
                </wp:positionV>
                <wp:extent cx="1018572" cy="266700"/>
                <wp:effectExtent l="0" t="0" r="10160" b="19050"/>
                <wp:wrapNone/>
                <wp:docPr id="164" name="Text Box 130"/>
                <wp:cNvGraphicFramePr/>
                <a:graphic xmlns:a="http://schemas.openxmlformats.org/drawingml/2006/main">
                  <a:graphicData uri="http://schemas.microsoft.com/office/word/2010/wordprocessingShape">
                    <wps:wsp>
                      <wps:cNvSpPr txBox="1"/>
                      <wps:spPr>
                        <a:xfrm>
                          <a:off x="0" y="0"/>
                          <a:ext cx="1018572" cy="266700"/>
                        </a:xfrm>
                        <a:prstGeom prst="rect">
                          <a:avLst/>
                        </a:prstGeom>
                        <a:solidFill>
                          <a:schemeClr val="lt1"/>
                        </a:solidFill>
                        <a:ln w="6350">
                          <a:solidFill>
                            <a:prstClr val="black"/>
                          </a:solidFill>
                        </a:ln>
                      </wps:spPr>
                      <wps:txbx>
                        <w:txbxContent>
                          <w:p w:rsidR="008875B3" w:rsidRPr="00CB1602" w:rsidRDefault="008875B3" w:rsidP="00C87CE1">
                            <w:pPr>
                              <w:rPr>
                                <w:rFonts w:ascii="Times New Roman" w:hAnsi="Times New Roman"/>
                              </w:rPr>
                            </w:pPr>
                            <w:r>
                              <w:rPr>
                                <w:rFonts w:ascii="Times New Roman" w:hAnsi="Times New Roman"/>
                              </w:rPr>
                              <w:t>XIV:</w:t>
                            </w:r>
                            <w:r>
                              <w:rPr>
                                <w:noProof/>
                              </w:rPr>
                              <w:t xml:space="preserve"> Lupane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DFDD8" id="Text Box 130" o:spid="_x0000_s1051" type="#_x0000_t202" style="position:absolute;margin-left:292.8pt;margin-top:55.95pt;width:80.2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" fillcolor="white [3201]" strokeweight=".5pt">
                <v:textbox>
                  <w:txbxContent>
                    <w:p w:rsidR="008875B3" w:rsidRPr="00CB1602" w:rsidRDefault="008875B3" w:rsidP="00C87CE1">
                      <w:pPr>
                        <w:rPr>
                          <w:rFonts w:ascii="Times New Roman" w:hAnsi="Times New Roman"/>
                        </w:rPr>
                      </w:pPr>
                      <w:r>
                        <w:rPr>
                          <w:rFonts w:ascii="Times New Roman" w:hAnsi="Times New Roman"/>
                        </w:rPr>
                        <w:t>XIV:</w:t>
                      </w:r>
                      <w:r>
                        <w:rPr>
                          <w:noProof/>
                        </w:rPr>
                        <w:t xml:space="preserve"> Lupane</w:t>
                      </w:r>
                    </w:p>
                  </w:txbxContent>
                </v:textbox>
              </v:shape>
            </w:pict>
          </mc:Fallback>
        </mc:AlternateContent>
      </w:r>
      <w:r w:rsidRPr="00B05B79">
        <w:rPr>
          <w:rFonts w:ascii="Times New Roman" w:hAnsi="Times New Roman"/>
          <w:b/>
          <w:noProof/>
          <w:sz w:val="28"/>
          <w:lang w:val="tr-TR" w:eastAsia="tr-TR" w:bidi="ar-SA"/>
        </w:rPr>
        <w:drawing>
          <wp:inline distT="0" distB="0" distL="0" distR="0" wp14:anchorId="1932376C" wp14:editId="3684F337">
            <wp:extent cx="2394104" cy="2317898"/>
            <wp:effectExtent l="0" t="0" r="6350" b="6350"/>
            <wp:docPr id="444"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sim 39"/>
                    <pic:cNvPicPr>
                      <a:picLocks noChangeAspect="1"/>
                    </pic:cNvPicPr>
                  </pic:nvPicPr>
                  <pic:blipFill>
                    <a:blip r:embed="rId104"/>
                    <a:stretch>
                      <a:fillRect/>
                    </a:stretch>
                  </pic:blipFill>
                  <pic:spPr>
                    <a:xfrm>
                      <a:off x="0" y="0"/>
                      <a:ext cx="2416876" cy="2339945"/>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05344" behindDoc="0" locked="0" layoutInCell="1" allowOverlap="1" wp14:anchorId="25735BAD" wp14:editId="5590B564">
                <wp:simplePos x="0" y="0"/>
                <wp:positionH relativeFrom="column">
                  <wp:posOffset>3702050</wp:posOffset>
                </wp:positionH>
                <wp:positionV relativeFrom="paragraph">
                  <wp:posOffset>1163320</wp:posOffset>
                </wp:positionV>
                <wp:extent cx="1435261" cy="324091"/>
                <wp:effectExtent l="0" t="0" r="12700" b="19050"/>
                <wp:wrapNone/>
                <wp:docPr id="165" name="Text Box 132"/>
                <wp:cNvGraphicFramePr/>
                <a:graphic xmlns:a="http://schemas.openxmlformats.org/drawingml/2006/main">
                  <a:graphicData uri="http://schemas.microsoft.com/office/word/2010/wordprocessingShape">
                    <wps:wsp>
                      <wps:cNvSpPr txBox="1"/>
                      <wps:spPr>
                        <a:xfrm>
                          <a:off x="0" y="0"/>
                          <a:ext cx="1435261" cy="324091"/>
                        </a:xfrm>
                        <a:prstGeom prst="rect">
                          <a:avLst/>
                        </a:prstGeom>
                        <a:solidFill>
                          <a:schemeClr val="lt1"/>
                        </a:solidFill>
                        <a:ln w="6350">
                          <a:solidFill>
                            <a:prstClr val="black"/>
                          </a:solidFill>
                        </a:ln>
                      </wps:spPr>
                      <wps:txbx>
                        <w:txbxContent>
                          <w:p w:rsidR="008875B3" w:rsidRPr="00CB1602" w:rsidRDefault="008875B3" w:rsidP="00C87CE1">
                            <w:pPr>
                              <w:rPr>
                                <w:rFonts w:ascii="Times New Roman" w:hAnsi="Times New Roman"/>
                              </w:rPr>
                            </w:pPr>
                            <w:r>
                              <w:rPr>
                                <w:rFonts w:ascii="Times New Roman" w:hAnsi="Times New Roman"/>
                              </w:rPr>
                              <w:t>XV:</w:t>
                            </w:r>
                            <w:r>
                              <w:rPr>
                                <w:noProof/>
                              </w:rPr>
                              <w:t xml:space="preserve"> 25-Norhopane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35BAD" id="Text Box 132" o:spid="_x0000_s1052" type="#_x0000_t202" style="position:absolute;margin-left:291.5pt;margin-top:91.6pt;width:113pt;height:2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" fillcolor="white [3201]" strokeweight=".5pt">
                <v:textbox>
                  <w:txbxContent>
                    <w:p w:rsidR="008875B3" w:rsidRPr="00CB1602" w:rsidRDefault="008875B3" w:rsidP="00C87CE1">
                      <w:pPr>
                        <w:rPr>
                          <w:rFonts w:ascii="Times New Roman" w:hAnsi="Times New Roman"/>
                        </w:rPr>
                      </w:pPr>
                      <w:r>
                        <w:rPr>
                          <w:rFonts w:ascii="Times New Roman" w:hAnsi="Times New Roman"/>
                        </w:rPr>
                        <w:t>XV:</w:t>
                      </w:r>
                      <w:r>
                        <w:rPr>
                          <w:noProof/>
                        </w:rPr>
                        <w:t xml:space="preserve"> 25-Norhopane</w:t>
                      </w:r>
                    </w:p>
                  </w:txbxContent>
                </v:textbox>
              </v:shape>
            </w:pict>
          </mc:Fallback>
        </mc:AlternateContent>
      </w:r>
      <w:r w:rsidRPr="00576B47">
        <w:rPr>
          <w:rFonts w:ascii="Times New Roman" w:hAnsi="Times New Roman"/>
          <w:b/>
          <w:noProof/>
          <w:sz w:val="28"/>
          <w:lang w:val="tr-TR" w:eastAsia="tr-TR" w:bidi="ar-SA"/>
        </w:rPr>
        <w:drawing>
          <wp:inline distT="0" distB="0" distL="0" distR="0" wp14:anchorId="2B8BAA5A" wp14:editId="2812FD30">
            <wp:extent cx="3090612" cy="2232837"/>
            <wp:effectExtent l="0" t="0" r="0" b="0"/>
            <wp:docPr id="446"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esim 63"/>
                    <pic:cNvPicPr>
                      <a:picLocks noChangeAspect="1"/>
                    </pic:cNvPicPr>
                  </pic:nvPicPr>
                  <pic:blipFill>
                    <a:blip r:embed="rId105"/>
                    <a:stretch>
                      <a:fillRect/>
                    </a:stretch>
                  </pic:blipFill>
                  <pic:spPr>
                    <a:xfrm>
                      <a:off x="0" y="0"/>
                      <a:ext cx="3128023" cy="2259865"/>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w:lastRenderedPageBreak/>
        <mc:AlternateContent>
          <mc:Choice Requires="wps">
            <w:drawing>
              <wp:anchor distT="0" distB="0" distL="114300" distR="114300" simplePos="0" relativeHeight="251706368" behindDoc="0" locked="0" layoutInCell="1" allowOverlap="1" wp14:anchorId="7B87E0A4" wp14:editId="26C1FB5A">
                <wp:simplePos x="0" y="0"/>
                <wp:positionH relativeFrom="margin">
                  <wp:align>right</wp:align>
                </wp:positionH>
                <wp:positionV relativeFrom="paragraph">
                  <wp:posOffset>654685</wp:posOffset>
                </wp:positionV>
                <wp:extent cx="2048719" cy="335666"/>
                <wp:effectExtent l="0" t="0" r="27940" b="26670"/>
                <wp:wrapNone/>
                <wp:docPr id="166" name="Text Box 134"/>
                <wp:cNvGraphicFramePr/>
                <a:graphic xmlns:a="http://schemas.openxmlformats.org/drawingml/2006/main">
                  <a:graphicData uri="http://schemas.microsoft.com/office/word/2010/wordprocessingShape">
                    <wps:wsp>
                      <wps:cNvSpPr txBox="1"/>
                      <wps:spPr>
                        <a:xfrm>
                          <a:off x="0" y="0"/>
                          <a:ext cx="2048719" cy="335666"/>
                        </a:xfrm>
                        <a:prstGeom prst="rect">
                          <a:avLst/>
                        </a:prstGeom>
                        <a:solidFill>
                          <a:schemeClr val="lt1"/>
                        </a:solidFill>
                        <a:ln w="6350">
                          <a:solidFill>
                            <a:prstClr val="black"/>
                          </a:solidFill>
                        </a:ln>
                      </wps:spPr>
                      <wps:txbx>
                        <w:txbxContent>
                          <w:p w:rsidR="008875B3" w:rsidRPr="00CB1602" w:rsidRDefault="008875B3" w:rsidP="00C87CE1">
                            <w:pPr>
                              <w:rPr>
                                <w:rFonts w:ascii="Times New Roman" w:hAnsi="Times New Roman"/>
                              </w:rPr>
                            </w:pPr>
                            <w:r>
                              <w:rPr>
                                <w:rFonts w:ascii="Times New Roman" w:hAnsi="Times New Roman"/>
                              </w:rPr>
                              <w:t>XVI:</w:t>
                            </w:r>
                            <w:r>
                              <w:rPr>
                                <w:noProof/>
                              </w:rPr>
                              <w:t xml:space="preserve"> 25,28,30-Trisnorhopane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7E0A4" id="Text Box 134" o:spid="_x0000_s1053" type="#_x0000_t202" style="position:absolute;margin-left:110.1pt;margin-top:51.55pt;width:161.3pt;height:26.4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" fillcolor="white [3201]" strokeweight=".5pt">
                <v:textbox>
                  <w:txbxContent>
                    <w:p w:rsidR="008875B3" w:rsidRPr="00CB1602" w:rsidRDefault="008875B3" w:rsidP="00C87CE1">
                      <w:pPr>
                        <w:rPr>
                          <w:rFonts w:ascii="Times New Roman" w:hAnsi="Times New Roman"/>
                        </w:rPr>
                      </w:pPr>
                      <w:r>
                        <w:rPr>
                          <w:rFonts w:ascii="Times New Roman" w:hAnsi="Times New Roman"/>
                        </w:rPr>
                        <w:t>XVI:</w:t>
                      </w:r>
                      <w:r>
                        <w:rPr>
                          <w:noProof/>
                        </w:rPr>
                        <w:t xml:space="preserve"> 25,28,30-Trisnorhopane</w:t>
                      </w:r>
                    </w:p>
                  </w:txbxContent>
                </v:textbox>
                <w10:wrap anchorx="margin"/>
              </v:shape>
            </w:pict>
          </mc:Fallback>
        </mc:AlternateContent>
      </w:r>
      <w:r w:rsidRPr="00B4307B">
        <w:rPr>
          <w:rFonts w:ascii="Times New Roman" w:hAnsi="Times New Roman"/>
          <w:b/>
          <w:noProof/>
          <w:sz w:val="28"/>
          <w:lang w:val="tr-TR" w:eastAsia="tr-TR" w:bidi="ar-SA"/>
        </w:rPr>
        <w:drawing>
          <wp:inline distT="0" distB="0" distL="0" distR="0" wp14:anchorId="7AD46443" wp14:editId="411763DD">
            <wp:extent cx="3226306" cy="2428875"/>
            <wp:effectExtent l="0" t="0" r="0" b="0"/>
            <wp:docPr id="447"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esim 55"/>
                    <pic:cNvPicPr>
                      <a:picLocks noChangeAspect="1"/>
                    </pic:cNvPicPr>
                  </pic:nvPicPr>
                  <pic:blipFill>
                    <a:blip r:embed="rId106"/>
                    <a:stretch>
                      <a:fillRect/>
                    </a:stretch>
                  </pic:blipFill>
                  <pic:spPr>
                    <a:xfrm>
                      <a:off x="0" y="0"/>
                      <a:ext cx="3241097" cy="2440010"/>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07392" behindDoc="0" locked="0" layoutInCell="1" allowOverlap="1" wp14:anchorId="395EE323" wp14:editId="083C84FE">
                <wp:simplePos x="0" y="0"/>
                <wp:positionH relativeFrom="margin">
                  <wp:align>right</wp:align>
                </wp:positionH>
                <wp:positionV relativeFrom="paragraph">
                  <wp:posOffset>577215</wp:posOffset>
                </wp:positionV>
                <wp:extent cx="1898249" cy="335666"/>
                <wp:effectExtent l="0" t="0" r="26035" b="26670"/>
                <wp:wrapNone/>
                <wp:docPr id="167" name="Text Box 135"/>
                <wp:cNvGraphicFramePr/>
                <a:graphic xmlns:a="http://schemas.openxmlformats.org/drawingml/2006/main">
                  <a:graphicData uri="http://schemas.microsoft.com/office/word/2010/wordprocessingShape">
                    <wps:wsp>
                      <wps:cNvSpPr txBox="1"/>
                      <wps:spPr>
                        <a:xfrm>
                          <a:off x="0" y="0"/>
                          <a:ext cx="1898249" cy="335666"/>
                        </a:xfrm>
                        <a:prstGeom prst="rect">
                          <a:avLst/>
                        </a:prstGeom>
                        <a:solidFill>
                          <a:schemeClr val="lt1"/>
                        </a:solidFill>
                        <a:ln w="6350">
                          <a:solidFill>
                            <a:prstClr val="black"/>
                          </a:solidFill>
                        </a:ln>
                      </wps:spPr>
                      <wps:txbx>
                        <w:txbxContent>
                          <w:p w:rsidR="008875B3" w:rsidRPr="00CB1602" w:rsidRDefault="008875B3" w:rsidP="00C87CE1">
                            <w:pPr>
                              <w:rPr>
                                <w:rFonts w:ascii="Times New Roman" w:hAnsi="Times New Roman"/>
                              </w:rPr>
                            </w:pPr>
                            <w:r>
                              <w:rPr>
                                <w:rFonts w:ascii="Times New Roman" w:hAnsi="Times New Roman"/>
                              </w:rPr>
                              <w:t>XVII:</w:t>
                            </w:r>
                            <w:r>
                              <w:rPr>
                                <w:noProof/>
                              </w:rPr>
                              <w:t xml:space="preserve"> 25,30-Bisnorhopane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EE323" id="Text Box 135" o:spid="_x0000_s1054" type="#_x0000_t202" style="position:absolute;margin-left:98.25pt;margin-top:45.45pt;width:149.45pt;height:26.45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" fillcolor="white [3201]" strokeweight=".5pt">
                <v:textbox>
                  <w:txbxContent>
                    <w:p w:rsidR="008875B3" w:rsidRPr="00CB1602" w:rsidRDefault="008875B3" w:rsidP="00C87CE1">
                      <w:pPr>
                        <w:rPr>
                          <w:rFonts w:ascii="Times New Roman" w:hAnsi="Times New Roman"/>
                        </w:rPr>
                      </w:pPr>
                      <w:r>
                        <w:rPr>
                          <w:rFonts w:ascii="Times New Roman" w:hAnsi="Times New Roman"/>
                        </w:rPr>
                        <w:t>XVII:</w:t>
                      </w:r>
                      <w:r>
                        <w:rPr>
                          <w:noProof/>
                        </w:rPr>
                        <w:t xml:space="preserve"> 25,30-Bisnorhopane</w:t>
                      </w:r>
                    </w:p>
                  </w:txbxContent>
                </v:textbox>
                <w10:wrap anchorx="margin"/>
              </v:shape>
            </w:pict>
          </mc:Fallback>
        </mc:AlternateContent>
      </w:r>
      <w:r w:rsidRPr="00B4307B">
        <w:rPr>
          <w:rFonts w:ascii="Times New Roman" w:hAnsi="Times New Roman"/>
          <w:b/>
          <w:noProof/>
          <w:sz w:val="28"/>
          <w:lang w:val="tr-TR" w:eastAsia="tr-TR" w:bidi="ar-SA"/>
        </w:rPr>
        <w:drawing>
          <wp:inline distT="0" distB="0" distL="0" distR="0" wp14:anchorId="14C6BE7F" wp14:editId="2786C6C9">
            <wp:extent cx="3166926" cy="2193290"/>
            <wp:effectExtent l="0" t="0" r="0" b="0"/>
            <wp:docPr id="58"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Resim 57"/>
                    <pic:cNvPicPr>
                      <a:picLocks noChangeAspect="1"/>
                    </pic:cNvPicPr>
                  </pic:nvPicPr>
                  <pic:blipFill>
                    <a:blip r:embed="rId107"/>
                    <a:stretch>
                      <a:fillRect/>
                    </a:stretch>
                  </pic:blipFill>
                  <pic:spPr>
                    <a:xfrm>
                      <a:off x="0" y="0"/>
                      <a:ext cx="3175841" cy="2199464"/>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08416" behindDoc="0" locked="0" layoutInCell="1" allowOverlap="1" wp14:anchorId="7884CCC8" wp14:editId="19B1049A">
                <wp:simplePos x="0" y="0"/>
                <wp:positionH relativeFrom="column">
                  <wp:posOffset>3513455</wp:posOffset>
                </wp:positionH>
                <wp:positionV relativeFrom="paragraph">
                  <wp:posOffset>897890</wp:posOffset>
                </wp:positionV>
                <wp:extent cx="1551007" cy="324092"/>
                <wp:effectExtent l="0" t="0" r="11430" b="19050"/>
                <wp:wrapNone/>
                <wp:docPr id="168" name="Text Box 138"/>
                <wp:cNvGraphicFramePr/>
                <a:graphic xmlns:a="http://schemas.openxmlformats.org/drawingml/2006/main">
                  <a:graphicData uri="http://schemas.microsoft.com/office/word/2010/wordprocessingShape">
                    <wps:wsp>
                      <wps:cNvSpPr txBox="1"/>
                      <wps:spPr>
                        <a:xfrm>
                          <a:off x="0" y="0"/>
                          <a:ext cx="1551007" cy="324092"/>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XVIII:</w:t>
                            </w:r>
                            <w:r>
                              <w:rPr>
                                <w:noProof/>
                              </w:rPr>
                              <w:t xml:space="preserve"> C</w:t>
                            </w:r>
                            <w:r>
                              <w:rPr>
                                <w:noProof/>
                                <w:vertAlign w:val="subscript"/>
                              </w:rPr>
                              <w:t xml:space="preserve">27 </w:t>
                            </w:r>
                            <w:r>
                              <w:rPr>
                                <w:noProof/>
                              </w:rPr>
                              <w:t>Steranes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4CCC8" id="Text Box 138" o:spid="_x0000_s1055" type="#_x0000_t202" style="position:absolute;margin-left:276.65pt;margin-top:70.7pt;width:122.15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" fillcolor="white [3201]" strokeweight=".5pt">
                <v:textbox>
                  <w:txbxContent>
                    <w:p w:rsidR="008875B3" w:rsidRPr="001A6CD4" w:rsidRDefault="008875B3" w:rsidP="00C87CE1">
                      <w:pPr>
                        <w:rPr>
                          <w:rFonts w:ascii="Times New Roman" w:hAnsi="Times New Roman"/>
                        </w:rPr>
                      </w:pPr>
                      <w:r>
                        <w:rPr>
                          <w:rFonts w:ascii="Times New Roman" w:hAnsi="Times New Roman"/>
                        </w:rPr>
                        <w:t>XVIII:</w:t>
                      </w:r>
                      <w:r>
                        <w:rPr>
                          <w:noProof/>
                        </w:rPr>
                        <w:t xml:space="preserve"> C</w:t>
                      </w:r>
                      <w:r>
                        <w:rPr>
                          <w:noProof/>
                          <w:vertAlign w:val="subscript"/>
                        </w:rPr>
                        <w:t xml:space="preserve">27 </w:t>
                      </w:r>
                      <w:r>
                        <w:rPr>
                          <w:noProof/>
                        </w:rPr>
                        <w:t>Steranes</w:t>
                      </w:r>
                    </w:p>
                  </w:txbxContent>
                </v:textbox>
              </v:shape>
            </w:pict>
          </mc:Fallback>
        </mc:AlternateContent>
      </w:r>
      <w:r w:rsidRPr="00B4307B">
        <w:rPr>
          <w:rFonts w:ascii="Times New Roman" w:hAnsi="Times New Roman"/>
          <w:b/>
          <w:noProof/>
          <w:sz w:val="28"/>
          <w:lang w:val="tr-TR" w:eastAsia="tr-TR" w:bidi="ar-SA"/>
        </w:rPr>
        <w:drawing>
          <wp:inline distT="0" distB="0" distL="0" distR="0" wp14:anchorId="370A49CF" wp14:editId="20BE5714">
            <wp:extent cx="3530360" cy="2333625"/>
            <wp:effectExtent l="0" t="0" r="0" b="0"/>
            <wp:docPr id="59"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Resim 58"/>
                    <pic:cNvPicPr>
                      <a:picLocks noChangeAspect="1"/>
                    </pic:cNvPicPr>
                  </pic:nvPicPr>
                  <pic:blipFill>
                    <a:blip r:embed="rId108"/>
                    <a:stretch>
                      <a:fillRect/>
                    </a:stretch>
                  </pic:blipFill>
                  <pic:spPr>
                    <a:xfrm>
                      <a:off x="0" y="0"/>
                      <a:ext cx="3556429" cy="2350857"/>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w:lastRenderedPageBreak/>
        <mc:AlternateContent>
          <mc:Choice Requires="wps">
            <w:drawing>
              <wp:anchor distT="0" distB="0" distL="114300" distR="114300" simplePos="0" relativeHeight="251709440" behindDoc="0" locked="0" layoutInCell="1" allowOverlap="1" wp14:anchorId="411F5BAE" wp14:editId="6B0CEBA3">
                <wp:simplePos x="0" y="0"/>
                <wp:positionH relativeFrom="column">
                  <wp:posOffset>3435542</wp:posOffset>
                </wp:positionH>
                <wp:positionV relativeFrom="paragraph">
                  <wp:posOffset>822443</wp:posOffset>
                </wp:positionV>
                <wp:extent cx="1551007" cy="324092"/>
                <wp:effectExtent l="0" t="0" r="11430" b="19050"/>
                <wp:wrapNone/>
                <wp:docPr id="169" name="Text Box 140"/>
                <wp:cNvGraphicFramePr/>
                <a:graphic xmlns:a="http://schemas.openxmlformats.org/drawingml/2006/main">
                  <a:graphicData uri="http://schemas.microsoft.com/office/word/2010/wordprocessingShape">
                    <wps:wsp>
                      <wps:cNvSpPr txBox="1"/>
                      <wps:spPr>
                        <a:xfrm>
                          <a:off x="0" y="0"/>
                          <a:ext cx="1551007" cy="324092"/>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XIX:</w:t>
                            </w:r>
                            <w:r>
                              <w:rPr>
                                <w:noProof/>
                              </w:rPr>
                              <w:t xml:space="preserve"> C</w:t>
                            </w:r>
                            <w:r>
                              <w:rPr>
                                <w:noProof/>
                                <w:vertAlign w:val="subscript"/>
                              </w:rPr>
                              <w:t xml:space="preserve">28 </w:t>
                            </w:r>
                            <w:r>
                              <w:rPr>
                                <w:noProof/>
                              </w:rPr>
                              <w:t>Steranes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F5BAE" id="Text Box 140" o:spid="_x0000_s1056" type="#_x0000_t202" style="position:absolute;margin-left:270.5pt;margin-top:64.75pt;width:122.15pt;height: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" fillcolor="white [3201]" strokeweight=".5pt">
                <v:textbox>
                  <w:txbxContent>
                    <w:p w:rsidR="008875B3" w:rsidRPr="001A6CD4" w:rsidRDefault="008875B3" w:rsidP="00C87CE1">
                      <w:pPr>
                        <w:rPr>
                          <w:rFonts w:ascii="Times New Roman" w:hAnsi="Times New Roman"/>
                        </w:rPr>
                      </w:pPr>
                      <w:r>
                        <w:rPr>
                          <w:rFonts w:ascii="Times New Roman" w:hAnsi="Times New Roman"/>
                        </w:rPr>
                        <w:t>XIX:</w:t>
                      </w:r>
                      <w:r>
                        <w:rPr>
                          <w:noProof/>
                        </w:rPr>
                        <w:t xml:space="preserve"> C</w:t>
                      </w:r>
                      <w:r>
                        <w:rPr>
                          <w:noProof/>
                          <w:vertAlign w:val="subscript"/>
                        </w:rPr>
                        <w:t xml:space="preserve">28 </w:t>
                      </w:r>
                      <w:r>
                        <w:rPr>
                          <w:noProof/>
                        </w:rPr>
                        <w:t>Steranes</w:t>
                      </w:r>
                    </w:p>
                  </w:txbxContent>
                </v:textbox>
              </v:shape>
            </w:pict>
          </mc:Fallback>
        </mc:AlternateContent>
      </w:r>
      <w:r w:rsidRPr="00B4307B">
        <w:rPr>
          <w:rFonts w:ascii="Times New Roman" w:hAnsi="Times New Roman"/>
          <w:b/>
          <w:noProof/>
          <w:sz w:val="28"/>
          <w:lang w:val="tr-TR" w:eastAsia="tr-TR" w:bidi="ar-SA"/>
        </w:rPr>
        <w:drawing>
          <wp:inline distT="0" distB="0" distL="0" distR="0" wp14:anchorId="69B8CCB7" wp14:editId="71927619">
            <wp:extent cx="3490479" cy="2307265"/>
            <wp:effectExtent l="0" t="0" r="0" b="0"/>
            <wp:docPr id="6176"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Resim 34"/>
                    <pic:cNvPicPr>
                      <a:picLocks noChangeAspect="1"/>
                    </pic:cNvPicPr>
                  </pic:nvPicPr>
                  <pic:blipFill>
                    <a:blip r:embed="rId109"/>
                    <a:stretch>
                      <a:fillRect/>
                    </a:stretch>
                  </pic:blipFill>
                  <pic:spPr>
                    <a:xfrm>
                      <a:off x="0" y="0"/>
                      <a:ext cx="3490479" cy="2307265"/>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10464" behindDoc="0" locked="0" layoutInCell="1" allowOverlap="1" wp14:anchorId="1AC99352" wp14:editId="42257C8B">
                <wp:simplePos x="0" y="0"/>
                <wp:positionH relativeFrom="column">
                  <wp:posOffset>3474720</wp:posOffset>
                </wp:positionH>
                <wp:positionV relativeFrom="paragraph">
                  <wp:posOffset>1347366</wp:posOffset>
                </wp:positionV>
                <wp:extent cx="1551007" cy="324092"/>
                <wp:effectExtent l="0" t="0" r="11430" b="19050"/>
                <wp:wrapNone/>
                <wp:docPr id="170" name="Text Box 142"/>
                <wp:cNvGraphicFramePr/>
                <a:graphic xmlns:a="http://schemas.openxmlformats.org/drawingml/2006/main">
                  <a:graphicData uri="http://schemas.microsoft.com/office/word/2010/wordprocessingShape">
                    <wps:wsp>
                      <wps:cNvSpPr txBox="1"/>
                      <wps:spPr>
                        <a:xfrm>
                          <a:off x="0" y="0"/>
                          <a:ext cx="1551007" cy="324092"/>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w:t>
                            </w:r>
                            <w:r>
                              <w:rPr>
                                <w:noProof/>
                              </w:rPr>
                              <w:t xml:space="preserve"> C</w:t>
                            </w:r>
                            <w:r>
                              <w:rPr>
                                <w:noProof/>
                                <w:vertAlign w:val="subscript"/>
                              </w:rPr>
                              <w:t xml:space="preserve">29 </w:t>
                            </w:r>
                            <w:r>
                              <w:rPr>
                                <w:noProof/>
                              </w:rPr>
                              <w:t>Steranes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99352" id="Text Box 142" o:spid="_x0000_s1057" type="#_x0000_t202" style="position:absolute;margin-left:273.6pt;margin-top:106.1pt;width:122.1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" fillcolor="white [3201]" strokeweight=".5pt">
                <v:textbox>
                  <w:txbxContent>
                    <w:p w:rsidR="008875B3" w:rsidRPr="001A6CD4" w:rsidRDefault="008875B3" w:rsidP="00C87CE1">
                      <w:pPr>
                        <w:rPr>
                          <w:rFonts w:ascii="Times New Roman" w:hAnsi="Times New Roman"/>
                        </w:rPr>
                      </w:pPr>
                      <w:r>
                        <w:rPr>
                          <w:rFonts w:ascii="Times New Roman" w:hAnsi="Times New Roman"/>
                        </w:rPr>
                        <w:t>XX:</w:t>
                      </w:r>
                      <w:r>
                        <w:rPr>
                          <w:noProof/>
                        </w:rPr>
                        <w:t xml:space="preserve"> C</w:t>
                      </w:r>
                      <w:r>
                        <w:rPr>
                          <w:noProof/>
                          <w:vertAlign w:val="subscript"/>
                        </w:rPr>
                        <w:t xml:space="preserve">29 </w:t>
                      </w:r>
                      <w:r>
                        <w:rPr>
                          <w:noProof/>
                        </w:rPr>
                        <w:t>Steranes</w:t>
                      </w:r>
                    </w:p>
                  </w:txbxContent>
                </v:textbox>
              </v:shape>
            </w:pict>
          </mc:Fallback>
        </mc:AlternateContent>
      </w:r>
      <w:r w:rsidRPr="00B4307B">
        <w:rPr>
          <w:rFonts w:ascii="Times New Roman" w:hAnsi="Times New Roman"/>
          <w:b/>
          <w:noProof/>
          <w:sz w:val="28"/>
          <w:lang w:val="tr-TR" w:eastAsia="tr-TR" w:bidi="ar-SA"/>
        </w:rPr>
        <w:drawing>
          <wp:inline distT="0" distB="0" distL="0" distR="0" wp14:anchorId="3327AC79" wp14:editId="14107ED8">
            <wp:extent cx="3490478" cy="2307265"/>
            <wp:effectExtent l="0" t="0" r="0" b="0"/>
            <wp:docPr id="6177"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esim 36"/>
                    <pic:cNvPicPr>
                      <a:picLocks noChangeAspect="1"/>
                    </pic:cNvPicPr>
                  </pic:nvPicPr>
                  <pic:blipFill>
                    <a:blip r:embed="rId110"/>
                    <a:stretch>
                      <a:fillRect/>
                    </a:stretch>
                  </pic:blipFill>
                  <pic:spPr>
                    <a:xfrm>
                      <a:off x="0" y="0"/>
                      <a:ext cx="3490478" cy="2307265"/>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11488" behindDoc="0" locked="0" layoutInCell="1" allowOverlap="1" wp14:anchorId="57DED2A0" wp14:editId="1A4319C5">
                <wp:simplePos x="0" y="0"/>
                <wp:positionH relativeFrom="column">
                  <wp:posOffset>3583674</wp:posOffset>
                </wp:positionH>
                <wp:positionV relativeFrom="paragraph">
                  <wp:posOffset>1431822</wp:posOffset>
                </wp:positionV>
                <wp:extent cx="1307940" cy="324092"/>
                <wp:effectExtent l="0" t="0" r="13335" b="19050"/>
                <wp:wrapNone/>
                <wp:docPr id="171" name="Text Box 144"/>
                <wp:cNvGraphicFramePr/>
                <a:graphic xmlns:a="http://schemas.openxmlformats.org/drawingml/2006/main">
                  <a:graphicData uri="http://schemas.microsoft.com/office/word/2010/wordprocessingShape">
                    <wps:wsp>
                      <wps:cNvSpPr txBox="1"/>
                      <wps:spPr>
                        <a:xfrm>
                          <a:off x="0" y="0"/>
                          <a:ext cx="1307940" cy="324092"/>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XXI:</w:t>
                            </w:r>
                            <w:r>
                              <w:rPr>
                                <w:noProof/>
                              </w:rPr>
                              <w:t xml:space="preserve"> C</w:t>
                            </w:r>
                            <w:r>
                              <w:rPr>
                                <w:noProof/>
                                <w:vertAlign w:val="subscript"/>
                              </w:rPr>
                              <w:t xml:space="preserve">30 </w:t>
                            </w:r>
                            <w:r>
                              <w:rPr>
                                <w:noProof/>
                              </w:rPr>
                              <w:t>Steranes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ED2A0" id="Text Box 144" o:spid="_x0000_s1058" type="#_x0000_t202" style="position:absolute;margin-left:282.2pt;margin-top:112.75pt;width:103pt;height:2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" fillcolor="white [3201]" strokeweight=".5pt">
                <v:textbox>
                  <w:txbxContent>
                    <w:p w:rsidR="008875B3" w:rsidRPr="001A6CD4" w:rsidRDefault="008875B3" w:rsidP="00C87CE1">
                      <w:pPr>
                        <w:rPr>
                          <w:rFonts w:ascii="Times New Roman" w:hAnsi="Times New Roman"/>
                        </w:rPr>
                      </w:pPr>
                      <w:r>
                        <w:rPr>
                          <w:rFonts w:ascii="Times New Roman" w:hAnsi="Times New Roman"/>
                        </w:rPr>
                        <w:t>XXI:</w:t>
                      </w:r>
                      <w:r>
                        <w:rPr>
                          <w:noProof/>
                        </w:rPr>
                        <w:t xml:space="preserve"> C</w:t>
                      </w:r>
                      <w:r>
                        <w:rPr>
                          <w:noProof/>
                          <w:vertAlign w:val="subscript"/>
                        </w:rPr>
                        <w:t xml:space="preserve">30 </w:t>
                      </w:r>
                      <w:r>
                        <w:rPr>
                          <w:noProof/>
                        </w:rPr>
                        <w:t>Steranes</w:t>
                      </w:r>
                    </w:p>
                  </w:txbxContent>
                </v:textbox>
              </v:shape>
            </w:pict>
          </mc:Fallback>
        </mc:AlternateContent>
      </w:r>
      <w:r w:rsidRPr="00B4307B">
        <w:rPr>
          <w:rFonts w:ascii="Times New Roman" w:hAnsi="Times New Roman"/>
          <w:b/>
          <w:noProof/>
          <w:sz w:val="28"/>
          <w:lang w:val="tr-TR" w:eastAsia="tr-TR" w:bidi="ar-SA"/>
        </w:rPr>
        <w:drawing>
          <wp:inline distT="0" distB="0" distL="0" distR="0" wp14:anchorId="1B4065A6" wp14:editId="108844EF">
            <wp:extent cx="3490478" cy="2307265"/>
            <wp:effectExtent l="0" t="0" r="0" b="0"/>
            <wp:docPr id="6178"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sim 39"/>
                    <pic:cNvPicPr>
                      <a:picLocks noChangeAspect="1"/>
                    </pic:cNvPicPr>
                  </pic:nvPicPr>
                  <pic:blipFill>
                    <a:blip r:embed="rId111"/>
                    <a:stretch>
                      <a:fillRect/>
                    </a:stretch>
                  </pic:blipFill>
                  <pic:spPr>
                    <a:xfrm>
                      <a:off x="0" y="0"/>
                      <a:ext cx="3490478" cy="2307265"/>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w:lastRenderedPageBreak/>
        <mc:AlternateContent>
          <mc:Choice Requires="wps">
            <w:drawing>
              <wp:anchor distT="0" distB="0" distL="114300" distR="114300" simplePos="0" relativeHeight="251712512" behindDoc="0" locked="0" layoutInCell="1" allowOverlap="1" wp14:anchorId="56C93E12" wp14:editId="015F09B1">
                <wp:simplePos x="0" y="0"/>
                <wp:positionH relativeFrom="column">
                  <wp:posOffset>3717482</wp:posOffset>
                </wp:positionH>
                <wp:positionV relativeFrom="paragraph">
                  <wp:posOffset>642517</wp:posOffset>
                </wp:positionV>
                <wp:extent cx="1307940" cy="324092"/>
                <wp:effectExtent l="0" t="0" r="13335" b="19050"/>
                <wp:wrapNone/>
                <wp:docPr id="172" name="Text Box 146"/>
                <wp:cNvGraphicFramePr/>
                <a:graphic xmlns:a="http://schemas.openxmlformats.org/drawingml/2006/main">
                  <a:graphicData uri="http://schemas.microsoft.com/office/word/2010/wordprocessingShape">
                    <wps:wsp>
                      <wps:cNvSpPr txBox="1"/>
                      <wps:spPr>
                        <a:xfrm>
                          <a:off x="0" y="0"/>
                          <a:ext cx="1307940" cy="324092"/>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XXII:</w:t>
                            </w:r>
                            <w:r>
                              <w:rPr>
                                <w:noProof/>
                              </w:rPr>
                              <w:t xml:space="preserve"> Pregnane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93E12" id="Text Box 146" o:spid="_x0000_s1059" type="#_x0000_t202" style="position:absolute;margin-left:292.7pt;margin-top:50.6pt;width:103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" fillcolor="white [3201]" strokeweight=".5pt">
                <v:textbox>
                  <w:txbxContent>
                    <w:p w:rsidR="008875B3" w:rsidRPr="001A6CD4" w:rsidRDefault="008875B3" w:rsidP="00C87CE1">
                      <w:pPr>
                        <w:rPr>
                          <w:rFonts w:ascii="Times New Roman" w:hAnsi="Times New Roman"/>
                        </w:rPr>
                      </w:pPr>
                      <w:r>
                        <w:rPr>
                          <w:rFonts w:ascii="Times New Roman" w:hAnsi="Times New Roman"/>
                        </w:rPr>
                        <w:t>XXII:</w:t>
                      </w:r>
                      <w:r>
                        <w:rPr>
                          <w:noProof/>
                        </w:rPr>
                        <w:t xml:space="preserve"> Pregnane</w:t>
                      </w:r>
                    </w:p>
                  </w:txbxContent>
                </v:textbox>
              </v:shape>
            </w:pict>
          </mc:Fallback>
        </mc:AlternateContent>
      </w:r>
      <w:r w:rsidRPr="00DE01AB">
        <w:rPr>
          <w:rFonts w:ascii="Times New Roman" w:hAnsi="Times New Roman"/>
          <w:b/>
          <w:noProof/>
          <w:sz w:val="28"/>
          <w:lang w:val="tr-TR" w:eastAsia="tr-TR" w:bidi="ar-SA"/>
        </w:rPr>
        <w:drawing>
          <wp:inline distT="0" distB="0" distL="0" distR="0" wp14:anchorId="360373EA" wp14:editId="3D829CB8">
            <wp:extent cx="2301023" cy="2413591"/>
            <wp:effectExtent l="0" t="0" r="4445" b="6350"/>
            <wp:docPr id="6179"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esim 33"/>
                    <pic:cNvPicPr>
                      <a:picLocks noChangeAspect="1"/>
                    </pic:cNvPicPr>
                  </pic:nvPicPr>
                  <pic:blipFill>
                    <a:blip r:embed="rId112"/>
                    <a:stretch>
                      <a:fillRect/>
                    </a:stretch>
                  </pic:blipFill>
                  <pic:spPr>
                    <a:xfrm>
                      <a:off x="0" y="0"/>
                      <a:ext cx="2301023" cy="2413591"/>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13536" behindDoc="0" locked="0" layoutInCell="1" allowOverlap="1" wp14:anchorId="56C31370" wp14:editId="14CD8C4D">
                <wp:simplePos x="0" y="0"/>
                <wp:positionH relativeFrom="column">
                  <wp:posOffset>3715473</wp:posOffset>
                </wp:positionH>
                <wp:positionV relativeFrom="paragraph">
                  <wp:posOffset>198265</wp:posOffset>
                </wp:positionV>
                <wp:extent cx="1655180" cy="381964"/>
                <wp:effectExtent l="0" t="0" r="8890" b="12065"/>
                <wp:wrapNone/>
                <wp:docPr id="173" name="Text Box 149"/>
                <wp:cNvGraphicFramePr/>
                <a:graphic xmlns:a="http://schemas.openxmlformats.org/drawingml/2006/main">
                  <a:graphicData uri="http://schemas.microsoft.com/office/word/2010/wordprocessingShape">
                    <wps:wsp>
                      <wps:cNvSpPr txBox="1"/>
                      <wps:spPr>
                        <a:xfrm>
                          <a:off x="0" y="0"/>
                          <a:ext cx="1655180" cy="381964"/>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XXIII:</w:t>
                            </w:r>
                            <w:r>
                              <w:rPr>
                                <w:noProof/>
                              </w:rPr>
                              <w:t xml:space="preserve"> Homopregnane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31370" id="Text Box 149" o:spid="_x0000_s1060" type="#_x0000_t202" style="position:absolute;margin-left:292.55pt;margin-top:15.6pt;width:130.35pt;height:30.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" fillcolor="white [3201]" strokeweight=".5pt">
                <v:textbox>
                  <w:txbxContent>
                    <w:p w:rsidR="008875B3" w:rsidRPr="001A6CD4" w:rsidRDefault="008875B3" w:rsidP="00C87CE1">
                      <w:pPr>
                        <w:rPr>
                          <w:rFonts w:ascii="Times New Roman" w:hAnsi="Times New Roman"/>
                        </w:rPr>
                      </w:pPr>
                      <w:r>
                        <w:rPr>
                          <w:rFonts w:ascii="Times New Roman" w:hAnsi="Times New Roman"/>
                        </w:rPr>
                        <w:t>XXIII:</w:t>
                      </w:r>
                      <w:r>
                        <w:rPr>
                          <w:noProof/>
                        </w:rPr>
                        <w:t xml:space="preserve"> Homopregnane</w:t>
                      </w:r>
                    </w:p>
                  </w:txbxContent>
                </v:textbox>
              </v:shape>
            </w:pict>
          </mc:Fallback>
        </mc:AlternateContent>
      </w:r>
      <w:r w:rsidRPr="00DE01AB">
        <w:rPr>
          <w:rFonts w:ascii="Times New Roman" w:hAnsi="Times New Roman"/>
          <w:b/>
          <w:noProof/>
          <w:sz w:val="28"/>
          <w:lang w:val="tr-TR" w:eastAsia="tr-TR" w:bidi="ar-SA"/>
        </w:rPr>
        <w:drawing>
          <wp:inline distT="0" distB="0" distL="0" distR="0" wp14:anchorId="2C8C2CEE" wp14:editId="18A480D4">
            <wp:extent cx="2382301" cy="2392325"/>
            <wp:effectExtent l="0" t="0" r="0" b="8255"/>
            <wp:docPr id="6180"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esim 33"/>
                    <pic:cNvPicPr>
                      <a:picLocks noChangeAspect="1"/>
                    </pic:cNvPicPr>
                  </pic:nvPicPr>
                  <pic:blipFill>
                    <a:blip r:embed="rId113"/>
                    <a:stretch>
                      <a:fillRect/>
                    </a:stretch>
                  </pic:blipFill>
                  <pic:spPr>
                    <a:xfrm>
                      <a:off x="0" y="0"/>
                      <a:ext cx="2393809" cy="2403881"/>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14560" behindDoc="0" locked="0" layoutInCell="1" allowOverlap="1" wp14:anchorId="79EEFABC" wp14:editId="60160790">
                <wp:simplePos x="0" y="0"/>
                <wp:positionH relativeFrom="margin">
                  <wp:align>right</wp:align>
                </wp:positionH>
                <wp:positionV relativeFrom="paragraph">
                  <wp:posOffset>675344</wp:posOffset>
                </wp:positionV>
                <wp:extent cx="1655180" cy="381964"/>
                <wp:effectExtent l="0" t="0" r="21590" b="18415"/>
                <wp:wrapNone/>
                <wp:docPr id="174" name="Text Box 152"/>
                <wp:cNvGraphicFramePr/>
                <a:graphic xmlns:a="http://schemas.openxmlformats.org/drawingml/2006/main">
                  <a:graphicData uri="http://schemas.microsoft.com/office/word/2010/wordprocessingShape">
                    <wps:wsp>
                      <wps:cNvSpPr txBox="1"/>
                      <wps:spPr>
                        <a:xfrm>
                          <a:off x="0" y="0"/>
                          <a:ext cx="1655180" cy="381964"/>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XXIV:</w:t>
                            </w:r>
                            <w:r>
                              <w:rPr>
                                <w:noProof/>
                              </w:rPr>
                              <w:t xml:space="preserve"> C</w:t>
                            </w:r>
                            <w:r w:rsidRPr="0034665F">
                              <w:rPr>
                                <w:noProof/>
                                <w:vertAlign w:val="subscript"/>
                              </w:rPr>
                              <w:t>27</w:t>
                            </w:r>
                            <w:r>
                              <w:rPr>
                                <w:noProof/>
                              </w:rPr>
                              <w:t xml:space="preserve"> Diasterane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EFABC" id="Text Box 152" o:spid="_x0000_s1061" type="#_x0000_t202" style="position:absolute;margin-left:79.15pt;margin-top:53.2pt;width:130.35pt;height:30.1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" fillcolor="white [3201]" strokeweight=".5pt">
                <v:textbox>
                  <w:txbxContent>
                    <w:p w:rsidR="008875B3" w:rsidRPr="001A6CD4" w:rsidRDefault="008875B3" w:rsidP="00C87CE1">
                      <w:pPr>
                        <w:rPr>
                          <w:rFonts w:ascii="Times New Roman" w:hAnsi="Times New Roman"/>
                        </w:rPr>
                      </w:pPr>
                      <w:r>
                        <w:rPr>
                          <w:rFonts w:ascii="Times New Roman" w:hAnsi="Times New Roman"/>
                        </w:rPr>
                        <w:t>XXIV:</w:t>
                      </w:r>
                      <w:r>
                        <w:rPr>
                          <w:noProof/>
                        </w:rPr>
                        <w:t xml:space="preserve"> C</w:t>
                      </w:r>
                      <w:r w:rsidRPr="0034665F">
                        <w:rPr>
                          <w:noProof/>
                          <w:vertAlign w:val="subscript"/>
                        </w:rPr>
                        <w:t>27</w:t>
                      </w:r>
                      <w:r>
                        <w:rPr>
                          <w:noProof/>
                        </w:rPr>
                        <w:t xml:space="preserve"> Diasterane</w:t>
                      </w:r>
                    </w:p>
                  </w:txbxContent>
                </v:textbox>
                <w10:wrap anchorx="margin"/>
              </v:shape>
            </w:pict>
          </mc:Fallback>
        </mc:AlternateContent>
      </w:r>
      <w:r w:rsidRPr="00DE01AB">
        <w:rPr>
          <w:rFonts w:ascii="Times New Roman" w:hAnsi="Times New Roman"/>
          <w:b/>
          <w:noProof/>
          <w:sz w:val="28"/>
          <w:lang w:val="tr-TR" w:eastAsia="tr-TR" w:bidi="ar-SA"/>
        </w:rPr>
        <w:drawing>
          <wp:inline distT="0" distB="0" distL="0" distR="0" wp14:anchorId="482D1686" wp14:editId="04C5EC26">
            <wp:extent cx="3370521" cy="2372774"/>
            <wp:effectExtent l="0" t="0" r="1905" b="8890"/>
            <wp:docPr id="618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esim 31"/>
                    <pic:cNvPicPr>
                      <a:picLocks noChangeAspect="1"/>
                    </pic:cNvPicPr>
                  </pic:nvPicPr>
                  <pic:blipFill>
                    <a:blip r:embed="rId114"/>
                    <a:stretch>
                      <a:fillRect/>
                    </a:stretch>
                  </pic:blipFill>
                  <pic:spPr>
                    <a:xfrm>
                      <a:off x="0" y="0"/>
                      <a:ext cx="3380604" cy="2379872"/>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w:lastRenderedPageBreak/>
        <mc:AlternateContent>
          <mc:Choice Requires="wps">
            <w:drawing>
              <wp:anchor distT="0" distB="0" distL="114300" distR="114300" simplePos="0" relativeHeight="251715584" behindDoc="0" locked="0" layoutInCell="1" allowOverlap="1" wp14:anchorId="38011CA3" wp14:editId="1DB460D9">
                <wp:simplePos x="0" y="0"/>
                <wp:positionH relativeFrom="margin">
                  <wp:align>right</wp:align>
                </wp:positionH>
                <wp:positionV relativeFrom="paragraph">
                  <wp:posOffset>396299</wp:posOffset>
                </wp:positionV>
                <wp:extent cx="1932972" cy="289367"/>
                <wp:effectExtent l="0" t="0" r="10160" b="15875"/>
                <wp:wrapNone/>
                <wp:docPr id="175" name="Text Box 154"/>
                <wp:cNvGraphicFramePr/>
                <a:graphic xmlns:a="http://schemas.openxmlformats.org/drawingml/2006/main">
                  <a:graphicData uri="http://schemas.microsoft.com/office/word/2010/wordprocessingShape">
                    <wps:wsp>
                      <wps:cNvSpPr txBox="1"/>
                      <wps:spPr>
                        <a:xfrm>
                          <a:off x="0" y="0"/>
                          <a:ext cx="1932972" cy="289367"/>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XXV:</w:t>
                            </w:r>
                            <w:r>
                              <w:rPr>
                                <w:noProof/>
                              </w:rPr>
                              <w:t xml:space="preserve"> Dibenzothiophene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11CA3" id="Text Box 154" o:spid="_x0000_s1062" type="#_x0000_t202" style="position:absolute;margin-left:101pt;margin-top:31.2pt;width:152.2pt;height:22.8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" fillcolor="white [3201]" strokeweight=".5pt">
                <v:textbox>
                  <w:txbxContent>
                    <w:p w:rsidR="008875B3" w:rsidRPr="001A6CD4" w:rsidRDefault="008875B3" w:rsidP="00C87CE1">
                      <w:pPr>
                        <w:rPr>
                          <w:rFonts w:ascii="Times New Roman" w:hAnsi="Times New Roman"/>
                        </w:rPr>
                      </w:pPr>
                      <w:r>
                        <w:rPr>
                          <w:rFonts w:ascii="Times New Roman" w:hAnsi="Times New Roman"/>
                        </w:rPr>
                        <w:t>XXV:</w:t>
                      </w:r>
                      <w:r>
                        <w:rPr>
                          <w:noProof/>
                        </w:rPr>
                        <w:t xml:space="preserve"> Dibenzothiophene</w:t>
                      </w:r>
                    </w:p>
                  </w:txbxContent>
                </v:textbox>
                <w10:wrap anchorx="margin"/>
              </v:shape>
            </w:pict>
          </mc:Fallback>
        </mc:AlternateContent>
      </w:r>
      <w:r w:rsidRPr="00DE01AB">
        <w:rPr>
          <w:rFonts w:ascii="Times New Roman" w:hAnsi="Times New Roman"/>
          <w:b/>
          <w:noProof/>
          <w:sz w:val="28"/>
          <w:lang w:val="tr-TR" w:eastAsia="tr-TR" w:bidi="ar-SA"/>
        </w:rPr>
        <w:drawing>
          <wp:inline distT="0" distB="0" distL="0" distR="0" wp14:anchorId="2BF4312F" wp14:editId="520FB56F">
            <wp:extent cx="2519916" cy="1427049"/>
            <wp:effectExtent l="0" t="0" r="0" b="0"/>
            <wp:docPr id="6182"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esim 38"/>
                    <pic:cNvPicPr>
                      <a:picLocks noChangeAspect="1"/>
                    </pic:cNvPicPr>
                  </pic:nvPicPr>
                  <pic:blipFill>
                    <a:blip r:embed="rId115"/>
                    <a:stretch>
                      <a:fillRect/>
                    </a:stretch>
                  </pic:blipFill>
                  <pic:spPr>
                    <a:xfrm>
                      <a:off x="0" y="0"/>
                      <a:ext cx="2523856" cy="1429280"/>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16608" behindDoc="0" locked="0" layoutInCell="1" allowOverlap="1" wp14:anchorId="3FB0499A" wp14:editId="69047076">
                <wp:simplePos x="0" y="0"/>
                <wp:positionH relativeFrom="margin">
                  <wp:align>right</wp:align>
                </wp:positionH>
                <wp:positionV relativeFrom="paragraph">
                  <wp:posOffset>425982</wp:posOffset>
                </wp:positionV>
                <wp:extent cx="1608881" cy="289367"/>
                <wp:effectExtent l="0" t="0" r="10795" b="15875"/>
                <wp:wrapNone/>
                <wp:docPr id="177" name="Text Box 156"/>
                <wp:cNvGraphicFramePr/>
                <a:graphic xmlns:a="http://schemas.openxmlformats.org/drawingml/2006/main">
                  <a:graphicData uri="http://schemas.microsoft.com/office/word/2010/wordprocessingShape">
                    <wps:wsp>
                      <wps:cNvSpPr txBox="1"/>
                      <wps:spPr>
                        <a:xfrm>
                          <a:off x="0" y="0"/>
                          <a:ext cx="1608881" cy="289367"/>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XXVI:</w:t>
                            </w:r>
                            <w:r>
                              <w:rPr>
                                <w:noProof/>
                              </w:rPr>
                              <w:t xml:space="preserve"> Phenanthrene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0499A" id="Text Box 156" o:spid="_x0000_s1063" type="#_x0000_t202" style="position:absolute;margin-left:75.5pt;margin-top:33.55pt;width:126.7pt;height:22.8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" fillcolor="white [3201]" strokeweight=".5pt">
                <v:textbox>
                  <w:txbxContent>
                    <w:p w:rsidR="008875B3" w:rsidRPr="001A6CD4" w:rsidRDefault="008875B3" w:rsidP="00C87CE1">
                      <w:pPr>
                        <w:rPr>
                          <w:rFonts w:ascii="Times New Roman" w:hAnsi="Times New Roman"/>
                        </w:rPr>
                      </w:pPr>
                      <w:r>
                        <w:rPr>
                          <w:rFonts w:ascii="Times New Roman" w:hAnsi="Times New Roman"/>
                        </w:rPr>
                        <w:t>XXVI:</w:t>
                      </w:r>
                      <w:r>
                        <w:rPr>
                          <w:noProof/>
                        </w:rPr>
                        <w:t xml:space="preserve"> Phenanthrene</w:t>
                      </w:r>
                    </w:p>
                  </w:txbxContent>
                </v:textbox>
                <w10:wrap anchorx="margin"/>
              </v:shape>
            </w:pict>
          </mc:Fallback>
        </mc:AlternateContent>
      </w:r>
      <w:r w:rsidRPr="00DE01AB">
        <w:rPr>
          <w:rFonts w:ascii="Times New Roman" w:hAnsi="Times New Roman"/>
          <w:b/>
          <w:noProof/>
          <w:sz w:val="28"/>
          <w:lang w:val="tr-TR" w:eastAsia="tr-TR" w:bidi="ar-SA"/>
        </w:rPr>
        <w:drawing>
          <wp:inline distT="0" distB="0" distL="0" distR="0" wp14:anchorId="6A5B3EB3" wp14:editId="49813F14">
            <wp:extent cx="2477386" cy="1424818"/>
            <wp:effectExtent l="0" t="0" r="0" b="4445"/>
            <wp:docPr id="618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im 23"/>
                    <pic:cNvPicPr>
                      <a:picLocks noChangeAspect="1"/>
                    </pic:cNvPicPr>
                  </pic:nvPicPr>
                  <pic:blipFill>
                    <a:blip r:embed="rId116"/>
                    <a:stretch>
                      <a:fillRect/>
                    </a:stretch>
                  </pic:blipFill>
                  <pic:spPr>
                    <a:xfrm>
                      <a:off x="0" y="0"/>
                      <a:ext cx="2484839" cy="1429105"/>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17632" behindDoc="0" locked="0" layoutInCell="1" allowOverlap="1" wp14:anchorId="7E5DCB3D" wp14:editId="6F4ACF5B">
                <wp:simplePos x="0" y="0"/>
                <wp:positionH relativeFrom="margin">
                  <wp:align>right</wp:align>
                </wp:positionH>
                <wp:positionV relativeFrom="paragraph">
                  <wp:posOffset>617235</wp:posOffset>
                </wp:positionV>
                <wp:extent cx="1157468" cy="347240"/>
                <wp:effectExtent l="0" t="0" r="24130" b="15240"/>
                <wp:wrapNone/>
                <wp:docPr id="178" name="Text Box 157"/>
                <wp:cNvGraphicFramePr/>
                <a:graphic xmlns:a="http://schemas.openxmlformats.org/drawingml/2006/main">
                  <a:graphicData uri="http://schemas.microsoft.com/office/word/2010/wordprocessingShape">
                    <wps:wsp>
                      <wps:cNvSpPr txBox="1"/>
                      <wps:spPr>
                        <a:xfrm>
                          <a:off x="0" y="0"/>
                          <a:ext cx="1157468" cy="347240"/>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XXVII: MTBT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DCB3D" id="Text Box 157" o:spid="_x0000_s1064" type="#_x0000_t202" style="position:absolute;margin-left:39.95pt;margin-top:48.6pt;width:91.15pt;height:27.3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" fillcolor="white [3201]" strokeweight=".5pt">
                <v:textbox>
                  <w:txbxContent>
                    <w:p w:rsidR="008875B3" w:rsidRPr="001A6CD4" w:rsidRDefault="008875B3" w:rsidP="00C87CE1">
                      <w:pPr>
                        <w:rPr>
                          <w:rFonts w:ascii="Times New Roman" w:hAnsi="Times New Roman"/>
                        </w:rPr>
                      </w:pPr>
                      <w:r>
                        <w:rPr>
                          <w:rFonts w:ascii="Times New Roman" w:hAnsi="Times New Roman"/>
                        </w:rPr>
                        <w:t>XXVII: MTBT</w:t>
                      </w:r>
                    </w:p>
                  </w:txbxContent>
                </v:textbox>
                <w10:wrap anchorx="margin"/>
              </v:shape>
            </w:pict>
          </mc:Fallback>
        </mc:AlternateContent>
      </w:r>
      <w:r w:rsidRPr="00DE01AB">
        <w:rPr>
          <w:rFonts w:ascii="Times New Roman" w:hAnsi="Times New Roman"/>
          <w:b/>
          <w:noProof/>
          <w:sz w:val="28"/>
          <w:lang w:val="tr-TR" w:eastAsia="tr-TR" w:bidi="ar-SA"/>
        </w:rPr>
        <w:drawing>
          <wp:inline distT="0" distB="0" distL="0" distR="0" wp14:anchorId="2401BAFD" wp14:editId="716F4929">
            <wp:extent cx="2456121" cy="1641816"/>
            <wp:effectExtent l="0" t="0" r="1905" b="0"/>
            <wp:docPr id="6184"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esim 36"/>
                    <pic:cNvPicPr>
                      <a:picLocks noChangeAspect="1"/>
                    </pic:cNvPicPr>
                  </pic:nvPicPr>
                  <pic:blipFill>
                    <a:blip r:embed="rId117"/>
                    <a:stretch>
                      <a:fillRect/>
                    </a:stretch>
                  </pic:blipFill>
                  <pic:spPr>
                    <a:xfrm>
                      <a:off x="0" y="0"/>
                      <a:ext cx="2466559" cy="1648794"/>
                    </a:xfrm>
                    <a:prstGeom prst="rect">
                      <a:avLst/>
                    </a:prstGeom>
                  </pic:spPr>
                </pic:pic>
              </a:graphicData>
            </a:graphic>
          </wp:inline>
        </w:drawing>
      </w:r>
      <w:r>
        <w:rPr>
          <w:rFonts w:ascii="Times New Roman" w:hAnsi="Times New Roman"/>
          <w:b/>
          <w:sz w:val="28"/>
        </w:rPr>
        <w:t xml:space="preserve">       </w:t>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18656" behindDoc="0" locked="0" layoutInCell="1" allowOverlap="1" wp14:anchorId="55568E26" wp14:editId="74982324">
                <wp:simplePos x="0" y="0"/>
                <wp:positionH relativeFrom="margin">
                  <wp:align>right</wp:align>
                </wp:positionH>
                <wp:positionV relativeFrom="paragraph">
                  <wp:posOffset>350889</wp:posOffset>
                </wp:positionV>
                <wp:extent cx="1574157" cy="266218"/>
                <wp:effectExtent l="0" t="0" r="26670" b="19685"/>
                <wp:wrapNone/>
                <wp:docPr id="179" name="Text Box 160"/>
                <wp:cNvGraphicFramePr/>
                <a:graphic xmlns:a="http://schemas.openxmlformats.org/drawingml/2006/main">
                  <a:graphicData uri="http://schemas.microsoft.com/office/word/2010/wordprocessingShape">
                    <wps:wsp>
                      <wps:cNvSpPr txBox="1"/>
                      <wps:spPr>
                        <a:xfrm>
                          <a:off x="0" y="0"/>
                          <a:ext cx="1574157" cy="266218"/>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XXVIII: Naphthalene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68E26" id="Text Box 160" o:spid="_x0000_s1065" type="#_x0000_t202" style="position:absolute;margin-left:72.75pt;margin-top:27.65pt;width:123.95pt;height:20.95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" fillcolor="white [3201]" strokeweight=".5pt">
                <v:textbox>
                  <w:txbxContent>
                    <w:p w:rsidR="008875B3" w:rsidRPr="001A6CD4" w:rsidRDefault="008875B3" w:rsidP="00C87CE1">
                      <w:pPr>
                        <w:rPr>
                          <w:rFonts w:ascii="Times New Roman" w:hAnsi="Times New Roman"/>
                        </w:rPr>
                      </w:pPr>
                      <w:r>
                        <w:rPr>
                          <w:rFonts w:ascii="Times New Roman" w:hAnsi="Times New Roman"/>
                        </w:rPr>
                        <w:t>XXVIII: Naphthalene</w:t>
                      </w:r>
                    </w:p>
                  </w:txbxContent>
                </v:textbox>
                <w10:wrap anchorx="margin"/>
              </v:shape>
            </w:pict>
          </mc:Fallback>
        </mc:AlternateContent>
      </w:r>
      <w:r w:rsidRPr="00DE01AB">
        <w:rPr>
          <w:rFonts w:ascii="Times New Roman" w:hAnsi="Times New Roman"/>
          <w:b/>
          <w:noProof/>
          <w:sz w:val="28"/>
          <w:lang w:val="tr-TR" w:eastAsia="tr-TR" w:bidi="ar-SA"/>
        </w:rPr>
        <w:drawing>
          <wp:inline distT="0" distB="0" distL="0" distR="0" wp14:anchorId="0B890608" wp14:editId="22B90E64">
            <wp:extent cx="1684940" cy="1010093"/>
            <wp:effectExtent l="0" t="0" r="0" b="0"/>
            <wp:docPr id="6192"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7"/>
                    <pic:cNvPicPr>
                      <a:picLocks noChangeAspect="1"/>
                    </pic:cNvPicPr>
                  </pic:nvPicPr>
                  <pic:blipFill>
                    <a:blip r:embed="rId118"/>
                    <a:stretch>
                      <a:fillRect/>
                    </a:stretch>
                  </pic:blipFill>
                  <pic:spPr>
                    <a:xfrm>
                      <a:off x="0" y="0"/>
                      <a:ext cx="1701935" cy="1020281"/>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sidRPr="00DE01AB">
        <w:rPr>
          <w:rFonts w:ascii="Times New Roman" w:hAnsi="Times New Roman"/>
          <w:b/>
          <w:noProof/>
          <w:sz w:val="28"/>
          <w:lang w:val="tr-TR" w:eastAsia="tr-TR" w:bidi="ar-SA"/>
        </w:rPr>
        <w:lastRenderedPageBreak/>
        <w:drawing>
          <wp:inline distT="0" distB="0" distL="0" distR="0" wp14:anchorId="3069CF9F" wp14:editId="664ED090">
            <wp:extent cx="2094614" cy="1888518"/>
            <wp:effectExtent l="0" t="0" r="1270" b="0"/>
            <wp:docPr id="6193"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im 24"/>
                    <pic:cNvPicPr>
                      <a:picLocks noChangeAspect="1"/>
                    </pic:cNvPicPr>
                  </pic:nvPicPr>
                  <pic:blipFill>
                    <a:blip r:embed="rId119"/>
                    <a:stretch>
                      <a:fillRect/>
                    </a:stretch>
                  </pic:blipFill>
                  <pic:spPr>
                    <a:xfrm>
                      <a:off x="0" y="0"/>
                      <a:ext cx="2098237" cy="1891784"/>
                    </a:xfrm>
                    <a:prstGeom prst="rect">
                      <a:avLst/>
                    </a:prstGeom>
                  </pic:spPr>
                </pic:pic>
              </a:graphicData>
            </a:graphic>
          </wp:inline>
        </w:drawing>
      </w:r>
      <w:r>
        <w:rPr>
          <w:noProof/>
          <w:lang w:val="tr-TR" w:eastAsia="tr-TR" w:bidi="ar-SA"/>
        </w:rPr>
        <mc:AlternateContent>
          <mc:Choice Requires="wps">
            <w:drawing>
              <wp:anchor distT="0" distB="0" distL="114300" distR="114300" simplePos="0" relativeHeight="251719680" behindDoc="0" locked="0" layoutInCell="1" allowOverlap="1" wp14:anchorId="78A4214A" wp14:editId="4B9E1330">
                <wp:simplePos x="0" y="0"/>
                <wp:positionH relativeFrom="column">
                  <wp:posOffset>3044142</wp:posOffset>
                </wp:positionH>
                <wp:positionV relativeFrom="paragraph">
                  <wp:posOffset>139523</wp:posOffset>
                </wp:positionV>
                <wp:extent cx="1434634" cy="346710"/>
                <wp:effectExtent l="0" t="0" r="13335" b="8890"/>
                <wp:wrapNone/>
                <wp:docPr id="180" name="Text Box 161"/>
                <wp:cNvGraphicFramePr/>
                <a:graphic xmlns:a="http://schemas.openxmlformats.org/drawingml/2006/main">
                  <a:graphicData uri="http://schemas.microsoft.com/office/word/2010/wordprocessingShape">
                    <wps:wsp>
                      <wps:cNvSpPr txBox="1"/>
                      <wps:spPr>
                        <a:xfrm>
                          <a:off x="0" y="0"/>
                          <a:ext cx="1434634" cy="346710"/>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XXIX: 1,2,5-TMN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4214A" id="Text Box 161" o:spid="_x0000_s1066" type="#_x0000_t202" style="position:absolute;margin-left:239.7pt;margin-top:11pt;width:112.95pt;height:27.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" fillcolor="white [3201]" strokeweight=".5pt">
                <v:textbox>
                  <w:txbxContent>
                    <w:p w:rsidR="008875B3" w:rsidRPr="001A6CD4" w:rsidRDefault="008875B3" w:rsidP="00C87CE1">
                      <w:pPr>
                        <w:rPr>
                          <w:rFonts w:ascii="Times New Roman" w:hAnsi="Times New Roman"/>
                        </w:rPr>
                      </w:pPr>
                      <w:r>
                        <w:rPr>
                          <w:rFonts w:ascii="Times New Roman" w:hAnsi="Times New Roman"/>
                        </w:rPr>
                        <w:t>XXIX: 1,2,5-TMN</w:t>
                      </w:r>
                    </w:p>
                  </w:txbxContent>
                </v:textbox>
              </v:shape>
            </w:pict>
          </mc:Fallback>
        </mc:AlternateContent>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20704" behindDoc="0" locked="0" layoutInCell="1" allowOverlap="1" wp14:anchorId="0A52E34B" wp14:editId="28E67955">
                <wp:simplePos x="0" y="0"/>
                <wp:positionH relativeFrom="column">
                  <wp:posOffset>3033985</wp:posOffset>
                </wp:positionH>
                <wp:positionV relativeFrom="paragraph">
                  <wp:posOffset>242157</wp:posOffset>
                </wp:positionV>
                <wp:extent cx="1434634" cy="346710"/>
                <wp:effectExtent l="0" t="0" r="13335" b="8890"/>
                <wp:wrapNone/>
                <wp:docPr id="181" name="Text Box 164"/>
                <wp:cNvGraphicFramePr/>
                <a:graphic xmlns:a="http://schemas.openxmlformats.org/drawingml/2006/main">
                  <a:graphicData uri="http://schemas.microsoft.com/office/word/2010/wordprocessingShape">
                    <wps:wsp>
                      <wps:cNvSpPr txBox="1"/>
                      <wps:spPr>
                        <a:xfrm>
                          <a:off x="0" y="0"/>
                          <a:ext cx="1434634" cy="346710"/>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 1,2,7-TMN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E34B" id="Text Box 164" o:spid="_x0000_s1067" type="#_x0000_t202" style="position:absolute;margin-left:238.9pt;margin-top:19.05pt;width:112.95pt;height:27.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 1,2,7-TMN</w:t>
                      </w:r>
                    </w:p>
                  </w:txbxContent>
                </v:textbox>
              </v:shape>
            </w:pict>
          </mc:Fallback>
        </mc:AlternateContent>
      </w:r>
      <w:r w:rsidRPr="00DE01AB">
        <w:rPr>
          <w:rFonts w:ascii="Times New Roman" w:hAnsi="Times New Roman"/>
          <w:b/>
          <w:noProof/>
          <w:sz w:val="28"/>
          <w:lang w:val="tr-TR" w:eastAsia="tr-TR" w:bidi="ar-SA"/>
        </w:rPr>
        <w:drawing>
          <wp:inline distT="0" distB="0" distL="0" distR="0" wp14:anchorId="2CC9777D" wp14:editId="47F9C66F">
            <wp:extent cx="2402958" cy="1380684"/>
            <wp:effectExtent l="0" t="0" r="0" b="0"/>
            <wp:docPr id="6194"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sim 25"/>
                    <pic:cNvPicPr>
                      <a:picLocks noChangeAspect="1"/>
                    </pic:cNvPicPr>
                  </pic:nvPicPr>
                  <pic:blipFill>
                    <a:blip r:embed="rId120"/>
                    <a:stretch>
                      <a:fillRect/>
                    </a:stretch>
                  </pic:blipFill>
                  <pic:spPr>
                    <a:xfrm>
                      <a:off x="0" y="0"/>
                      <a:ext cx="2414749" cy="1387459"/>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21728" behindDoc="0" locked="0" layoutInCell="1" allowOverlap="1" wp14:anchorId="543E69DD" wp14:editId="79701F72">
                <wp:simplePos x="0" y="0"/>
                <wp:positionH relativeFrom="column">
                  <wp:posOffset>3130314</wp:posOffset>
                </wp:positionH>
                <wp:positionV relativeFrom="paragraph">
                  <wp:posOffset>682595</wp:posOffset>
                </wp:positionV>
                <wp:extent cx="1434634" cy="346710"/>
                <wp:effectExtent l="0" t="0" r="13335" b="8890"/>
                <wp:wrapNone/>
                <wp:docPr id="182" name="Text Box 166"/>
                <wp:cNvGraphicFramePr/>
                <a:graphic xmlns:a="http://schemas.openxmlformats.org/drawingml/2006/main">
                  <a:graphicData uri="http://schemas.microsoft.com/office/word/2010/wordprocessingShape">
                    <wps:wsp>
                      <wps:cNvSpPr txBox="1"/>
                      <wps:spPr>
                        <a:xfrm>
                          <a:off x="0" y="0"/>
                          <a:ext cx="1434634" cy="346710"/>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XXXI: Cadalene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E69DD" id="Text Box 166" o:spid="_x0000_s1068" type="#_x0000_t202" style="position:absolute;margin-left:246.5pt;margin-top:53.75pt;width:112.95pt;height:27.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XXXI: Cadalene</w:t>
                      </w:r>
                    </w:p>
                  </w:txbxContent>
                </v:textbox>
              </v:shape>
            </w:pict>
          </mc:Fallback>
        </mc:AlternateContent>
      </w:r>
      <w:r w:rsidRPr="00DE01AB">
        <w:rPr>
          <w:rFonts w:ascii="Times New Roman" w:hAnsi="Times New Roman"/>
          <w:b/>
          <w:noProof/>
          <w:sz w:val="28"/>
          <w:lang w:val="tr-TR" w:eastAsia="tr-TR" w:bidi="ar-SA"/>
        </w:rPr>
        <w:drawing>
          <wp:inline distT="0" distB="0" distL="0" distR="0" wp14:anchorId="5D734249" wp14:editId="29C2DDB0">
            <wp:extent cx="1871330" cy="1901635"/>
            <wp:effectExtent l="0" t="0" r="0" b="3810"/>
            <wp:docPr id="6195"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7"/>
                    <pic:cNvPicPr>
                      <a:picLocks noChangeAspect="1"/>
                    </pic:cNvPicPr>
                  </pic:nvPicPr>
                  <pic:blipFill>
                    <a:blip r:embed="rId121"/>
                    <a:stretch>
                      <a:fillRect/>
                    </a:stretch>
                  </pic:blipFill>
                  <pic:spPr>
                    <a:xfrm>
                      <a:off x="0" y="0"/>
                      <a:ext cx="1879108" cy="1909539"/>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22752" behindDoc="0" locked="0" layoutInCell="1" allowOverlap="1" wp14:anchorId="33BF6362" wp14:editId="50547427">
                <wp:simplePos x="0" y="0"/>
                <wp:positionH relativeFrom="column">
                  <wp:posOffset>3131082</wp:posOffset>
                </wp:positionH>
                <wp:positionV relativeFrom="paragraph">
                  <wp:posOffset>295290</wp:posOffset>
                </wp:positionV>
                <wp:extent cx="1434634" cy="346710"/>
                <wp:effectExtent l="0" t="0" r="13335" b="8890"/>
                <wp:wrapNone/>
                <wp:docPr id="183" name="Text Box 168"/>
                <wp:cNvGraphicFramePr/>
                <a:graphic xmlns:a="http://schemas.openxmlformats.org/drawingml/2006/main">
                  <a:graphicData uri="http://schemas.microsoft.com/office/word/2010/wordprocessingShape">
                    <wps:wsp>
                      <wps:cNvSpPr txBox="1"/>
                      <wps:spPr>
                        <a:xfrm>
                          <a:off x="0" y="0"/>
                          <a:ext cx="1434634" cy="346710"/>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XXXII: Fluorene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F6362" id="Text Box 168" o:spid="_x0000_s1069" type="#_x0000_t202" style="position:absolute;margin-left:246.55pt;margin-top:23.25pt;width:112.95pt;height:27.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XXXII: Fluorene</w:t>
                      </w:r>
                    </w:p>
                  </w:txbxContent>
                </v:textbox>
              </v:shape>
            </w:pict>
          </mc:Fallback>
        </mc:AlternateContent>
      </w:r>
      <w:r w:rsidRPr="00DE01AB">
        <w:rPr>
          <w:rFonts w:ascii="Times New Roman" w:hAnsi="Times New Roman"/>
          <w:b/>
          <w:noProof/>
          <w:sz w:val="28"/>
          <w:lang w:val="tr-TR" w:eastAsia="tr-TR" w:bidi="ar-SA"/>
        </w:rPr>
        <w:drawing>
          <wp:inline distT="0" distB="0" distL="0" distR="0" wp14:anchorId="52F8D5EE" wp14:editId="2F33FC87">
            <wp:extent cx="2549321" cy="1169581"/>
            <wp:effectExtent l="0" t="0" r="3810" b="0"/>
            <wp:docPr id="6196"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im 24"/>
                    <pic:cNvPicPr>
                      <a:picLocks noChangeAspect="1"/>
                    </pic:cNvPicPr>
                  </pic:nvPicPr>
                  <pic:blipFill>
                    <a:blip r:embed="rId122"/>
                    <a:stretch>
                      <a:fillRect/>
                    </a:stretch>
                  </pic:blipFill>
                  <pic:spPr>
                    <a:xfrm>
                      <a:off x="0" y="0"/>
                      <a:ext cx="2560890" cy="1174888"/>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w:lastRenderedPageBreak/>
        <mc:AlternateContent>
          <mc:Choice Requires="wps">
            <w:drawing>
              <wp:anchor distT="0" distB="0" distL="114300" distR="114300" simplePos="0" relativeHeight="251723776" behindDoc="0" locked="0" layoutInCell="1" allowOverlap="1" wp14:anchorId="786BA48D" wp14:editId="5494A96F">
                <wp:simplePos x="0" y="0"/>
                <wp:positionH relativeFrom="column">
                  <wp:posOffset>2929833</wp:posOffset>
                </wp:positionH>
                <wp:positionV relativeFrom="paragraph">
                  <wp:posOffset>179591</wp:posOffset>
                </wp:positionV>
                <wp:extent cx="1666755" cy="266217"/>
                <wp:effectExtent l="0" t="0" r="10160" b="13335"/>
                <wp:wrapNone/>
                <wp:docPr id="184" name="Text Box 170"/>
                <wp:cNvGraphicFramePr/>
                <a:graphic xmlns:a="http://schemas.openxmlformats.org/drawingml/2006/main">
                  <a:graphicData uri="http://schemas.microsoft.com/office/word/2010/wordprocessingShape">
                    <wps:wsp>
                      <wps:cNvSpPr txBox="1"/>
                      <wps:spPr>
                        <a:xfrm>
                          <a:off x="0" y="0"/>
                          <a:ext cx="1666755" cy="266217"/>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XXXIII: Dibenzofuran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BA48D" id="Text Box 170" o:spid="_x0000_s1070" type="#_x0000_t202" style="position:absolute;margin-left:230.7pt;margin-top:14.15pt;width:131.25pt;height:20.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XXXIII: Dibenzofuran</w:t>
                      </w:r>
                    </w:p>
                  </w:txbxContent>
                </v:textbox>
              </v:shape>
            </w:pict>
          </mc:Fallback>
        </mc:AlternateContent>
      </w:r>
      <w:r w:rsidRPr="00DE01AB">
        <w:rPr>
          <w:rFonts w:ascii="Times New Roman" w:hAnsi="Times New Roman"/>
          <w:b/>
          <w:noProof/>
          <w:sz w:val="28"/>
          <w:lang w:val="tr-TR" w:eastAsia="tr-TR" w:bidi="ar-SA"/>
        </w:rPr>
        <w:drawing>
          <wp:inline distT="0" distB="0" distL="0" distR="0" wp14:anchorId="6634FD09" wp14:editId="19DC29D3">
            <wp:extent cx="2103003" cy="1164566"/>
            <wp:effectExtent l="0" t="0" r="0" b="0"/>
            <wp:docPr id="6197"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sim 25"/>
                    <pic:cNvPicPr>
                      <a:picLocks noChangeAspect="1"/>
                    </pic:cNvPicPr>
                  </pic:nvPicPr>
                  <pic:blipFill>
                    <a:blip r:embed="rId123"/>
                    <a:stretch>
                      <a:fillRect/>
                    </a:stretch>
                  </pic:blipFill>
                  <pic:spPr>
                    <a:xfrm>
                      <a:off x="0" y="0"/>
                      <a:ext cx="2116003" cy="1171765"/>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24800" behindDoc="0" locked="0" layoutInCell="1" allowOverlap="1" wp14:anchorId="2E3D382E" wp14:editId="7DA0FCD9">
                <wp:simplePos x="0" y="0"/>
                <wp:positionH relativeFrom="column">
                  <wp:posOffset>2930809</wp:posOffset>
                </wp:positionH>
                <wp:positionV relativeFrom="paragraph">
                  <wp:posOffset>475691</wp:posOffset>
                </wp:positionV>
                <wp:extent cx="2037145" cy="266217"/>
                <wp:effectExtent l="0" t="0" r="7620" b="13335"/>
                <wp:wrapNone/>
                <wp:docPr id="185" name="Text Box 172"/>
                <wp:cNvGraphicFramePr/>
                <a:graphic xmlns:a="http://schemas.openxmlformats.org/drawingml/2006/main">
                  <a:graphicData uri="http://schemas.microsoft.com/office/word/2010/wordprocessingShape">
                    <wps:wsp>
                      <wps:cNvSpPr txBox="1"/>
                      <wps:spPr>
                        <a:xfrm>
                          <a:off x="0" y="0"/>
                          <a:ext cx="2037145" cy="266217"/>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XXXIV: Methyldibenzofuran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D382E" id="Text Box 172" o:spid="_x0000_s1071" type="#_x0000_t202" style="position:absolute;margin-left:230.75pt;margin-top:37.45pt;width:160.4pt;height:20.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XXXIV: Methyldibenzofuran</w:t>
                      </w:r>
                    </w:p>
                  </w:txbxContent>
                </v:textbox>
              </v:shape>
            </w:pict>
          </mc:Fallback>
        </mc:AlternateContent>
      </w:r>
      <w:r w:rsidRPr="00DE01AB">
        <w:rPr>
          <w:rFonts w:ascii="Times New Roman" w:hAnsi="Times New Roman"/>
          <w:b/>
          <w:noProof/>
          <w:sz w:val="28"/>
          <w:lang w:val="tr-TR" w:eastAsia="tr-TR" w:bidi="ar-SA"/>
        </w:rPr>
        <w:drawing>
          <wp:inline distT="0" distB="0" distL="0" distR="0" wp14:anchorId="2410FD41" wp14:editId="3AD07A29">
            <wp:extent cx="2072139" cy="1388853"/>
            <wp:effectExtent l="0" t="0" r="4445" b="1905"/>
            <wp:docPr id="6198"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esim 29"/>
                    <pic:cNvPicPr>
                      <a:picLocks noChangeAspect="1"/>
                    </pic:cNvPicPr>
                  </pic:nvPicPr>
                  <pic:blipFill>
                    <a:blip r:embed="rId124"/>
                    <a:stretch>
                      <a:fillRect/>
                    </a:stretch>
                  </pic:blipFill>
                  <pic:spPr>
                    <a:xfrm>
                      <a:off x="0" y="0"/>
                      <a:ext cx="2105689" cy="1411340"/>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25824" behindDoc="0" locked="0" layoutInCell="1" allowOverlap="1" wp14:anchorId="6AEB3EAC" wp14:editId="5DD04D22">
                <wp:simplePos x="0" y="0"/>
                <wp:positionH relativeFrom="column">
                  <wp:posOffset>3026344</wp:posOffset>
                </wp:positionH>
                <wp:positionV relativeFrom="paragraph">
                  <wp:posOffset>561984</wp:posOffset>
                </wp:positionV>
                <wp:extent cx="1423687" cy="266217"/>
                <wp:effectExtent l="0" t="0" r="11430" b="13335"/>
                <wp:wrapNone/>
                <wp:docPr id="186" name="Text Box 174"/>
                <wp:cNvGraphicFramePr/>
                <a:graphic xmlns:a="http://schemas.openxmlformats.org/drawingml/2006/main">
                  <a:graphicData uri="http://schemas.microsoft.com/office/word/2010/wordprocessingShape">
                    <wps:wsp>
                      <wps:cNvSpPr txBox="1"/>
                      <wps:spPr>
                        <a:xfrm>
                          <a:off x="0" y="0"/>
                          <a:ext cx="1423687" cy="266217"/>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XXXV: 1,2,8-TMP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B3EAC" id="Text Box 174" o:spid="_x0000_s1072" type="#_x0000_t202" style="position:absolute;margin-left:238.3pt;margin-top:44.25pt;width:112.1pt;height:20.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XXXV: 1,2,8-TMP</w:t>
                      </w:r>
                    </w:p>
                  </w:txbxContent>
                </v:textbox>
              </v:shape>
            </w:pict>
          </mc:Fallback>
        </mc:AlternateContent>
      </w:r>
      <w:r w:rsidRPr="00DE01AB">
        <w:rPr>
          <w:rFonts w:ascii="Times New Roman" w:hAnsi="Times New Roman"/>
          <w:b/>
          <w:noProof/>
          <w:sz w:val="28"/>
          <w:lang w:val="tr-TR" w:eastAsia="tr-TR" w:bidi="ar-SA"/>
        </w:rPr>
        <w:drawing>
          <wp:inline distT="0" distB="0" distL="0" distR="0" wp14:anchorId="1B2C0CE9" wp14:editId="03F80E48">
            <wp:extent cx="2363637" cy="1220373"/>
            <wp:effectExtent l="0" t="0" r="0" b="0"/>
            <wp:docPr id="619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sim 39"/>
                    <pic:cNvPicPr>
                      <a:picLocks noChangeAspect="1"/>
                    </pic:cNvPicPr>
                  </pic:nvPicPr>
                  <pic:blipFill>
                    <a:blip r:embed="rId125"/>
                    <a:stretch>
                      <a:fillRect/>
                    </a:stretch>
                  </pic:blipFill>
                  <pic:spPr>
                    <a:xfrm>
                      <a:off x="0" y="0"/>
                      <a:ext cx="2402137" cy="1240251"/>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26848" behindDoc="0" locked="0" layoutInCell="1" allowOverlap="1" wp14:anchorId="5E488625" wp14:editId="1F4F16CE">
                <wp:simplePos x="0" y="0"/>
                <wp:positionH relativeFrom="column">
                  <wp:posOffset>2905246</wp:posOffset>
                </wp:positionH>
                <wp:positionV relativeFrom="paragraph">
                  <wp:posOffset>772835</wp:posOffset>
                </wp:positionV>
                <wp:extent cx="1284789" cy="266217"/>
                <wp:effectExtent l="0" t="0" r="10795" b="13335"/>
                <wp:wrapNone/>
                <wp:docPr id="187" name="Text Box 176"/>
                <wp:cNvGraphicFramePr/>
                <a:graphic xmlns:a="http://schemas.openxmlformats.org/drawingml/2006/main">
                  <a:graphicData uri="http://schemas.microsoft.com/office/word/2010/wordprocessingShape">
                    <wps:wsp>
                      <wps:cNvSpPr txBox="1"/>
                      <wps:spPr>
                        <a:xfrm>
                          <a:off x="0" y="0"/>
                          <a:ext cx="1284789" cy="266217"/>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XXXVI: Pyrene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88625" id="Text Box 176" o:spid="_x0000_s1073" type="#_x0000_t202" style="position:absolute;margin-left:228.75pt;margin-top:60.85pt;width:101.15pt;height:20.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XXXVI: Pyrene</w:t>
                      </w:r>
                    </w:p>
                  </w:txbxContent>
                </v:textbox>
              </v:shape>
            </w:pict>
          </mc:Fallback>
        </mc:AlternateContent>
      </w:r>
      <w:r w:rsidRPr="00DE01AB">
        <w:rPr>
          <w:rFonts w:ascii="Times New Roman" w:hAnsi="Times New Roman"/>
          <w:b/>
          <w:noProof/>
          <w:sz w:val="28"/>
          <w:lang w:val="tr-TR" w:eastAsia="tr-TR" w:bidi="ar-SA"/>
        </w:rPr>
        <w:drawing>
          <wp:inline distT="0" distB="0" distL="0" distR="0" wp14:anchorId="382A9CC0" wp14:editId="55CC4944">
            <wp:extent cx="2161884" cy="1500997"/>
            <wp:effectExtent l="0" t="0" r="0" b="4445"/>
            <wp:docPr id="620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esim 30"/>
                    <pic:cNvPicPr>
                      <a:picLocks noChangeAspect="1"/>
                    </pic:cNvPicPr>
                  </pic:nvPicPr>
                  <pic:blipFill>
                    <a:blip r:embed="rId126"/>
                    <a:stretch>
                      <a:fillRect/>
                    </a:stretch>
                  </pic:blipFill>
                  <pic:spPr>
                    <a:xfrm>
                      <a:off x="0" y="0"/>
                      <a:ext cx="2178201" cy="1512326"/>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27872" behindDoc="0" locked="0" layoutInCell="1" allowOverlap="1" wp14:anchorId="1923958A" wp14:editId="052C8ED3">
                <wp:simplePos x="0" y="0"/>
                <wp:positionH relativeFrom="column">
                  <wp:posOffset>2887789</wp:posOffset>
                </wp:positionH>
                <wp:positionV relativeFrom="paragraph">
                  <wp:posOffset>351670</wp:posOffset>
                </wp:positionV>
                <wp:extent cx="1655179" cy="324091"/>
                <wp:effectExtent l="0" t="0" r="8890" b="19050"/>
                <wp:wrapNone/>
                <wp:docPr id="188" name="Text Box 178"/>
                <wp:cNvGraphicFramePr/>
                <a:graphic xmlns:a="http://schemas.openxmlformats.org/drawingml/2006/main">
                  <a:graphicData uri="http://schemas.microsoft.com/office/word/2010/wordprocessingShape">
                    <wps:wsp>
                      <wps:cNvSpPr txBox="1"/>
                      <wps:spPr>
                        <a:xfrm>
                          <a:off x="0" y="0"/>
                          <a:ext cx="1655179" cy="324091"/>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XXXVII: Fluoranthene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3958A" id="Text Box 178" o:spid="_x0000_s1074" type="#_x0000_t202" style="position:absolute;margin-left:227.4pt;margin-top:27.7pt;width:130.35pt;height:2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XXXVII: Fluoranthene</w:t>
                      </w:r>
                    </w:p>
                  </w:txbxContent>
                </v:textbox>
              </v:shape>
            </w:pict>
          </mc:Fallback>
        </mc:AlternateContent>
      </w:r>
      <w:r w:rsidRPr="00DE01AB">
        <w:rPr>
          <w:rFonts w:ascii="Times New Roman" w:hAnsi="Times New Roman"/>
          <w:b/>
          <w:noProof/>
          <w:sz w:val="28"/>
          <w:lang w:val="tr-TR" w:eastAsia="tr-TR" w:bidi="ar-SA"/>
        </w:rPr>
        <w:drawing>
          <wp:inline distT="0" distB="0" distL="0" distR="0" wp14:anchorId="196FF744" wp14:editId="776DB189">
            <wp:extent cx="2079522" cy="1431985"/>
            <wp:effectExtent l="0" t="0" r="0" b="0"/>
            <wp:docPr id="61"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Resim 60"/>
                    <pic:cNvPicPr>
                      <a:picLocks noChangeAspect="1"/>
                    </pic:cNvPicPr>
                  </pic:nvPicPr>
                  <pic:blipFill>
                    <a:blip r:embed="rId127"/>
                    <a:stretch>
                      <a:fillRect/>
                    </a:stretch>
                  </pic:blipFill>
                  <pic:spPr>
                    <a:xfrm>
                      <a:off x="0" y="0"/>
                      <a:ext cx="2109346" cy="1452522"/>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w:lastRenderedPageBreak/>
        <mc:AlternateContent>
          <mc:Choice Requires="wps">
            <w:drawing>
              <wp:anchor distT="0" distB="0" distL="114300" distR="114300" simplePos="0" relativeHeight="251728896" behindDoc="0" locked="0" layoutInCell="1" allowOverlap="1" wp14:anchorId="4640B9B3" wp14:editId="3C20D547">
                <wp:simplePos x="0" y="0"/>
                <wp:positionH relativeFrom="column">
                  <wp:posOffset>2912134</wp:posOffset>
                </wp:positionH>
                <wp:positionV relativeFrom="paragraph">
                  <wp:posOffset>318327</wp:posOffset>
                </wp:positionV>
                <wp:extent cx="2025570" cy="324091"/>
                <wp:effectExtent l="0" t="0" r="6985" b="19050"/>
                <wp:wrapNone/>
                <wp:docPr id="189" name="Text Box 180"/>
                <wp:cNvGraphicFramePr/>
                <a:graphic xmlns:a="http://schemas.openxmlformats.org/drawingml/2006/main">
                  <a:graphicData uri="http://schemas.microsoft.com/office/word/2010/wordprocessingShape">
                    <wps:wsp>
                      <wps:cNvSpPr txBox="1"/>
                      <wps:spPr>
                        <a:xfrm>
                          <a:off x="0" y="0"/>
                          <a:ext cx="2025570" cy="324091"/>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XXXVIIIa: Benzo(a)pyrene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0B9B3" id="Text Box 180" o:spid="_x0000_s1075" type="#_x0000_t202" style="position:absolute;margin-left:229.3pt;margin-top:25.05pt;width:159.5pt;height:2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XXXVIIIa: Benzo(a)pyrene</w:t>
                      </w:r>
                    </w:p>
                  </w:txbxContent>
                </v:textbox>
              </v:shape>
            </w:pict>
          </mc:Fallback>
        </mc:AlternateContent>
      </w:r>
      <w:r w:rsidRPr="00CA2DE0">
        <w:rPr>
          <w:rFonts w:ascii="Times New Roman" w:hAnsi="Times New Roman"/>
          <w:b/>
          <w:noProof/>
          <w:sz w:val="28"/>
          <w:lang w:val="tr-TR" w:eastAsia="tr-TR" w:bidi="ar-SA"/>
        </w:rPr>
        <w:drawing>
          <wp:inline distT="0" distB="0" distL="0" distR="0" wp14:anchorId="52A2E90C" wp14:editId="4ED34C8C">
            <wp:extent cx="2199735" cy="1333569"/>
            <wp:effectExtent l="0" t="0" r="0" b="0"/>
            <wp:docPr id="6201"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esim 52"/>
                    <pic:cNvPicPr>
                      <a:picLocks noChangeAspect="1"/>
                    </pic:cNvPicPr>
                  </pic:nvPicPr>
                  <pic:blipFill>
                    <a:blip r:embed="rId128"/>
                    <a:stretch>
                      <a:fillRect/>
                    </a:stretch>
                  </pic:blipFill>
                  <pic:spPr>
                    <a:xfrm>
                      <a:off x="0" y="0"/>
                      <a:ext cx="2257868" cy="1368812"/>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29920" behindDoc="0" locked="0" layoutInCell="1" allowOverlap="1" wp14:anchorId="1B2C72E0" wp14:editId="133FB0F4">
                <wp:simplePos x="0" y="0"/>
                <wp:positionH relativeFrom="column">
                  <wp:posOffset>2948341</wp:posOffset>
                </wp:positionH>
                <wp:positionV relativeFrom="paragraph">
                  <wp:posOffset>497157</wp:posOffset>
                </wp:positionV>
                <wp:extent cx="2025570" cy="324091"/>
                <wp:effectExtent l="0" t="0" r="6985" b="19050"/>
                <wp:wrapNone/>
                <wp:docPr id="190" name="Text Box 182"/>
                <wp:cNvGraphicFramePr/>
                <a:graphic xmlns:a="http://schemas.openxmlformats.org/drawingml/2006/main">
                  <a:graphicData uri="http://schemas.microsoft.com/office/word/2010/wordprocessingShape">
                    <wps:wsp>
                      <wps:cNvSpPr txBox="1"/>
                      <wps:spPr>
                        <a:xfrm>
                          <a:off x="0" y="0"/>
                          <a:ext cx="2025570" cy="324091"/>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XXXVIIIb: Benzo(e)pyrene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C72E0" id="Text Box 182" o:spid="_x0000_s1076" type="#_x0000_t202" style="position:absolute;margin-left:232.15pt;margin-top:39.15pt;width:159.5pt;height: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XXXVIIIb: Benzo(e)pyrene</w:t>
                      </w:r>
                    </w:p>
                  </w:txbxContent>
                </v:textbox>
              </v:shape>
            </w:pict>
          </mc:Fallback>
        </mc:AlternateContent>
      </w:r>
      <w:r w:rsidRPr="00CA2DE0">
        <w:rPr>
          <w:rFonts w:ascii="Times New Roman" w:hAnsi="Times New Roman"/>
          <w:b/>
          <w:noProof/>
          <w:sz w:val="28"/>
          <w:lang w:val="tr-TR" w:eastAsia="tr-TR" w:bidi="ar-SA"/>
        </w:rPr>
        <w:drawing>
          <wp:inline distT="0" distB="0" distL="0" distR="0" wp14:anchorId="0D742F40" wp14:editId="3D455CFA">
            <wp:extent cx="1498435" cy="1802466"/>
            <wp:effectExtent l="0" t="0" r="6985" b="7620"/>
            <wp:docPr id="69"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Resim 68"/>
                    <pic:cNvPicPr>
                      <a:picLocks noChangeAspect="1"/>
                    </pic:cNvPicPr>
                  </pic:nvPicPr>
                  <pic:blipFill>
                    <a:blip r:embed="rId129"/>
                    <a:stretch>
                      <a:fillRect/>
                    </a:stretch>
                  </pic:blipFill>
                  <pic:spPr>
                    <a:xfrm>
                      <a:off x="0" y="0"/>
                      <a:ext cx="1517040" cy="1824846"/>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30944" behindDoc="0" locked="0" layoutInCell="1" allowOverlap="1" wp14:anchorId="290CBB8A" wp14:editId="68835301">
                <wp:simplePos x="0" y="0"/>
                <wp:positionH relativeFrom="column">
                  <wp:posOffset>3086375</wp:posOffset>
                </wp:positionH>
                <wp:positionV relativeFrom="paragraph">
                  <wp:posOffset>433285</wp:posOffset>
                </wp:positionV>
                <wp:extent cx="2187060" cy="324091"/>
                <wp:effectExtent l="0" t="0" r="10160" b="19050"/>
                <wp:wrapNone/>
                <wp:docPr id="191" name="Text Box 184"/>
                <wp:cNvGraphicFramePr/>
                <a:graphic xmlns:a="http://schemas.openxmlformats.org/drawingml/2006/main">
                  <a:graphicData uri="http://schemas.microsoft.com/office/word/2010/wordprocessingShape">
                    <wps:wsp>
                      <wps:cNvSpPr txBox="1"/>
                      <wps:spPr>
                        <a:xfrm>
                          <a:off x="0" y="0"/>
                          <a:ext cx="2187060" cy="324091"/>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XXXIXa: Benzo(b)fluoranthene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CBB8A" id="Text Box 184" o:spid="_x0000_s1077" type="#_x0000_t202" style="position:absolute;margin-left:243pt;margin-top:34.1pt;width:172.2pt;height:2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XXXIXa: Benzo(b)fluoranthene</w:t>
                      </w:r>
                    </w:p>
                  </w:txbxContent>
                </v:textbox>
              </v:shape>
            </w:pict>
          </mc:Fallback>
        </mc:AlternateContent>
      </w:r>
      <w:r w:rsidRPr="00CA2DE0">
        <w:rPr>
          <w:rFonts w:ascii="Times New Roman" w:hAnsi="Times New Roman"/>
          <w:b/>
          <w:noProof/>
          <w:sz w:val="28"/>
          <w:lang w:val="tr-TR" w:eastAsia="tr-TR" w:bidi="ar-SA"/>
        </w:rPr>
        <w:drawing>
          <wp:inline distT="0" distB="0" distL="0" distR="0" wp14:anchorId="11143E35" wp14:editId="50A33FDC">
            <wp:extent cx="2398143" cy="1280683"/>
            <wp:effectExtent l="0" t="0" r="2540" b="0"/>
            <wp:docPr id="142" name="Resi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Resim 141"/>
                    <pic:cNvPicPr>
                      <a:picLocks noChangeAspect="1"/>
                    </pic:cNvPicPr>
                  </pic:nvPicPr>
                  <pic:blipFill>
                    <a:blip r:embed="rId130"/>
                    <a:stretch>
                      <a:fillRect/>
                    </a:stretch>
                  </pic:blipFill>
                  <pic:spPr>
                    <a:xfrm>
                      <a:off x="0" y="0"/>
                      <a:ext cx="2420863" cy="1292816"/>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31968" behindDoc="0" locked="0" layoutInCell="1" allowOverlap="1" wp14:anchorId="21D5B523" wp14:editId="1E92CDDE">
                <wp:simplePos x="0" y="0"/>
                <wp:positionH relativeFrom="column">
                  <wp:posOffset>3010643</wp:posOffset>
                </wp:positionH>
                <wp:positionV relativeFrom="paragraph">
                  <wp:posOffset>798962</wp:posOffset>
                </wp:positionV>
                <wp:extent cx="2187060" cy="324091"/>
                <wp:effectExtent l="0" t="0" r="10160" b="19050"/>
                <wp:wrapNone/>
                <wp:docPr id="192" name="Text Box 186"/>
                <wp:cNvGraphicFramePr/>
                <a:graphic xmlns:a="http://schemas.openxmlformats.org/drawingml/2006/main">
                  <a:graphicData uri="http://schemas.microsoft.com/office/word/2010/wordprocessingShape">
                    <wps:wsp>
                      <wps:cNvSpPr txBox="1"/>
                      <wps:spPr>
                        <a:xfrm>
                          <a:off x="0" y="0"/>
                          <a:ext cx="2187060" cy="324091"/>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XXXIXb: Benzo(j)fluoranthene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5B523" id="Text Box 186" o:spid="_x0000_s1078" type="#_x0000_t202" style="position:absolute;margin-left:237.05pt;margin-top:62.9pt;width:172.2pt;height:2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XXXIXb: Benzo(j)fluoranthene</w:t>
                      </w:r>
                    </w:p>
                  </w:txbxContent>
                </v:textbox>
              </v:shape>
            </w:pict>
          </mc:Fallback>
        </mc:AlternateContent>
      </w:r>
      <w:r w:rsidRPr="00CA2DE0">
        <w:rPr>
          <w:rFonts w:ascii="Times New Roman" w:hAnsi="Times New Roman"/>
          <w:b/>
          <w:noProof/>
          <w:sz w:val="28"/>
          <w:lang w:val="tr-TR" w:eastAsia="tr-TR" w:bidi="ar-SA"/>
        </w:rPr>
        <w:drawing>
          <wp:inline distT="0" distB="0" distL="0" distR="0" wp14:anchorId="00F08270" wp14:editId="25C8AC6D">
            <wp:extent cx="1595886" cy="2032620"/>
            <wp:effectExtent l="0" t="0" r="4445" b="6350"/>
            <wp:docPr id="6202" name="Resi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Resim 158"/>
                    <pic:cNvPicPr>
                      <a:picLocks noChangeAspect="1"/>
                    </pic:cNvPicPr>
                  </pic:nvPicPr>
                  <pic:blipFill>
                    <a:blip r:embed="rId131"/>
                    <a:stretch>
                      <a:fillRect/>
                    </a:stretch>
                  </pic:blipFill>
                  <pic:spPr>
                    <a:xfrm>
                      <a:off x="0" y="0"/>
                      <a:ext cx="1615263" cy="2057300"/>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w:lastRenderedPageBreak/>
        <mc:AlternateContent>
          <mc:Choice Requires="wps">
            <w:drawing>
              <wp:anchor distT="0" distB="0" distL="114300" distR="114300" simplePos="0" relativeHeight="251732992" behindDoc="0" locked="0" layoutInCell="1" allowOverlap="1" wp14:anchorId="1E8B8BBF" wp14:editId="6A7CDB90">
                <wp:simplePos x="0" y="0"/>
                <wp:positionH relativeFrom="column">
                  <wp:posOffset>3009181</wp:posOffset>
                </wp:positionH>
                <wp:positionV relativeFrom="paragraph">
                  <wp:posOffset>6745</wp:posOffset>
                </wp:positionV>
                <wp:extent cx="2187060" cy="324091"/>
                <wp:effectExtent l="0" t="0" r="10160" b="19050"/>
                <wp:wrapNone/>
                <wp:docPr id="193" name="Text Box 188"/>
                <wp:cNvGraphicFramePr/>
                <a:graphic xmlns:a="http://schemas.openxmlformats.org/drawingml/2006/main">
                  <a:graphicData uri="http://schemas.microsoft.com/office/word/2010/wordprocessingShape">
                    <wps:wsp>
                      <wps:cNvSpPr txBox="1"/>
                      <wps:spPr>
                        <a:xfrm>
                          <a:off x="0" y="0"/>
                          <a:ext cx="2187060" cy="324091"/>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XXXIXc: Benzo(k)fluoranthene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B8BBF" id="Text Box 188" o:spid="_x0000_s1079" type="#_x0000_t202" style="position:absolute;margin-left:236.95pt;margin-top:.55pt;width:172.2pt;height:2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" fillcolor="white [3201]" strokeweight=".5pt">
                <v:textbox>
                  <w:txbxContent>
                    <w:p w:rsidR="008875B3" w:rsidRPr="001A6CD4" w:rsidRDefault="008875B3" w:rsidP="00C87CE1">
                      <w:pPr>
                        <w:rPr>
                          <w:rFonts w:ascii="Times New Roman" w:hAnsi="Times New Roman"/>
                        </w:rPr>
                      </w:pPr>
                      <w:r>
                        <w:rPr>
                          <w:rFonts w:ascii="Times New Roman" w:hAnsi="Times New Roman"/>
                        </w:rPr>
                        <w:t>XXXIXc: Benzo(k)fluoranthene</w:t>
                      </w:r>
                    </w:p>
                  </w:txbxContent>
                </v:textbox>
              </v:shape>
            </w:pict>
          </mc:Fallback>
        </mc:AlternateContent>
      </w:r>
      <w:r w:rsidRPr="00CA2DE0">
        <w:rPr>
          <w:rFonts w:ascii="Times New Roman" w:hAnsi="Times New Roman"/>
          <w:b/>
          <w:noProof/>
          <w:sz w:val="28"/>
          <w:lang w:val="tr-TR" w:eastAsia="tr-TR" w:bidi="ar-SA"/>
        </w:rPr>
        <w:drawing>
          <wp:inline distT="0" distB="0" distL="0" distR="0" wp14:anchorId="53001C35" wp14:editId="46470D32">
            <wp:extent cx="2527650" cy="1354347"/>
            <wp:effectExtent l="0" t="0" r="6350" b="0"/>
            <wp:docPr id="6203" name="Resi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Resim 175"/>
                    <pic:cNvPicPr>
                      <a:picLocks noChangeAspect="1"/>
                    </pic:cNvPicPr>
                  </pic:nvPicPr>
                  <pic:blipFill>
                    <a:blip r:embed="rId132"/>
                    <a:stretch>
                      <a:fillRect/>
                    </a:stretch>
                  </pic:blipFill>
                  <pic:spPr>
                    <a:xfrm>
                      <a:off x="0" y="0"/>
                      <a:ext cx="2557894" cy="1370552"/>
                    </a:xfrm>
                    <a:prstGeom prst="rect">
                      <a:avLst/>
                    </a:prstGeom>
                  </pic:spPr>
                </pic:pic>
              </a:graphicData>
            </a:graphic>
          </wp:inline>
        </w:drawing>
      </w: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34016" behindDoc="0" locked="0" layoutInCell="1" allowOverlap="1" wp14:anchorId="2ED21F3E" wp14:editId="4E054C76">
                <wp:simplePos x="0" y="0"/>
                <wp:positionH relativeFrom="column">
                  <wp:posOffset>3025164</wp:posOffset>
                </wp:positionH>
                <wp:positionV relativeFrom="paragraph">
                  <wp:posOffset>712566</wp:posOffset>
                </wp:positionV>
                <wp:extent cx="1736203" cy="254643"/>
                <wp:effectExtent l="0" t="0" r="16510" b="12065"/>
                <wp:wrapNone/>
                <wp:docPr id="194" name="Text Box 190"/>
                <wp:cNvGraphicFramePr/>
                <a:graphic xmlns:a="http://schemas.openxmlformats.org/drawingml/2006/main">
                  <a:graphicData uri="http://schemas.microsoft.com/office/word/2010/wordprocessingShape">
                    <wps:wsp>
                      <wps:cNvSpPr txBox="1"/>
                      <wps:spPr>
                        <a:xfrm>
                          <a:off x="0" y="0"/>
                          <a:ext cx="1736203" cy="254643"/>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XL: Benzoanthracene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21F3E" id="Text Box 190" o:spid="_x0000_s1080" type="#_x0000_t202" style="position:absolute;margin-left:238.2pt;margin-top:56.1pt;width:136.7pt;height:20.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" fillcolor="white [3201]" strokeweight=".5pt">
                <v:textbox>
                  <w:txbxContent>
                    <w:p w:rsidR="008875B3" w:rsidRPr="001A6CD4" w:rsidRDefault="008875B3" w:rsidP="00C87CE1">
                      <w:pPr>
                        <w:rPr>
                          <w:rFonts w:ascii="Times New Roman" w:hAnsi="Times New Roman"/>
                        </w:rPr>
                      </w:pPr>
                      <w:r>
                        <w:rPr>
                          <w:rFonts w:ascii="Times New Roman" w:hAnsi="Times New Roman"/>
                        </w:rPr>
                        <w:t>XL: Benzoanthracene</w:t>
                      </w:r>
                    </w:p>
                  </w:txbxContent>
                </v:textbox>
              </v:shape>
            </w:pict>
          </mc:Fallback>
        </mc:AlternateContent>
      </w:r>
      <w:r w:rsidRPr="00CA2DE0">
        <w:rPr>
          <w:rFonts w:ascii="Times New Roman" w:hAnsi="Times New Roman"/>
          <w:b/>
          <w:noProof/>
          <w:sz w:val="28"/>
          <w:lang w:val="tr-TR" w:eastAsia="tr-TR" w:bidi="ar-SA"/>
        </w:rPr>
        <w:drawing>
          <wp:inline distT="0" distB="0" distL="0" distR="0" wp14:anchorId="3C533AE3" wp14:editId="6006DF25">
            <wp:extent cx="2330147" cy="1414732"/>
            <wp:effectExtent l="0" t="0" r="0" b="0"/>
            <wp:docPr id="6204"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esim 30"/>
                    <pic:cNvPicPr>
                      <a:picLocks noChangeAspect="1"/>
                    </pic:cNvPicPr>
                  </pic:nvPicPr>
                  <pic:blipFill>
                    <a:blip r:embed="rId133"/>
                    <a:stretch>
                      <a:fillRect/>
                    </a:stretch>
                  </pic:blipFill>
                  <pic:spPr>
                    <a:xfrm>
                      <a:off x="0" y="0"/>
                      <a:ext cx="2342003" cy="1421930"/>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35040" behindDoc="0" locked="0" layoutInCell="1" allowOverlap="1" wp14:anchorId="02AB6FA1" wp14:editId="05E61728">
                <wp:simplePos x="0" y="0"/>
                <wp:positionH relativeFrom="column">
                  <wp:posOffset>3099159</wp:posOffset>
                </wp:positionH>
                <wp:positionV relativeFrom="paragraph">
                  <wp:posOffset>782619</wp:posOffset>
                </wp:positionV>
                <wp:extent cx="1423686" cy="254643"/>
                <wp:effectExtent l="0" t="0" r="11430" b="12065"/>
                <wp:wrapNone/>
                <wp:docPr id="197" name="Text Box 192"/>
                <wp:cNvGraphicFramePr/>
                <a:graphic xmlns:a="http://schemas.openxmlformats.org/drawingml/2006/main">
                  <a:graphicData uri="http://schemas.microsoft.com/office/word/2010/wordprocessingShape">
                    <wps:wsp>
                      <wps:cNvSpPr txBox="1"/>
                      <wps:spPr>
                        <a:xfrm>
                          <a:off x="0" y="0"/>
                          <a:ext cx="1423686" cy="254643"/>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XLI: Triphenylene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B6FA1" id="Text Box 192" o:spid="_x0000_s1081" type="#_x0000_t202" style="position:absolute;margin-left:244.05pt;margin-top:61.6pt;width:112.1pt;height:20.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" fillcolor="white [3201]" strokeweight=".5pt">
                <v:textbox>
                  <w:txbxContent>
                    <w:p w:rsidR="008875B3" w:rsidRPr="001A6CD4" w:rsidRDefault="008875B3" w:rsidP="00C87CE1">
                      <w:pPr>
                        <w:rPr>
                          <w:rFonts w:ascii="Times New Roman" w:hAnsi="Times New Roman"/>
                        </w:rPr>
                      </w:pPr>
                      <w:r>
                        <w:rPr>
                          <w:rFonts w:ascii="Times New Roman" w:hAnsi="Times New Roman"/>
                        </w:rPr>
                        <w:t>XLI: Triphenylene</w:t>
                      </w:r>
                    </w:p>
                  </w:txbxContent>
                </v:textbox>
              </v:shape>
            </w:pict>
          </mc:Fallback>
        </mc:AlternateContent>
      </w:r>
      <w:r w:rsidRPr="00CA2DE0">
        <w:rPr>
          <w:rFonts w:ascii="Times New Roman" w:hAnsi="Times New Roman"/>
          <w:b/>
          <w:noProof/>
          <w:sz w:val="28"/>
          <w:lang w:val="tr-TR" w:eastAsia="tr-TR" w:bidi="ar-SA"/>
        </w:rPr>
        <w:drawing>
          <wp:inline distT="0" distB="0" distL="0" distR="0" wp14:anchorId="67131EB1" wp14:editId="638D4FDF">
            <wp:extent cx="1652256" cy="1984075"/>
            <wp:effectExtent l="0" t="0" r="5715" b="0"/>
            <wp:docPr id="6217"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esim 29"/>
                    <pic:cNvPicPr>
                      <a:picLocks noChangeAspect="1"/>
                    </pic:cNvPicPr>
                  </pic:nvPicPr>
                  <pic:blipFill>
                    <a:blip r:embed="rId134"/>
                    <a:stretch>
                      <a:fillRect/>
                    </a:stretch>
                  </pic:blipFill>
                  <pic:spPr>
                    <a:xfrm>
                      <a:off x="0" y="0"/>
                      <a:ext cx="1660503" cy="1993978"/>
                    </a:xfrm>
                    <a:prstGeom prst="rect">
                      <a:avLst/>
                    </a:prstGeom>
                  </pic:spPr>
                </pic:pic>
              </a:graphicData>
            </a:graphic>
          </wp:inline>
        </w:drawing>
      </w:r>
    </w:p>
    <w:p w:rsidR="00C87CE1" w:rsidRDefault="00C87CE1" w:rsidP="00C87CE1">
      <w:pPr>
        <w:rPr>
          <w:rFonts w:ascii="Times New Roman" w:hAnsi="Times New Roman"/>
          <w:b/>
          <w:sz w:val="28"/>
        </w:rPr>
      </w:pPr>
    </w:p>
    <w:p w:rsidR="00C87CE1" w:rsidRDefault="00C87CE1" w:rsidP="00C87CE1">
      <w:pPr>
        <w:rPr>
          <w:rFonts w:ascii="Times New Roman" w:hAnsi="Times New Roman"/>
          <w:b/>
          <w:sz w:val="28"/>
        </w:rPr>
      </w:pPr>
      <w:r>
        <w:rPr>
          <w:noProof/>
          <w:lang w:val="tr-TR" w:eastAsia="tr-TR" w:bidi="ar-SA"/>
        </w:rPr>
        <mc:AlternateContent>
          <mc:Choice Requires="wps">
            <w:drawing>
              <wp:anchor distT="0" distB="0" distL="114300" distR="114300" simplePos="0" relativeHeight="251736064" behindDoc="0" locked="0" layoutInCell="1" allowOverlap="1" wp14:anchorId="3F3DF7ED" wp14:editId="475D17BD">
                <wp:simplePos x="0" y="0"/>
                <wp:positionH relativeFrom="column">
                  <wp:posOffset>2905246</wp:posOffset>
                </wp:positionH>
                <wp:positionV relativeFrom="paragraph">
                  <wp:posOffset>270092</wp:posOffset>
                </wp:positionV>
                <wp:extent cx="1180617" cy="254643"/>
                <wp:effectExtent l="0" t="0" r="13335" b="12065"/>
                <wp:wrapNone/>
                <wp:docPr id="198" name="Text Box 194"/>
                <wp:cNvGraphicFramePr/>
                <a:graphic xmlns:a="http://schemas.openxmlformats.org/drawingml/2006/main">
                  <a:graphicData uri="http://schemas.microsoft.com/office/word/2010/wordprocessingShape">
                    <wps:wsp>
                      <wps:cNvSpPr txBox="1"/>
                      <wps:spPr>
                        <a:xfrm>
                          <a:off x="0" y="0"/>
                          <a:ext cx="1180617" cy="254643"/>
                        </a:xfrm>
                        <a:prstGeom prst="rect">
                          <a:avLst/>
                        </a:prstGeom>
                        <a:solidFill>
                          <a:schemeClr val="lt1"/>
                        </a:solidFill>
                        <a:ln w="6350">
                          <a:solidFill>
                            <a:prstClr val="black"/>
                          </a:solidFill>
                        </a:ln>
                      </wps:spPr>
                      <wps:txbx>
                        <w:txbxContent>
                          <w:p w:rsidR="008875B3" w:rsidRPr="001A6CD4" w:rsidRDefault="008875B3" w:rsidP="00C87CE1">
                            <w:pPr>
                              <w:rPr>
                                <w:rFonts w:ascii="Times New Roman" w:hAnsi="Times New Roman"/>
                              </w:rPr>
                            </w:pPr>
                            <w:r>
                              <w:rPr>
                                <w:rFonts w:ascii="Times New Roman" w:hAnsi="Times New Roman"/>
                              </w:rPr>
                              <w:t>XLII: Chrysene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DF7ED" id="Text Box 194" o:spid="_x0000_s1082" type="#_x0000_t202" style="position:absolute;margin-left:228.75pt;margin-top:21.25pt;width:92.95pt;height:20.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" fillcolor="white [3201]" strokeweight=".5pt">
                <v:textbox>
                  <w:txbxContent>
                    <w:p w:rsidR="008875B3" w:rsidRPr="001A6CD4" w:rsidRDefault="008875B3" w:rsidP="00C87CE1">
                      <w:pPr>
                        <w:rPr>
                          <w:rFonts w:ascii="Times New Roman" w:hAnsi="Times New Roman"/>
                        </w:rPr>
                      </w:pPr>
                      <w:r>
                        <w:rPr>
                          <w:rFonts w:ascii="Times New Roman" w:hAnsi="Times New Roman"/>
                        </w:rPr>
                        <w:t>XLII: Chrysene</w:t>
                      </w:r>
                    </w:p>
                  </w:txbxContent>
                </v:textbox>
              </v:shape>
            </w:pict>
          </mc:Fallback>
        </mc:AlternateContent>
      </w:r>
      <w:r w:rsidRPr="00CA2DE0">
        <w:rPr>
          <w:rFonts w:ascii="Times New Roman" w:hAnsi="Times New Roman"/>
          <w:b/>
          <w:noProof/>
          <w:sz w:val="28"/>
          <w:lang w:val="tr-TR" w:eastAsia="tr-TR" w:bidi="ar-SA"/>
        </w:rPr>
        <w:drawing>
          <wp:inline distT="0" distB="0" distL="0" distR="0" wp14:anchorId="596482ED" wp14:editId="7FFFB30F">
            <wp:extent cx="2188065" cy="1328468"/>
            <wp:effectExtent l="0" t="0" r="3175" b="5080"/>
            <wp:docPr id="6218"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esim 29"/>
                    <pic:cNvPicPr>
                      <a:picLocks noChangeAspect="1"/>
                    </pic:cNvPicPr>
                  </pic:nvPicPr>
                  <pic:blipFill>
                    <a:blip r:embed="rId135"/>
                    <a:stretch>
                      <a:fillRect/>
                    </a:stretch>
                  </pic:blipFill>
                  <pic:spPr>
                    <a:xfrm>
                      <a:off x="0" y="0"/>
                      <a:ext cx="2205088" cy="1338803"/>
                    </a:xfrm>
                    <a:prstGeom prst="rect">
                      <a:avLst/>
                    </a:prstGeom>
                  </pic:spPr>
                </pic:pic>
              </a:graphicData>
            </a:graphic>
          </wp:inline>
        </w:drawing>
      </w:r>
    </w:p>
    <w:bookmarkEnd w:id="8"/>
    <w:p w:rsidR="00F940E7" w:rsidRDefault="00F940E7" w:rsidP="00F940E7">
      <w:pPr>
        <w:autoSpaceDE w:val="0"/>
        <w:autoSpaceDN w:val="0"/>
        <w:adjustRightInd w:val="0"/>
        <w:spacing w:line="240" w:lineRule="auto"/>
        <w:rPr>
          <w:rFonts w:ascii="NimbusRomNo9L-Regu" w:hAnsi="NimbusRomNo9L-Regu" w:cs="NimbusRomNo9L-Regu"/>
          <w:lang w:val="tr-TR" w:bidi="ar-SA"/>
        </w:rPr>
      </w:pPr>
    </w:p>
    <w:p w:rsidR="005431B2" w:rsidRDefault="005431B2" w:rsidP="00F940E7">
      <w:pPr>
        <w:autoSpaceDE w:val="0"/>
        <w:autoSpaceDN w:val="0"/>
        <w:adjustRightInd w:val="0"/>
        <w:spacing w:line="240" w:lineRule="auto"/>
        <w:rPr>
          <w:rFonts w:ascii="NimbusRomNo9L-Regu" w:hAnsi="NimbusRomNo9L-Regu" w:cs="NimbusRomNo9L-Regu"/>
          <w:lang w:val="tr-TR" w:bidi="ar-SA"/>
        </w:rPr>
      </w:pPr>
    </w:p>
    <w:p w:rsidR="005431B2" w:rsidRPr="00443370" w:rsidRDefault="005431B2" w:rsidP="005431B2">
      <w:pPr>
        <w:pStyle w:val="Balk1"/>
        <w:rPr>
          <w:lang w:bidi="ar-SA"/>
        </w:rPr>
      </w:pPr>
      <w:bookmarkStart w:id="157" w:name="_Toc507506669"/>
      <w:r w:rsidRPr="00443370">
        <w:rPr>
          <w:lang w:bidi="ar-SA"/>
        </w:rPr>
        <w:lastRenderedPageBreak/>
        <w:t>Appendix B</w:t>
      </w:r>
      <w:r w:rsidR="00B23625" w:rsidRPr="00443370">
        <w:rPr>
          <w:lang w:bidi="ar-SA"/>
        </w:rPr>
        <w:t xml:space="preserve">: </w:t>
      </w:r>
      <w:r w:rsidR="00443370" w:rsidRPr="00443370">
        <w:rPr>
          <w:lang w:bidi="ar-SA"/>
        </w:rPr>
        <w:t xml:space="preserve">Selected </w:t>
      </w:r>
      <w:r w:rsidR="00B23625" w:rsidRPr="00443370">
        <w:rPr>
          <w:lang w:bidi="ar-SA"/>
        </w:rPr>
        <w:t>Gas Chromatography Results</w:t>
      </w:r>
      <w:bookmarkEnd w:id="157"/>
    </w:p>
    <w:p w:rsidR="00007D3B" w:rsidRDefault="00007D3B" w:rsidP="00007D3B">
      <w:pPr>
        <w:jc w:val="center"/>
        <w:rPr>
          <w:rFonts w:ascii="Times New Roman" w:hAnsi="Times New Roman"/>
          <w:b/>
          <w:sz w:val="28"/>
          <w:szCs w:val="28"/>
        </w:rPr>
      </w:pPr>
      <w:r>
        <w:rPr>
          <w:rFonts w:ascii="Times New Roman" w:hAnsi="Times New Roman"/>
          <w:b/>
          <w:sz w:val="28"/>
          <w:szCs w:val="28"/>
        </w:rPr>
        <w:t>MOR-68</w:t>
      </w:r>
    </w:p>
    <w:p w:rsidR="00007D3B" w:rsidRDefault="00007D3B" w:rsidP="00007D3B">
      <w:pPr>
        <w:jc w:val="center"/>
        <w:rPr>
          <w:rFonts w:ascii="Times New Roman" w:hAnsi="Times New Roman"/>
          <w:b/>
          <w:noProof/>
          <w:sz w:val="28"/>
          <w:szCs w:val="28"/>
          <w:lang w:val="tr-TR" w:eastAsia="tr-TR"/>
        </w:rPr>
      </w:pPr>
    </w:p>
    <w:p w:rsidR="00007D3B" w:rsidRDefault="00007D3B" w:rsidP="00007D3B">
      <w:pPr>
        <w:jc w:val="center"/>
        <w:rPr>
          <w:rFonts w:ascii="Times New Roman" w:hAnsi="Times New Roman"/>
          <w:b/>
          <w:sz w:val="28"/>
          <w:szCs w:val="28"/>
        </w:rPr>
      </w:pPr>
      <w:r w:rsidRPr="005832CE">
        <w:rPr>
          <w:rFonts w:ascii="Times New Roman" w:hAnsi="Times New Roman"/>
          <w:b/>
          <w:noProof/>
          <w:sz w:val="28"/>
          <w:szCs w:val="28"/>
          <w:lang w:val="tr-TR" w:eastAsia="tr-TR" w:bidi="ar-SA"/>
        </w:rPr>
        <w:drawing>
          <wp:inline distT="0" distB="0" distL="0" distR="0" wp14:anchorId="67D603EA" wp14:editId="18610E96">
            <wp:extent cx="4655260" cy="2711303"/>
            <wp:effectExtent l="0" t="0" r="0" b="0"/>
            <wp:docPr id="20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4"/>
                    <pic:cNvPicPr>
                      <a:picLocks noChangeAspect="1" noChangeArrowheads="1"/>
                    </pic:cNvPicPr>
                  </pic:nvPicPr>
                  <pic:blipFill rotWithShape="1">
                    <a:blip r:embed="rId136">
                      <a:extLst>
                        <a:ext uri="{28A0092B-C50C-407E-A947-70E740481C1C}">
                          <a14:useLocalDpi xmlns:a14="http://schemas.microsoft.com/office/drawing/2010/main" val="0"/>
                        </a:ext>
                      </a:extLst>
                    </a:blip>
                    <a:srcRect l="8810" t="2977" r="1830" b="4272"/>
                    <a:stretch/>
                  </pic:blipFill>
                  <pic:spPr bwMode="auto">
                    <a:xfrm>
                      <a:off x="0" y="0"/>
                      <a:ext cx="4688680" cy="2730768"/>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007D3B" w:rsidRPr="00F22BE3" w:rsidRDefault="00007D3B" w:rsidP="00007D3B">
      <w:pPr>
        <w:jc w:val="center"/>
        <w:rPr>
          <w:rFonts w:ascii="Times New Roman" w:hAnsi="Times New Roman"/>
          <w:b/>
          <w:sz w:val="28"/>
          <w:szCs w:val="28"/>
        </w:rPr>
      </w:pPr>
    </w:p>
    <w:p w:rsidR="00007D3B" w:rsidRDefault="00007D3B" w:rsidP="00007D3B">
      <w:pPr>
        <w:jc w:val="center"/>
        <w:rPr>
          <w:rFonts w:ascii="Times New Roman" w:hAnsi="Times New Roman"/>
          <w:b/>
          <w:sz w:val="28"/>
          <w:szCs w:val="28"/>
        </w:rPr>
      </w:pPr>
      <w:r>
        <w:rPr>
          <w:rFonts w:ascii="Times New Roman" w:hAnsi="Times New Roman"/>
          <w:b/>
          <w:sz w:val="28"/>
          <w:szCs w:val="28"/>
        </w:rPr>
        <w:t>MOR-8</w:t>
      </w:r>
      <w:r w:rsidRPr="00F22BE3">
        <w:rPr>
          <w:rFonts w:ascii="Times New Roman" w:hAnsi="Times New Roman"/>
          <w:b/>
          <w:sz w:val="28"/>
          <w:szCs w:val="28"/>
        </w:rPr>
        <w:t>6</w:t>
      </w:r>
    </w:p>
    <w:p w:rsidR="00007D3B" w:rsidRDefault="00007D3B" w:rsidP="00007D3B">
      <w:pPr>
        <w:jc w:val="center"/>
        <w:rPr>
          <w:rFonts w:ascii="Times New Roman" w:hAnsi="Times New Roman"/>
          <w:b/>
          <w:sz w:val="28"/>
          <w:szCs w:val="28"/>
        </w:rPr>
      </w:pPr>
    </w:p>
    <w:p w:rsidR="00007D3B" w:rsidRDefault="00007D3B" w:rsidP="00007D3B">
      <w:pPr>
        <w:jc w:val="center"/>
        <w:rPr>
          <w:rFonts w:ascii="Times New Roman" w:hAnsi="Times New Roman"/>
          <w:b/>
          <w:noProof/>
          <w:sz w:val="28"/>
          <w:szCs w:val="28"/>
          <w:lang w:val="tr-TR" w:eastAsia="tr-TR"/>
        </w:rPr>
      </w:pPr>
      <w:r w:rsidRPr="005832CE">
        <w:rPr>
          <w:rFonts w:ascii="Times New Roman" w:hAnsi="Times New Roman"/>
          <w:b/>
          <w:noProof/>
          <w:sz w:val="28"/>
          <w:szCs w:val="28"/>
          <w:lang w:val="tr-TR" w:eastAsia="tr-TR" w:bidi="ar-SA"/>
        </w:rPr>
        <w:drawing>
          <wp:inline distT="0" distB="0" distL="0" distR="0" wp14:anchorId="5E795D84" wp14:editId="710586AA">
            <wp:extent cx="4699591" cy="2657475"/>
            <wp:effectExtent l="0" t="0" r="6350" b="0"/>
            <wp:docPr id="30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4"/>
                    <pic:cNvPicPr>
                      <a:picLocks noChangeAspect="1" noChangeArrowheads="1"/>
                    </pic:cNvPicPr>
                  </pic:nvPicPr>
                  <pic:blipFill rotWithShape="1">
                    <a:blip r:embed="rId137">
                      <a:extLst>
                        <a:ext uri="{28A0092B-C50C-407E-A947-70E740481C1C}">
                          <a14:useLocalDpi xmlns:a14="http://schemas.microsoft.com/office/drawing/2010/main" val="0"/>
                        </a:ext>
                      </a:extLst>
                    </a:blip>
                    <a:srcRect l="8332" t="1368" r="1857" b="4192"/>
                    <a:stretch/>
                  </pic:blipFill>
                  <pic:spPr bwMode="auto">
                    <a:xfrm>
                      <a:off x="0" y="0"/>
                      <a:ext cx="4722649" cy="2670514"/>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007D3B" w:rsidRDefault="00007D3B" w:rsidP="00007D3B">
      <w:pPr>
        <w:jc w:val="center"/>
        <w:rPr>
          <w:rFonts w:ascii="Times New Roman" w:hAnsi="Times New Roman"/>
          <w:b/>
          <w:noProof/>
          <w:sz w:val="28"/>
          <w:szCs w:val="28"/>
          <w:lang w:val="tr-TR" w:eastAsia="tr-TR"/>
        </w:rPr>
      </w:pPr>
      <w:r>
        <w:rPr>
          <w:rFonts w:ascii="Times New Roman" w:hAnsi="Times New Roman"/>
          <w:b/>
          <w:noProof/>
          <w:sz w:val="28"/>
          <w:szCs w:val="28"/>
          <w:lang w:val="tr-TR" w:eastAsia="tr-TR"/>
        </w:rPr>
        <w:lastRenderedPageBreak/>
        <w:t>MOR-33</w:t>
      </w:r>
    </w:p>
    <w:p w:rsidR="00007D3B" w:rsidRDefault="00007D3B" w:rsidP="00007D3B">
      <w:pPr>
        <w:jc w:val="center"/>
        <w:rPr>
          <w:rFonts w:ascii="Times New Roman" w:hAnsi="Times New Roman"/>
          <w:b/>
          <w:noProof/>
          <w:sz w:val="28"/>
          <w:szCs w:val="28"/>
          <w:lang w:val="tr-TR" w:eastAsia="tr-TR"/>
        </w:rPr>
      </w:pPr>
    </w:p>
    <w:p w:rsidR="00007D3B" w:rsidRDefault="00007D3B" w:rsidP="00007D3B">
      <w:pPr>
        <w:jc w:val="center"/>
        <w:rPr>
          <w:rFonts w:ascii="Times New Roman" w:hAnsi="Times New Roman"/>
          <w:b/>
          <w:noProof/>
          <w:sz w:val="28"/>
          <w:szCs w:val="28"/>
          <w:lang w:val="tr-TR" w:eastAsia="tr-TR"/>
        </w:rPr>
      </w:pPr>
      <w:r w:rsidRPr="005832CE">
        <w:rPr>
          <w:rFonts w:ascii="Times New Roman" w:hAnsi="Times New Roman"/>
          <w:b/>
          <w:noProof/>
          <w:sz w:val="28"/>
          <w:szCs w:val="28"/>
          <w:lang w:val="tr-TR" w:eastAsia="tr-TR" w:bidi="ar-SA"/>
        </w:rPr>
        <w:drawing>
          <wp:inline distT="0" distB="0" distL="0" distR="0" wp14:anchorId="7C0C0F4E" wp14:editId="75B424BC">
            <wp:extent cx="4668535" cy="2879090"/>
            <wp:effectExtent l="0" t="0" r="0" b="0"/>
            <wp:docPr id="143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6"/>
                    <pic:cNvPicPr>
                      <a:picLocks noChangeAspect="1" noChangeArrowheads="1"/>
                    </pic:cNvPicPr>
                  </pic:nvPicPr>
                  <pic:blipFill rotWithShape="1">
                    <a:blip r:embed="rId138">
                      <a:extLst>
                        <a:ext uri="{28A0092B-C50C-407E-A947-70E740481C1C}">
                          <a14:useLocalDpi xmlns:a14="http://schemas.microsoft.com/office/drawing/2010/main" val="0"/>
                        </a:ext>
                      </a:extLst>
                    </a:blip>
                    <a:srcRect l="9259" t="3542" r="1571" b="2261"/>
                    <a:stretch/>
                  </pic:blipFill>
                  <pic:spPr bwMode="auto">
                    <a:xfrm>
                      <a:off x="0" y="0"/>
                      <a:ext cx="4670071" cy="2880037"/>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007D3B" w:rsidRDefault="00007D3B" w:rsidP="00007D3B">
      <w:pPr>
        <w:jc w:val="center"/>
        <w:rPr>
          <w:rFonts w:ascii="Times New Roman" w:hAnsi="Times New Roman"/>
          <w:b/>
          <w:noProof/>
          <w:sz w:val="28"/>
          <w:szCs w:val="28"/>
          <w:lang w:val="tr-TR" w:eastAsia="tr-TR"/>
        </w:rPr>
      </w:pPr>
    </w:p>
    <w:p w:rsidR="00007D3B" w:rsidRDefault="00007D3B" w:rsidP="00007D3B">
      <w:pPr>
        <w:jc w:val="center"/>
        <w:rPr>
          <w:rFonts w:ascii="Times New Roman" w:hAnsi="Times New Roman"/>
          <w:b/>
          <w:noProof/>
          <w:sz w:val="28"/>
          <w:szCs w:val="28"/>
          <w:lang w:val="tr-TR" w:eastAsia="tr-TR"/>
        </w:rPr>
      </w:pPr>
      <w:r>
        <w:rPr>
          <w:rFonts w:ascii="Times New Roman" w:hAnsi="Times New Roman"/>
          <w:b/>
          <w:noProof/>
          <w:sz w:val="28"/>
          <w:szCs w:val="28"/>
          <w:lang w:val="tr-TR" w:eastAsia="tr-TR"/>
        </w:rPr>
        <w:t>MOR-16</w:t>
      </w:r>
    </w:p>
    <w:p w:rsidR="00007D3B" w:rsidRDefault="00007D3B" w:rsidP="00007D3B">
      <w:pPr>
        <w:jc w:val="center"/>
        <w:rPr>
          <w:rFonts w:ascii="Times New Roman" w:hAnsi="Times New Roman"/>
          <w:b/>
          <w:noProof/>
          <w:sz w:val="28"/>
          <w:szCs w:val="28"/>
          <w:lang w:val="tr-TR" w:eastAsia="tr-TR"/>
        </w:rPr>
      </w:pPr>
    </w:p>
    <w:p w:rsidR="00007D3B" w:rsidRDefault="00007D3B" w:rsidP="00007D3B">
      <w:pPr>
        <w:jc w:val="center"/>
        <w:rPr>
          <w:rFonts w:ascii="Times New Roman" w:hAnsi="Times New Roman"/>
          <w:b/>
          <w:noProof/>
          <w:sz w:val="28"/>
          <w:szCs w:val="28"/>
          <w:lang w:val="tr-TR" w:eastAsia="tr-TR"/>
        </w:rPr>
      </w:pPr>
      <w:r w:rsidRPr="00647486">
        <w:rPr>
          <w:rFonts w:ascii="Times New Roman" w:hAnsi="Times New Roman"/>
          <w:b/>
          <w:noProof/>
          <w:sz w:val="28"/>
          <w:szCs w:val="28"/>
          <w:lang w:val="tr-TR" w:eastAsia="tr-TR" w:bidi="ar-SA"/>
        </w:rPr>
        <w:drawing>
          <wp:inline distT="0" distB="0" distL="0" distR="0" wp14:anchorId="1AF234D0" wp14:editId="58E0D46C">
            <wp:extent cx="4711293" cy="2880000"/>
            <wp:effectExtent l="0" t="0" r="0" b="0"/>
            <wp:docPr id="81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4"/>
                    <pic:cNvPicPr>
                      <a:picLocks noChangeAspect="1" noChangeArrowheads="1"/>
                    </pic:cNvPicPr>
                  </pic:nvPicPr>
                  <pic:blipFill>
                    <a:blip r:embed="rId139">
                      <a:extLst>
                        <a:ext uri="{28A0092B-C50C-407E-A947-70E740481C1C}">
                          <a14:useLocalDpi xmlns:a14="http://schemas.microsoft.com/office/drawing/2010/main" val="0"/>
                        </a:ext>
                      </a:extLst>
                    </a:blip>
                    <a:srcRect l="13889" t="4185" r="926" b="2246"/>
                    <a:stretch>
                      <a:fillRect/>
                    </a:stretch>
                  </pic:blipFill>
                  <pic:spPr bwMode="auto">
                    <a:xfrm>
                      <a:off x="0" y="0"/>
                      <a:ext cx="4711293" cy="2880000"/>
                    </a:xfrm>
                    <a:prstGeom prst="rect">
                      <a:avLst/>
                    </a:prstGeom>
                    <a:noFill/>
                    <a:ln>
                      <a:noFill/>
                    </a:ln>
                    <a:effectLst/>
                    <a:extLst/>
                  </pic:spPr>
                </pic:pic>
              </a:graphicData>
            </a:graphic>
          </wp:inline>
        </w:drawing>
      </w:r>
    </w:p>
    <w:p w:rsidR="00007D3B" w:rsidRDefault="00007D3B" w:rsidP="00007D3B">
      <w:pPr>
        <w:jc w:val="center"/>
        <w:rPr>
          <w:rFonts w:ascii="Times New Roman" w:hAnsi="Times New Roman"/>
          <w:b/>
          <w:noProof/>
          <w:sz w:val="28"/>
          <w:szCs w:val="28"/>
          <w:lang w:val="tr-TR" w:eastAsia="tr-TR"/>
        </w:rPr>
      </w:pPr>
      <w:r>
        <w:rPr>
          <w:rFonts w:ascii="Times New Roman" w:hAnsi="Times New Roman"/>
          <w:b/>
          <w:noProof/>
          <w:sz w:val="28"/>
          <w:szCs w:val="28"/>
          <w:lang w:val="tr-TR" w:eastAsia="tr-TR"/>
        </w:rPr>
        <w:lastRenderedPageBreak/>
        <w:t>MOR-66</w:t>
      </w:r>
    </w:p>
    <w:p w:rsidR="00007D3B" w:rsidRDefault="00007D3B" w:rsidP="00007D3B">
      <w:pPr>
        <w:jc w:val="center"/>
        <w:rPr>
          <w:rFonts w:ascii="Times New Roman" w:hAnsi="Times New Roman"/>
          <w:b/>
          <w:noProof/>
          <w:sz w:val="28"/>
          <w:szCs w:val="28"/>
          <w:lang w:val="tr-TR" w:eastAsia="tr-TR"/>
        </w:rPr>
      </w:pPr>
    </w:p>
    <w:p w:rsidR="00007D3B" w:rsidRDefault="00007D3B" w:rsidP="00007D3B">
      <w:pPr>
        <w:jc w:val="center"/>
        <w:rPr>
          <w:rFonts w:ascii="Times New Roman" w:hAnsi="Times New Roman"/>
          <w:b/>
          <w:noProof/>
          <w:sz w:val="28"/>
          <w:szCs w:val="28"/>
          <w:lang w:val="tr-TR" w:eastAsia="tr-TR"/>
        </w:rPr>
      </w:pPr>
      <w:r w:rsidRPr="00647486">
        <w:rPr>
          <w:rFonts w:ascii="Times New Roman" w:hAnsi="Times New Roman"/>
          <w:b/>
          <w:noProof/>
          <w:sz w:val="28"/>
          <w:szCs w:val="28"/>
          <w:lang w:val="tr-TR" w:eastAsia="tr-TR" w:bidi="ar-SA"/>
        </w:rPr>
        <w:drawing>
          <wp:inline distT="0" distB="0" distL="0" distR="0" wp14:anchorId="44420A4D" wp14:editId="3492085C">
            <wp:extent cx="4692141" cy="2880000"/>
            <wp:effectExtent l="0" t="0" r="0" b="0"/>
            <wp:docPr id="92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4"/>
                    <pic:cNvPicPr>
                      <a:picLocks noChangeAspect="1" noChangeArrowheads="1"/>
                    </pic:cNvPicPr>
                  </pic:nvPicPr>
                  <pic:blipFill>
                    <a:blip r:embed="rId140">
                      <a:extLst>
                        <a:ext uri="{28A0092B-C50C-407E-A947-70E740481C1C}">
                          <a14:useLocalDpi xmlns:a14="http://schemas.microsoft.com/office/drawing/2010/main" val="0"/>
                        </a:ext>
                      </a:extLst>
                    </a:blip>
                    <a:srcRect l="16667" t="1492" r="6480" b="2261"/>
                    <a:stretch>
                      <a:fillRect/>
                    </a:stretch>
                  </pic:blipFill>
                  <pic:spPr bwMode="auto">
                    <a:xfrm>
                      <a:off x="0" y="0"/>
                      <a:ext cx="4692141" cy="2880000"/>
                    </a:xfrm>
                    <a:prstGeom prst="rect">
                      <a:avLst/>
                    </a:prstGeom>
                    <a:noFill/>
                    <a:ln>
                      <a:noFill/>
                    </a:ln>
                    <a:effectLst/>
                    <a:extLst/>
                  </pic:spPr>
                </pic:pic>
              </a:graphicData>
            </a:graphic>
          </wp:inline>
        </w:drawing>
      </w:r>
    </w:p>
    <w:p w:rsidR="00007D3B" w:rsidRDefault="00007D3B" w:rsidP="00007D3B">
      <w:pPr>
        <w:jc w:val="center"/>
        <w:rPr>
          <w:rFonts w:ascii="Times New Roman" w:hAnsi="Times New Roman"/>
          <w:b/>
          <w:noProof/>
          <w:sz w:val="28"/>
          <w:szCs w:val="28"/>
          <w:lang w:val="tr-TR" w:eastAsia="tr-TR"/>
        </w:rPr>
      </w:pPr>
    </w:p>
    <w:p w:rsidR="00007D3B" w:rsidRDefault="00007D3B" w:rsidP="00007D3B">
      <w:pPr>
        <w:jc w:val="center"/>
        <w:rPr>
          <w:rFonts w:ascii="Times New Roman" w:hAnsi="Times New Roman"/>
          <w:b/>
          <w:noProof/>
          <w:sz w:val="28"/>
          <w:szCs w:val="28"/>
          <w:lang w:val="tr-TR" w:eastAsia="tr-TR"/>
        </w:rPr>
      </w:pPr>
      <w:r>
        <w:rPr>
          <w:rFonts w:ascii="Times New Roman" w:hAnsi="Times New Roman"/>
          <w:b/>
          <w:noProof/>
          <w:sz w:val="28"/>
          <w:szCs w:val="28"/>
          <w:lang w:val="tr-TR" w:eastAsia="tr-TR"/>
        </w:rPr>
        <w:t>MOR-2</w:t>
      </w:r>
    </w:p>
    <w:p w:rsidR="00007D3B" w:rsidRDefault="00007D3B" w:rsidP="00007D3B">
      <w:pPr>
        <w:jc w:val="center"/>
        <w:rPr>
          <w:rFonts w:ascii="Times New Roman" w:hAnsi="Times New Roman"/>
          <w:b/>
          <w:noProof/>
          <w:sz w:val="28"/>
          <w:szCs w:val="28"/>
          <w:lang w:val="tr-TR" w:eastAsia="tr-TR"/>
        </w:rPr>
      </w:pPr>
    </w:p>
    <w:p w:rsidR="00007D3B" w:rsidRDefault="00007D3B" w:rsidP="00007D3B">
      <w:pPr>
        <w:jc w:val="center"/>
        <w:rPr>
          <w:rFonts w:ascii="Times New Roman" w:hAnsi="Times New Roman"/>
          <w:b/>
          <w:noProof/>
          <w:sz w:val="28"/>
          <w:szCs w:val="28"/>
          <w:lang w:val="tr-TR" w:eastAsia="tr-TR"/>
        </w:rPr>
      </w:pPr>
      <w:r w:rsidRPr="00647486">
        <w:rPr>
          <w:rFonts w:ascii="Times New Roman" w:hAnsi="Times New Roman"/>
          <w:b/>
          <w:noProof/>
          <w:sz w:val="28"/>
          <w:szCs w:val="28"/>
          <w:lang w:val="tr-TR" w:eastAsia="tr-TR" w:bidi="ar-SA"/>
        </w:rPr>
        <w:drawing>
          <wp:inline distT="0" distB="0" distL="0" distR="0" wp14:anchorId="615789D6" wp14:editId="764FBD77">
            <wp:extent cx="4670749" cy="2878345"/>
            <wp:effectExtent l="0" t="0" r="0" b="0"/>
            <wp:docPr id="112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4"/>
                    <pic:cNvPicPr>
                      <a:picLocks noChangeAspect="1" noChangeArrowheads="1"/>
                    </pic:cNvPicPr>
                  </pic:nvPicPr>
                  <pic:blipFill rotWithShape="1">
                    <a:blip r:embed="rId141">
                      <a:extLst>
                        <a:ext uri="{28A0092B-C50C-407E-A947-70E740481C1C}">
                          <a14:useLocalDpi xmlns:a14="http://schemas.microsoft.com/office/drawing/2010/main" val="0"/>
                        </a:ext>
                      </a:extLst>
                    </a:blip>
                    <a:srcRect l="12038" t="1492" r="2129" b="2260"/>
                    <a:stretch/>
                  </pic:blipFill>
                  <pic:spPr bwMode="auto">
                    <a:xfrm>
                      <a:off x="0" y="0"/>
                      <a:ext cx="4680343" cy="2884257"/>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007D3B" w:rsidRDefault="00007D3B" w:rsidP="00007D3B">
      <w:pPr>
        <w:jc w:val="center"/>
        <w:rPr>
          <w:rFonts w:ascii="Times New Roman" w:hAnsi="Times New Roman"/>
          <w:b/>
          <w:sz w:val="28"/>
          <w:szCs w:val="28"/>
        </w:rPr>
      </w:pPr>
      <w:r>
        <w:rPr>
          <w:rFonts w:ascii="Times New Roman" w:hAnsi="Times New Roman"/>
          <w:b/>
          <w:sz w:val="28"/>
          <w:szCs w:val="28"/>
        </w:rPr>
        <w:lastRenderedPageBreak/>
        <w:t>A-11</w:t>
      </w:r>
    </w:p>
    <w:p w:rsidR="00007D3B" w:rsidRDefault="00007D3B" w:rsidP="00007D3B">
      <w:pPr>
        <w:jc w:val="center"/>
        <w:rPr>
          <w:rFonts w:ascii="Times New Roman" w:hAnsi="Times New Roman"/>
          <w:b/>
          <w:sz w:val="28"/>
          <w:szCs w:val="28"/>
        </w:rPr>
      </w:pPr>
    </w:p>
    <w:p w:rsidR="00007D3B" w:rsidRDefault="00007D3B" w:rsidP="00007D3B">
      <w:pPr>
        <w:jc w:val="center"/>
        <w:rPr>
          <w:rFonts w:ascii="Times New Roman" w:hAnsi="Times New Roman"/>
          <w:b/>
          <w:sz w:val="28"/>
          <w:szCs w:val="28"/>
        </w:rPr>
      </w:pPr>
      <w:r w:rsidRPr="00647486">
        <w:rPr>
          <w:rFonts w:ascii="Times New Roman" w:hAnsi="Times New Roman"/>
          <w:b/>
          <w:noProof/>
          <w:sz w:val="28"/>
          <w:szCs w:val="28"/>
          <w:lang w:val="tr-TR" w:eastAsia="tr-TR" w:bidi="ar-SA"/>
        </w:rPr>
        <w:drawing>
          <wp:inline distT="0" distB="0" distL="0" distR="0" wp14:anchorId="6C247F8E" wp14:editId="4F3E5835">
            <wp:extent cx="4782606" cy="2880000"/>
            <wp:effectExtent l="0" t="0" r="0" b="0"/>
            <wp:docPr id="21507"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507" name="Picture 3"/>
                    <pic:cNvPicPr>
                      <a:picLocks noGrp="1" noChangeAspect="1" noChangeArrowheads="1"/>
                    </pic:cNvPicPr>
                  </pic:nvPicPr>
                  <pic:blipFill rotWithShape="1">
                    <a:blip r:embed="rId142">
                      <a:grayscl/>
                    </a:blip>
                    <a:srcRect l="8333" t="3084" r="926" b="3981"/>
                    <a:stretch/>
                  </pic:blipFill>
                  <pic:spPr bwMode="auto">
                    <a:xfrm>
                      <a:off x="0" y="0"/>
                      <a:ext cx="4782606" cy="2880000"/>
                    </a:xfrm>
                    <a:prstGeom prst="rect">
                      <a:avLst/>
                    </a:prstGeom>
                    <a:noFill/>
                    <a:ln w="9525">
                      <a:noFill/>
                      <a:miter lim="800000"/>
                      <a:headEnd/>
                      <a:tailEnd/>
                    </a:ln>
                    <a:effectLst/>
                  </pic:spPr>
                </pic:pic>
              </a:graphicData>
            </a:graphic>
          </wp:inline>
        </w:drawing>
      </w:r>
    </w:p>
    <w:p w:rsidR="00007D3B" w:rsidRDefault="00007D3B" w:rsidP="00007D3B">
      <w:pPr>
        <w:jc w:val="center"/>
        <w:rPr>
          <w:rFonts w:ascii="Times New Roman" w:hAnsi="Times New Roman"/>
          <w:b/>
          <w:sz w:val="28"/>
          <w:szCs w:val="28"/>
        </w:rPr>
      </w:pPr>
    </w:p>
    <w:p w:rsidR="00007D3B" w:rsidRDefault="00007D3B" w:rsidP="00007D3B">
      <w:pPr>
        <w:jc w:val="center"/>
        <w:rPr>
          <w:rFonts w:ascii="Times New Roman" w:hAnsi="Times New Roman"/>
          <w:b/>
          <w:sz w:val="28"/>
          <w:szCs w:val="28"/>
        </w:rPr>
      </w:pPr>
      <w:r>
        <w:rPr>
          <w:rFonts w:ascii="Times New Roman" w:hAnsi="Times New Roman"/>
          <w:b/>
          <w:sz w:val="28"/>
          <w:szCs w:val="28"/>
        </w:rPr>
        <w:t>A-22</w:t>
      </w:r>
    </w:p>
    <w:p w:rsidR="00007D3B" w:rsidRDefault="00007D3B" w:rsidP="00007D3B">
      <w:pPr>
        <w:jc w:val="center"/>
        <w:rPr>
          <w:rFonts w:ascii="Times New Roman" w:hAnsi="Times New Roman"/>
          <w:b/>
          <w:sz w:val="28"/>
          <w:szCs w:val="28"/>
        </w:rPr>
      </w:pPr>
    </w:p>
    <w:p w:rsidR="00007D3B" w:rsidRDefault="00007D3B" w:rsidP="00007D3B">
      <w:pPr>
        <w:jc w:val="center"/>
        <w:rPr>
          <w:rFonts w:ascii="Times New Roman" w:hAnsi="Times New Roman"/>
          <w:b/>
          <w:sz w:val="28"/>
          <w:szCs w:val="28"/>
        </w:rPr>
      </w:pPr>
      <w:r w:rsidRPr="00647486">
        <w:rPr>
          <w:rFonts w:ascii="Times New Roman" w:hAnsi="Times New Roman"/>
          <w:b/>
          <w:noProof/>
          <w:sz w:val="28"/>
          <w:szCs w:val="28"/>
          <w:lang w:val="tr-TR" w:eastAsia="tr-TR" w:bidi="ar-SA"/>
        </w:rPr>
        <w:drawing>
          <wp:inline distT="0" distB="0" distL="0" distR="0" wp14:anchorId="25CAB934" wp14:editId="6D2FD276">
            <wp:extent cx="4728062" cy="288000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43">
                      <a:grayscl/>
                    </a:blip>
                    <a:srcRect l="25930" t="1807" r="14215" b="2446"/>
                    <a:stretch/>
                  </pic:blipFill>
                  <pic:spPr bwMode="auto">
                    <a:xfrm>
                      <a:off x="0" y="0"/>
                      <a:ext cx="4728062" cy="2880000"/>
                    </a:xfrm>
                    <a:prstGeom prst="rect">
                      <a:avLst/>
                    </a:prstGeom>
                    <a:noFill/>
                    <a:ln w="9525">
                      <a:noFill/>
                      <a:miter lim="800000"/>
                      <a:headEnd/>
                      <a:tailEnd/>
                    </a:ln>
                    <a:effectLst/>
                  </pic:spPr>
                </pic:pic>
              </a:graphicData>
            </a:graphic>
          </wp:inline>
        </w:drawing>
      </w:r>
    </w:p>
    <w:p w:rsidR="00007D3B" w:rsidRDefault="00007D3B" w:rsidP="00007D3B">
      <w:pPr>
        <w:jc w:val="center"/>
        <w:rPr>
          <w:rFonts w:ascii="Times New Roman" w:hAnsi="Times New Roman"/>
          <w:b/>
          <w:sz w:val="28"/>
          <w:szCs w:val="28"/>
        </w:rPr>
      </w:pPr>
      <w:r>
        <w:rPr>
          <w:rFonts w:ascii="Times New Roman" w:hAnsi="Times New Roman"/>
          <w:b/>
          <w:sz w:val="28"/>
          <w:szCs w:val="28"/>
        </w:rPr>
        <w:lastRenderedPageBreak/>
        <w:t>A-28</w:t>
      </w:r>
    </w:p>
    <w:p w:rsidR="00007D3B" w:rsidRDefault="00007D3B" w:rsidP="00007D3B">
      <w:pPr>
        <w:jc w:val="center"/>
        <w:rPr>
          <w:rFonts w:ascii="Times New Roman" w:hAnsi="Times New Roman"/>
          <w:b/>
          <w:sz w:val="28"/>
          <w:szCs w:val="28"/>
        </w:rPr>
      </w:pPr>
    </w:p>
    <w:p w:rsidR="00007D3B" w:rsidRDefault="00007D3B" w:rsidP="00007D3B">
      <w:pPr>
        <w:jc w:val="center"/>
        <w:rPr>
          <w:rFonts w:ascii="Times New Roman" w:hAnsi="Times New Roman"/>
          <w:b/>
          <w:sz w:val="28"/>
          <w:szCs w:val="28"/>
        </w:rPr>
      </w:pPr>
      <w:r w:rsidRPr="00647486">
        <w:rPr>
          <w:rFonts w:ascii="Times New Roman" w:hAnsi="Times New Roman"/>
          <w:b/>
          <w:noProof/>
          <w:sz w:val="28"/>
          <w:szCs w:val="28"/>
          <w:lang w:val="tr-TR" w:eastAsia="tr-TR" w:bidi="ar-SA"/>
        </w:rPr>
        <w:drawing>
          <wp:inline distT="0" distB="0" distL="0" distR="0" wp14:anchorId="5EA9D926" wp14:editId="34FC7061">
            <wp:extent cx="4709737" cy="2880000"/>
            <wp:effectExtent l="0" t="0" r="0" b="0"/>
            <wp:docPr id="276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7650" name="Picture 2"/>
                    <pic:cNvPicPr>
                      <a:picLocks noGrp="1" noChangeAspect="1" noChangeArrowheads="1"/>
                    </pic:cNvPicPr>
                  </pic:nvPicPr>
                  <pic:blipFill rotWithShape="1">
                    <a:blip r:embed="rId144">
                      <a:grayscl/>
                    </a:blip>
                    <a:srcRect l="11111" t="3084" r="4630" b="3981"/>
                    <a:stretch/>
                  </pic:blipFill>
                  <pic:spPr bwMode="auto">
                    <a:xfrm>
                      <a:off x="0" y="0"/>
                      <a:ext cx="4709737" cy="2880000"/>
                    </a:xfrm>
                    <a:prstGeom prst="rect">
                      <a:avLst/>
                    </a:prstGeom>
                    <a:noFill/>
                    <a:ln w="9525">
                      <a:noFill/>
                      <a:miter lim="800000"/>
                      <a:headEnd/>
                      <a:tailEnd/>
                    </a:ln>
                    <a:effectLst/>
                  </pic:spPr>
                </pic:pic>
              </a:graphicData>
            </a:graphic>
          </wp:inline>
        </w:drawing>
      </w:r>
    </w:p>
    <w:p w:rsidR="00007D3B" w:rsidRDefault="00007D3B" w:rsidP="00007D3B">
      <w:pPr>
        <w:jc w:val="center"/>
        <w:rPr>
          <w:rFonts w:ascii="Times New Roman" w:hAnsi="Times New Roman"/>
          <w:b/>
          <w:sz w:val="28"/>
          <w:szCs w:val="28"/>
        </w:rPr>
      </w:pPr>
    </w:p>
    <w:p w:rsidR="00007D3B" w:rsidRDefault="00007D3B" w:rsidP="00007D3B">
      <w:pPr>
        <w:jc w:val="center"/>
        <w:rPr>
          <w:rFonts w:ascii="Times New Roman" w:hAnsi="Times New Roman"/>
          <w:b/>
          <w:sz w:val="28"/>
          <w:szCs w:val="28"/>
        </w:rPr>
      </w:pPr>
      <w:r>
        <w:rPr>
          <w:rFonts w:ascii="Times New Roman" w:hAnsi="Times New Roman"/>
          <w:b/>
          <w:sz w:val="28"/>
          <w:szCs w:val="28"/>
        </w:rPr>
        <w:t>H-3</w:t>
      </w:r>
    </w:p>
    <w:p w:rsidR="00007D3B" w:rsidRDefault="00007D3B" w:rsidP="00007D3B">
      <w:pPr>
        <w:jc w:val="center"/>
        <w:rPr>
          <w:rFonts w:ascii="Times New Roman" w:hAnsi="Times New Roman"/>
          <w:b/>
          <w:sz w:val="28"/>
          <w:szCs w:val="28"/>
        </w:rPr>
      </w:pPr>
    </w:p>
    <w:p w:rsidR="00007D3B" w:rsidRDefault="00007D3B" w:rsidP="00007D3B">
      <w:pPr>
        <w:jc w:val="center"/>
        <w:rPr>
          <w:rFonts w:ascii="Times New Roman" w:hAnsi="Times New Roman"/>
          <w:b/>
          <w:sz w:val="28"/>
          <w:szCs w:val="28"/>
        </w:rPr>
      </w:pPr>
      <w:r w:rsidRPr="00647486">
        <w:rPr>
          <w:rFonts w:ascii="Times New Roman" w:hAnsi="Times New Roman"/>
          <w:b/>
          <w:noProof/>
          <w:sz w:val="28"/>
          <w:szCs w:val="28"/>
          <w:lang w:val="tr-TR" w:eastAsia="tr-TR" w:bidi="ar-SA"/>
        </w:rPr>
        <w:drawing>
          <wp:inline distT="0" distB="0" distL="0" distR="0" wp14:anchorId="53701074" wp14:editId="0D341C78">
            <wp:extent cx="4747055" cy="2880000"/>
            <wp:effectExtent l="0" t="0" r="0" b="0"/>
            <wp:docPr id="819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rotWithShape="1">
                    <a:blip r:embed="rId145">
                      <a:grayscl/>
                    </a:blip>
                    <a:srcRect l="9259" t="2267" r="2778" b="2532"/>
                    <a:stretch/>
                  </pic:blipFill>
                  <pic:spPr bwMode="auto">
                    <a:xfrm>
                      <a:off x="0" y="0"/>
                      <a:ext cx="4747055" cy="2880000"/>
                    </a:xfrm>
                    <a:prstGeom prst="rect">
                      <a:avLst/>
                    </a:prstGeom>
                    <a:noFill/>
                    <a:ln w="9525">
                      <a:noFill/>
                      <a:miter lim="800000"/>
                      <a:headEnd/>
                      <a:tailEnd/>
                    </a:ln>
                    <a:effectLst/>
                  </pic:spPr>
                </pic:pic>
              </a:graphicData>
            </a:graphic>
          </wp:inline>
        </w:drawing>
      </w:r>
    </w:p>
    <w:p w:rsidR="00007D3B" w:rsidRDefault="00030FBD" w:rsidP="00030FBD">
      <w:pPr>
        <w:pStyle w:val="Balk1"/>
      </w:pPr>
      <w:bookmarkStart w:id="158" w:name="_Toc507506670"/>
      <w:r>
        <w:lastRenderedPageBreak/>
        <w:t>Appendix C</w:t>
      </w:r>
      <w:r w:rsidR="00B23625">
        <w:t>: Selected GCMS Results</w:t>
      </w:r>
      <w:bookmarkEnd w:id="158"/>
    </w:p>
    <w:p w:rsidR="00DF24FA" w:rsidRDefault="00DF24FA" w:rsidP="00DF24FA">
      <w:pPr>
        <w:jc w:val="center"/>
        <w:rPr>
          <w:rFonts w:ascii="Times New Roman" w:hAnsi="Times New Roman"/>
          <w:b/>
          <w:sz w:val="28"/>
          <w:szCs w:val="28"/>
        </w:rPr>
      </w:pPr>
      <w:r w:rsidRPr="00F22BE3">
        <w:rPr>
          <w:rFonts w:ascii="Times New Roman" w:hAnsi="Times New Roman"/>
          <w:b/>
          <w:sz w:val="28"/>
          <w:szCs w:val="28"/>
        </w:rPr>
        <w:t>MOR-68</w:t>
      </w:r>
      <w:r>
        <w:rPr>
          <w:rFonts w:ascii="Times New Roman" w:hAnsi="Times New Roman"/>
          <w:b/>
          <w:sz w:val="28"/>
          <w:szCs w:val="28"/>
        </w:rPr>
        <w:t xml:space="preserve"> </w:t>
      </w:r>
      <w:r w:rsidRPr="00F334DB">
        <w:rPr>
          <w:rFonts w:ascii="Times New Roman" w:hAnsi="Times New Roman"/>
          <w:b/>
          <w:sz w:val="28"/>
          <w:szCs w:val="28"/>
        </w:rPr>
        <w:t>(191.3)</w:t>
      </w:r>
    </w:p>
    <w:p w:rsidR="00DF24FA" w:rsidRPr="00F22BE3"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F22BE3">
        <w:rPr>
          <w:rFonts w:ascii="Times New Roman" w:hAnsi="Times New Roman"/>
          <w:b/>
          <w:noProof/>
          <w:sz w:val="28"/>
          <w:szCs w:val="28"/>
          <w:lang w:val="tr-TR" w:eastAsia="tr-TR" w:bidi="ar-SA"/>
        </w:rPr>
        <w:drawing>
          <wp:inline distT="0" distB="0" distL="0" distR="0" wp14:anchorId="2A11DBE3" wp14:editId="0A2D5BD9">
            <wp:extent cx="4708800" cy="2667342"/>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146"/>
                    <a:srcRect l="16137" t="10782" r="3354" b="4755"/>
                    <a:stretch/>
                  </pic:blipFill>
                  <pic:spPr bwMode="auto">
                    <a:xfrm>
                      <a:off x="0" y="0"/>
                      <a:ext cx="4708800" cy="2667342"/>
                    </a:xfrm>
                    <a:prstGeom prst="rect">
                      <a:avLst/>
                    </a:prstGeom>
                    <a:noFill/>
                    <a:ln w="9525">
                      <a:noFill/>
                      <a:miter lim="800000"/>
                      <a:headEnd/>
                      <a:tailEnd/>
                    </a:ln>
                    <a:effectLst/>
                  </pic:spPr>
                </pic:pic>
              </a:graphicData>
            </a:graphic>
          </wp:inline>
        </w:drawing>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F22BE3">
        <w:rPr>
          <w:rFonts w:ascii="Times New Roman" w:hAnsi="Times New Roman"/>
          <w:b/>
          <w:sz w:val="28"/>
          <w:szCs w:val="28"/>
        </w:rPr>
        <w:t>MOR-68</w:t>
      </w:r>
      <w:r>
        <w:rPr>
          <w:rFonts w:ascii="Times New Roman" w:hAnsi="Times New Roman"/>
          <w:b/>
          <w:sz w:val="28"/>
          <w:szCs w:val="28"/>
        </w:rPr>
        <w:t xml:space="preserve"> (217.3)</w:t>
      </w:r>
    </w:p>
    <w:p w:rsidR="00DF24FA" w:rsidRDefault="00DF24FA" w:rsidP="00DF24FA">
      <w:pPr>
        <w:jc w:val="center"/>
        <w:rPr>
          <w:rFonts w:ascii="Times New Roman" w:hAnsi="Times New Roman"/>
          <w:b/>
          <w:sz w:val="28"/>
          <w:szCs w:val="28"/>
        </w:rPr>
      </w:pPr>
    </w:p>
    <w:p w:rsidR="00DF24FA" w:rsidRPr="00F22BE3" w:rsidRDefault="00DF24FA" w:rsidP="00DF24FA">
      <w:pPr>
        <w:jc w:val="center"/>
        <w:rPr>
          <w:rFonts w:ascii="Times New Roman" w:hAnsi="Times New Roman"/>
          <w:b/>
          <w:sz w:val="28"/>
          <w:szCs w:val="28"/>
        </w:rPr>
      </w:pPr>
      <w:r w:rsidRPr="00F109B1">
        <w:rPr>
          <w:rFonts w:ascii="Times New Roman" w:hAnsi="Times New Roman"/>
          <w:b/>
          <w:noProof/>
          <w:sz w:val="28"/>
          <w:szCs w:val="28"/>
          <w:lang w:val="tr-TR" w:eastAsia="tr-TR" w:bidi="ar-SA"/>
        </w:rPr>
        <w:drawing>
          <wp:inline distT="0" distB="0" distL="0" distR="0" wp14:anchorId="09295925" wp14:editId="124D9498">
            <wp:extent cx="4708800" cy="2740908"/>
            <wp:effectExtent l="0" t="0" r="0" b="254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rotWithShape="1">
                    <a:blip r:embed="rId147"/>
                    <a:srcRect l="14774" t="14739" r="11956" b="3876"/>
                    <a:stretch/>
                  </pic:blipFill>
                  <pic:spPr bwMode="auto">
                    <a:xfrm>
                      <a:off x="0" y="0"/>
                      <a:ext cx="4708800" cy="2740908"/>
                    </a:xfrm>
                    <a:prstGeom prst="rect">
                      <a:avLst/>
                    </a:prstGeom>
                    <a:noFill/>
                    <a:ln w="9525">
                      <a:noFill/>
                      <a:miter lim="800000"/>
                      <a:headEnd/>
                      <a:tailEnd/>
                    </a:ln>
                    <a:effectLst/>
                  </pic:spPr>
                </pic:pic>
              </a:graphicData>
            </a:graphic>
          </wp:inline>
        </w:drawing>
      </w:r>
    </w:p>
    <w:p w:rsidR="00DF24FA" w:rsidRDefault="00DF24FA" w:rsidP="00DF24FA">
      <w:pPr>
        <w:jc w:val="center"/>
        <w:rPr>
          <w:rFonts w:ascii="Times New Roman" w:hAnsi="Times New Roman"/>
          <w:b/>
          <w:sz w:val="28"/>
          <w:szCs w:val="28"/>
        </w:rPr>
      </w:pPr>
      <w:r w:rsidRPr="00F22BE3">
        <w:rPr>
          <w:rFonts w:ascii="Times New Roman" w:hAnsi="Times New Roman"/>
          <w:b/>
          <w:sz w:val="28"/>
          <w:szCs w:val="28"/>
        </w:rPr>
        <w:lastRenderedPageBreak/>
        <w:t>MOR-86</w:t>
      </w:r>
      <w:r>
        <w:rPr>
          <w:rFonts w:ascii="Times New Roman" w:hAnsi="Times New Roman"/>
          <w:b/>
          <w:sz w:val="28"/>
          <w:szCs w:val="28"/>
        </w:rPr>
        <w:t xml:space="preserve"> </w:t>
      </w:r>
      <w:r w:rsidRPr="00F334DB">
        <w:rPr>
          <w:rFonts w:ascii="Times New Roman" w:hAnsi="Times New Roman"/>
          <w:b/>
          <w:sz w:val="28"/>
          <w:szCs w:val="28"/>
        </w:rPr>
        <w:t>(191.3)</w:t>
      </w:r>
    </w:p>
    <w:p w:rsidR="00DF24FA" w:rsidRPr="00F22BE3"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F22BE3">
        <w:rPr>
          <w:rFonts w:ascii="Times New Roman" w:hAnsi="Times New Roman"/>
          <w:b/>
          <w:noProof/>
          <w:sz w:val="28"/>
          <w:szCs w:val="28"/>
          <w:lang w:val="tr-TR" w:eastAsia="tr-TR" w:bidi="ar-SA"/>
        </w:rPr>
        <w:drawing>
          <wp:inline distT="0" distB="0" distL="0" distR="0" wp14:anchorId="454A4EE1" wp14:editId="4EC0E867">
            <wp:extent cx="4737464" cy="2880000"/>
            <wp:effectExtent l="0" t="0" r="635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rotWithShape="1">
                    <a:blip r:embed="rId148"/>
                    <a:srcRect l="16226" t="10979" r="7769" b="1182"/>
                    <a:stretch/>
                  </pic:blipFill>
                  <pic:spPr bwMode="auto">
                    <a:xfrm>
                      <a:off x="0" y="0"/>
                      <a:ext cx="4737464" cy="2880000"/>
                    </a:xfrm>
                    <a:prstGeom prst="rect">
                      <a:avLst/>
                    </a:prstGeom>
                    <a:noFill/>
                    <a:ln w="9525">
                      <a:noFill/>
                      <a:miter lim="800000"/>
                      <a:headEnd/>
                      <a:tailEnd/>
                    </a:ln>
                    <a:effectLst/>
                  </pic:spPr>
                </pic:pic>
              </a:graphicData>
            </a:graphic>
          </wp:inline>
        </w:drawing>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F22BE3">
        <w:rPr>
          <w:rFonts w:ascii="Times New Roman" w:hAnsi="Times New Roman"/>
          <w:b/>
          <w:sz w:val="28"/>
          <w:szCs w:val="28"/>
        </w:rPr>
        <w:t>MOR-86</w:t>
      </w:r>
      <w:r>
        <w:rPr>
          <w:rFonts w:ascii="Times New Roman" w:hAnsi="Times New Roman"/>
          <w:b/>
          <w:sz w:val="28"/>
          <w:szCs w:val="28"/>
        </w:rPr>
        <w:t xml:space="preserve"> (217.3)</w:t>
      </w:r>
    </w:p>
    <w:p w:rsidR="00DF24FA" w:rsidRDefault="00DF24FA" w:rsidP="00DF24FA">
      <w:pPr>
        <w:jc w:val="center"/>
        <w:rPr>
          <w:rFonts w:ascii="Times New Roman" w:hAnsi="Times New Roman"/>
          <w:b/>
          <w:sz w:val="28"/>
          <w:szCs w:val="28"/>
        </w:rPr>
      </w:pPr>
    </w:p>
    <w:p w:rsidR="00DF24FA" w:rsidRPr="00F22BE3" w:rsidRDefault="00DF24FA" w:rsidP="00DF24FA">
      <w:pPr>
        <w:jc w:val="center"/>
        <w:rPr>
          <w:rFonts w:ascii="Times New Roman" w:hAnsi="Times New Roman"/>
          <w:b/>
          <w:sz w:val="28"/>
          <w:szCs w:val="28"/>
        </w:rPr>
      </w:pPr>
      <w:r w:rsidRPr="00F109B1">
        <w:rPr>
          <w:rFonts w:ascii="Times New Roman" w:hAnsi="Times New Roman"/>
          <w:b/>
          <w:noProof/>
          <w:sz w:val="28"/>
          <w:szCs w:val="28"/>
          <w:lang w:val="tr-TR" w:eastAsia="tr-TR" w:bidi="ar-SA"/>
        </w:rPr>
        <w:drawing>
          <wp:inline distT="0" distB="0" distL="0" distR="0" wp14:anchorId="59A08903" wp14:editId="7EB530DF">
            <wp:extent cx="4750130" cy="2878818"/>
            <wp:effectExtent l="0" t="0" r="0" b="0"/>
            <wp:docPr id="1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Grp="1" noChangeAspect="1" noChangeArrowheads="1"/>
                    </pic:cNvPicPr>
                  </pic:nvPicPr>
                  <pic:blipFill rotWithShape="1">
                    <a:blip r:embed="rId149"/>
                    <a:srcRect l="17592" t="8711" r="13365"/>
                    <a:stretch/>
                  </pic:blipFill>
                  <pic:spPr bwMode="auto">
                    <a:xfrm>
                      <a:off x="0" y="0"/>
                      <a:ext cx="4759837" cy="2884701"/>
                    </a:xfrm>
                    <a:prstGeom prst="rect">
                      <a:avLst/>
                    </a:prstGeom>
                    <a:noFill/>
                    <a:ln w="9525">
                      <a:noFill/>
                      <a:miter lim="800000"/>
                      <a:headEnd/>
                      <a:tailEnd/>
                    </a:ln>
                    <a:effectLst/>
                  </pic:spPr>
                </pic:pic>
              </a:graphicData>
            </a:graphic>
          </wp:inline>
        </w:drawing>
      </w:r>
    </w:p>
    <w:p w:rsidR="00DF24FA" w:rsidRDefault="00DF24FA" w:rsidP="00DF24FA">
      <w:pPr>
        <w:jc w:val="center"/>
        <w:rPr>
          <w:rFonts w:ascii="Times New Roman" w:hAnsi="Times New Roman"/>
          <w:b/>
          <w:sz w:val="28"/>
          <w:szCs w:val="28"/>
        </w:rPr>
      </w:pPr>
      <w:r w:rsidRPr="00F22BE3">
        <w:rPr>
          <w:rFonts w:ascii="Times New Roman" w:hAnsi="Times New Roman"/>
          <w:b/>
          <w:sz w:val="28"/>
          <w:szCs w:val="28"/>
        </w:rPr>
        <w:lastRenderedPageBreak/>
        <w:t>MOR-57</w:t>
      </w:r>
      <w:r>
        <w:rPr>
          <w:rFonts w:ascii="Times New Roman" w:hAnsi="Times New Roman"/>
          <w:b/>
          <w:sz w:val="28"/>
          <w:szCs w:val="28"/>
        </w:rPr>
        <w:t xml:space="preserve"> </w:t>
      </w:r>
      <w:r w:rsidRPr="00F334DB">
        <w:rPr>
          <w:rFonts w:ascii="Times New Roman" w:hAnsi="Times New Roman"/>
          <w:b/>
          <w:sz w:val="28"/>
          <w:szCs w:val="28"/>
        </w:rPr>
        <w:t>(191.3)</w:t>
      </w:r>
    </w:p>
    <w:p w:rsidR="00DF24FA" w:rsidRPr="00F22BE3"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F22BE3">
        <w:rPr>
          <w:rFonts w:ascii="Times New Roman" w:hAnsi="Times New Roman"/>
          <w:b/>
          <w:noProof/>
          <w:sz w:val="28"/>
          <w:szCs w:val="28"/>
          <w:lang w:val="tr-TR" w:eastAsia="tr-TR" w:bidi="ar-SA"/>
        </w:rPr>
        <w:drawing>
          <wp:inline distT="0" distB="0" distL="0" distR="0" wp14:anchorId="0820D3BA" wp14:editId="6E672BA8">
            <wp:extent cx="4714504" cy="2878455"/>
            <wp:effectExtent l="0" t="0" r="0" b="0"/>
            <wp:docPr id="2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rotWithShape="1">
                    <a:blip r:embed="rId150"/>
                    <a:srcRect l="17592" t="14739" r="13413" b="3876"/>
                    <a:stretch/>
                  </pic:blipFill>
                  <pic:spPr bwMode="auto">
                    <a:xfrm>
                      <a:off x="0" y="0"/>
                      <a:ext cx="4724405" cy="2884500"/>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F22BE3">
        <w:rPr>
          <w:rFonts w:ascii="Times New Roman" w:hAnsi="Times New Roman"/>
          <w:b/>
          <w:sz w:val="28"/>
          <w:szCs w:val="28"/>
        </w:rPr>
        <w:t>MOR-57</w:t>
      </w:r>
      <w:r>
        <w:rPr>
          <w:rFonts w:ascii="Times New Roman" w:hAnsi="Times New Roman"/>
          <w:b/>
          <w:sz w:val="28"/>
          <w:szCs w:val="28"/>
        </w:rPr>
        <w:t xml:space="preserve"> (217.3)</w:t>
      </w:r>
    </w:p>
    <w:p w:rsidR="00DF24FA" w:rsidRDefault="00DF24FA" w:rsidP="00DF24FA">
      <w:pPr>
        <w:jc w:val="center"/>
        <w:rPr>
          <w:rFonts w:ascii="Times New Roman" w:hAnsi="Times New Roman"/>
          <w:b/>
          <w:sz w:val="28"/>
          <w:szCs w:val="28"/>
        </w:rPr>
      </w:pPr>
    </w:p>
    <w:p w:rsidR="00DF24FA" w:rsidRPr="00F22BE3" w:rsidRDefault="00DF24FA" w:rsidP="00DF24FA">
      <w:pPr>
        <w:jc w:val="center"/>
        <w:rPr>
          <w:rFonts w:ascii="Times New Roman" w:hAnsi="Times New Roman"/>
          <w:b/>
          <w:sz w:val="28"/>
          <w:szCs w:val="28"/>
        </w:rPr>
      </w:pPr>
      <w:r w:rsidRPr="00F109B1">
        <w:rPr>
          <w:rFonts w:ascii="Times New Roman" w:hAnsi="Times New Roman"/>
          <w:b/>
          <w:noProof/>
          <w:sz w:val="28"/>
          <w:szCs w:val="28"/>
          <w:lang w:val="tr-TR" w:eastAsia="tr-TR" w:bidi="ar-SA"/>
        </w:rPr>
        <w:drawing>
          <wp:inline distT="0" distB="0" distL="0" distR="0" wp14:anchorId="0702C8DE" wp14:editId="10E09171">
            <wp:extent cx="4678614" cy="2879413"/>
            <wp:effectExtent l="0" t="0" r="8255" b="0"/>
            <wp:docPr id="2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rotWithShape="1">
                    <a:blip r:embed="rId151"/>
                    <a:srcRect l="15499" t="15071" r="14049" b="4109"/>
                    <a:stretch/>
                  </pic:blipFill>
                  <pic:spPr bwMode="auto">
                    <a:xfrm>
                      <a:off x="0" y="0"/>
                      <a:ext cx="4681719" cy="2881324"/>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F24FA" w:rsidRDefault="00DF24FA" w:rsidP="00DF24FA">
      <w:pPr>
        <w:jc w:val="center"/>
        <w:rPr>
          <w:rFonts w:ascii="Times New Roman" w:hAnsi="Times New Roman"/>
          <w:b/>
          <w:sz w:val="28"/>
          <w:szCs w:val="28"/>
        </w:rPr>
      </w:pPr>
      <w:r w:rsidRPr="00F22BE3">
        <w:rPr>
          <w:rFonts w:ascii="Times New Roman" w:hAnsi="Times New Roman"/>
          <w:b/>
          <w:sz w:val="28"/>
          <w:szCs w:val="28"/>
        </w:rPr>
        <w:lastRenderedPageBreak/>
        <w:t>MOR-74</w:t>
      </w:r>
      <w:r>
        <w:rPr>
          <w:rFonts w:ascii="Times New Roman" w:hAnsi="Times New Roman"/>
          <w:b/>
          <w:sz w:val="28"/>
          <w:szCs w:val="28"/>
        </w:rPr>
        <w:t xml:space="preserve"> B/C </w:t>
      </w:r>
      <w:r w:rsidRPr="00F334DB">
        <w:rPr>
          <w:rFonts w:ascii="Times New Roman" w:hAnsi="Times New Roman"/>
          <w:b/>
          <w:sz w:val="28"/>
          <w:szCs w:val="28"/>
        </w:rPr>
        <w:t>(191.3)</w:t>
      </w:r>
    </w:p>
    <w:p w:rsidR="00DF24FA" w:rsidRPr="00F22BE3"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F22BE3">
        <w:rPr>
          <w:rFonts w:ascii="Times New Roman" w:hAnsi="Times New Roman"/>
          <w:b/>
          <w:noProof/>
          <w:sz w:val="28"/>
          <w:szCs w:val="28"/>
          <w:lang w:val="tr-TR" w:eastAsia="tr-TR" w:bidi="ar-SA"/>
        </w:rPr>
        <w:drawing>
          <wp:inline distT="0" distB="0" distL="0" distR="0" wp14:anchorId="123856A6" wp14:editId="1660D36F">
            <wp:extent cx="4667003" cy="2879090"/>
            <wp:effectExtent l="0" t="0" r="635" b="0"/>
            <wp:docPr id="921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Grp="1" noChangeAspect="1" noChangeArrowheads="1"/>
                    </pic:cNvPicPr>
                  </pic:nvPicPr>
                  <pic:blipFill rotWithShape="1">
                    <a:blip r:embed="rId152"/>
                    <a:srcRect l="17592" t="11725" r="15747" b="3876"/>
                    <a:stretch/>
                  </pic:blipFill>
                  <pic:spPr bwMode="auto">
                    <a:xfrm>
                      <a:off x="0" y="0"/>
                      <a:ext cx="4676475" cy="2884933"/>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F22BE3">
        <w:rPr>
          <w:rFonts w:ascii="Times New Roman" w:hAnsi="Times New Roman"/>
          <w:b/>
          <w:sz w:val="28"/>
          <w:szCs w:val="28"/>
        </w:rPr>
        <w:t>MOR-74</w:t>
      </w:r>
      <w:r>
        <w:rPr>
          <w:rFonts w:ascii="Times New Roman" w:hAnsi="Times New Roman"/>
          <w:b/>
          <w:sz w:val="28"/>
          <w:szCs w:val="28"/>
        </w:rPr>
        <w:t xml:space="preserve"> (217.3)</w:t>
      </w:r>
    </w:p>
    <w:p w:rsidR="00DF24FA" w:rsidRDefault="00DF24FA" w:rsidP="00DF24FA">
      <w:pPr>
        <w:jc w:val="center"/>
        <w:rPr>
          <w:rFonts w:ascii="Times New Roman" w:hAnsi="Times New Roman"/>
          <w:b/>
          <w:sz w:val="28"/>
          <w:szCs w:val="28"/>
        </w:rPr>
      </w:pPr>
    </w:p>
    <w:p w:rsidR="00DF24FA" w:rsidRPr="00F22BE3" w:rsidRDefault="00DF24FA" w:rsidP="00DF24FA">
      <w:pPr>
        <w:jc w:val="center"/>
        <w:rPr>
          <w:rFonts w:ascii="Times New Roman" w:hAnsi="Times New Roman"/>
          <w:b/>
          <w:sz w:val="28"/>
          <w:szCs w:val="28"/>
        </w:rPr>
      </w:pPr>
      <w:r w:rsidRPr="00F109B1">
        <w:rPr>
          <w:rFonts w:ascii="Times New Roman" w:hAnsi="Times New Roman"/>
          <w:b/>
          <w:noProof/>
          <w:sz w:val="28"/>
          <w:szCs w:val="28"/>
          <w:lang w:val="tr-TR" w:eastAsia="tr-TR" w:bidi="ar-SA"/>
        </w:rPr>
        <w:drawing>
          <wp:inline distT="0" distB="0" distL="0" distR="0" wp14:anchorId="1B9BF47C" wp14:editId="48FF0480">
            <wp:extent cx="4702241" cy="2878455"/>
            <wp:effectExtent l="0" t="0" r="3175" b="0"/>
            <wp:docPr id="4403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Grp="1" noChangeAspect="1" noChangeArrowheads="1"/>
                    </pic:cNvPicPr>
                  </pic:nvPicPr>
                  <pic:blipFill rotWithShape="1">
                    <a:blip r:embed="rId153"/>
                    <a:srcRect l="19002" t="11725" r="11956" b="3876"/>
                    <a:stretch/>
                  </pic:blipFill>
                  <pic:spPr bwMode="auto">
                    <a:xfrm>
                      <a:off x="0" y="0"/>
                      <a:ext cx="4713205" cy="2885167"/>
                    </a:xfrm>
                    <a:prstGeom prst="rect">
                      <a:avLst/>
                    </a:prstGeom>
                    <a:noFill/>
                    <a:ln w="9525">
                      <a:noFill/>
                      <a:miter lim="800000"/>
                      <a:headEnd/>
                      <a:tailEnd/>
                    </a:ln>
                    <a:effectLst/>
                  </pic:spPr>
                </pic:pic>
              </a:graphicData>
            </a:graphic>
          </wp:inline>
        </w:drawing>
      </w: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lastRenderedPageBreak/>
        <w:t>A-8</w:t>
      </w:r>
      <w:r>
        <w:rPr>
          <w:rFonts w:ascii="Times New Roman" w:hAnsi="Times New Roman"/>
          <w:b/>
          <w:sz w:val="28"/>
          <w:szCs w:val="28"/>
        </w:rPr>
        <w:t xml:space="preserve"> </w:t>
      </w:r>
      <w:r w:rsidRPr="00F334DB">
        <w:rPr>
          <w:rFonts w:ascii="Times New Roman" w:hAnsi="Times New Roman"/>
          <w:b/>
          <w:sz w:val="28"/>
          <w:szCs w:val="28"/>
        </w:rPr>
        <w:t>(191.3)</w:t>
      </w:r>
    </w:p>
    <w:p w:rsidR="00DF24FA" w:rsidRPr="00F22BE3"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noProof/>
          <w:sz w:val="28"/>
          <w:szCs w:val="28"/>
          <w:lang w:val="tr-TR" w:eastAsia="tr-TR" w:bidi="ar-SA"/>
        </w:rPr>
        <w:drawing>
          <wp:inline distT="0" distB="0" distL="0" distR="0" wp14:anchorId="7A5C78F7" wp14:editId="48998D19">
            <wp:extent cx="4669831" cy="2880000"/>
            <wp:effectExtent l="0" t="0" r="0" b="0"/>
            <wp:docPr id="2150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506" name="Picture 2"/>
                    <pic:cNvPicPr>
                      <a:picLocks noGrp="1" noChangeAspect="1" noChangeArrowheads="1"/>
                    </pic:cNvPicPr>
                  </pic:nvPicPr>
                  <pic:blipFill rotWithShape="1">
                    <a:blip r:embed="rId154"/>
                    <a:srcRect l="17072" t="15385" r="9407" b="3846"/>
                    <a:stretch/>
                  </pic:blipFill>
                  <pic:spPr bwMode="auto">
                    <a:xfrm>
                      <a:off x="0" y="0"/>
                      <a:ext cx="4669831" cy="2880000"/>
                    </a:xfrm>
                    <a:prstGeom prst="rect">
                      <a:avLst/>
                    </a:prstGeom>
                    <a:noFill/>
                    <a:ln w="9525">
                      <a:noFill/>
                      <a:miter lim="800000"/>
                      <a:headEnd/>
                      <a:tailEnd/>
                    </a:ln>
                    <a:effectLst/>
                  </pic:spPr>
                </pic:pic>
              </a:graphicData>
            </a:graphic>
          </wp:inline>
        </w:drawing>
      </w:r>
    </w:p>
    <w:p w:rsidR="00DF24FA"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t>A-8</w:t>
      </w:r>
      <w:r>
        <w:rPr>
          <w:rFonts w:ascii="Times New Roman" w:hAnsi="Times New Roman"/>
          <w:b/>
          <w:sz w:val="28"/>
          <w:szCs w:val="28"/>
        </w:rPr>
        <w:t xml:space="preserve"> (217.3)</w:t>
      </w:r>
    </w:p>
    <w:p w:rsidR="00DF24FA" w:rsidRDefault="00DF24FA" w:rsidP="00DF24FA">
      <w:pPr>
        <w:tabs>
          <w:tab w:val="left" w:pos="1695"/>
        </w:tabs>
        <w:jc w:val="center"/>
        <w:rPr>
          <w:rFonts w:ascii="Times New Roman" w:hAnsi="Times New Roman"/>
          <w:b/>
          <w:sz w:val="28"/>
          <w:szCs w:val="28"/>
        </w:rPr>
      </w:pPr>
    </w:p>
    <w:p w:rsidR="00DF24FA" w:rsidRPr="00F22BE3" w:rsidRDefault="00DF24FA" w:rsidP="00DF24FA">
      <w:pPr>
        <w:tabs>
          <w:tab w:val="left" w:pos="1695"/>
        </w:tabs>
        <w:jc w:val="center"/>
        <w:rPr>
          <w:rFonts w:ascii="Times New Roman" w:hAnsi="Times New Roman"/>
          <w:b/>
          <w:sz w:val="28"/>
          <w:szCs w:val="28"/>
        </w:rPr>
      </w:pPr>
      <w:r w:rsidRPr="00340509">
        <w:rPr>
          <w:rFonts w:ascii="Times New Roman" w:hAnsi="Times New Roman"/>
          <w:b/>
          <w:noProof/>
          <w:sz w:val="28"/>
          <w:szCs w:val="28"/>
          <w:lang w:val="tr-TR" w:eastAsia="tr-TR" w:bidi="ar-SA"/>
        </w:rPr>
        <w:drawing>
          <wp:inline distT="0" distB="0" distL="0" distR="0" wp14:anchorId="45C6CB2D" wp14:editId="766D680B">
            <wp:extent cx="4708980" cy="2880000"/>
            <wp:effectExtent l="0" t="0" r="0" b="0"/>
            <wp:docPr id="2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Grp="1" noChangeAspect="1" noChangeArrowheads="1"/>
                    </pic:cNvPicPr>
                  </pic:nvPicPr>
                  <pic:blipFill rotWithShape="1">
                    <a:blip r:embed="rId155"/>
                    <a:srcRect l="17592" t="8711" r="13365" b="3875"/>
                    <a:stretch/>
                  </pic:blipFill>
                  <pic:spPr bwMode="auto">
                    <a:xfrm>
                      <a:off x="0" y="0"/>
                      <a:ext cx="4708980" cy="2880000"/>
                    </a:xfrm>
                    <a:prstGeom prst="rect">
                      <a:avLst/>
                    </a:prstGeom>
                    <a:noFill/>
                    <a:ln w="9525">
                      <a:noFill/>
                      <a:miter lim="800000"/>
                      <a:headEnd/>
                      <a:tailEnd/>
                    </a:ln>
                    <a:effectLst/>
                  </pic:spPr>
                </pic:pic>
              </a:graphicData>
            </a:graphic>
          </wp:inline>
        </w:drawing>
      </w: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lastRenderedPageBreak/>
        <w:t>A-16</w:t>
      </w:r>
      <w:r>
        <w:rPr>
          <w:rFonts w:ascii="Times New Roman" w:hAnsi="Times New Roman"/>
          <w:b/>
          <w:sz w:val="28"/>
          <w:szCs w:val="28"/>
        </w:rPr>
        <w:t xml:space="preserve"> </w:t>
      </w:r>
      <w:r w:rsidRPr="00F334DB">
        <w:rPr>
          <w:rFonts w:ascii="Times New Roman" w:hAnsi="Times New Roman"/>
          <w:b/>
          <w:sz w:val="28"/>
          <w:szCs w:val="28"/>
        </w:rPr>
        <w:t>(191.3)</w:t>
      </w:r>
    </w:p>
    <w:p w:rsidR="00DF24FA" w:rsidRPr="00F22BE3"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noProof/>
          <w:sz w:val="28"/>
          <w:szCs w:val="28"/>
          <w:lang w:val="tr-TR" w:eastAsia="tr-TR" w:bidi="ar-SA"/>
        </w:rPr>
        <w:drawing>
          <wp:inline distT="0" distB="0" distL="0" distR="0" wp14:anchorId="5E3D6102" wp14:editId="73BF8308">
            <wp:extent cx="4702628" cy="2878771"/>
            <wp:effectExtent l="0" t="0" r="3175" b="0"/>
            <wp:docPr id="5017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0178" name="Picture 2"/>
                    <pic:cNvPicPr>
                      <a:picLocks noGrp="1" noChangeAspect="1" noChangeArrowheads="1"/>
                    </pic:cNvPicPr>
                  </pic:nvPicPr>
                  <pic:blipFill rotWithShape="1">
                    <a:blip r:embed="rId156"/>
                    <a:srcRect l="14774" t="14739" r="10548" b="3876"/>
                    <a:stretch/>
                  </pic:blipFill>
                  <pic:spPr bwMode="auto">
                    <a:xfrm>
                      <a:off x="0" y="0"/>
                      <a:ext cx="4710795" cy="2883771"/>
                    </a:xfrm>
                    <a:prstGeom prst="rect">
                      <a:avLst/>
                    </a:prstGeom>
                    <a:noFill/>
                    <a:ln w="9525">
                      <a:noFill/>
                      <a:miter lim="800000"/>
                      <a:headEnd/>
                      <a:tailEnd/>
                    </a:ln>
                    <a:effectLst/>
                  </pic:spPr>
                </pic:pic>
              </a:graphicData>
            </a:graphic>
          </wp:inline>
        </w:drawing>
      </w:r>
    </w:p>
    <w:p w:rsidR="00DF24FA"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t>A-16</w:t>
      </w:r>
      <w:r>
        <w:rPr>
          <w:rFonts w:ascii="Times New Roman" w:hAnsi="Times New Roman"/>
          <w:b/>
          <w:sz w:val="28"/>
          <w:szCs w:val="28"/>
        </w:rPr>
        <w:t xml:space="preserve"> (217.3)</w:t>
      </w:r>
    </w:p>
    <w:p w:rsidR="00DF24FA" w:rsidRDefault="00DF24FA" w:rsidP="00DF24FA">
      <w:pPr>
        <w:tabs>
          <w:tab w:val="left" w:pos="1695"/>
        </w:tabs>
        <w:jc w:val="center"/>
        <w:rPr>
          <w:rFonts w:ascii="Times New Roman" w:hAnsi="Times New Roman"/>
          <w:b/>
          <w:sz w:val="28"/>
          <w:szCs w:val="28"/>
        </w:rPr>
      </w:pPr>
    </w:p>
    <w:p w:rsidR="00DF24FA" w:rsidRPr="00F22BE3" w:rsidRDefault="00DF24FA" w:rsidP="00DF24FA">
      <w:pPr>
        <w:tabs>
          <w:tab w:val="left" w:pos="1695"/>
        </w:tabs>
        <w:jc w:val="center"/>
        <w:rPr>
          <w:rFonts w:ascii="Times New Roman" w:hAnsi="Times New Roman"/>
          <w:b/>
          <w:sz w:val="28"/>
          <w:szCs w:val="28"/>
        </w:rPr>
      </w:pPr>
      <w:r w:rsidRPr="00340509">
        <w:rPr>
          <w:rFonts w:ascii="Times New Roman" w:hAnsi="Times New Roman"/>
          <w:b/>
          <w:noProof/>
          <w:sz w:val="28"/>
          <w:szCs w:val="28"/>
          <w:lang w:val="tr-TR" w:eastAsia="tr-TR" w:bidi="ar-SA"/>
        </w:rPr>
        <w:drawing>
          <wp:inline distT="0" distB="0" distL="0" distR="0" wp14:anchorId="1512CD09" wp14:editId="0D5080F4">
            <wp:extent cx="4714050" cy="2879045"/>
            <wp:effectExtent l="0" t="0" r="0" b="0"/>
            <wp:docPr id="4403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866" name="Picture 2"/>
                    <pic:cNvPicPr>
                      <a:picLocks noGrp="1" noChangeAspect="1" noChangeArrowheads="1"/>
                    </pic:cNvPicPr>
                  </pic:nvPicPr>
                  <pic:blipFill rotWithShape="1">
                    <a:blip r:embed="rId157"/>
                    <a:srcRect l="16183" t="8711" r="13365"/>
                    <a:stretch/>
                  </pic:blipFill>
                  <pic:spPr bwMode="auto">
                    <a:xfrm>
                      <a:off x="0" y="0"/>
                      <a:ext cx="4732138" cy="2890092"/>
                    </a:xfrm>
                    <a:prstGeom prst="rect">
                      <a:avLst/>
                    </a:prstGeom>
                    <a:noFill/>
                    <a:ln w="9525">
                      <a:noFill/>
                      <a:miter lim="800000"/>
                      <a:headEnd/>
                      <a:tailEnd/>
                    </a:ln>
                    <a:effectLst/>
                  </pic:spPr>
                </pic:pic>
              </a:graphicData>
            </a:graphic>
          </wp:inline>
        </w:drawing>
      </w: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lastRenderedPageBreak/>
        <w:t>A-20</w:t>
      </w:r>
      <w:r>
        <w:rPr>
          <w:rFonts w:ascii="Times New Roman" w:hAnsi="Times New Roman"/>
          <w:b/>
          <w:sz w:val="28"/>
          <w:szCs w:val="28"/>
        </w:rPr>
        <w:t xml:space="preserve"> </w:t>
      </w:r>
      <w:r w:rsidRPr="00F334DB">
        <w:rPr>
          <w:rFonts w:ascii="Times New Roman" w:hAnsi="Times New Roman"/>
          <w:b/>
          <w:sz w:val="28"/>
          <w:szCs w:val="28"/>
        </w:rPr>
        <w:t>(191.3)</w:t>
      </w:r>
    </w:p>
    <w:p w:rsidR="00DF24FA" w:rsidRPr="00F22BE3"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noProof/>
          <w:sz w:val="28"/>
          <w:szCs w:val="28"/>
          <w:lang w:val="tr-TR" w:eastAsia="tr-TR" w:bidi="ar-SA"/>
        </w:rPr>
        <w:drawing>
          <wp:inline distT="0" distB="0" distL="0" distR="0" wp14:anchorId="646FCA55" wp14:editId="2FB219D6">
            <wp:extent cx="4702629" cy="2879090"/>
            <wp:effectExtent l="0" t="0" r="3175" b="0"/>
            <wp:docPr id="4301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3010" name="Picture 2"/>
                    <pic:cNvPicPr>
                      <a:picLocks noGrp="1" noChangeAspect="1" noChangeArrowheads="1"/>
                    </pic:cNvPicPr>
                  </pic:nvPicPr>
                  <pic:blipFill rotWithShape="1">
                    <a:blip r:embed="rId158"/>
                    <a:srcRect l="14775" t="22191" r="7729" b="3876"/>
                    <a:stretch/>
                  </pic:blipFill>
                  <pic:spPr bwMode="auto">
                    <a:xfrm>
                      <a:off x="0" y="0"/>
                      <a:ext cx="4709899" cy="2883541"/>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F24FA"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t>A-20</w:t>
      </w:r>
      <w:r>
        <w:rPr>
          <w:rFonts w:ascii="Times New Roman" w:hAnsi="Times New Roman"/>
          <w:b/>
          <w:sz w:val="28"/>
          <w:szCs w:val="28"/>
        </w:rPr>
        <w:t xml:space="preserve"> (217.3)</w:t>
      </w:r>
    </w:p>
    <w:p w:rsidR="00DF24FA" w:rsidRDefault="00DF24FA" w:rsidP="00DF24FA">
      <w:pPr>
        <w:tabs>
          <w:tab w:val="left" w:pos="1695"/>
        </w:tabs>
        <w:jc w:val="center"/>
        <w:rPr>
          <w:rFonts w:ascii="Times New Roman" w:hAnsi="Times New Roman"/>
          <w:b/>
          <w:sz w:val="28"/>
          <w:szCs w:val="28"/>
        </w:rPr>
      </w:pPr>
    </w:p>
    <w:p w:rsidR="00DF24FA" w:rsidRPr="00F22BE3" w:rsidRDefault="00DF24FA" w:rsidP="00DF24FA">
      <w:pPr>
        <w:tabs>
          <w:tab w:val="left" w:pos="1695"/>
        </w:tabs>
        <w:jc w:val="center"/>
        <w:rPr>
          <w:rFonts w:ascii="Times New Roman" w:hAnsi="Times New Roman"/>
          <w:b/>
          <w:sz w:val="28"/>
          <w:szCs w:val="28"/>
        </w:rPr>
      </w:pPr>
      <w:r w:rsidRPr="00340509">
        <w:rPr>
          <w:rFonts w:ascii="Times New Roman" w:hAnsi="Times New Roman"/>
          <w:b/>
          <w:noProof/>
          <w:sz w:val="28"/>
          <w:szCs w:val="28"/>
          <w:lang w:val="tr-TR" w:eastAsia="tr-TR" w:bidi="ar-SA"/>
        </w:rPr>
        <w:drawing>
          <wp:inline distT="0" distB="0" distL="0" distR="0" wp14:anchorId="5E96035A" wp14:editId="3C0B8104">
            <wp:extent cx="4666549" cy="2877820"/>
            <wp:effectExtent l="0" t="0" r="1270" b="0"/>
            <wp:docPr id="44033"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22" name="Picture 2"/>
                    <pic:cNvPicPr>
                      <a:picLocks noGrp="1" noChangeAspect="1" noChangeArrowheads="1"/>
                    </pic:cNvPicPr>
                  </pic:nvPicPr>
                  <pic:blipFill rotWithShape="1">
                    <a:blip r:embed="rId159"/>
                    <a:srcRect l="14774" t="8711" r="11956"/>
                    <a:stretch/>
                  </pic:blipFill>
                  <pic:spPr bwMode="auto">
                    <a:xfrm>
                      <a:off x="0" y="0"/>
                      <a:ext cx="4682545" cy="2887685"/>
                    </a:xfrm>
                    <a:prstGeom prst="rect">
                      <a:avLst/>
                    </a:prstGeom>
                    <a:noFill/>
                    <a:ln w="9525">
                      <a:noFill/>
                      <a:miter lim="800000"/>
                      <a:headEnd/>
                      <a:tailEnd/>
                    </a:ln>
                    <a:effectLst/>
                  </pic:spPr>
                </pic:pic>
              </a:graphicData>
            </a:graphic>
          </wp:inline>
        </w:drawing>
      </w: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lastRenderedPageBreak/>
        <w:t>A-22</w:t>
      </w:r>
      <w:r>
        <w:rPr>
          <w:rFonts w:ascii="Times New Roman" w:hAnsi="Times New Roman"/>
          <w:b/>
          <w:sz w:val="28"/>
          <w:szCs w:val="28"/>
        </w:rPr>
        <w:t xml:space="preserve"> </w:t>
      </w:r>
      <w:r w:rsidRPr="00F334DB">
        <w:rPr>
          <w:rFonts w:ascii="Times New Roman" w:hAnsi="Times New Roman"/>
          <w:b/>
          <w:sz w:val="28"/>
          <w:szCs w:val="28"/>
        </w:rPr>
        <w:t>(191.3)</w:t>
      </w:r>
    </w:p>
    <w:p w:rsidR="00DF24FA" w:rsidRPr="00F22BE3"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noProof/>
          <w:sz w:val="28"/>
          <w:szCs w:val="28"/>
          <w:lang w:val="tr-TR" w:eastAsia="tr-TR" w:bidi="ar-SA"/>
        </w:rPr>
        <w:drawing>
          <wp:inline distT="0" distB="0" distL="0" distR="0" wp14:anchorId="206150D2" wp14:editId="50663E03">
            <wp:extent cx="4655127" cy="2878255"/>
            <wp:effectExtent l="0" t="0" r="0" b="0"/>
            <wp:docPr id="2048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Grp="1" noChangeAspect="1" noChangeArrowheads="1"/>
                    </pic:cNvPicPr>
                  </pic:nvPicPr>
                  <pic:blipFill rotWithShape="1">
                    <a:blip r:embed="rId160"/>
                    <a:srcRect l="16183" t="45388" r="14775" b="3876"/>
                    <a:stretch/>
                  </pic:blipFill>
                  <pic:spPr bwMode="auto">
                    <a:xfrm>
                      <a:off x="0" y="0"/>
                      <a:ext cx="4669847" cy="288735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F24FA"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t>A-22</w:t>
      </w:r>
      <w:r>
        <w:rPr>
          <w:rFonts w:ascii="Times New Roman" w:hAnsi="Times New Roman"/>
          <w:b/>
          <w:sz w:val="28"/>
          <w:szCs w:val="28"/>
        </w:rPr>
        <w:t xml:space="preserve"> (217.3)</w:t>
      </w:r>
    </w:p>
    <w:p w:rsidR="00DF24FA"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340509">
        <w:rPr>
          <w:rFonts w:ascii="Times New Roman" w:hAnsi="Times New Roman"/>
          <w:b/>
          <w:noProof/>
          <w:sz w:val="28"/>
          <w:szCs w:val="28"/>
          <w:lang w:val="tr-TR" w:eastAsia="tr-TR" w:bidi="ar-SA"/>
        </w:rPr>
        <w:drawing>
          <wp:inline distT="0" distB="0" distL="0" distR="0" wp14:anchorId="7D65DBFE" wp14:editId="47B5967C">
            <wp:extent cx="4702629" cy="2878455"/>
            <wp:effectExtent l="0" t="0" r="3175" b="0"/>
            <wp:docPr id="4403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Grp="1" noChangeAspect="1" noChangeArrowheads="1"/>
                    </pic:cNvPicPr>
                  </pic:nvPicPr>
                  <pic:blipFill rotWithShape="1">
                    <a:blip r:embed="rId161"/>
                    <a:srcRect l="14774" t="8711" r="11956" b="3875"/>
                    <a:stretch/>
                  </pic:blipFill>
                  <pic:spPr bwMode="auto">
                    <a:xfrm>
                      <a:off x="0" y="0"/>
                      <a:ext cx="4716167" cy="2886742"/>
                    </a:xfrm>
                    <a:prstGeom prst="rect">
                      <a:avLst/>
                    </a:prstGeom>
                    <a:noFill/>
                    <a:ln w="9525">
                      <a:noFill/>
                      <a:miter lim="800000"/>
                      <a:headEnd/>
                      <a:tailEnd/>
                    </a:ln>
                    <a:effectLst/>
                  </pic:spPr>
                </pic:pic>
              </a:graphicData>
            </a:graphic>
          </wp:inline>
        </w:drawing>
      </w: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lastRenderedPageBreak/>
        <w:t>A-26</w:t>
      </w:r>
      <w:r>
        <w:rPr>
          <w:rFonts w:ascii="Times New Roman" w:hAnsi="Times New Roman"/>
          <w:b/>
          <w:sz w:val="28"/>
          <w:szCs w:val="28"/>
        </w:rPr>
        <w:t xml:space="preserve"> </w:t>
      </w:r>
      <w:r w:rsidRPr="00F334DB">
        <w:rPr>
          <w:rFonts w:ascii="Times New Roman" w:hAnsi="Times New Roman"/>
          <w:b/>
          <w:sz w:val="28"/>
          <w:szCs w:val="28"/>
        </w:rPr>
        <w:t>(191.3)</w:t>
      </w:r>
    </w:p>
    <w:p w:rsidR="00DF24FA" w:rsidRPr="00F22BE3"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noProof/>
          <w:sz w:val="28"/>
          <w:szCs w:val="28"/>
          <w:lang w:val="tr-TR" w:eastAsia="tr-TR" w:bidi="ar-SA"/>
        </w:rPr>
        <w:drawing>
          <wp:inline distT="0" distB="0" distL="0" distR="0" wp14:anchorId="1C5AEC97" wp14:editId="673312A7">
            <wp:extent cx="4678878" cy="2878772"/>
            <wp:effectExtent l="0" t="0" r="7620" b="0"/>
            <wp:docPr id="3584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5842" name="Picture 2"/>
                    <pic:cNvPicPr>
                      <a:picLocks noGrp="1" noChangeAspect="1" noChangeArrowheads="1"/>
                    </pic:cNvPicPr>
                  </pic:nvPicPr>
                  <pic:blipFill rotWithShape="1">
                    <a:blip r:embed="rId162"/>
                    <a:srcRect l="19002" t="17754" r="11956" b="3876"/>
                    <a:stretch/>
                  </pic:blipFill>
                  <pic:spPr bwMode="auto">
                    <a:xfrm>
                      <a:off x="0" y="0"/>
                      <a:ext cx="4688602" cy="2884755"/>
                    </a:xfrm>
                    <a:prstGeom prst="rect">
                      <a:avLst/>
                    </a:prstGeom>
                    <a:noFill/>
                    <a:ln w="9525">
                      <a:noFill/>
                      <a:miter lim="800000"/>
                      <a:headEnd/>
                      <a:tailEnd/>
                    </a:ln>
                    <a:effectLst/>
                  </pic:spPr>
                </pic:pic>
              </a:graphicData>
            </a:graphic>
          </wp:inline>
        </w:drawing>
      </w:r>
    </w:p>
    <w:p w:rsidR="00DF24FA"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t>A-26</w:t>
      </w:r>
      <w:r>
        <w:rPr>
          <w:rFonts w:ascii="Times New Roman" w:hAnsi="Times New Roman"/>
          <w:b/>
          <w:sz w:val="28"/>
          <w:szCs w:val="28"/>
        </w:rPr>
        <w:t xml:space="preserve"> (217.3)</w:t>
      </w:r>
    </w:p>
    <w:p w:rsidR="00DF24FA"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340509">
        <w:rPr>
          <w:rFonts w:ascii="Times New Roman" w:hAnsi="Times New Roman"/>
          <w:b/>
          <w:noProof/>
          <w:sz w:val="28"/>
          <w:szCs w:val="28"/>
          <w:lang w:val="tr-TR" w:eastAsia="tr-TR" w:bidi="ar-SA"/>
        </w:rPr>
        <w:drawing>
          <wp:inline distT="0" distB="0" distL="0" distR="0" wp14:anchorId="2D5F7A8B" wp14:editId="42ECF339">
            <wp:extent cx="4702431" cy="2879090"/>
            <wp:effectExtent l="0" t="0" r="3175" b="0"/>
            <wp:docPr id="266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626" name="Picture 2"/>
                    <pic:cNvPicPr>
                      <a:picLocks noGrp="1" noChangeAspect="1" noChangeArrowheads="1"/>
                    </pic:cNvPicPr>
                  </pic:nvPicPr>
                  <pic:blipFill rotWithShape="1">
                    <a:blip r:embed="rId163"/>
                    <a:srcRect l="14775" t="14739" r="13365" b="3876"/>
                    <a:stretch/>
                  </pic:blipFill>
                  <pic:spPr bwMode="auto">
                    <a:xfrm>
                      <a:off x="0" y="0"/>
                      <a:ext cx="4713399" cy="2885805"/>
                    </a:xfrm>
                    <a:prstGeom prst="rect">
                      <a:avLst/>
                    </a:prstGeom>
                    <a:noFill/>
                    <a:ln w="9525">
                      <a:noFill/>
                      <a:miter lim="800000"/>
                      <a:headEnd/>
                      <a:tailEnd/>
                    </a:ln>
                    <a:effectLst/>
                  </pic:spPr>
                </pic:pic>
              </a:graphicData>
            </a:graphic>
          </wp:inline>
        </w:drawing>
      </w: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lastRenderedPageBreak/>
        <w:t>H-2</w:t>
      </w:r>
      <w:r>
        <w:rPr>
          <w:rFonts w:ascii="Times New Roman" w:hAnsi="Times New Roman"/>
          <w:b/>
          <w:sz w:val="28"/>
          <w:szCs w:val="28"/>
        </w:rPr>
        <w:t xml:space="preserve"> </w:t>
      </w:r>
      <w:r w:rsidRPr="00F334DB">
        <w:rPr>
          <w:rFonts w:ascii="Times New Roman" w:hAnsi="Times New Roman"/>
          <w:b/>
          <w:sz w:val="28"/>
          <w:szCs w:val="28"/>
        </w:rPr>
        <w:t>(191.3)</w:t>
      </w:r>
    </w:p>
    <w:p w:rsidR="00DF24FA" w:rsidRPr="00F22BE3"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noProof/>
          <w:sz w:val="28"/>
          <w:szCs w:val="28"/>
          <w:lang w:val="tr-TR" w:eastAsia="tr-TR" w:bidi="ar-SA"/>
        </w:rPr>
        <w:drawing>
          <wp:inline distT="0" distB="0" distL="0" distR="0" wp14:anchorId="173BAB8D" wp14:editId="6730EB87">
            <wp:extent cx="4702629" cy="2879008"/>
            <wp:effectExtent l="0" t="0" r="3175" b="0"/>
            <wp:docPr id="2253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2530" name="Picture 2"/>
                    <pic:cNvPicPr>
                      <a:picLocks noGrp="1" noChangeAspect="1" noChangeArrowheads="1"/>
                    </pic:cNvPicPr>
                  </pic:nvPicPr>
                  <pic:blipFill rotWithShape="1">
                    <a:blip r:embed="rId164"/>
                    <a:srcRect l="19237" t="11496" r="11343" b="3104"/>
                    <a:stretch/>
                  </pic:blipFill>
                  <pic:spPr bwMode="auto">
                    <a:xfrm>
                      <a:off x="0" y="0"/>
                      <a:ext cx="4718318" cy="2888613"/>
                    </a:xfrm>
                    <a:prstGeom prst="rect">
                      <a:avLst/>
                    </a:prstGeom>
                    <a:noFill/>
                    <a:ln w="9525">
                      <a:noFill/>
                      <a:miter lim="800000"/>
                      <a:headEnd/>
                      <a:tailEnd/>
                    </a:ln>
                    <a:effectLst/>
                  </pic:spPr>
                </pic:pic>
              </a:graphicData>
            </a:graphic>
          </wp:inline>
        </w:drawing>
      </w:r>
    </w:p>
    <w:p w:rsidR="00DF24FA"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22BE3">
        <w:rPr>
          <w:rFonts w:ascii="Times New Roman" w:hAnsi="Times New Roman"/>
          <w:b/>
          <w:sz w:val="28"/>
          <w:szCs w:val="28"/>
        </w:rPr>
        <w:t>H-2</w:t>
      </w:r>
      <w:r>
        <w:rPr>
          <w:rFonts w:ascii="Times New Roman" w:hAnsi="Times New Roman"/>
          <w:b/>
          <w:sz w:val="28"/>
          <w:szCs w:val="28"/>
        </w:rPr>
        <w:t xml:space="preserve"> (217.3)</w:t>
      </w:r>
    </w:p>
    <w:p w:rsidR="00DF24FA" w:rsidRDefault="00DF24FA" w:rsidP="00DF24FA">
      <w:pPr>
        <w:tabs>
          <w:tab w:val="left" w:pos="1695"/>
        </w:tabs>
        <w:jc w:val="center"/>
        <w:rPr>
          <w:rFonts w:ascii="Times New Roman" w:hAnsi="Times New Roman"/>
          <w:b/>
          <w:sz w:val="28"/>
          <w:szCs w:val="28"/>
        </w:rPr>
      </w:pPr>
    </w:p>
    <w:p w:rsidR="00DF24FA" w:rsidRDefault="00DF24FA" w:rsidP="00DF24FA">
      <w:pPr>
        <w:tabs>
          <w:tab w:val="left" w:pos="1695"/>
        </w:tabs>
        <w:jc w:val="center"/>
        <w:rPr>
          <w:rFonts w:ascii="Times New Roman" w:hAnsi="Times New Roman"/>
          <w:b/>
          <w:sz w:val="28"/>
          <w:szCs w:val="28"/>
        </w:rPr>
      </w:pPr>
      <w:r w:rsidRPr="00F334DB">
        <w:rPr>
          <w:rFonts w:ascii="Times New Roman" w:hAnsi="Times New Roman"/>
          <w:b/>
          <w:noProof/>
          <w:sz w:val="28"/>
          <w:szCs w:val="28"/>
          <w:lang w:val="tr-TR" w:eastAsia="tr-TR" w:bidi="ar-SA"/>
        </w:rPr>
        <w:drawing>
          <wp:inline distT="0" distB="0" distL="0" distR="0" wp14:anchorId="5AC899CB" wp14:editId="5CC0F555">
            <wp:extent cx="4667002" cy="2879450"/>
            <wp:effectExtent l="0" t="0" r="635" b="0"/>
            <wp:docPr id="44039"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434" name="Picture 2"/>
                    <pic:cNvPicPr>
                      <a:picLocks noGrp="1" noChangeAspect="1" noChangeArrowheads="1"/>
                    </pic:cNvPicPr>
                  </pic:nvPicPr>
                  <pic:blipFill rotWithShape="1">
                    <a:blip r:embed="rId165"/>
                    <a:srcRect l="16183" t="11725" r="14775" b="3876"/>
                    <a:stretch/>
                  </pic:blipFill>
                  <pic:spPr bwMode="auto">
                    <a:xfrm>
                      <a:off x="0" y="0"/>
                      <a:ext cx="4676973" cy="2885602"/>
                    </a:xfrm>
                    <a:prstGeom prst="rect">
                      <a:avLst/>
                    </a:prstGeom>
                    <a:noFill/>
                    <a:ln w="9525">
                      <a:noFill/>
                      <a:miter lim="800000"/>
                      <a:headEnd/>
                      <a:tailEnd/>
                    </a:ln>
                    <a:effectLst/>
                  </pic:spPr>
                </pic:pic>
              </a:graphicData>
            </a:graphic>
          </wp:inline>
        </w:drawing>
      </w:r>
    </w:p>
    <w:p w:rsidR="00DF24FA" w:rsidRDefault="00DF24FA" w:rsidP="00DF24FA">
      <w:pPr>
        <w:pStyle w:val="Balk1"/>
      </w:pPr>
      <w:bookmarkStart w:id="159" w:name="_Toc507506671"/>
      <w:r>
        <w:lastRenderedPageBreak/>
        <w:t>Appendix D</w:t>
      </w:r>
      <w:r w:rsidR="00B23625">
        <w:t>: Selected GCMS-MS Results</w:t>
      </w:r>
      <w:bookmarkEnd w:id="159"/>
    </w:p>
    <w:p w:rsidR="00DF24FA" w:rsidRDefault="00DF24FA" w:rsidP="00DF24FA">
      <w:pPr>
        <w:jc w:val="center"/>
        <w:rPr>
          <w:rFonts w:ascii="Times New Roman" w:hAnsi="Times New Roman"/>
          <w:b/>
          <w:sz w:val="28"/>
          <w:szCs w:val="32"/>
        </w:rPr>
      </w:pPr>
      <w:r>
        <w:rPr>
          <w:rFonts w:ascii="Times New Roman" w:hAnsi="Times New Roman"/>
          <w:b/>
          <w:sz w:val="28"/>
          <w:szCs w:val="32"/>
        </w:rPr>
        <w:t>MOR-57</w:t>
      </w:r>
    </w:p>
    <w:p w:rsidR="00DF24FA" w:rsidRDefault="00DF24FA" w:rsidP="00DF24FA">
      <w:pPr>
        <w:jc w:val="center"/>
        <w:rPr>
          <w:rFonts w:ascii="Times New Roman" w:hAnsi="Times New Roman"/>
          <w:b/>
          <w:sz w:val="28"/>
          <w:szCs w:val="32"/>
        </w:rPr>
      </w:pPr>
    </w:p>
    <w:p w:rsidR="00DF24FA" w:rsidRDefault="00DF24FA" w:rsidP="00DF24FA">
      <w:pPr>
        <w:jc w:val="center"/>
        <w:rPr>
          <w:rFonts w:ascii="Times New Roman" w:hAnsi="Times New Roman"/>
          <w:b/>
          <w:sz w:val="28"/>
          <w:szCs w:val="32"/>
        </w:rPr>
      </w:pPr>
      <w:r w:rsidRPr="00232DDD">
        <w:rPr>
          <w:rFonts w:ascii="Times New Roman" w:hAnsi="Times New Roman"/>
          <w:b/>
          <w:noProof/>
          <w:sz w:val="28"/>
          <w:szCs w:val="32"/>
          <w:lang w:val="tr-TR" w:eastAsia="tr-TR" w:bidi="ar-SA"/>
        </w:rPr>
        <w:drawing>
          <wp:inline distT="0" distB="0" distL="0" distR="0" wp14:anchorId="393B6CB1" wp14:editId="37C5904D">
            <wp:extent cx="4363242" cy="2700000"/>
            <wp:effectExtent l="0" t="0" r="0" b="5715"/>
            <wp:docPr id="44035"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6"/>
                    <pic:cNvPicPr>
                      <a:picLocks noChangeAspect="1"/>
                    </pic:cNvPicPr>
                  </pic:nvPicPr>
                  <pic:blipFill>
                    <a:blip r:embed="rId166"/>
                    <a:stretch>
                      <a:fillRect/>
                    </a:stretch>
                  </pic:blipFill>
                  <pic:spPr>
                    <a:xfrm>
                      <a:off x="0" y="0"/>
                      <a:ext cx="4363242" cy="2700000"/>
                    </a:xfrm>
                    <a:prstGeom prst="rect">
                      <a:avLst/>
                    </a:prstGeom>
                  </pic:spPr>
                </pic:pic>
              </a:graphicData>
            </a:graphic>
          </wp:inline>
        </w:drawing>
      </w:r>
    </w:p>
    <w:p w:rsidR="00DF24FA" w:rsidRDefault="00DF24FA" w:rsidP="00DF24FA">
      <w:pPr>
        <w:jc w:val="center"/>
        <w:rPr>
          <w:rFonts w:ascii="Times New Roman" w:hAnsi="Times New Roman"/>
          <w:b/>
          <w:sz w:val="28"/>
          <w:szCs w:val="32"/>
        </w:rPr>
      </w:pPr>
    </w:p>
    <w:p w:rsidR="00DF24FA" w:rsidRDefault="00DF24FA" w:rsidP="00DF24FA">
      <w:pPr>
        <w:jc w:val="center"/>
        <w:rPr>
          <w:rFonts w:ascii="Times New Roman" w:hAnsi="Times New Roman"/>
          <w:b/>
          <w:sz w:val="28"/>
          <w:szCs w:val="32"/>
        </w:rPr>
      </w:pPr>
      <w:r>
        <w:rPr>
          <w:rFonts w:ascii="Times New Roman" w:hAnsi="Times New Roman"/>
          <w:b/>
          <w:sz w:val="28"/>
          <w:szCs w:val="32"/>
        </w:rPr>
        <w:t>MOR-74</w:t>
      </w:r>
    </w:p>
    <w:p w:rsidR="00DF24FA" w:rsidRDefault="00DF24FA" w:rsidP="00DF24FA">
      <w:pPr>
        <w:jc w:val="center"/>
        <w:rPr>
          <w:rFonts w:ascii="Times New Roman" w:hAnsi="Times New Roman"/>
          <w:b/>
          <w:sz w:val="28"/>
          <w:szCs w:val="32"/>
        </w:rPr>
      </w:pPr>
    </w:p>
    <w:p w:rsidR="00DF24FA" w:rsidRPr="00232DDD" w:rsidRDefault="00DF24FA" w:rsidP="00DF24FA">
      <w:pPr>
        <w:jc w:val="center"/>
        <w:rPr>
          <w:rFonts w:ascii="Times New Roman" w:hAnsi="Times New Roman"/>
          <w:b/>
          <w:sz w:val="28"/>
          <w:szCs w:val="32"/>
        </w:rPr>
      </w:pPr>
      <w:r w:rsidRPr="00232DDD">
        <w:rPr>
          <w:rFonts w:ascii="Times New Roman" w:hAnsi="Times New Roman"/>
          <w:b/>
          <w:noProof/>
          <w:sz w:val="28"/>
          <w:szCs w:val="32"/>
          <w:lang w:val="tr-TR" w:eastAsia="tr-TR" w:bidi="ar-SA"/>
        </w:rPr>
        <w:drawing>
          <wp:inline distT="0" distB="0" distL="0" distR="0" wp14:anchorId="313DB72F" wp14:editId="27A95E6B">
            <wp:extent cx="4367787" cy="2700000"/>
            <wp:effectExtent l="0" t="0" r="0" b="5715"/>
            <wp:docPr id="44037"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9"/>
                    <pic:cNvPicPr>
                      <a:picLocks noChangeAspect="1"/>
                    </pic:cNvPicPr>
                  </pic:nvPicPr>
                  <pic:blipFill>
                    <a:blip r:embed="rId167"/>
                    <a:stretch>
                      <a:fillRect/>
                    </a:stretch>
                  </pic:blipFill>
                  <pic:spPr>
                    <a:xfrm>
                      <a:off x="0" y="0"/>
                      <a:ext cx="4367787" cy="2700000"/>
                    </a:xfrm>
                    <a:prstGeom prst="rect">
                      <a:avLst/>
                    </a:prstGeom>
                  </pic:spPr>
                </pic:pic>
              </a:graphicData>
            </a:graphic>
          </wp:inline>
        </w:drawing>
      </w:r>
    </w:p>
    <w:p w:rsidR="00DF24FA" w:rsidRDefault="00DF24FA" w:rsidP="00DF24FA">
      <w:pPr>
        <w:pStyle w:val="Balk1"/>
      </w:pPr>
      <w:bookmarkStart w:id="160" w:name="_Toc507506672"/>
      <w:r>
        <w:lastRenderedPageBreak/>
        <w:t>Appendix E</w:t>
      </w:r>
      <w:r w:rsidR="00B23625">
        <w:t>: Naphthalene Distribution of Selected Samples</w:t>
      </w:r>
      <w:bookmarkEnd w:id="160"/>
      <w:r w:rsidR="00B23625">
        <w:t xml:space="preserve"> </w:t>
      </w:r>
    </w:p>
    <w:p w:rsidR="00DF24FA" w:rsidRDefault="00DF24FA" w:rsidP="00DF24FA">
      <w:pPr>
        <w:jc w:val="center"/>
        <w:rPr>
          <w:rFonts w:ascii="Times New Roman" w:hAnsi="Times New Roman"/>
          <w:b/>
          <w:sz w:val="28"/>
          <w:szCs w:val="28"/>
        </w:rPr>
      </w:pPr>
      <w:r>
        <w:rPr>
          <w:rFonts w:ascii="Times New Roman" w:hAnsi="Times New Roman"/>
          <w:b/>
          <w:sz w:val="28"/>
          <w:szCs w:val="28"/>
        </w:rPr>
        <w:t>MOR-66 (m/z 142+156+170+184+198+212)</w:t>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0478BD">
        <w:rPr>
          <w:rFonts w:ascii="Times New Roman" w:hAnsi="Times New Roman"/>
          <w:b/>
          <w:noProof/>
          <w:sz w:val="28"/>
          <w:szCs w:val="28"/>
          <w:lang w:val="tr-TR" w:eastAsia="tr-TR" w:bidi="ar-SA"/>
        </w:rPr>
        <w:drawing>
          <wp:inline distT="0" distB="0" distL="0" distR="0" wp14:anchorId="215147BB" wp14:editId="4639A4DA">
            <wp:extent cx="4678878" cy="2698750"/>
            <wp:effectExtent l="0" t="0" r="0" b="6350"/>
            <wp:docPr id="4403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rotWithShape="1">
                    <a:blip r:embed="rId168"/>
                    <a:srcRect l="30096" t="9159" b="6332"/>
                    <a:stretch/>
                  </pic:blipFill>
                  <pic:spPr bwMode="auto">
                    <a:xfrm>
                      <a:off x="0" y="0"/>
                      <a:ext cx="4685595" cy="2702624"/>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Pr>
          <w:rFonts w:ascii="Times New Roman" w:hAnsi="Times New Roman"/>
          <w:b/>
          <w:sz w:val="28"/>
          <w:szCs w:val="28"/>
        </w:rPr>
        <w:t>MOR-91 (m/z 142+156+170+184+198+212)</w:t>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0478BD">
        <w:rPr>
          <w:rFonts w:ascii="Times New Roman" w:hAnsi="Times New Roman"/>
          <w:b/>
          <w:noProof/>
          <w:sz w:val="28"/>
          <w:szCs w:val="28"/>
          <w:lang w:val="tr-TR" w:eastAsia="tr-TR" w:bidi="ar-SA"/>
        </w:rPr>
        <w:drawing>
          <wp:inline distT="0" distB="0" distL="0" distR="0" wp14:anchorId="2C7629D2" wp14:editId="4C2F22F9">
            <wp:extent cx="4667002" cy="2699164"/>
            <wp:effectExtent l="0" t="0" r="635" b="6350"/>
            <wp:docPr id="4404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Grp="1" noChangeAspect="1" noChangeArrowheads="1"/>
                    </pic:cNvPicPr>
                  </pic:nvPicPr>
                  <pic:blipFill rotWithShape="1">
                    <a:blip r:embed="rId169"/>
                    <a:srcRect l="30274" t="11724" r="3503" b="6890"/>
                    <a:stretch/>
                  </pic:blipFill>
                  <pic:spPr bwMode="auto">
                    <a:xfrm>
                      <a:off x="0" y="0"/>
                      <a:ext cx="4673584" cy="2702971"/>
                    </a:xfrm>
                    <a:prstGeom prst="rect">
                      <a:avLst/>
                    </a:prstGeom>
                    <a:noFill/>
                    <a:ln w="9525">
                      <a:noFill/>
                      <a:miter lim="800000"/>
                      <a:headEnd/>
                      <a:tailEnd/>
                    </a:ln>
                    <a:effectLst/>
                  </pic:spPr>
                </pic:pic>
              </a:graphicData>
            </a:graphic>
          </wp:inline>
        </w:drawing>
      </w:r>
    </w:p>
    <w:p w:rsidR="00DF24FA" w:rsidRDefault="00DF24FA" w:rsidP="00DF24FA">
      <w:pPr>
        <w:jc w:val="center"/>
        <w:rPr>
          <w:rFonts w:ascii="Times New Roman" w:hAnsi="Times New Roman"/>
          <w:b/>
          <w:sz w:val="28"/>
          <w:szCs w:val="28"/>
        </w:rPr>
      </w:pPr>
      <w:r>
        <w:rPr>
          <w:rFonts w:ascii="Times New Roman" w:hAnsi="Times New Roman"/>
          <w:b/>
          <w:sz w:val="28"/>
          <w:szCs w:val="28"/>
        </w:rPr>
        <w:lastRenderedPageBreak/>
        <w:t>A-1 (m/z 142+156+170+184+198+212)</w:t>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0478BD">
        <w:rPr>
          <w:rFonts w:ascii="Times New Roman" w:hAnsi="Times New Roman"/>
          <w:b/>
          <w:noProof/>
          <w:sz w:val="28"/>
          <w:szCs w:val="28"/>
          <w:lang w:val="tr-TR" w:eastAsia="tr-TR" w:bidi="ar-SA"/>
        </w:rPr>
        <w:drawing>
          <wp:inline distT="0" distB="0" distL="0" distR="0" wp14:anchorId="475D8173" wp14:editId="693BEE32">
            <wp:extent cx="4712094" cy="2880000"/>
            <wp:effectExtent l="0" t="0" r="0" b="0"/>
            <wp:docPr id="440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170"/>
                    <a:srcRect l="29764" t="7588" r="2910" b="4387"/>
                    <a:stretch/>
                  </pic:blipFill>
                  <pic:spPr bwMode="auto">
                    <a:xfrm>
                      <a:off x="0" y="0"/>
                      <a:ext cx="4712094" cy="2880000"/>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Pr>
          <w:rFonts w:ascii="Times New Roman" w:hAnsi="Times New Roman"/>
          <w:b/>
          <w:sz w:val="28"/>
          <w:szCs w:val="28"/>
        </w:rPr>
        <w:t>A-20 (m/z 142+156+170+184+198+212)</w:t>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E0028B">
        <w:rPr>
          <w:rFonts w:ascii="Times New Roman" w:hAnsi="Times New Roman"/>
          <w:b/>
          <w:noProof/>
          <w:sz w:val="28"/>
          <w:szCs w:val="28"/>
          <w:lang w:val="tr-TR" w:eastAsia="tr-TR" w:bidi="ar-SA"/>
        </w:rPr>
        <w:drawing>
          <wp:inline distT="0" distB="0" distL="0" distR="0" wp14:anchorId="3B2DD0B3" wp14:editId="67AC4961">
            <wp:extent cx="4718802" cy="2880000"/>
            <wp:effectExtent l="0" t="0" r="0" b="0"/>
            <wp:docPr id="44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71"/>
                    <a:srcRect l="30815" t="10159" r="1630" b="6031"/>
                    <a:stretch/>
                  </pic:blipFill>
                  <pic:spPr bwMode="auto">
                    <a:xfrm>
                      <a:off x="0" y="0"/>
                      <a:ext cx="4718802" cy="2880000"/>
                    </a:xfrm>
                    <a:prstGeom prst="rect">
                      <a:avLst/>
                    </a:prstGeom>
                    <a:noFill/>
                    <a:ln w="9525">
                      <a:noFill/>
                      <a:miter lim="800000"/>
                      <a:headEnd/>
                      <a:tailEnd/>
                    </a:ln>
                    <a:effectLst/>
                  </pic:spPr>
                </pic:pic>
              </a:graphicData>
            </a:graphic>
          </wp:inline>
        </w:drawing>
      </w:r>
    </w:p>
    <w:p w:rsidR="00DF24FA" w:rsidRDefault="00DF24FA" w:rsidP="00DF24FA">
      <w:pPr>
        <w:jc w:val="center"/>
        <w:rPr>
          <w:rFonts w:ascii="Times New Roman" w:hAnsi="Times New Roman"/>
          <w:b/>
          <w:sz w:val="28"/>
          <w:szCs w:val="28"/>
        </w:rPr>
      </w:pPr>
      <w:r>
        <w:rPr>
          <w:rFonts w:ascii="Times New Roman" w:hAnsi="Times New Roman"/>
          <w:b/>
          <w:sz w:val="28"/>
          <w:szCs w:val="28"/>
        </w:rPr>
        <w:lastRenderedPageBreak/>
        <w:t>A-23 (m/z 142+156+170+184+198+212)</w:t>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sidRPr="00E0028B">
        <w:rPr>
          <w:rFonts w:ascii="Times New Roman" w:hAnsi="Times New Roman"/>
          <w:b/>
          <w:noProof/>
          <w:sz w:val="28"/>
          <w:szCs w:val="28"/>
          <w:lang w:val="tr-TR" w:eastAsia="tr-TR" w:bidi="ar-SA"/>
        </w:rPr>
        <w:drawing>
          <wp:inline distT="0" distB="0" distL="0" distR="0" wp14:anchorId="5787ECB9" wp14:editId="149150EC">
            <wp:extent cx="4717488" cy="2880000"/>
            <wp:effectExtent l="0" t="0" r="6985" b="0"/>
            <wp:docPr id="307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rotWithShape="1">
                    <a:blip r:embed="rId172"/>
                    <a:srcRect l="18181" t="14585" r="2279" b="10060"/>
                    <a:stretch/>
                  </pic:blipFill>
                  <pic:spPr bwMode="auto">
                    <a:xfrm>
                      <a:off x="0" y="0"/>
                      <a:ext cx="4717488" cy="2880000"/>
                    </a:xfrm>
                    <a:prstGeom prst="rect">
                      <a:avLst/>
                    </a:prstGeom>
                    <a:noFill/>
                    <a:ln w="9525">
                      <a:noFill/>
                      <a:miter lim="800000"/>
                      <a:headEnd/>
                      <a:tailEnd/>
                    </a:ln>
                    <a:effectLst/>
                  </pic:spPr>
                </pic:pic>
              </a:graphicData>
            </a:graphic>
          </wp:inline>
        </w:drawing>
      </w:r>
    </w:p>
    <w:p w:rsidR="00DF24FA" w:rsidRDefault="00DF24FA" w:rsidP="00DF24FA">
      <w:pPr>
        <w:jc w:val="center"/>
        <w:rPr>
          <w:rFonts w:ascii="Times New Roman" w:hAnsi="Times New Roman"/>
          <w:b/>
          <w:sz w:val="28"/>
          <w:szCs w:val="28"/>
        </w:rPr>
      </w:pPr>
    </w:p>
    <w:p w:rsidR="00DF24FA" w:rsidRDefault="00DF24FA" w:rsidP="00DF24FA">
      <w:pPr>
        <w:jc w:val="center"/>
        <w:rPr>
          <w:rFonts w:ascii="Times New Roman" w:hAnsi="Times New Roman"/>
          <w:b/>
          <w:sz w:val="28"/>
          <w:szCs w:val="28"/>
        </w:rPr>
      </w:pPr>
      <w:r>
        <w:rPr>
          <w:rFonts w:ascii="Times New Roman" w:hAnsi="Times New Roman"/>
          <w:b/>
          <w:sz w:val="28"/>
          <w:szCs w:val="28"/>
        </w:rPr>
        <w:t>H-3 (m/z 142+156+170+184+198+212)</w:t>
      </w:r>
    </w:p>
    <w:p w:rsidR="00DF24FA" w:rsidRDefault="00DF24FA" w:rsidP="00DF24FA">
      <w:pPr>
        <w:jc w:val="center"/>
        <w:rPr>
          <w:rFonts w:ascii="Times New Roman" w:hAnsi="Times New Roman"/>
          <w:b/>
          <w:sz w:val="28"/>
          <w:szCs w:val="28"/>
        </w:rPr>
      </w:pPr>
    </w:p>
    <w:p w:rsidR="00DF24FA" w:rsidRPr="000478BD" w:rsidRDefault="00DF24FA" w:rsidP="00DF24FA">
      <w:pPr>
        <w:jc w:val="center"/>
        <w:rPr>
          <w:rFonts w:ascii="Times New Roman" w:hAnsi="Times New Roman"/>
          <w:b/>
          <w:sz w:val="28"/>
          <w:szCs w:val="28"/>
        </w:rPr>
      </w:pPr>
      <w:r w:rsidRPr="00E0028B">
        <w:rPr>
          <w:rFonts w:ascii="Times New Roman" w:hAnsi="Times New Roman"/>
          <w:b/>
          <w:noProof/>
          <w:sz w:val="28"/>
          <w:szCs w:val="28"/>
          <w:lang w:val="tr-TR" w:eastAsia="tr-TR" w:bidi="ar-SA"/>
        </w:rPr>
        <w:drawing>
          <wp:inline distT="0" distB="0" distL="0" distR="0" wp14:anchorId="25DA2DCD" wp14:editId="3E1BD090">
            <wp:extent cx="4720000" cy="2880000"/>
            <wp:effectExtent l="0" t="0" r="4445" b="0"/>
            <wp:docPr id="44043"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rotWithShape="1">
                    <a:blip r:embed="rId173"/>
                    <a:srcRect l="31874" t="10205" r="3255" b="5119"/>
                    <a:stretch/>
                  </pic:blipFill>
                  <pic:spPr bwMode="auto">
                    <a:xfrm>
                      <a:off x="0" y="0"/>
                      <a:ext cx="4720000" cy="2880000"/>
                    </a:xfrm>
                    <a:prstGeom prst="rect">
                      <a:avLst/>
                    </a:prstGeom>
                    <a:noFill/>
                    <a:ln w="9525">
                      <a:noFill/>
                      <a:miter lim="800000"/>
                      <a:headEnd/>
                      <a:tailEnd/>
                    </a:ln>
                    <a:effectLst/>
                  </pic:spPr>
                </pic:pic>
              </a:graphicData>
            </a:graphic>
          </wp:inline>
        </w:drawing>
      </w:r>
    </w:p>
    <w:p w:rsidR="00DF24FA" w:rsidRDefault="00DF24FA" w:rsidP="00DF24FA">
      <w:pPr>
        <w:pStyle w:val="Balk1"/>
      </w:pPr>
      <w:bookmarkStart w:id="161" w:name="_Toc507506673"/>
      <w:r>
        <w:lastRenderedPageBreak/>
        <w:t>Appendix F</w:t>
      </w:r>
      <w:r w:rsidR="00B23625">
        <w:t>: Phenanthrene Distribution of Selected Samples</w:t>
      </w:r>
      <w:bookmarkEnd w:id="161"/>
    </w:p>
    <w:p w:rsidR="00881801" w:rsidRDefault="00881801" w:rsidP="00881801">
      <w:pPr>
        <w:jc w:val="center"/>
        <w:rPr>
          <w:rFonts w:ascii="Times New Roman" w:hAnsi="Times New Roman"/>
          <w:b/>
          <w:noProof/>
          <w:sz w:val="28"/>
          <w:szCs w:val="28"/>
          <w:lang w:eastAsia="tr-TR"/>
        </w:rPr>
      </w:pPr>
      <w:r>
        <w:rPr>
          <w:rFonts w:ascii="Times New Roman" w:hAnsi="Times New Roman"/>
          <w:b/>
          <w:noProof/>
          <w:sz w:val="28"/>
          <w:szCs w:val="28"/>
          <w:lang w:eastAsia="tr-TR"/>
        </w:rPr>
        <w:t>MOR-74 (m/z 178+192+206+220)</w:t>
      </w:r>
    </w:p>
    <w:p w:rsidR="00881801" w:rsidRDefault="00881801" w:rsidP="00881801">
      <w:pPr>
        <w:jc w:val="center"/>
        <w:rPr>
          <w:rFonts w:ascii="Times New Roman" w:hAnsi="Times New Roman"/>
          <w:b/>
          <w:noProof/>
          <w:sz w:val="28"/>
          <w:szCs w:val="28"/>
          <w:lang w:eastAsia="tr-TR"/>
        </w:rPr>
      </w:pPr>
    </w:p>
    <w:p w:rsidR="00881801" w:rsidRDefault="00881801" w:rsidP="00881801">
      <w:pPr>
        <w:jc w:val="center"/>
        <w:rPr>
          <w:rFonts w:ascii="Times New Roman" w:hAnsi="Times New Roman"/>
          <w:b/>
          <w:sz w:val="28"/>
          <w:szCs w:val="28"/>
        </w:rPr>
      </w:pPr>
      <w:r w:rsidRPr="00A11F14">
        <w:rPr>
          <w:rFonts w:ascii="Times New Roman" w:hAnsi="Times New Roman"/>
          <w:b/>
          <w:noProof/>
          <w:sz w:val="28"/>
          <w:szCs w:val="28"/>
          <w:lang w:val="tr-TR" w:eastAsia="tr-TR" w:bidi="ar-SA"/>
        </w:rPr>
        <w:drawing>
          <wp:inline distT="0" distB="0" distL="0" distR="0" wp14:anchorId="63F7DDD7" wp14:editId="37068042">
            <wp:extent cx="4702628" cy="2699161"/>
            <wp:effectExtent l="0" t="0" r="0" b="6350"/>
            <wp:docPr id="440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74"/>
                    <a:srcRect l="18775" t="10159" r="1629" b="6032"/>
                    <a:stretch/>
                  </pic:blipFill>
                  <pic:spPr bwMode="auto">
                    <a:xfrm>
                      <a:off x="0" y="0"/>
                      <a:ext cx="4711714" cy="270437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881801" w:rsidRDefault="00881801" w:rsidP="00881801">
      <w:pPr>
        <w:jc w:val="center"/>
        <w:rPr>
          <w:rFonts w:ascii="Times New Roman" w:hAnsi="Times New Roman"/>
          <w:b/>
          <w:sz w:val="28"/>
          <w:szCs w:val="28"/>
        </w:rPr>
      </w:pPr>
    </w:p>
    <w:p w:rsidR="00881801" w:rsidRDefault="00881801" w:rsidP="00881801">
      <w:pPr>
        <w:jc w:val="center"/>
        <w:rPr>
          <w:rFonts w:ascii="Times New Roman" w:hAnsi="Times New Roman"/>
          <w:b/>
          <w:sz w:val="28"/>
          <w:szCs w:val="28"/>
        </w:rPr>
      </w:pPr>
      <w:r>
        <w:rPr>
          <w:rFonts w:ascii="Times New Roman" w:hAnsi="Times New Roman"/>
          <w:b/>
          <w:sz w:val="28"/>
          <w:szCs w:val="28"/>
        </w:rPr>
        <w:t xml:space="preserve">MOR-86 </w:t>
      </w:r>
      <w:r>
        <w:rPr>
          <w:rFonts w:ascii="Times New Roman" w:hAnsi="Times New Roman"/>
          <w:b/>
          <w:noProof/>
          <w:sz w:val="28"/>
          <w:szCs w:val="28"/>
          <w:lang w:eastAsia="tr-TR"/>
        </w:rPr>
        <w:t>(m/z 178+192+206+220)</w:t>
      </w:r>
    </w:p>
    <w:p w:rsidR="00881801" w:rsidRDefault="00881801" w:rsidP="00881801">
      <w:pPr>
        <w:jc w:val="center"/>
        <w:rPr>
          <w:rFonts w:ascii="Times New Roman" w:hAnsi="Times New Roman"/>
          <w:b/>
          <w:sz w:val="28"/>
          <w:szCs w:val="28"/>
        </w:rPr>
      </w:pPr>
    </w:p>
    <w:p w:rsidR="00881801" w:rsidRDefault="00881801" w:rsidP="00881801">
      <w:pPr>
        <w:jc w:val="center"/>
        <w:rPr>
          <w:rFonts w:ascii="Times New Roman" w:hAnsi="Times New Roman"/>
          <w:b/>
          <w:sz w:val="28"/>
          <w:szCs w:val="28"/>
        </w:rPr>
      </w:pPr>
      <w:r w:rsidRPr="00A11F14">
        <w:rPr>
          <w:rFonts w:ascii="Times New Roman" w:hAnsi="Times New Roman"/>
          <w:b/>
          <w:noProof/>
          <w:sz w:val="28"/>
          <w:szCs w:val="28"/>
          <w:lang w:val="tr-TR" w:eastAsia="tr-TR" w:bidi="ar-SA"/>
        </w:rPr>
        <w:drawing>
          <wp:inline distT="0" distB="0" distL="0" distR="0" wp14:anchorId="0F73472F" wp14:editId="547E9C6E">
            <wp:extent cx="4714050" cy="2698604"/>
            <wp:effectExtent l="0" t="0" r="0" b="6985"/>
            <wp:docPr id="44045"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rotWithShape="1">
                    <a:blip r:embed="rId175"/>
                    <a:srcRect l="19002" t="12057" r="3502" b="6559"/>
                    <a:stretch/>
                  </pic:blipFill>
                  <pic:spPr bwMode="auto">
                    <a:xfrm>
                      <a:off x="0" y="0"/>
                      <a:ext cx="4732198" cy="2708993"/>
                    </a:xfrm>
                    <a:prstGeom prst="rect">
                      <a:avLst/>
                    </a:prstGeom>
                    <a:noFill/>
                    <a:ln w="9525">
                      <a:noFill/>
                      <a:miter lim="800000"/>
                      <a:headEnd/>
                      <a:tailEnd/>
                    </a:ln>
                    <a:effectLst/>
                  </pic:spPr>
                </pic:pic>
              </a:graphicData>
            </a:graphic>
          </wp:inline>
        </w:drawing>
      </w:r>
    </w:p>
    <w:p w:rsidR="00881801" w:rsidRDefault="00881801" w:rsidP="00881801">
      <w:pPr>
        <w:jc w:val="center"/>
        <w:rPr>
          <w:rFonts w:ascii="Times New Roman" w:hAnsi="Times New Roman"/>
          <w:b/>
          <w:sz w:val="28"/>
          <w:szCs w:val="28"/>
        </w:rPr>
      </w:pPr>
      <w:r>
        <w:rPr>
          <w:rFonts w:ascii="Times New Roman" w:hAnsi="Times New Roman"/>
          <w:b/>
          <w:sz w:val="28"/>
          <w:szCs w:val="28"/>
        </w:rPr>
        <w:lastRenderedPageBreak/>
        <w:t xml:space="preserve">A-6 </w:t>
      </w:r>
      <w:r>
        <w:rPr>
          <w:rFonts w:ascii="Times New Roman" w:hAnsi="Times New Roman"/>
          <w:b/>
          <w:noProof/>
          <w:sz w:val="28"/>
          <w:szCs w:val="28"/>
          <w:lang w:eastAsia="tr-TR"/>
        </w:rPr>
        <w:t>(m/z 178+192+206+220)</w:t>
      </w:r>
    </w:p>
    <w:p w:rsidR="00881801" w:rsidRDefault="00881801" w:rsidP="00881801">
      <w:pPr>
        <w:jc w:val="center"/>
        <w:rPr>
          <w:rFonts w:ascii="Times New Roman" w:hAnsi="Times New Roman"/>
          <w:b/>
          <w:sz w:val="28"/>
          <w:szCs w:val="28"/>
        </w:rPr>
      </w:pPr>
    </w:p>
    <w:p w:rsidR="00881801" w:rsidRDefault="00881801" w:rsidP="00881801">
      <w:pPr>
        <w:jc w:val="center"/>
        <w:rPr>
          <w:rFonts w:ascii="Times New Roman" w:hAnsi="Times New Roman"/>
          <w:b/>
          <w:sz w:val="28"/>
          <w:szCs w:val="28"/>
        </w:rPr>
      </w:pPr>
      <w:r w:rsidRPr="00A11F14">
        <w:rPr>
          <w:rFonts w:ascii="Times New Roman" w:hAnsi="Times New Roman"/>
          <w:b/>
          <w:noProof/>
          <w:sz w:val="28"/>
          <w:szCs w:val="28"/>
          <w:lang w:val="tr-TR" w:eastAsia="tr-TR" w:bidi="ar-SA"/>
        </w:rPr>
        <w:drawing>
          <wp:inline distT="0" distB="0" distL="0" distR="0" wp14:anchorId="1844174F" wp14:editId="073EE208">
            <wp:extent cx="4686368" cy="2880000"/>
            <wp:effectExtent l="0" t="0" r="0" b="0"/>
            <wp:docPr id="44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rotWithShape="1">
                    <a:blip r:embed="rId176"/>
                    <a:srcRect l="20932" t="7921" r="1226" b="4579"/>
                    <a:stretch/>
                  </pic:blipFill>
                  <pic:spPr bwMode="auto">
                    <a:xfrm>
                      <a:off x="0" y="0"/>
                      <a:ext cx="4686368" cy="2880000"/>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881801" w:rsidRDefault="00881801" w:rsidP="00881801">
      <w:pPr>
        <w:jc w:val="center"/>
        <w:rPr>
          <w:rFonts w:ascii="Times New Roman" w:hAnsi="Times New Roman"/>
          <w:b/>
          <w:sz w:val="28"/>
          <w:szCs w:val="28"/>
        </w:rPr>
      </w:pPr>
    </w:p>
    <w:p w:rsidR="00881801" w:rsidRDefault="00881801" w:rsidP="00881801">
      <w:pPr>
        <w:jc w:val="center"/>
        <w:rPr>
          <w:rFonts w:ascii="Times New Roman" w:hAnsi="Times New Roman"/>
          <w:b/>
          <w:sz w:val="28"/>
          <w:szCs w:val="28"/>
        </w:rPr>
      </w:pPr>
      <w:r>
        <w:rPr>
          <w:rFonts w:ascii="Times New Roman" w:hAnsi="Times New Roman"/>
          <w:b/>
          <w:sz w:val="28"/>
          <w:szCs w:val="28"/>
        </w:rPr>
        <w:t xml:space="preserve">A-7 </w:t>
      </w:r>
      <w:r>
        <w:rPr>
          <w:rFonts w:ascii="Times New Roman" w:hAnsi="Times New Roman"/>
          <w:b/>
          <w:noProof/>
          <w:sz w:val="28"/>
          <w:szCs w:val="28"/>
          <w:lang w:eastAsia="tr-TR"/>
        </w:rPr>
        <w:t>(m/z 178+192+206+220)</w:t>
      </w:r>
    </w:p>
    <w:p w:rsidR="00881801" w:rsidRDefault="00881801" w:rsidP="00881801">
      <w:pPr>
        <w:jc w:val="center"/>
        <w:rPr>
          <w:rFonts w:ascii="Times New Roman" w:hAnsi="Times New Roman"/>
          <w:b/>
          <w:sz w:val="28"/>
          <w:szCs w:val="28"/>
        </w:rPr>
      </w:pPr>
    </w:p>
    <w:p w:rsidR="00DF24FA" w:rsidRPr="00881801" w:rsidRDefault="00881801" w:rsidP="00881801">
      <w:pPr>
        <w:jc w:val="center"/>
        <w:rPr>
          <w:rFonts w:ascii="Times New Roman" w:hAnsi="Times New Roman"/>
          <w:b/>
          <w:sz w:val="28"/>
          <w:szCs w:val="28"/>
        </w:rPr>
      </w:pPr>
      <w:r w:rsidRPr="00A11F14">
        <w:rPr>
          <w:rFonts w:ascii="Times New Roman" w:hAnsi="Times New Roman"/>
          <w:b/>
          <w:noProof/>
          <w:sz w:val="28"/>
          <w:szCs w:val="28"/>
          <w:lang w:val="tr-TR" w:eastAsia="tr-TR" w:bidi="ar-SA"/>
        </w:rPr>
        <w:drawing>
          <wp:inline distT="0" distB="0" distL="0" distR="0" wp14:anchorId="12720674" wp14:editId="3B6E56CC">
            <wp:extent cx="4702444" cy="2880000"/>
            <wp:effectExtent l="0" t="0" r="3175" b="0"/>
            <wp:docPr id="512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Grp="1" noChangeAspect="1" noChangeArrowheads="1"/>
                    </pic:cNvPicPr>
                  </pic:nvPicPr>
                  <pic:blipFill rotWithShape="1">
                    <a:blip r:embed="rId177"/>
                    <a:srcRect l="21146" t="9525" r="3171" b="6320"/>
                    <a:stretch/>
                  </pic:blipFill>
                  <pic:spPr bwMode="auto">
                    <a:xfrm>
                      <a:off x="0" y="0"/>
                      <a:ext cx="4702444" cy="2880000"/>
                    </a:xfrm>
                    <a:prstGeom prst="rect">
                      <a:avLst/>
                    </a:prstGeom>
                    <a:noFill/>
                    <a:ln w="9525">
                      <a:noFill/>
                      <a:miter lim="800000"/>
                      <a:headEnd/>
                      <a:tailEnd/>
                    </a:ln>
                    <a:effectLst/>
                  </pic:spPr>
                </pic:pic>
              </a:graphicData>
            </a:graphic>
          </wp:inline>
        </w:drawing>
      </w:r>
    </w:p>
    <w:sectPr w:rsidR="00DF24FA" w:rsidRPr="00881801" w:rsidSect="006448A9">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97A" w:rsidRDefault="00CD697A" w:rsidP="008E1C26">
      <w:pPr>
        <w:spacing w:line="240" w:lineRule="auto"/>
      </w:pPr>
      <w:r>
        <w:separator/>
      </w:r>
    </w:p>
  </w:endnote>
  <w:endnote w:type="continuationSeparator" w:id="0">
    <w:p w:rsidR="00CD697A" w:rsidRDefault="00CD697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3">
    <w:altName w:val="Times New Roman"/>
    <w:panose1 w:val="00000000000000000000"/>
    <w:charset w:val="00"/>
    <w:family w:val="roman"/>
    <w:notTrueType/>
    <w:pitch w:val="default"/>
  </w:font>
  <w:font w:name="2">
    <w:altName w:val="Times New Roman"/>
    <w:panose1 w:val="00000000000000000000"/>
    <w:charset w:val="00"/>
    <w:family w:val="roman"/>
    <w:notTrueType/>
    <w:pitch w:val="default"/>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00004FF" w:usb2="00000000" w:usb3="00000000" w:csb0="0000019F" w:csb1="00000000"/>
  </w:font>
  <w:font w:name="NimbusRomNo9L-Regu">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7018467"/>
      <w:docPartObj>
        <w:docPartGallery w:val="Page Numbers (Bottom of Page)"/>
        <w:docPartUnique/>
      </w:docPartObj>
    </w:sdtPr>
    <w:sdtEndPr/>
    <w:sdtContent>
      <w:p w:rsidR="008875B3" w:rsidRDefault="008875B3">
        <w:pPr>
          <w:pStyle w:val="Altbilgi"/>
          <w:jc w:val="center"/>
        </w:pPr>
        <w:r>
          <w:fldChar w:fldCharType="begin"/>
        </w:r>
        <w:r>
          <w:instrText>PAGE   \* MERGEFORMAT</w:instrText>
        </w:r>
        <w:r>
          <w:fldChar w:fldCharType="separate"/>
        </w:r>
        <w:r w:rsidR="003F6459" w:rsidRPr="003F6459">
          <w:rPr>
            <w:noProof/>
            <w:lang w:val="tr-TR"/>
          </w:rPr>
          <w:t>v</w:t>
        </w:r>
        <w:r>
          <w:fldChar w:fldCharType="end"/>
        </w:r>
      </w:p>
    </w:sdtContent>
  </w:sdt>
  <w:p w:rsidR="008875B3" w:rsidRDefault="008875B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5B3" w:rsidRDefault="008875B3" w:rsidP="008E1C26">
    <w:pPr>
      <w:pStyle w:val="Altbilgi"/>
      <w:jc w:val="center"/>
    </w:pPr>
    <w:r>
      <w:fldChar w:fldCharType="begin"/>
    </w:r>
    <w:r>
      <w:instrText xml:space="preserve"> PAGE   \* MERGEFORMAT </w:instrText>
    </w:r>
    <w:r>
      <w:fldChar w:fldCharType="separate"/>
    </w:r>
    <w:r w:rsidR="003F6459">
      <w:rPr>
        <w:noProof/>
      </w:rPr>
      <w:t>xii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5B3" w:rsidRDefault="008875B3" w:rsidP="008E1C26">
    <w:pPr>
      <w:pStyle w:val="Altbilgi"/>
      <w:jc w:val="center"/>
    </w:pPr>
    <w:r>
      <w:fldChar w:fldCharType="begin"/>
    </w:r>
    <w:r>
      <w:instrText xml:space="preserve"> PAGE   \* MERGEFORMAT </w:instrText>
    </w:r>
    <w:r>
      <w:fldChar w:fldCharType="separate"/>
    </w:r>
    <w:r w:rsidR="003F6459">
      <w:rPr>
        <w:noProof/>
      </w:rPr>
      <w:t>28</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5B3" w:rsidRDefault="008875B3" w:rsidP="008E1C26">
    <w:pPr>
      <w:pStyle w:val="Altbilgi"/>
      <w:jc w:val="center"/>
    </w:pPr>
    <w:r>
      <w:fldChar w:fldCharType="begin"/>
    </w:r>
    <w:r>
      <w:instrText xml:space="preserve"> PAGE   \* MERGEFORMAT </w:instrText>
    </w:r>
    <w:r>
      <w:fldChar w:fldCharType="separate"/>
    </w:r>
    <w:r w:rsidR="003F6459">
      <w:rPr>
        <w:noProof/>
      </w:rPr>
      <w:t>52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97A" w:rsidRDefault="00CD697A" w:rsidP="008E1C26">
      <w:pPr>
        <w:spacing w:line="240" w:lineRule="auto"/>
      </w:pPr>
      <w:r>
        <w:separator/>
      </w:r>
    </w:p>
  </w:footnote>
  <w:footnote w:type="continuationSeparator" w:id="0">
    <w:p w:rsidR="00CD697A" w:rsidRDefault="00CD697A"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52C1A"/>
    <w:multiLevelType w:val="multilevel"/>
    <w:tmpl w:val="4082341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FB17AB"/>
    <w:multiLevelType w:val="hybridMultilevel"/>
    <w:tmpl w:val="5B80B70E"/>
    <w:lvl w:ilvl="0" w:tplc="0C5EEBCA">
      <w:start w:val="1"/>
      <w:numFmt w:val="bullet"/>
      <w:lvlText w:val="•"/>
      <w:lvlJc w:val="left"/>
      <w:pPr>
        <w:tabs>
          <w:tab w:val="num" w:pos="720"/>
        </w:tabs>
        <w:ind w:left="720" w:hanging="360"/>
      </w:pPr>
      <w:rPr>
        <w:rFonts w:ascii="Arial" w:hAnsi="Arial" w:hint="default"/>
      </w:rPr>
    </w:lvl>
    <w:lvl w:ilvl="1" w:tplc="658062C8" w:tentative="1">
      <w:start w:val="1"/>
      <w:numFmt w:val="bullet"/>
      <w:lvlText w:val="•"/>
      <w:lvlJc w:val="left"/>
      <w:pPr>
        <w:tabs>
          <w:tab w:val="num" w:pos="1440"/>
        </w:tabs>
        <w:ind w:left="1440" w:hanging="360"/>
      </w:pPr>
      <w:rPr>
        <w:rFonts w:ascii="Arial" w:hAnsi="Arial" w:hint="default"/>
      </w:rPr>
    </w:lvl>
    <w:lvl w:ilvl="2" w:tplc="0D1C4522" w:tentative="1">
      <w:start w:val="1"/>
      <w:numFmt w:val="bullet"/>
      <w:lvlText w:val="•"/>
      <w:lvlJc w:val="left"/>
      <w:pPr>
        <w:tabs>
          <w:tab w:val="num" w:pos="2160"/>
        </w:tabs>
        <w:ind w:left="2160" w:hanging="360"/>
      </w:pPr>
      <w:rPr>
        <w:rFonts w:ascii="Arial" w:hAnsi="Arial" w:hint="default"/>
      </w:rPr>
    </w:lvl>
    <w:lvl w:ilvl="3" w:tplc="BB5C5FD0" w:tentative="1">
      <w:start w:val="1"/>
      <w:numFmt w:val="bullet"/>
      <w:lvlText w:val="•"/>
      <w:lvlJc w:val="left"/>
      <w:pPr>
        <w:tabs>
          <w:tab w:val="num" w:pos="2880"/>
        </w:tabs>
        <w:ind w:left="2880" w:hanging="360"/>
      </w:pPr>
      <w:rPr>
        <w:rFonts w:ascii="Arial" w:hAnsi="Arial" w:hint="default"/>
      </w:rPr>
    </w:lvl>
    <w:lvl w:ilvl="4" w:tplc="4ABA2A36" w:tentative="1">
      <w:start w:val="1"/>
      <w:numFmt w:val="bullet"/>
      <w:lvlText w:val="•"/>
      <w:lvlJc w:val="left"/>
      <w:pPr>
        <w:tabs>
          <w:tab w:val="num" w:pos="3600"/>
        </w:tabs>
        <w:ind w:left="3600" w:hanging="360"/>
      </w:pPr>
      <w:rPr>
        <w:rFonts w:ascii="Arial" w:hAnsi="Arial" w:hint="default"/>
      </w:rPr>
    </w:lvl>
    <w:lvl w:ilvl="5" w:tplc="C54479CC" w:tentative="1">
      <w:start w:val="1"/>
      <w:numFmt w:val="bullet"/>
      <w:lvlText w:val="•"/>
      <w:lvlJc w:val="left"/>
      <w:pPr>
        <w:tabs>
          <w:tab w:val="num" w:pos="4320"/>
        </w:tabs>
        <w:ind w:left="4320" w:hanging="360"/>
      </w:pPr>
      <w:rPr>
        <w:rFonts w:ascii="Arial" w:hAnsi="Arial" w:hint="default"/>
      </w:rPr>
    </w:lvl>
    <w:lvl w:ilvl="6" w:tplc="10F6019A" w:tentative="1">
      <w:start w:val="1"/>
      <w:numFmt w:val="bullet"/>
      <w:lvlText w:val="•"/>
      <w:lvlJc w:val="left"/>
      <w:pPr>
        <w:tabs>
          <w:tab w:val="num" w:pos="5040"/>
        </w:tabs>
        <w:ind w:left="5040" w:hanging="360"/>
      </w:pPr>
      <w:rPr>
        <w:rFonts w:ascii="Arial" w:hAnsi="Arial" w:hint="default"/>
      </w:rPr>
    </w:lvl>
    <w:lvl w:ilvl="7" w:tplc="C4FA2F9A" w:tentative="1">
      <w:start w:val="1"/>
      <w:numFmt w:val="bullet"/>
      <w:lvlText w:val="•"/>
      <w:lvlJc w:val="left"/>
      <w:pPr>
        <w:tabs>
          <w:tab w:val="num" w:pos="5760"/>
        </w:tabs>
        <w:ind w:left="5760" w:hanging="360"/>
      </w:pPr>
      <w:rPr>
        <w:rFonts w:ascii="Arial" w:hAnsi="Arial" w:hint="default"/>
      </w:rPr>
    </w:lvl>
    <w:lvl w:ilvl="8" w:tplc="7E04024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C9B6DCA"/>
    <w:multiLevelType w:val="hybridMultilevel"/>
    <w:tmpl w:val="5B6EEE74"/>
    <w:lvl w:ilvl="0" w:tplc="64380CD2">
      <w:start w:val="1"/>
      <w:numFmt w:val="bullet"/>
      <w:lvlText w:val="•"/>
      <w:lvlJc w:val="left"/>
      <w:pPr>
        <w:tabs>
          <w:tab w:val="num" w:pos="720"/>
        </w:tabs>
        <w:ind w:left="720" w:hanging="360"/>
      </w:pPr>
      <w:rPr>
        <w:rFonts w:ascii="Arial" w:hAnsi="Arial" w:hint="default"/>
      </w:rPr>
    </w:lvl>
    <w:lvl w:ilvl="1" w:tplc="4216D764" w:tentative="1">
      <w:start w:val="1"/>
      <w:numFmt w:val="bullet"/>
      <w:lvlText w:val="•"/>
      <w:lvlJc w:val="left"/>
      <w:pPr>
        <w:tabs>
          <w:tab w:val="num" w:pos="1440"/>
        </w:tabs>
        <w:ind w:left="1440" w:hanging="360"/>
      </w:pPr>
      <w:rPr>
        <w:rFonts w:ascii="Arial" w:hAnsi="Arial" w:hint="default"/>
      </w:rPr>
    </w:lvl>
    <w:lvl w:ilvl="2" w:tplc="9F02961A" w:tentative="1">
      <w:start w:val="1"/>
      <w:numFmt w:val="bullet"/>
      <w:lvlText w:val="•"/>
      <w:lvlJc w:val="left"/>
      <w:pPr>
        <w:tabs>
          <w:tab w:val="num" w:pos="2160"/>
        </w:tabs>
        <w:ind w:left="2160" w:hanging="360"/>
      </w:pPr>
      <w:rPr>
        <w:rFonts w:ascii="Arial" w:hAnsi="Arial" w:hint="default"/>
      </w:rPr>
    </w:lvl>
    <w:lvl w:ilvl="3" w:tplc="D9E6FA94" w:tentative="1">
      <w:start w:val="1"/>
      <w:numFmt w:val="bullet"/>
      <w:lvlText w:val="•"/>
      <w:lvlJc w:val="left"/>
      <w:pPr>
        <w:tabs>
          <w:tab w:val="num" w:pos="2880"/>
        </w:tabs>
        <w:ind w:left="2880" w:hanging="360"/>
      </w:pPr>
      <w:rPr>
        <w:rFonts w:ascii="Arial" w:hAnsi="Arial" w:hint="default"/>
      </w:rPr>
    </w:lvl>
    <w:lvl w:ilvl="4" w:tplc="AA38937E" w:tentative="1">
      <w:start w:val="1"/>
      <w:numFmt w:val="bullet"/>
      <w:lvlText w:val="•"/>
      <w:lvlJc w:val="left"/>
      <w:pPr>
        <w:tabs>
          <w:tab w:val="num" w:pos="3600"/>
        </w:tabs>
        <w:ind w:left="3600" w:hanging="360"/>
      </w:pPr>
      <w:rPr>
        <w:rFonts w:ascii="Arial" w:hAnsi="Arial" w:hint="default"/>
      </w:rPr>
    </w:lvl>
    <w:lvl w:ilvl="5" w:tplc="E878F64E" w:tentative="1">
      <w:start w:val="1"/>
      <w:numFmt w:val="bullet"/>
      <w:lvlText w:val="•"/>
      <w:lvlJc w:val="left"/>
      <w:pPr>
        <w:tabs>
          <w:tab w:val="num" w:pos="4320"/>
        </w:tabs>
        <w:ind w:left="4320" w:hanging="360"/>
      </w:pPr>
      <w:rPr>
        <w:rFonts w:ascii="Arial" w:hAnsi="Arial" w:hint="default"/>
      </w:rPr>
    </w:lvl>
    <w:lvl w:ilvl="6" w:tplc="C1A0CD76" w:tentative="1">
      <w:start w:val="1"/>
      <w:numFmt w:val="bullet"/>
      <w:lvlText w:val="•"/>
      <w:lvlJc w:val="left"/>
      <w:pPr>
        <w:tabs>
          <w:tab w:val="num" w:pos="5040"/>
        </w:tabs>
        <w:ind w:left="5040" w:hanging="360"/>
      </w:pPr>
      <w:rPr>
        <w:rFonts w:ascii="Arial" w:hAnsi="Arial" w:hint="default"/>
      </w:rPr>
    </w:lvl>
    <w:lvl w:ilvl="7" w:tplc="C7CA2602" w:tentative="1">
      <w:start w:val="1"/>
      <w:numFmt w:val="bullet"/>
      <w:lvlText w:val="•"/>
      <w:lvlJc w:val="left"/>
      <w:pPr>
        <w:tabs>
          <w:tab w:val="num" w:pos="5760"/>
        </w:tabs>
        <w:ind w:left="5760" w:hanging="360"/>
      </w:pPr>
      <w:rPr>
        <w:rFonts w:ascii="Arial" w:hAnsi="Arial" w:hint="default"/>
      </w:rPr>
    </w:lvl>
    <w:lvl w:ilvl="8" w:tplc="9C3080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5A65C0"/>
    <w:multiLevelType w:val="hybridMultilevel"/>
    <w:tmpl w:val="ACFCA988"/>
    <w:lvl w:ilvl="0" w:tplc="31AC1C96">
      <w:start w:val="1"/>
      <w:numFmt w:val="bullet"/>
      <w:lvlText w:val="•"/>
      <w:lvlJc w:val="left"/>
      <w:pPr>
        <w:tabs>
          <w:tab w:val="num" w:pos="720"/>
        </w:tabs>
        <w:ind w:left="720" w:hanging="360"/>
      </w:pPr>
      <w:rPr>
        <w:rFonts w:ascii="Arial" w:hAnsi="Arial" w:hint="default"/>
      </w:rPr>
    </w:lvl>
    <w:lvl w:ilvl="1" w:tplc="2734627A" w:tentative="1">
      <w:start w:val="1"/>
      <w:numFmt w:val="bullet"/>
      <w:lvlText w:val="•"/>
      <w:lvlJc w:val="left"/>
      <w:pPr>
        <w:tabs>
          <w:tab w:val="num" w:pos="1440"/>
        </w:tabs>
        <w:ind w:left="1440" w:hanging="360"/>
      </w:pPr>
      <w:rPr>
        <w:rFonts w:ascii="Arial" w:hAnsi="Arial" w:hint="default"/>
      </w:rPr>
    </w:lvl>
    <w:lvl w:ilvl="2" w:tplc="3F4E216A" w:tentative="1">
      <w:start w:val="1"/>
      <w:numFmt w:val="bullet"/>
      <w:lvlText w:val="•"/>
      <w:lvlJc w:val="left"/>
      <w:pPr>
        <w:tabs>
          <w:tab w:val="num" w:pos="2160"/>
        </w:tabs>
        <w:ind w:left="2160" w:hanging="360"/>
      </w:pPr>
      <w:rPr>
        <w:rFonts w:ascii="Arial" w:hAnsi="Arial" w:hint="default"/>
      </w:rPr>
    </w:lvl>
    <w:lvl w:ilvl="3" w:tplc="3A703EE6" w:tentative="1">
      <w:start w:val="1"/>
      <w:numFmt w:val="bullet"/>
      <w:lvlText w:val="•"/>
      <w:lvlJc w:val="left"/>
      <w:pPr>
        <w:tabs>
          <w:tab w:val="num" w:pos="2880"/>
        </w:tabs>
        <w:ind w:left="2880" w:hanging="360"/>
      </w:pPr>
      <w:rPr>
        <w:rFonts w:ascii="Arial" w:hAnsi="Arial" w:hint="default"/>
      </w:rPr>
    </w:lvl>
    <w:lvl w:ilvl="4" w:tplc="88B4DAA2" w:tentative="1">
      <w:start w:val="1"/>
      <w:numFmt w:val="bullet"/>
      <w:lvlText w:val="•"/>
      <w:lvlJc w:val="left"/>
      <w:pPr>
        <w:tabs>
          <w:tab w:val="num" w:pos="3600"/>
        </w:tabs>
        <w:ind w:left="3600" w:hanging="360"/>
      </w:pPr>
      <w:rPr>
        <w:rFonts w:ascii="Arial" w:hAnsi="Arial" w:hint="default"/>
      </w:rPr>
    </w:lvl>
    <w:lvl w:ilvl="5" w:tplc="25489766" w:tentative="1">
      <w:start w:val="1"/>
      <w:numFmt w:val="bullet"/>
      <w:lvlText w:val="•"/>
      <w:lvlJc w:val="left"/>
      <w:pPr>
        <w:tabs>
          <w:tab w:val="num" w:pos="4320"/>
        </w:tabs>
        <w:ind w:left="4320" w:hanging="360"/>
      </w:pPr>
      <w:rPr>
        <w:rFonts w:ascii="Arial" w:hAnsi="Arial" w:hint="default"/>
      </w:rPr>
    </w:lvl>
    <w:lvl w:ilvl="6" w:tplc="B694B974" w:tentative="1">
      <w:start w:val="1"/>
      <w:numFmt w:val="bullet"/>
      <w:lvlText w:val="•"/>
      <w:lvlJc w:val="left"/>
      <w:pPr>
        <w:tabs>
          <w:tab w:val="num" w:pos="5040"/>
        </w:tabs>
        <w:ind w:left="5040" w:hanging="360"/>
      </w:pPr>
      <w:rPr>
        <w:rFonts w:ascii="Arial" w:hAnsi="Arial" w:hint="default"/>
      </w:rPr>
    </w:lvl>
    <w:lvl w:ilvl="7" w:tplc="171AAFAA" w:tentative="1">
      <w:start w:val="1"/>
      <w:numFmt w:val="bullet"/>
      <w:lvlText w:val="•"/>
      <w:lvlJc w:val="left"/>
      <w:pPr>
        <w:tabs>
          <w:tab w:val="num" w:pos="5760"/>
        </w:tabs>
        <w:ind w:left="5760" w:hanging="360"/>
      </w:pPr>
      <w:rPr>
        <w:rFonts w:ascii="Arial" w:hAnsi="Arial" w:hint="default"/>
      </w:rPr>
    </w:lvl>
    <w:lvl w:ilvl="8" w:tplc="C0EA55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BE7091"/>
    <w:multiLevelType w:val="hybridMultilevel"/>
    <w:tmpl w:val="54C6A282"/>
    <w:lvl w:ilvl="0" w:tplc="E46A470E">
      <w:start w:val="1"/>
      <w:numFmt w:val="bullet"/>
      <w:lvlText w:val="•"/>
      <w:lvlJc w:val="left"/>
      <w:pPr>
        <w:tabs>
          <w:tab w:val="num" w:pos="720"/>
        </w:tabs>
        <w:ind w:left="720" w:hanging="360"/>
      </w:pPr>
      <w:rPr>
        <w:rFonts w:ascii="Arial" w:hAnsi="Arial" w:hint="default"/>
      </w:rPr>
    </w:lvl>
    <w:lvl w:ilvl="1" w:tplc="749AB956" w:tentative="1">
      <w:start w:val="1"/>
      <w:numFmt w:val="bullet"/>
      <w:lvlText w:val="•"/>
      <w:lvlJc w:val="left"/>
      <w:pPr>
        <w:tabs>
          <w:tab w:val="num" w:pos="1440"/>
        </w:tabs>
        <w:ind w:left="1440" w:hanging="360"/>
      </w:pPr>
      <w:rPr>
        <w:rFonts w:ascii="Arial" w:hAnsi="Arial" w:hint="default"/>
      </w:rPr>
    </w:lvl>
    <w:lvl w:ilvl="2" w:tplc="85FCAFDA" w:tentative="1">
      <w:start w:val="1"/>
      <w:numFmt w:val="bullet"/>
      <w:lvlText w:val="•"/>
      <w:lvlJc w:val="left"/>
      <w:pPr>
        <w:tabs>
          <w:tab w:val="num" w:pos="2160"/>
        </w:tabs>
        <w:ind w:left="2160" w:hanging="360"/>
      </w:pPr>
      <w:rPr>
        <w:rFonts w:ascii="Arial" w:hAnsi="Arial" w:hint="default"/>
      </w:rPr>
    </w:lvl>
    <w:lvl w:ilvl="3" w:tplc="D7D6AC20" w:tentative="1">
      <w:start w:val="1"/>
      <w:numFmt w:val="bullet"/>
      <w:lvlText w:val="•"/>
      <w:lvlJc w:val="left"/>
      <w:pPr>
        <w:tabs>
          <w:tab w:val="num" w:pos="2880"/>
        </w:tabs>
        <w:ind w:left="2880" w:hanging="360"/>
      </w:pPr>
      <w:rPr>
        <w:rFonts w:ascii="Arial" w:hAnsi="Arial" w:hint="default"/>
      </w:rPr>
    </w:lvl>
    <w:lvl w:ilvl="4" w:tplc="E21020E8" w:tentative="1">
      <w:start w:val="1"/>
      <w:numFmt w:val="bullet"/>
      <w:lvlText w:val="•"/>
      <w:lvlJc w:val="left"/>
      <w:pPr>
        <w:tabs>
          <w:tab w:val="num" w:pos="3600"/>
        </w:tabs>
        <w:ind w:left="3600" w:hanging="360"/>
      </w:pPr>
      <w:rPr>
        <w:rFonts w:ascii="Arial" w:hAnsi="Arial" w:hint="default"/>
      </w:rPr>
    </w:lvl>
    <w:lvl w:ilvl="5" w:tplc="AD6A55AE" w:tentative="1">
      <w:start w:val="1"/>
      <w:numFmt w:val="bullet"/>
      <w:lvlText w:val="•"/>
      <w:lvlJc w:val="left"/>
      <w:pPr>
        <w:tabs>
          <w:tab w:val="num" w:pos="4320"/>
        </w:tabs>
        <w:ind w:left="4320" w:hanging="360"/>
      </w:pPr>
      <w:rPr>
        <w:rFonts w:ascii="Arial" w:hAnsi="Arial" w:hint="default"/>
      </w:rPr>
    </w:lvl>
    <w:lvl w:ilvl="6" w:tplc="442CC5C0" w:tentative="1">
      <w:start w:val="1"/>
      <w:numFmt w:val="bullet"/>
      <w:lvlText w:val="•"/>
      <w:lvlJc w:val="left"/>
      <w:pPr>
        <w:tabs>
          <w:tab w:val="num" w:pos="5040"/>
        </w:tabs>
        <w:ind w:left="5040" w:hanging="360"/>
      </w:pPr>
      <w:rPr>
        <w:rFonts w:ascii="Arial" w:hAnsi="Arial" w:hint="default"/>
      </w:rPr>
    </w:lvl>
    <w:lvl w:ilvl="7" w:tplc="F0489C16" w:tentative="1">
      <w:start w:val="1"/>
      <w:numFmt w:val="bullet"/>
      <w:lvlText w:val="•"/>
      <w:lvlJc w:val="left"/>
      <w:pPr>
        <w:tabs>
          <w:tab w:val="num" w:pos="5760"/>
        </w:tabs>
        <w:ind w:left="5760" w:hanging="360"/>
      </w:pPr>
      <w:rPr>
        <w:rFonts w:ascii="Arial" w:hAnsi="Arial" w:hint="default"/>
      </w:rPr>
    </w:lvl>
    <w:lvl w:ilvl="8" w:tplc="9CECB75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B455334"/>
    <w:multiLevelType w:val="multilevel"/>
    <w:tmpl w:val="7CD20EF0"/>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506B4B"/>
    <w:multiLevelType w:val="hybridMultilevel"/>
    <w:tmpl w:val="53A0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D95378"/>
    <w:multiLevelType w:val="hybridMultilevel"/>
    <w:tmpl w:val="E79AC042"/>
    <w:lvl w:ilvl="0" w:tplc="3C70F24E">
      <w:start w:val="1"/>
      <w:numFmt w:val="bullet"/>
      <w:lvlText w:val="•"/>
      <w:lvlJc w:val="left"/>
      <w:pPr>
        <w:tabs>
          <w:tab w:val="num" w:pos="720"/>
        </w:tabs>
        <w:ind w:left="720" w:hanging="360"/>
      </w:pPr>
      <w:rPr>
        <w:rFonts w:ascii="Arial" w:hAnsi="Arial" w:hint="default"/>
      </w:rPr>
    </w:lvl>
    <w:lvl w:ilvl="1" w:tplc="657A9336" w:tentative="1">
      <w:start w:val="1"/>
      <w:numFmt w:val="bullet"/>
      <w:lvlText w:val="•"/>
      <w:lvlJc w:val="left"/>
      <w:pPr>
        <w:tabs>
          <w:tab w:val="num" w:pos="1440"/>
        </w:tabs>
        <w:ind w:left="1440" w:hanging="360"/>
      </w:pPr>
      <w:rPr>
        <w:rFonts w:ascii="Arial" w:hAnsi="Arial" w:hint="default"/>
      </w:rPr>
    </w:lvl>
    <w:lvl w:ilvl="2" w:tplc="F28474C8" w:tentative="1">
      <w:start w:val="1"/>
      <w:numFmt w:val="bullet"/>
      <w:lvlText w:val="•"/>
      <w:lvlJc w:val="left"/>
      <w:pPr>
        <w:tabs>
          <w:tab w:val="num" w:pos="2160"/>
        </w:tabs>
        <w:ind w:left="2160" w:hanging="360"/>
      </w:pPr>
      <w:rPr>
        <w:rFonts w:ascii="Arial" w:hAnsi="Arial" w:hint="default"/>
      </w:rPr>
    </w:lvl>
    <w:lvl w:ilvl="3" w:tplc="AEC066CA" w:tentative="1">
      <w:start w:val="1"/>
      <w:numFmt w:val="bullet"/>
      <w:lvlText w:val="•"/>
      <w:lvlJc w:val="left"/>
      <w:pPr>
        <w:tabs>
          <w:tab w:val="num" w:pos="2880"/>
        </w:tabs>
        <w:ind w:left="2880" w:hanging="360"/>
      </w:pPr>
      <w:rPr>
        <w:rFonts w:ascii="Arial" w:hAnsi="Arial" w:hint="default"/>
      </w:rPr>
    </w:lvl>
    <w:lvl w:ilvl="4" w:tplc="C8EEF90C" w:tentative="1">
      <w:start w:val="1"/>
      <w:numFmt w:val="bullet"/>
      <w:lvlText w:val="•"/>
      <w:lvlJc w:val="left"/>
      <w:pPr>
        <w:tabs>
          <w:tab w:val="num" w:pos="3600"/>
        </w:tabs>
        <w:ind w:left="3600" w:hanging="360"/>
      </w:pPr>
      <w:rPr>
        <w:rFonts w:ascii="Arial" w:hAnsi="Arial" w:hint="default"/>
      </w:rPr>
    </w:lvl>
    <w:lvl w:ilvl="5" w:tplc="C60C5736" w:tentative="1">
      <w:start w:val="1"/>
      <w:numFmt w:val="bullet"/>
      <w:lvlText w:val="•"/>
      <w:lvlJc w:val="left"/>
      <w:pPr>
        <w:tabs>
          <w:tab w:val="num" w:pos="4320"/>
        </w:tabs>
        <w:ind w:left="4320" w:hanging="360"/>
      </w:pPr>
      <w:rPr>
        <w:rFonts w:ascii="Arial" w:hAnsi="Arial" w:hint="default"/>
      </w:rPr>
    </w:lvl>
    <w:lvl w:ilvl="6" w:tplc="3692E0F2" w:tentative="1">
      <w:start w:val="1"/>
      <w:numFmt w:val="bullet"/>
      <w:lvlText w:val="•"/>
      <w:lvlJc w:val="left"/>
      <w:pPr>
        <w:tabs>
          <w:tab w:val="num" w:pos="5040"/>
        </w:tabs>
        <w:ind w:left="5040" w:hanging="360"/>
      </w:pPr>
      <w:rPr>
        <w:rFonts w:ascii="Arial" w:hAnsi="Arial" w:hint="default"/>
      </w:rPr>
    </w:lvl>
    <w:lvl w:ilvl="7" w:tplc="5D2004DC" w:tentative="1">
      <w:start w:val="1"/>
      <w:numFmt w:val="bullet"/>
      <w:lvlText w:val="•"/>
      <w:lvlJc w:val="left"/>
      <w:pPr>
        <w:tabs>
          <w:tab w:val="num" w:pos="5760"/>
        </w:tabs>
        <w:ind w:left="5760" w:hanging="360"/>
      </w:pPr>
      <w:rPr>
        <w:rFonts w:ascii="Arial" w:hAnsi="Arial" w:hint="default"/>
      </w:rPr>
    </w:lvl>
    <w:lvl w:ilvl="8" w:tplc="A412C46A"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0"/>
  </w:num>
  <w:num w:numId="3">
    <w:abstractNumId w:val="4"/>
  </w:num>
  <w:num w:numId="4">
    <w:abstractNumId w:val="10"/>
  </w:num>
  <w:num w:numId="5">
    <w:abstractNumId w:val="9"/>
  </w:num>
  <w:num w:numId="6">
    <w:abstractNumId w:val="11"/>
  </w:num>
  <w:num w:numId="7">
    <w:abstractNumId w:val="14"/>
  </w:num>
  <w:num w:numId="8">
    <w:abstractNumId w:val="6"/>
  </w:num>
  <w:num w:numId="9">
    <w:abstractNumId w:val="12"/>
  </w:num>
  <w:num w:numId="10">
    <w:abstractNumId w:val="8"/>
  </w:num>
  <w:num w:numId="11">
    <w:abstractNumId w:val="1"/>
  </w:num>
  <w:num w:numId="12">
    <w:abstractNumId w:val="16"/>
  </w:num>
  <w:num w:numId="13">
    <w:abstractNumId w:val="5"/>
  </w:num>
  <w:num w:numId="14">
    <w:abstractNumId w:val="2"/>
  </w:num>
  <w:num w:numId="15">
    <w:abstractNumId w:val="3"/>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n-US" w:vendorID="64" w:dllVersion="6" w:nlCheck="1" w:checkStyle="0"/>
  <w:activeWritingStyle w:appName="MSWord" w:lang="en-US" w:vendorID="64" w:dllVersion="131078" w:nlCheck="1" w:checkStyle="1"/>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7D3B"/>
    <w:rsid w:val="00012878"/>
    <w:rsid w:val="00014500"/>
    <w:rsid w:val="000145F0"/>
    <w:rsid w:val="00016303"/>
    <w:rsid w:val="00022F16"/>
    <w:rsid w:val="000231A4"/>
    <w:rsid w:val="00025A12"/>
    <w:rsid w:val="000261D4"/>
    <w:rsid w:val="00030FBD"/>
    <w:rsid w:val="00036138"/>
    <w:rsid w:val="00040224"/>
    <w:rsid w:val="00041638"/>
    <w:rsid w:val="00042D5E"/>
    <w:rsid w:val="000444ED"/>
    <w:rsid w:val="00045529"/>
    <w:rsid w:val="00047B80"/>
    <w:rsid w:val="0005011B"/>
    <w:rsid w:val="00051589"/>
    <w:rsid w:val="000553F0"/>
    <w:rsid w:val="0005709E"/>
    <w:rsid w:val="000576EC"/>
    <w:rsid w:val="00062C41"/>
    <w:rsid w:val="00072D7C"/>
    <w:rsid w:val="00076B36"/>
    <w:rsid w:val="000776CE"/>
    <w:rsid w:val="00077F0A"/>
    <w:rsid w:val="0008176F"/>
    <w:rsid w:val="000844F6"/>
    <w:rsid w:val="000968ED"/>
    <w:rsid w:val="000975EB"/>
    <w:rsid w:val="000A0979"/>
    <w:rsid w:val="000A2259"/>
    <w:rsid w:val="000B6985"/>
    <w:rsid w:val="000B7D43"/>
    <w:rsid w:val="000B7FBC"/>
    <w:rsid w:val="000C11E6"/>
    <w:rsid w:val="000C1893"/>
    <w:rsid w:val="000C18E6"/>
    <w:rsid w:val="000C24B8"/>
    <w:rsid w:val="000D0CE4"/>
    <w:rsid w:val="000D63C4"/>
    <w:rsid w:val="000D6DBB"/>
    <w:rsid w:val="000F04D2"/>
    <w:rsid w:val="000F2439"/>
    <w:rsid w:val="000F24D1"/>
    <w:rsid w:val="000F4852"/>
    <w:rsid w:val="000F5608"/>
    <w:rsid w:val="000F56FF"/>
    <w:rsid w:val="00100A94"/>
    <w:rsid w:val="001035DB"/>
    <w:rsid w:val="00105BBB"/>
    <w:rsid w:val="001063F7"/>
    <w:rsid w:val="00106C83"/>
    <w:rsid w:val="00111915"/>
    <w:rsid w:val="0012049B"/>
    <w:rsid w:val="001220EB"/>
    <w:rsid w:val="001232A4"/>
    <w:rsid w:val="001250B8"/>
    <w:rsid w:val="0012647F"/>
    <w:rsid w:val="00131085"/>
    <w:rsid w:val="001315CA"/>
    <w:rsid w:val="00144B35"/>
    <w:rsid w:val="00145B0B"/>
    <w:rsid w:val="00145E79"/>
    <w:rsid w:val="001474A3"/>
    <w:rsid w:val="00152909"/>
    <w:rsid w:val="00152D2E"/>
    <w:rsid w:val="001565B4"/>
    <w:rsid w:val="00157794"/>
    <w:rsid w:val="001600A8"/>
    <w:rsid w:val="0016615D"/>
    <w:rsid w:val="00171181"/>
    <w:rsid w:val="00172240"/>
    <w:rsid w:val="001739AD"/>
    <w:rsid w:val="00173D26"/>
    <w:rsid w:val="00174266"/>
    <w:rsid w:val="001759B7"/>
    <w:rsid w:val="00177E36"/>
    <w:rsid w:val="0018008D"/>
    <w:rsid w:val="00180428"/>
    <w:rsid w:val="001823A8"/>
    <w:rsid w:val="001828EA"/>
    <w:rsid w:val="00187691"/>
    <w:rsid w:val="0019147C"/>
    <w:rsid w:val="001968DE"/>
    <w:rsid w:val="001A0289"/>
    <w:rsid w:val="001A3389"/>
    <w:rsid w:val="001A36FB"/>
    <w:rsid w:val="001A4D74"/>
    <w:rsid w:val="001A52E3"/>
    <w:rsid w:val="001A6229"/>
    <w:rsid w:val="001B00D5"/>
    <w:rsid w:val="001B12EF"/>
    <w:rsid w:val="001C1D21"/>
    <w:rsid w:val="001C2DC5"/>
    <w:rsid w:val="001C3B63"/>
    <w:rsid w:val="001C4470"/>
    <w:rsid w:val="001C5B91"/>
    <w:rsid w:val="001D048C"/>
    <w:rsid w:val="001D1893"/>
    <w:rsid w:val="001E18CF"/>
    <w:rsid w:val="001E2404"/>
    <w:rsid w:val="001E60C0"/>
    <w:rsid w:val="001E6F00"/>
    <w:rsid w:val="001E786C"/>
    <w:rsid w:val="001F6F44"/>
    <w:rsid w:val="002027CC"/>
    <w:rsid w:val="002030C1"/>
    <w:rsid w:val="0020412C"/>
    <w:rsid w:val="002065B4"/>
    <w:rsid w:val="00210361"/>
    <w:rsid w:val="0021056B"/>
    <w:rsid w:val="00210A56"/>
    <w:rsid w:val="00212343"/>
    <w:rsid w:val="002147D8"/>
    <w:rsid w:val="00214DD2"/>
    <w:rsid w:val="00217D3D"/>
    <w:rsid w:val="00222BAD"/>
    <w:rsid w:val="00226332"/>
    <w:rsid w:val="0023375C"/>
    <w:rsid w:val="0023451B"/>
    <w:rsid w:val="002355BF"/>
    <w:rsid w:val="00235926"/>
    <w:rsid w:val="002540E6"/>
    <w:rsid w:val="00255397"/>
    <w:rsid w:val="0025725D"/>
    <w:rsid w:val="00260F9A"/>
    <w:rsid w:val="002627D8"/>
    <w:rsid w:val="00263176"/>
    <w:rsid w:val="0026671A"/>
    <w:rsid w:val="0027059A"/>
    <w:rsid w:val="00271ED6"/>
    <w:rsid w:val="00272CAD"/>
    <w:rsid w:val="00295F0A"/>
    <w:rsid w:val="00296722"/>
    <w:rsid w:val="002A232B"/>
    <w:rsid w:val="002A3DBE"/>
    <w:rsid w:val="002A426E"/>
    <w:rsid w:val="002A7D08"/>
    <w:rsid w:val="002B1749"/>
    <w:rsid w:val="002B1C82"/>
    <w:rsid w:val="002C0DCF"/>
    <w:rsid w:val="002C102F"/>
    <w:rsid w:val="002C1E0D"/>
    <w:rsid w:val="002C6431"/>
    <w:rsid w:val="002D0AA0"/>
    <w:rsid w:val="002D2667"/>
    <w:rsid w:val="002D6E20"/>
    <w:rsid w:val="002D748F"/>
    <w:rsid w:val="002E0FFB"/>
    <w:rsid w:val="002E157F"/>
    <w:rsid w:val="002E4A8E"/>
    <w:rsid w:val="002E5581"/>
    <w:rsid w:val="002E7E3C"/>
    <w:rsid w:val="002F3F0A"/>
    <w:rsid w:val="002F4546"/>
    <w:rsid w:val="002F6E93"/>
    <w:rsid w:val="002F7FDC"/>
    <w:rsid w:val="0030156B"/>
    <w:rsid w:val="00301A5F"/>
    <w:rsid w:val="00302EC0"/>
    <w:rsid w:val="0030639F"/>
    <w:rsid w:val="00306FF7"/>
    <w:rsid w:val="0030767B"/>
    <w:rsid w:val="00307C9D"/>
    <w:rsid w:val="00310F41"/>
    <w:rsid w:val="00314F3F"/>
    <w:rsid w:val="00316AD0"/>
    <w:rsid w:val="003207D3"/>
    <w:rsid w:val="003218D0"/>
    <w:rsid w:val="003240AA"/>
    <w:rsid w:val="00335CE0"/>
    <w:rsid w:val="00342740"/>
    <w:rsid w:val="00343673"/>
    <w:rsid w:val="00344BCE"/>
    <w:rsid w:val="003450B1"/>
    <w:rsid w:val="00347CAD"/>
    <w:rsid w:val="003508CF"/>
    <w:rsid w:val="00351F17"/>
    <w:rsid w:val="003540A6"/>
    <w:rsid w:val="003621D9"/>
    <w:rsid w:val="00362829"/>
    <w:rsid w:val="003635D6"/>
    <w:rsid w:val="00365263"/>
    <w:rsid w:val="00365AA9"/>
    <w:rsid w:val="00382FB8"/>
    <w:rsid w:val="00385E9D"/>
    <w:rsid w:val="00386E26"/>
    <w:rsid w:val="00390F48"/>
    <w:rsid w:val="00393159"/>
    <w:rsid w:val="0039524D"/>
    <w:rsid w:val="00396207"/>
    <w:rsid w:val="00397ACF"/>
    <w:rsid w:val="003A060D"/>
    <w:rsid w:val="003A15A3"/>
    <w:rsid w:val="003A1DE4"/>
    <w:rsid w:val="003A5BD2"/>
    <w:rsid w:val="003B0C89"/>
    <w:rsid w:val="003B3713"/>
    <w:rsid w:val="003B371A"/>
    <w:rsid w:val="003B6A77"/>
    <w:rsid w:val="003B73A8"/>
    <w:rsid w:val="003B763D"/>
    <w:rsid w:val="003C1AF5"/>
    <w:rsid w:val="003C53FA"/>
    <w:rsid w:val="003D30E3"/>
    <w:rsid w:val="003D60D4"/>
    <w:rsid w:val="003E22B5"/>
    <w:rsid w:val="003E3A71"/>
    <w:rsid w:val="003E3E3A"/>
    <w:rsid w:val="003E404F"/>
    <w:rsid w:val="003E7788"/>
    <w:rsid w:val="003F1757"/>
    <w:rsid w:val="003F4E15"/>
    <w:rsid w:val="003F60C3"/>
    <w:rsid w:val="003F6459"/>
    <w:rsid w:val="00400C2F"/>
    <w:rsid w:val="00401F79"/>
    <w:rsid w:val="00411331"/>
    <w:rsid w:val="00414D63"/>
    <w:rsid w:val="0041769D"/>
    <w:rsid w:val="004254E6"/>
    <w:rsid w:val="004277C5"/>
    <w:rsid w:val="004310AA"/>
    <w:rsid w:val="00432509"/>
    <w:rsid w:val="00436E1E"/>
    <w:rsid w:val="00440D72"/>
    <w:rsid w:val="004431F8"/>
    <w:rsid w:val="00443370"/>
    <w:rsid w:val="00444FEE"/>
    <w:rsid w:val="00446AB6"/>
    <w:rsid w:val="00452E45"/>
    <w:rsid w:val="00453DD3"/>
    <w:rsid w:val="00461319"/>
    <w:rsid w:val="00461AA9"/>
    <w:rsid w:val="004647FA"/>
    <w:rsid w:val="00464DBD"/>
    <w:rsid w:val="00465D1B"/>
    <w:rsid w:val="004701B4"/>
    <w:rsid w:val="00472B7F"/>
    <w:rsid w:val="00473353"/>
    <w:rsid w:val="004769F4"/>
    <w:rsid w:val="00481480"/>
    <w:rsid w:val="004841C3"/>
    <w:rsid w:val="0049073B"/>
    <w:rsid w:val="00492A38"/>
    <w:rsid w:val="004960E6"/>
    <w:rsid w:val="00497FDD"/>
    <w:rsid w:val="004B0DDC"/>
    <w:rsid w:val="004B4736"/>
    <w:rsid w:val="004B55DC"/>
    <w:rsid w:val="004B727F"/>
    <w:rsid w:val="004C2347"/>
    <w:rsid w:val="004C3512"/>
    <w:rsid w:val="004C667E"/>
    <w:rsid w:val="004D24B4"/>
    <w:rsid w:val="004D3747"/>
    <w:rsid w:val="004D38A8"/>
    <w:rsid w:val="004D4F5D"/>
    <w:rsid w:val="004E1028"/>
    <w:rsid w:val="004E37D4"/>
    <w:rsid w:val="004E6DDB"/>
    <w:rsid w:val="004F7E5C"/>
    <w:rsid w:val="005020FB"/>
    <w:rsid w:val="00506C1C"/>
    <w:rsid w:val="00506CC8"/>
    <w:rsid w:val="00515F76"/>
    <w:rsid w:val="0052076A"/>
    <w:rsid w:val="0052179D"/>
    <w:rsid w:val="00522224"/>
    <w:rsid w:val="00525B26"/>
    <w:rsid w:val="0053028C"/>
    <w:rsid w:val="005354E8"/>
    <w:rsid w:val="005355E7"/>
    <w:rsid w:val="005431B2"/>
    <w:rsid w:val="005438FF"/>
    <w:rsid w:val="00545788"/>
    <w:rsid w:val="00546550"/>
    <w:rsid w:val="00555D69"/>
    <w:rsid w:val="00561221"/>
    <w:rsid w:val="00566524"/>
    <w:rsid w:val="005676F6"/>
    <w:rsid w:val="005712DC"/>
    <w:rsid w:val="00574B40"/>
    <w:rsid w:val="005750E1"/>
    <w:rsid w:val="0057775C"/>
    <w:rsid w:val="00577CF4"/>
    <w:rsid w:val="00582EBC"/>
    <w:rsid w:val="00583555"/>
    <w:rsid w:val="0058691C"/>
    <w:rsid w:val="00592A3F"/>
    <w:rsid w:val="00593307"/>
    <w:rsid w:val="00593511"/>
    <w:rsid w:val="00594C0A"/>
    <w:rsid w:val="00596960"/>
    <w:rsid w:val="005975D9"/>
    <w:rsid w:val="005A1323"/>
    <w:rsid w:val="005A2559"/>
    <w:rsid w:val="005A297A"/>
    <w:rsid w:val="005A2B79"/>
    <w:rsid w:val="005A6BDB"/>
    <w:rsid w:val="005B0705"/>
    <w:rsid w:val="005B27AD"/>
    <w:rsid w:val="005B6F3E"/>
    <w:rsid w:val="005B7D97"/>
    <w:rsid w:val="005C1001"/>
    <w:rsid w:val="005C20B0"/>
    <w:rsid w:val="005C67D8"/>
    <w:rsid w:val="005D14EA"/>
    <w:rsid w:val="005D4251"/>
    <w:rsid w:val="005D78D9"/>
    <w:rsid w:val="005E00A2"/>
    <w:rsid w:val="005E6AF8"/>
    <w:rsid w:val="005E71B4"/>
    <w:rsid w:val="005F1F45"/>
    <w:rsid w:val="005F53A2"/>
    <w:rsid w:val="0060148D"/>
    <w:rsid w:val="0061169A"/>
    <w:rsid w:val="00616A57"/>
    <w:rsid w:val="00621278"/>
    <w:rsid w:val="006235E8"/>
    <w:rsid w:val="00626792"/>
    <w:rsid w:val="006273C0"/>
    <w:rsid w:val="00633C74"/>
    <w:rsid w:val="006448A9"/>
    <w:rsid w:val="00645624"/>
    <w:rsid w:val="006456CF"/>
    <w:rsid w:val="006459A1"/>
    <w:rsid w:val="00645A8F"/>
    <w:rsid w:val="00646B15"/>
    <w:rsid w:val="00647B15"/>
    <w:rsid w:val="00650361"/>
    <w:rsid w:val="00652412"/>
    <w:rsid w:val="00653C73"/>
    <w:rsid w:val="006551DD"/>
    <w:rsid w:val="00655EB0"/>
    <w:rsid w:val="006576D0"/>
    <w:rsid w:val="00660B74"/>
    <w:rsid w:val="00661C13"/>
    <w:rsid w:val="00662E33"/>
    <w:rsid w:val="00663A85"/>
    <w:rsid w:val="00663C25"/>
    <w:rsid w:val="00667825"/>
    <w:rsid w:val="00670323"/>
    <w:rsid w:val="00673CFF"/>
    <w:rsid w:val="006755B2"/>
    <w:rsid w:val="00676A9D"/>
    <w:rsid w:val="00680B88"/>
    <w:rsid w:val="00692696"/>
    <w:rsid w:val="0069415A"/>
    <w:rsid w:val="0069566A"/>
    <w:rsid w:val="006A16BA"/>
    <w:rsid w:val="006A27C1"/>
    <w:rsid w:val="006A35DA"/>
    <w:rsid w:val="006A6340"/>
    <w:rsid w:val="006B10ED"/>
    <w:rsid w:val="006B1D41"/>
    <w:rsid w:val="006B5145"/>
    <w:rsid w:val="006B5C7A"/>
    <w:rsid w:val="006C4CBB"/>
    <w:rsid w:val="006C56E5"/>
    <w:rsid w:val="006C6B88"/>
    <w:rsid w:val="006C6E03"/>
    <w:rsid w:val="006D2289"/>
    <w:rsid w:val="006D788A"/>
    <w:rsid w:val="006E0D27"/>
    <w:rsid w:val="006E3332"/>
    <w:rsid w:val="006E6DA1"/>
    <w:rsid w:val="006F10CE"/>
    <w:rsid w:val="006F7E97"/>
    <w:rsid w:val="007000B7"/>
    <w:rsid w:val="0070017B"/>
    <w:rsid w:val="007040B7"/>
    <w:rsid w:val="00705086"/>
    <w:rsid w:val="00706671"/>
    <w:rsid w:val="007128AF"/>
    <w:rsid w:val="00717C2B"/>
    <w:rsid w:val="007215CE"/>
    <w:rsid w:val="007224FE"/>
    <w:rsid w:val="00725013"/>
    <w:rsid w:val="00730F0A"/>
    <w:rsid w:val="007346E1"/>
    <w:rsid w:val="00736991"/>
    <w:rsid w:val="00736DA4"/>
    <w:rsid w:val="00745342"/>
    <w:rsid w:val="00746E16"/>
    <w:rsid w:val="007478E4"/>
    <w:rsid w:val="007510EC"/>
    <w:rsid w:val="007547AC"/>
    <w:rsid w:val="007559B1"/>
    <w:rsid w:val="00755A06"/>
    <w:rsid w:val="007601BC"/>
    <w:rsid w:val="007608CF"/>
    <w:rsid w:val="00761FDB"/>
    <w:rsid w:val="007673C1"/>
    <w:rsid w:val="007739FB"/>
    <w:rsid w:val="00775701"/>
    <w:rsid w:val="00777E64"/>
    <w:rsid w:val="0078362F"/>
    <w:rsid w:val="00783E02"/>
    <w:rsid w:val="0078679A"/>
    <w:rsid w:val="00797454"/>
    <w:rsid w:val="00797C27"/>
    <w:rsid w:val="007A2353"/>
    <w:rsid w:val="007A3C32"/>
    <w:rsid w:val="007B0878"/>
    <w:rsid w:val="007B20FC"/>
    <w:rsid w:val="007B3298"/>
    <w:rsid w:val="007B3992"/>
    <w:rsid w:val="007C4EA5"/>
    <w:rsid w:val="007C591A"/>
    <w:rsid w:val="007C65D2"/>
    <w:rsid w:val="007C73E3"/>
    <w:rsid w:val="007D216C"/>
    <w:rsid w:val="007E0426"/>
    <w:rsid w:val="007E5847"/>
    <w:rsid w:val="007F2648"/>
    <w:rsid w:val="007F31A9"/>
    <w:rsid w:val="007F36BE"/>
    <w:rsid w:val="007F5B2C"/>
    <w:rsid w:val="007F7A84"/>
    <w:rsid w:val="00802BC3"/>
    <w:rsid w:val="008038F4"/>
    <w:rsid w:val="00803C02"/>
    <w:rsid w:val="00803EBC"/>
    <w:rsid w:val="0080411B"/>
    <w:rsid w:val="00807E26"/>
    <w:rsid w:val="00822830"/>
    <w:rsid w:val="008229B4"/>
    <w:rsid w:val="00825144"/>
    <w:rsid w:val="00826E27"/>
    <w:rsid w:val="0082779E"/>
    <w:rsid w:val="0084120D"/>
    <w:rsid w:val="00841B55"/>
    <w:rsid w:val="00841E7B"/>
    <w:rsid w:val="00844477"/>
    <w:rsid w:val="0084487F"/>
    <w:rsid w:val="008451C3"/>
    <w:rsid w:val="00845376"/>
    <w:rsid w:val="00845E70"/>
    <w:rsid w:val="00851C56"/>
    <w:rsid w:val="00857818"/>
    <w:rsid w:val="0086050B"/>
    <w:rsid w:val="00860BCD"/>
    <w:rsid w:val="00863869"/>
    <w:rsid w:val="0086393B"/>
    <w:rsid w:val="00864219"/>
    <w:rsid w:val="0086523C"/>
    <w:rsid w:val="0087093C"/>
    <w:rsid w:val="00873166"/>
    <w:rsid w:val="008731FD"/>
    <w:rsid w:val="00874B81"/>
    <w:rsid w:val="00874C3B"/>
    <w:rsid w:val="00875847"/>
    <w:rsid w:val="008774FE"/>
    <w:rsid w:val="00881801"/>
    <w:rsid w:val="008836CB"/>
    <w:rsid w:val="008875B3"/>
    <w:rsid w:val="008907D1"/>
    <w:rsid w:val="00891370"/>
    <w:rsid w:val="00896077"/>
    <w:rsid w:val="008A4233"/>
    <w:rsid w:val="008A4F22"/>
    <w:rsid w:val="008B5F22"/>
    <w:rsid w:val="008C10D3"/>
    <w:rsid w:val="008C29FA"/>
    <w:rsid w:val="008C7D2E"/>
    <w:rsid w:val="008D4951"/>
    <w:rsid w:val="008D5926"/>
    <w:rsid w:val="008E0E88"/>
    <w:rsid w:val="008E1C26"/>
    <w:rsid w:val="008E1CF0"/>
    <w:rsid w:val="008E1EBF"/>
    <w:rsid w:val="008F029C"/>
    <w:rsid w:val="008F1822"/>
    <w:rsid w:val="008F7F83"/>
    <w:rsid w:val="0090264A"/>
    <w:rsid w:val="0090701D"/>
    <w:rsid w:val="009107A5"/>
    <w:rsid w:val="00910C15"/>
    <w:rsid w:val="00914E43"/>
    <w:rsid w:val="00914ECE"/>
    <w:rsid w:val="009159AD"/>
    <w:rsid w:val="0091669A"/>
    <w:rsid w:val="00917D6C"/>
    <w:rsid w:val="009217A0"/>
    <w:rsid w:val="00921A04"/>
    <w:rsid w:val="009245C5"/>
    <w:rsid w:val="00924E64"/>
    <w:rsid w:val="009264F1"/>
    <w:rsid w:val="00927233"/>
    <w:rsid w:val="009313D5"/>
    <w:rsid w:val="00931F16"/>
    <w:rsid w:val="00934132"/>
    <w:rsid w:val="0093657D"/>
    <w:rsid w:val="009375DF"/>
    <w:rsid w:val="009411BC"/>
    <w:rsid w:val="00941CCD"/>
    <w:rsid w:val="009501BE"/>
    <w:rsid w:val="0095365A"/>
    <w:rsid w:val="00954092"/>
    <w:rsid w:val="00956D44"/>
    <w:rsid w:val="00960533"/>
    <w:rsid w:val="009652FD"/>
    <w:rsid w:val="009671ED"/>
    <w:rsid w:val="00972F65"/>
    <w:rsid w:val="00974AAF"/>
    <w:rsid w:val="0097782F"/>
    <w:rsid w:val="00981B1B"/>
    <w:rsid w:val="00983452"/>
    <w:rsid w:val="00984AA7"/>
    <w:rsid w:val="00984BD6"/>
    <w:rsid w:val="0098722E"/>
    <w:rsid w:val="00987CA6"/>
    <w:rsid w:val="0099286C"/>
    <w:rsid w:val="00992C28"/>
    <w:rsid w:val="00992CA3"/>
    <w:rsid w:val="009957F5"/>
    <w:rsid w:val="00995945"/>
    <w:rsid w:val="00997783"/>
    <w:rsid w:val="009A03FF"/>
    <w:rsid w:val="009A3378"/>
    <w:rsid w:val="009A45CA"/>
    <w:rsid w:val="009B406A"/>
    <w:rsid w:val="009B44D1"/>
    <w:rsid w:val="009B4768"/>
    <w:rsid w:val="009B49FC"/>
    <w:rsid w:val="009B5555"/>
    <w:rsid w:val="009B6159"/>
    <w:rsid w:val="009C0E73"/>
    <w:rsid w:val="009C1DDC"/>
    <w:rsid w:val="009C468B"/>
    <w:rsid w:val="009C4FEF"/>
    <w:rsid w:val="009C558E"/>
    <w:rsid w:val="009C7351"/>
    <w:rsid w:val="009D47B5"/>
    <w:rsid w:val="009D6755"/>
    <w:rsid w:val="009E20CF"/>
    <w:rsid w:val="009E3919"/>
    <w:rsid w:val="009E67AA"/>
    <w:rsid w:val="009E6A61"/>
    <w:rsid w:val="009F00FE"/>
    <w:rsid w:val="009F6BAC"/>
    <w:rsid w:val="00A0094B"/>
    <w:rsid w:val="00A013E0"/>
    <w:rsid w:val="00A06E2F"/>
    <w:rsid w:val="00A078A0"/>
    <w:rsid w:val="00A07FBA"/>
    <w:rsid w:val="00A12ACA"/>
    <w:rsid w:val="00A22FDA"/>
    <w:rsid w:val="00A2348A"/>
    <w:rsid w:val="00A253DA"/>
    <w:rsid w:val="00A35F10"/>
    <w:rsid w:val="00A3748D"/>
    <w:rsid w:val="00A4582D"/>
    <w:rsid w:val="00A460F3"/>
    <w:rsid w:val="00A47647"/>
    <w:rsid w:val="00A50007"/>
    <w:rsid w:val="00A51953"/>
    <w:rsid w:val="00A52C24"/>
    <w:rsid w:val="00A5396E"/>
    <w:rsid w:val="00A553A1"/>
    <w:rsid w:val="00A5626C"/>
    <w:rsid w:val="00A60FF3"/>
    <w:rsid w:val="00A63B9E"/>
    <w:rsid w:val="00A64672"/>
    <w:rsid w:val="00A65CF4"/>
    <w:rsid w:val="00A67828"/>
    <w:rsid w:val="00A67E0B"/>
    <w:rsid w:val="00A706F1"/>
    <w:rsid w:val="00A7104D"/>
    <w:rsid w:val="00A72152"/>
    <w:rsid w:val="00A76D67"/>
    <w:rsid w:val="00A773AA"/>
    <w:rsid w:val="00A85E13"/>
    <w:rsid w:val="00A874BA"/>
    <w:rsid w:val="00A90647"/>
    <w:rsid w:val="00A940DA"/>
    <w:rsid w:val="00A96143"/>
    <w:rsid w:val="00AA0B13"/>
    <w:rsid w:val="00AA1B3B"/>
    <w:rsid w:val="00AA229B"/>
    <w:rsid w:val="00AA236F"/>
    <w:rsid w:val="00AA4AED"/>
    <w:rsid w:val="00AA4CC5"/>
    <w:rsid w:val="00AB2C93"/>
    <w:rsid w:val="00AB581D"/>
    <w:rsid w:val="00AC5AE7"/>
    <w:rsid w:val="00AC5E50"/>
    <w:rsid w:val="00AC796D"/>
    <w:rsid w:val="00AD017D"/>
    <w:rsid w:val="00AE18CC"/>
    <w:rsid w:val="00AE48D2"/>
    <w:rsid w:val="00AE4F05"/>
    <w:rsid w:val="00AF0BB2"/>
    <w:rsid w:val="00AF42CA"/>
    <w:rsid w:val="00AF5409"/>
    <w:rsid w:val="00AF691E"/>
    <w:rsid w:val="00B02ABE"/>
    <w:rsid w:val="00B02B3F"/>
    <w:rsid w:val="00B03F3A"/>
    <w:rsid w:val="00B06FD5"/>
    <w:rsid w:val="00B11B2D"/>
    <w:rsid w:val="00B13065"/>
    <w:rsid w:val="00B13AC0"/>
    <w:rsid w:val="00B1634C"/>
    <w:rsid w:val="00B204DF"/>
    <w:rsid w:val="00B23625"/>
    <w:rsid w:val="00B242CA"/>
    <w:rsid w:val="00B26394"/>
    <w:rsid w:val="00B318EF"/>
    <w:rsid w:val="00B32094"/>
    <w:rsid w:val="00B36426"/>
    <w:rsid w:val="00B416A8"/>
    <w:rsid w:val="00B41B6F"/>
    <w:rsid w:val="00B43628"/>
    <w:rsid w:val="00B43FC5"/>
    <w:rsid w:val="00B44B57"/>
    <w:rsid w:val="00B476C3"/>
    <w:rsid w:val="00B65294"/>
    <w:rsid w:val="00B6685E"/>
    <w:rsid w:val="00B66DF2"/>
    <w:rsid w:val="00B71DA5"/>
    <w:rsid w:val="00B73CB1"/>
    <w:rsid w:val="00B741AD"/>
    <w:rsid w:val="00B74983"/>
    <w:rsid w:val="00B764CB"/>
    <w:rsid w:val="00B76FB4"/>
    <w:rsid w:val="00B779D4"/>
    <w:rsid w:val="00B80F37"/>
    <w:rsid w:val="00B811C9"/>
    <w:rsid w:val="00B827FD"/>
    <w:rsid w:val="00B83476"/>
    <w:rsid w:val="00B860BF"/>
    <w:rsid w:val="00B906FE"/>
    <w:rsid w:val="00B91E22"/>
    <w:rsid w:val="00B93ECE"/>
    <w:rsid w:val="00B956A9"/>
    <w:rsid w:val="00B96AD2"/>
    <w:rsid w:val="00BA0FF6"/>
    <w:rsid w:val="00BA1A3A"/>
    <w:rsid w:val="00BA22B4"/>
    <w:rsid w:val="00BA2502"/>
    <w:rsid w:val="00BA6C73"/>
    <w:rsid w:val="00BA735D"/>
    <w:rsid w:val="00BB27CC"/>
    <w:rsid w:val="00BB2DDE"/>
    <w:rsid w:val="00BB3F72"/>
    <w:rsid w:val="00BB5CDF"/>
    <w:rsid w:val="00BB678C"/>
    <w:rsid w:val="00BC374B"/>
    <w:rsid w:val="00BC56C4"/>
    <w:rsid w:val="00BD1142"/>
    <w:rsid w:val="00BD2769"/>
    <w:rsid w:val="00BD45C8"/>
    <w:rsid w:val="00BD6CA1"/>
    <w:rsid w:val="00BE02DE"/>
    <w:rsid w:val="00BE0966"/>
    <w:rsid w:val="00BF23D9"/>
    <w:rsid w:val="00BF2C1B"/>
    <w:rsid w:val="00C036E5"/>
    <w:rsid w:val="00C10927"/>
    <w:rsid w:val="00C11CD4"/>
    <w:rsid w:val="00C15835"/>
    <w:rsid w:val="00C16C66"/>
    <w:rsid w:val="00C23E46"/>
    <w:rsid w:val="00C25B0B"/>
    <w:rsid w:val="00C30CCE"/>
    <w:rsid w:val="00C31869"/>
    <w:rsid w:val="00C32BB1"/>
    <w:rsid w:val="00C36E17"/>
    <w:rsid w:val="00C3745C"/>
    <w:rsid w:val="00C378FA"/>
    <w:rsid w:val="00C4062A"/>
    <w:rsid w:val="00C4354B"/>
    <w:rsid w:val="00C43E0F"/>
    <w:rsid w:val="00C4480F"/>
    <w:rsid w:val="00C52CE1"/>
    <w:rsid w:val="00C5348E"/>
    <w:rsid w:val="00C539EA"/>
    <w:rsid w:val="00C55A8D"/>
    <w:rsid w:val="00C5796B"/>
    <w:rsid w:val="00C62508"/>
    <w:rsid w:val="00C62C77"/>
    <w:rsid w:val="00C63C23"/>
    <w:rsid w:val="00C70589"/>
    <w:rsid w:val="00C71041"/>
    <w:rsid w:val="00C71D66"/>
    <w:rsid w:val="00C7295E"/>
    <w:rsid w:val="00C7411B"/>
    <w:rsid w:val="00C817DF"/>
    <w:rsid w:val="00C818CE"/>
    <w:rsid w:val="00C82DBC"/>
    <w:rsid w:val="00C8326D"/>
    <w:rsid w:val="00C85128"/>
    <w:rsid w:val="00C87CE1"/>
    <w:rsid w:val="00C87D2E"/>
    <w:rsid w:val="00C92079"/>
    <w:rsid w:val="00C93323"/>
    <w:rsid w:val="00C95F50"/>
    <w:rsid w:val="00CA3516"/>
    <w:rsid w:val="00CA6311"/>
    <w:rsid w:val="00CA63A4"/>
    <w:rsid w:val="00CB0BB7"/>
    <w:rsid w:val="00CB219F"/>
    <w:rsid w:val="00CB75BB"/>
    <w:rsid w:val="00CC185C"/>
    <w:rsid w:val="00CC1C3A"/>
    <w:rsid w:val="00CC2D4F"/>
    <w:rsid w:val="00CC7EEC"/>
    <w:rsid w:val="00CD03DD"/>
    <w:rsid w:val="00CD0846"/>
    <w:rsid w:val="00CD697A"/>
    <w:rsid w:val="00CE0F0E"/>
    <w:rsid w:val="00CE1629"/>
    <w:rsid w:val="00CE4741"/>
    <w:rsid w:val="00CE5E30"/>
    <w:rsid w:val="00CE7A5E"/>
    <w:rsid w:val="00CF04FC"/>
    <w:rsid w:val="00CF4C41"/>
    <w:rsid w:val="00CF57C3"/>
    <w:rsid w:val="00CF57F1"/>
    <w:rsid w:val="00D01D17"/>
    <w:rsid w:val="00D02D0B"/>
    <w:rsid w:val="00D17D09"/>
    <w:rsid w:val="00D2175C"/>
    <w:rsid w:val="00D23514"/>
    <w:rsid w:val="00D26C6F"/>
    <w:rsid w:val="00D2713A"/>
    <w:rsid w:val="00D31DEC"/>
    <w:rsid w:val="00D332B1"/>
    <w:rsid w:val="00D33B94"/>
    <w:rsid w:val="00D36C9B"/>
    <w:rsid w:val="00D40213"/>
    <w:rsid w:val="00D416BE"/>
    <w:rsid w:val="00D417E2"/>
    <w:rsid w:val="00D418C5"/>
    <w:rsid w:val="00D43454"/>
    <w:rsid w:val="00D4451D"/>
    <w:rsid w:val="00D514C0"/>
    <w:rsid w:val="00D557B3"/>
    <w:rsid w:val="00D570F3"/>
    <w:rsid w:val="00D61593"/>
    <w:rsid w:val="00D62EB8"/>
    <w:rsid w:val="00D70D5C"/>
    <w:rsid w:val="00D72088"/>
    <w:rsid w:val="00D765D4"/>
    <w:rsid w:val="00D83C3D"/>
    <w:rsid w:val="00D91200"/>
    <w:rsid w:val="00D926BD"/>
    <w:rsid w:val="00D929FF"/>
    <w:rsid w:val="00D931EC"/>
    <w:rsid w:val="00D94572"/>
    <w:rsid w:val="00DA0169"/>
    <w:rsid w:val="00DA10D5"/>
    <w:rsid w:val="00DA1971"/>
    <w:rsid w:val="00DA457E"/>
    <w:rsid w:val="00DA463E"/>
    <w:rsid w:val="00DA5D0A"/>
    <w:rsid w:val="00DB0131"/>
    <w:rsid w:val="00DB52AA"/>
    <w:rsid w:val="00DB664C"/>
    <w:rsid w:val="00DC3478"/>
    <w:rsid w:val="00DC37A9"/>
    <w:rsid w:val="00DC7F26"/>
    <w:rsid w:val="00DD0220"/>
    <w:rsid w:val="00DD3CFD"/>
    <w:rsid w:val="00DD475E"/>
    <w:rsid w:val="00DD4963"/>
    <w:rsid w:val="00DD6801"/>
    <w:rsid w:val="00DD7364"/>
    <w:rsid w:val="00DE174E"/>
    <w:rsid w:val="00DE1EF7"/>
    <w:rsid w:val="00DE2B5D"/>
    <w:rsid w:val="00DE50F8"/>
    <w:rsid w:val="00DE665F"/>
    <w:rsid w:val="00DE6717"/>
    <w:rsid w:val="00DE75C7"/>
    <w:rsid w:val="00DF0A1F"/>
    <w:rsid w:val="00DF0BF4"/>
    <w:rsid w:val="00DF0E4E"/>
    <w:rsid w:val="00DF24FA"/>
    <w:rsid w:val="00DF66AA"/>
    <w:rsid w:val="00DF7412"/>
    <w:rsid w:val="00E01228"/>
    <w:rsid w:val="00E03924"/>
    <w:rsid w:val="00E0501B"/>
    <w:rsid w:val="00E0639C"/>
    <w:rsid w:val="00E1019B"/>
    <w:rsid w:val="00E13792"/>
    <w:rsid w:val="00E15E12"/>
    <w:rsid w:val="00E17784"/>
    <w:rsid w:val="00E20B9A"/>
    <w:rsid w:val="00E244CC"/>
    <w:rsid w:val="00E252B0"/>
    <w:rsid w:val="00E453E8"/>
    <w:rsid w:val="00E477E4"/>
    <w:rsid w:val="00E53D7E"/>
    <w:rsid w:val="00E54382"/>
    <w:rsid w:val="00E567B7"/>
    <w:rsid w:val="00E56AD8"/>
    <w:rsid w:val="00E6062A"/>
    <w:rsid w:val="00E6258E"/>
    <w:rsid w:val="00E67345"/>
    <w:rsid w:val="00E77477"/>
    <w:rsid w:val="00E77BBB"/>
    <w:rsid w:val="00E915E0"/>
    <w:rsid w:val="00E91CE8"/>
    <w:rsid w:val="00E948D0"/>
    <w:rsid w:val="00EA7B00"/>
    <w:rsid w:val="00EA7E4F"/>
    <w:rsid w:val="00EB1F4D"/>
    <w:rsid w:val="00EC4A01"/>
    <w:rsid w:val="00ED00AA"/>
    <w:rsid w:val="00ED40E3"/>
    <w:rsid w:val="00EE3797"/>
    <w:rsid w:val="00EF652F"/>
    <w:rsid w:val="00F01605"/>
    <w:rsid w:val="00F061D4"/>
    <w:rsid w:val="00F07014"/>
    <w:rsid w:val="00F11464"/>
    <w:rsid w:val="00F15B4A"/>
    <w:rsid w:val="00F16E29"/>
    <w:rsid w:val="00F1783E"/>
    <w:rsid w:val="00F21C59"/>
    <w:rsid w:val="00F22024"/>
    <w:rsid w:val="00F27248"/>
    <w:rsid w:val="00F31555"/>
    <w:rsid w:val="00F32B70"/>
    <w:rsid w:val="00F332E5"/>
    <w:rsid w:val="00F35DC6"/>
    <w:rsid w:val="00F37EA1"/>
    <w:rsid w:val="00F418A9"/>
    <w:rsid w:val="00F41A4E"/>
    <w:rsid w:val="00F4584F"/>
    <w:rsid w:val="00F46A49"/>
    <w:rsid w:val="00F4754F"/>
    <w:rsid w:val="00F50AA5"/>
    <w:rsid w:val="00F53C88"/>
    <w:rsid w:val="00F6021C"/>
    <w:rsid w:val="00F647FC"/>
    <w:rsid w:val="00F67836"/>
    <w:rsid w:val="00F7011D"/>
    <w:rsid w:val="00F7206A"/>
    <w:rsid w:val="00F72B96"/>
    <w:rsid w:val="00F733D3"/>
    <w:rsid w:val="00F74C5D"/>
    <w:rsid w:val="00F76A70"/>
    <w:rsid w:val="00F832BC"/>
    <w:rsid w:val="00F83803"/>
    <w:rsid w:val="00F8424F"/>
    <w:rsid w:val="00F87E93"/>
    <w:rsid w:val="00F91B8F"/>
    <w:rsid w:val="00F93170"/>
    <w:rsid w:val="00F940E7"/>
    <w:rsid w:val="00FA1C38"/>
    <w:rsid w:val="00FA2425"/>
    <w:rsid w:val="00FA2759"/>
    <w:rsid w:val="00FA599B"/>
    <w:rsid w:val="00FA7537"/>
    <w:rsid w:val="00FB0E88"/>
    <w:rsid w:val="00FB1948"/>
    <w:rsid w:val="00FB3F87"/>
    <w:rsid w:val="00FB436C"/>
    <w:rsid w:val="00FB5409"/>
    <w:rsid w:val="00FB6417"/>
    <w:rsid w:val="00FC30D7"/>
    <w:rsid w:val="00FC5D6F"/>
    <w:rsid w:val="00FC61F9"/>
    <w:rsid w:val="00FC6A58"/>
    <w:rsid w:val="00FC7462"/>
    <w:rsid w:val="00FC7A78"/>
    <w:rsid w:val="00FD1D4E"/>
    <w:rsid w:val="00FD43C4"/>
    <w:rsid w:val="00FD52AC"/>
    <w:rsid w:val="00FE3892"/>
    <w:rsid w:val="00FE4124"/>
    <w:rsid w:val="00FE6D6A"/>
    <w:rsid w:val="00FF1279"/>
    <w:rsid w:val="00FF2164"/>
    <w:rsid w:val="00FF3225"/>
    <w:rsid w:val="00FF3ABC"/>
    <w:rsid w:val="00FF3B84"/>
    <w:rsid w:val="00FF41CA"/>
    <w:rsid w:val="00FF7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C1EAF5E-1EB0-4AB1-9FD8-E1A8E5CB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303"/>
    <w:pPr>
      <w:spacing w:line="480" w:lineRule="auto"/>
    </w:pPr>
    <w:rPr>
      <w:rFonts w:asciiTheme="minorHAnsi" w:hAnsiTheme="minorHAnsi"/>
      <w:sz w:val="24"/>
      <w:szCs w:val="24"/>
      <w:lang w:bidi="en-US"/>
    </w:rPr>
  </w:style>
  <w:style w:type="paragraph" w:styleId="Balk1">
    <w:name w:val="heading 1"/>
    <w:next w:val="Normal"/>
    <w:link w:val="Balk1Char"/>
    <w:autoRedefine/>
    <w:uiPriority w:val="9"/>
    <w:qFormat/>
    <w:rsid w:val="00E1019B"/>
    <w:pPr>
      <w:spacing w:line="480" w:lineRule="auto"/>
      <w:jc w:val="both"/>
      <w:outlineLvl w:val="0"/>
    </w:pPr>
    <w:rPr>
      <w:rFonts w:asciiTheme="majorHAnsi" w:hAnsiTheme="majorHAnsi"/>
      <w:b/>
      <w:bCs/>
      <w:sz w:val="28"/>
      <w:szCs w:val="32"/>
      <w:lang w:bidi="en-US"/>
    </w:rPr>
  </w:style>
  <w:style w:type="paragraph" w:styleId="Balk2">
    <w:name w:val="heading 2"/>
    <w:next w:val="Normal"/>
    <w:link w:val="Balk2Char"/>
    <w:autoRedefine/>
    <w:uiPriority w:val="9"/>
    <w:unhideWhenUsed/>
    <w:qFormat/>
    <w:rsid w:val="000776CE"/>
    <w:pPr>
      <w:keepNext/>
      <w:spacing w:line="480" w:lineRule="auto"/>
      <w:outlineLvl w:val="1"/>
    </w:pPr>
    <w:rPr>
      <w:rFonts w:asciiTheme="majorHAnsi" w:hAnsiTheme="majorHAnsi"/>
      <w:b/>
      <w:bCs/>
      <w:iCs/>
      <w:sz w:val="24"/>
      <w:szCs w:val="28"/>
      <w:lang w:bidi="en-US"/>
    </w:rPr>
  </w:style>
  <w:style w:type="paragraph" w:styleId="Balk3">
    <w:name w:val="heading 3"/>
    <w:next w:val="Normal"/>
    <w:link w:val="Balk3Char"/>
    <w:autoRedefine/>
    <w:uiPriority w:val="9"/>
    <w:unhideWhenUsed/>
    <w:qFormat/>
    <w:rsid w:val="00F41A4E"/>
    <w:pPr>
      <w:keepNext/>
      <w:spacing w:line="480" w:lineRule="auto"/>
      <w:outlineLvl w:val="2"/>
    </w:pPr>
    <w:rPr>
      <w:rFonts w:asciiTheme="majorHAnsi" w:hAnsiTheme="majorHAnsi"/>
      <w:b/>
      <w:bCs/>
      <w:i/>
      <w:sz w:val="22"/>
      <w:szCs w:val="24"/>
      <w:lang w:bidi="en-US"/>
    </w:rPr>
  </w:style>
  <w:style w:type="paragraph" w:styleId="Balk4">
    <w:name w:val="heading 4"/>
    <w:basedOn w:val="Normal"/>
    <w:next w:val="Normal"/>
    <w:link w:val="Balk4Char"/>
    <w:uiPriority w:val="9"/>
    <w:unhideWhenUsed/>
    <w:qFormat/>
    <w:rsid w:val="003A060D"/>
    <w:pPr>
      <w:keepNext/>
      <w:spacing w:before="240" w:after="60"/>
      <w:outlineLvl w:val="3"/>
    </w:pPr>
    <w:rPr>
      <w:b/>
      <w:bCs/>
      <w:sz w:val="28"/>
      <w:szCs w:val="28"/>
    </w:rPr>
  </w:style>
  <w:style w:type="paragraph" w:styleId="Balk5">
    <w:name w:val="heading 5"/>
    <w:basedOn w:val="Normal"/>
    <w:next w:val="Normal"/>
    <w:link w:val="Balk5Char"/>
    <w:uiPriority w:val="9"/>
    <w:unhideWhenUsed/>
    <w:qFormat/>
    <w:rsid w:val="003A060D"/>
    <w:pPr>
      <w:spacing w:before="240" w:after="60"/>
      <w:outlineLvl w:val="4"/>
    </w:pPr>
    <w:rPr>
      <w:b/>
      <w:bCs/>
      <w:i/>
      <w:iCs/>
      <w:sz w:val="26"/>
      <w:szCs w:val="26"/>
    </w:rPr>
  </w:style>
  <w:style w:type="paragraph" w:styleId="Balk6">
    <w:name w:val="heading 6"/>
    <w:basedOn w:val="Normal"/>
    <w:next w:val="Normal"/>
    <w:link w:val="Balk6Char"/>
    <w:uiPriority w:val="9"/>
    <w:semiHidden/>
    <w:unhideWhenUsed/>
    <w:qFormat/>
    <w:rsid w:val="003A060D"/>
    <w:pPr>
      <w:spacing w:before="240" w:after="60"/>
      <w:outlineLvl w:val="5"/>
    </w:pPr>
    <w:rPr>
      <w:b/>
      <w:bCs/>
      <w:sz w:val="22"/>
      <w:szCs w:val="22"/>
    </w:rPr>
  </w:style>
  <w:style w:type="paragraph" w:styleId="Balk7">
    <w:name w:val="heading 7"/>
    <w:basedOn w:val="Normal"/>
    <w:next w:val="Normal"/>
    <w:link w:val="Balk7Char"/>
    <w:uiPriority w:val="9"/>
    <w:semiHidden/>
    <w:unhideWhenUsed/>
    <w:qFormat/>
    <w:rsid w:val="003A060D"/>
    <w:pPr>
      <w:spacing w:before="240" w:after="60"/>
      <w:outlineLvl w:val="6"/>
    </w:pPr>
  </w:style>
  <w:style w:type="paragraph" w:styleId="Balk8">
    <w:name w:val="heading 8"/>
    <w:basedOn w:val="Normal"/>
    <w:next w:val="Normal"/>
    <w:link w:val="Balk8Char"/>
    <w:uiPriority w:val="9"/>
    <w:semiHidden/>
    <w:unhideWhenUsed/>
    <w:qFormat/>
    <w:rsid w:val="003A060D"/>
    <w:pPr>
      <w:spacing w:before="240" w:after="60"/>
      <w:outlineLvl w:val="7"/>
    </w:pPr>
    <w:rPr>
      <w:i/>
      <w:iCs/>
    </w:rPr>
  </w:style>
  <w:style w:type="paragraph" w:styleId="Balk9">
    <w:name w:val="heading 9"/>
    <w:basedOn w:val="Normal"/>
    <w:next w:val="Normal"/>
    <w:link w:val="Balk9Char"/>
    <w:uiPriority w:val="9"/>
    <w:semiHidden/>
    <w:unhideWhenUsed/>
    <w:qFormat/>
    <w:rsid w:val="003A060D"/>
    <w:pPr>
      <w:spacing w:before="240" w:after="60"/>
      <w:outlineLvl w:val="8"/>
    </w:pPr>
    <w:rPr>
      <w:rFonts w:ascii="Times New Roman" w:hAnsi="Times New Roman"/>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19B"/>
    <w:rPr>
      <w:rFonts w:asciiTheme="majorHAnsi" w:hAnsiTheme="majorHAnsi"/>
      <w:b/>
      <w:bCs/>
      <w:sz w:val="28"/>
      <w:szCs w:val="32"/>
      <w:lang w:bidi="en-US"/>
    </w:rPr>
  </w:style>
  <w:style w:type="character" w:customStyle="1" w:styleId="Balk2Char">
    <w:name w:val="Başlık 2 Char"/>
    <w:basedOn w:val="VarsaylanParagrafYazTipi"/>
    <w:link w:val="Balk2"/>
    <w:uiPriority w:val="9"/>
    <w:rsid w:val="000776CE"/>
    <w:rPr>
      <w:rFonts w:asciiTheme="majorHAnsi" w:hAnsiTheme="majorHAnsi"/>
      <w:b/>
      <w:bCs/>
      <w:iCs/>
      <w:sz w:val="24"/>
      <w:szCs w:val="28"/>
      <w:lang w:bidi="en-US"/>
    </w:rPr>
  </w:style>
  <w:style w:type="character" w:customStyle="1" w:styleId="Balk3Char">
    <w:name w:val="Başlık 3 Char"/>
    <w:basedOn w:val="VarsaylanParagrafYazTipi"/>
    <w:link w:val="Balk3"/>
    <w:uiPriority w:val="9"/>
    <w:rsid w:val="00F41A4E"/>
    <w:rPr>
      <w:rFonts w:asciiTheme="majorHAnsi" w:hAnsiTheme="majorHAnsi"/>
      <w:b/>
      <w:bCs/>
      <w:i/>
      <w:sz w:val="22"/>
      <w:szCs w:val="24"/>
      <w:lang w:bidi="en-US"/>
    </w:rPr>
  </w:style>
  <w:style w:type="character" w:customStyle="1" w:styleId="Balk4Char">
    <w:name w:val="Başlık 4 Char"/>
    <w:basedOn w:val="VarsaylanParagrafYazTipi"/>
    <w:link w:val="Balk4"/>
    <w:uiPriority w:val="9"/>
    <w:rsid w:val="003A060D"/>
    <w:rPr>
      <w:rFonts w:cs="Times New Roman"/>
      <w:b/>
      <w:bCs/>
      <w:sz w:val="28"/>
      <w:szCs w:val="28"/>
    </w:rPr>
  </w:style>
  <w:style w:type="character" w:customStyle="1" w:styleId="Balk5Char">
    <w:name w:val="Başlık 5 Char"/>
    <w:basedOn w:val="VarsaylanParagrafYazTipi"/>
    <w:link w:val="Balk5"/>
    <w:uiPriority w:val="9"/>
    <w:rsid w:val="003A060D"/>
    <w:rPr>
      <w:rFonts w:cs="Times New Roman"/>
      <w:b/>
      <w:bCs/>
      <w:i/>
      <w:iCs/>
      <w:sz w:val="26"/>
      <w:szCs w:val="26"/>
    </w:rPr>
  </w:style>
  <w:style w:type="character" w:customStyle="1" w:styleId="Balk6Char">
    <w:name w:val="Başlık 6 Char"/>
    <w:basedOn w:val="VarsaylanParagrafYazTipi"/>
    <w:link w:val="Balk6"/>
    <w:uiPriority w:val="9"/>
    <w:semiHidden/>
    <w:rsid w:val="003A060D"/>
    <w:rPr>
      <w:rFonts w:cs="Times New Roman"/>
      <w:b/>
      <w:bCs/>
    </w:rPr>
  </w:style>
  <w:style w:type="character" w:customStyle="1" w:styleId="Balk7Char">
    <w:name w:val="Başlık 7 Char"/>
    <w:basedOn w:val="VarsaylanParagrafYazTipi"/>
    <w:link w:val="Balk7"/>
    <w:uiPriority w:val="9"/>
    <w:semiHidden/>
    <w:rsid w:val="003A060D"/>
    <w:rPr>
      <w:rFonts w:cs="Times New Roman"/>
      <w:sz w:val="24"/>
      <w:szCs w:val="24"/>
    </w:rPr>
  </w:style>
  <w:style w:type="character" w:customStyle="1" w:styleId="Balk8Char">
    <w:name w:val="Başlık 8 Char"/>
    <w:basedOn w:val="VarsaylanParagrafYazTipi"/>
    <w:link w:val="Balk8"/>
    <w:uiPriority w:val="9"/>
    <w:semiHidden/>
    <w:rsid w:val="003A060D"/>
    <w:rPr>
      <w:rFonts w:cs="Times New Roman"/>
      <w:i/>
      <w:iCs/>
      <w:sz w:val="24"/>
      <w:szCs w:val="24"/>
    </w:rPr>
  </w:style>
  <w:style w:type="character" w:customStyle="1" w:styleId="Balk9Char">
    <w:name w:val="Başlık 9 Char"/>
    <w:basedOn w:val="VarsaylanParagrafYazTipi"/>
    <w:link w:val="Balk9"/>
    <w:uiPriority w:val="9"/>
    <w:semiHidden/>
    <w:rsid w:val="003A060D"/>
    <w:rPr>
      <w:rFonts w:ascii="Times New Roman" w:eastAsia="Times New Roman" w:hAnsi="Times New Roman" w:cs="Times New Roman"/>
    </w:rPr>
  </w:style>
  <w:style w:type="paragraph" w:styleId="ResimYazs">
    <w:name w:val="caption"/>
    <w:basedOn w:val="Normal"/>
    <w:next w:val="Normal"/>
    <w:uiPriority w:val="35"/>
    <w:unhideWhenUsed/>
    <w:rsid w:val="00E948D0"/>
    <w:pPr>
      <w:spacing w:line="240" w:lineRule="auto"/>
    </w:pPr>
    <w:rPr>
      <w:b/>
      <w:bCs/>
      <w:szCs w:val="18"/>
    </w:rPr>
  </w:style>
  <w:style w:type="paragraph" w:styleId="KonuBal">
    <w:name w:val="Title"/>
    <w:basedOn w:val="Balk1"/>
    <w:next w:val="Normal"/>
    <w:link w:val="KonuBalChar"/>
    <w:autoRedefine/>
    <w:uiPriority w:val="10"/>
    <w:qFormat/>
    <w:rsid w:val="0057775C"/>
    <w:pPr>
      <w:keepNext/>
    </w:pPr>
    <w:rPr>
      <w:bCs w:val="0"/>
    </w:rPr>
  </w:style>
  <w:style w:type="character" w:customStyle="1" w:styleId="KonuBalChar">
    <w:name w:val="Konu Başlığı Char"/>
    <w:basedOn w:val="VarsaylanParagrafYazTipi"/>
    <w:link w:val="KonuBal"/>
    <w:uiPriority w:val="10"/>
    <w:rsid w:val="00C3745C"/>
    <w:rPr>
      <w:rFonts w:asciiTheme="majorHAnsi" w:hAnsiTheme="majorHAnsi"/>
      <w:caps/>
      <w:sz w:val="24"/>
      <w:szCs w:val="32"/>
      <w:lang w:bidi="en-US"/>
    </w:rPr>
  </w:style>
  <w:style w:type="paragraph" w:styleId="Altyaz">
    <w:name w:val="Subtitle"/>
    <w:basedOn w:val="Normal"/>
    <w:next w:val="Normal"/>
    <w:link w:val="AltyazChar"/>
    <w:uiPriority w:val="11"/>
    <w:semiHidden/>
    <w:unhideWhenUsed/>
    <w:qFormat/>
    <w:rsid w:val="003A060D"/>
    <w:pPr>
      <w:spacing w:after="60"/>
      <w:jc w:val="center"/>
      <w:outlineLvl w:val="1"/>
    </w:pPr>
    <w:rPr>
      <w:rFonts w:ascii="Times New Roman" w:hAnsi="Times New Roman"/>
    </w:rPr>
  </w:style>
  <w:style w:type="character" w:customStyle="1" w:styleId="AltyazChar">
    <w:name w:val="Altyazı Char"/>
    <w:basedOn w:val="VarsaylanParagrafYazTipi"/>
    <w:link w:val="Altyaz"/>
    <w:uiPriority w:val="11"/>
    <w:semiHidden/>
    <w:rsid w:val="00077F0A"/>
    <w:rPr>
      <w:sz w:val="24"/>
      <w:szCs w:val="24"/>
      <w:lang w:bidi="en-US"/>
    </w:rPr>
  </w:style>
  <w:style w:type="character" w:styleId="Gl">
    <w:name w:val="Strong"/>
    <w:basedOn w:val="VarsaylanParagrafYazTipi"/>
    <w:uiPriority w:val="22"/>
    <w:semiHidden/>
    <w:unhideWhenUsed/>
    <w:qFormat/>
    <w:rsid w:val="003A060D"/>
    <w:rPr>
      <w:b/>
      <w:bCs/>
    </w:rPr>
  </w:style>
  <w:style w:type="character" w:styleId="Vurgu">
    <w:name w:val="Emphasis"/>
    <w:basedOn w:val="VarsaylanParagrafYazTipi"/>
    <w:uiPriority w:val="20"/>
    <w:semiHidden/>
    <w:unhideWhenUsed/>
    <w:qFormat/>
    <w:rsid w:val="003A060D"/>
    <w:rPr>
      <w:rFonts w:ascii="Times New Roman" w:hAnsi="Times New Roman"/>
      <w:b/>
      <w:i/>
      <w:iCs/>
    </w:rPr>
  </w:style>
  <w:style w:type="paragraph" w:styleId="AralkYok">
    <w:name w:val="No Spacing"/>
    <w:basedOn w:val="Normal"/>
    <w:link w:val="AralkYokChar"/>
    <w:uiPriority w:val="1"/>
    <w:semiHidden/>
    <w:qFormat/>
    <w:rsid w:val="0070017B"/>
    <w:pPr>
      <w:spacing w:line="240" w:lineRule="auto"/>
    </w:pPr>
    <w:rPr>
      <w:szCs w:val="32"/>
    </w:rPr>
  </w:style>
  <w:style w:type="paragraph" w:styleId="ekillerTablosu">
    <w:name w:val="table of figures"/>
    <w:basedOn w:val="Normal"/>
    <w:next w:val="Normal"/>
    <w:uiPriority w:val="99"/>
    <w:unhideWhenUsed/>
    <w:rsid w:val="00E948D0"/>
  </w:style>
  <w:style w:type="paragraph" w:styleId="Alnt">
    <w:name w:val="Quote"/>
    <w:basedOn w:val="Normal"/>
    <w:next w:val="Normal"/>
    <w:link w:val="AlntChar"/>
    <w:uiPriority w:val="29"/>
    <w:semiHidden/>
    <w:unhideWhenUsed/>
    <w:qFormat/>
    <w:rsid w:val="003A060D"/>
    <w:rPr>
      <w:i/>
    </w:rPr>
  </w:style>
  <w:style w:type="character" w:customStyle="1" w:styleId="AlntChar">
    <w:name w:val="Alıntı Char"/>
    <w:basedOn w:val="VarsaylanParagrafYazTipi"/>
    <w:link w:val="Alnt"/>
    <w:uiPriority w:val="29"/>
    <w:semiHidden/>
    <w:rsid w:val="00077F0A"/>
    <w:rPr>
      <w:i/>
      <w:sz w:val="24"/>
      <w:szCs w:val="24"/>
      <w:lang w:bidi="en-US"/>
    </w:rPr>
  </w:style>
  <w:style w:type="paragraph" w:styleId="GlAlnt">
    <w:name w:val="Intense Quote"/>
    <w:basedOn w:val="Normal"/>
    <w:next w:val="Normal"/>
    <w:link w:val="GlAlntChar"/>
    <w:uiPriority w:val="30"/>
    <w:semiHidden/>
    <w:unhideWhenUsed/>
    <w:qFormat/>
    <w:rsid w:val="003A060D"/>
    <w:pPr>
      <w:ind w:left="720" w:right="720"/>
    </w:pPr>
    <w:rPr>
      <w:b/>
      <w:i/>
      <w:szCs w:val="22"/>
    </w:rPr>
  </w:style>
  <w:style w:type="character" w:customStyle="1" w:styleId="GlAlntChar">
    <w:name w:val="Güçlü Alıntı Char"/>
    <w:basedOn w:val="VarsaylanParagrafYazTipi"/>
    <w:link w:val="GlAlnt"/>
    <w:uiPriority w:val="30"/>
    <w:semiHidden/>
    <w:rsid w:val="00077F0A"/>
    <w:rPr>
      <w:b/>
      <w:i/>
      <w:sz w:val="24"/>
      <w:szCs w:val="22"/>
      <w:lang w:bidi="en-US"/>
    </w:rPr>
  </w:style>
  <w:style w:type="character" w:styleId="HafifVurgulama">
    <w:name w:val="Subtle Emphasis"/>
    <w:uiPriority w:val="19"/>
    <w:semiHidden/>
    <w:unhideWhenUsed/>
    <w:qFormat/>
    <w:rsid w:val="003A060D"/>
    <w:rPr>
      <w:i/>
      <w:color w:val="5A5A5A"/>
    </w:rPr>
  </w:style>
  <w:style w:type="character" w:styleId="GlVurgulama">
    <w:name w:val="Intense Emphasis"/>
    <w:basedOn w:val="VarsaylanParagrafYazTipi"/>
    <w:uiPriority w:val="21"/>
    <w:semiHidden/>
    <w:unhideWhenUsed/>
    <w:qFormat/>
    <w:rsid w:val="003A060D"/>
    <w:rPr>
      <w:b/>
      <w:i/>
      <w:sz w:val="24"/>
      <w:szCs w:val="24"/>
      <w:u w:val="single"/>
    </w:rPr>
  </w:style>
  <w:style w:type="character" w:styleId="HafifBavuru">
    <w:name w:val="Subtle Reference"/>
    <w:basedOn w:val="VarsaylanParagrafYazTipi"/>
    <w:uiPriority w:val="31"/>
    <w:semiHidden/>
    <w:unhideWhenUsed/>
    <w:qFormat/>
    <w:rsid w:val="003A060D"/>
    <w:rPr>
      <w:sz w:val="24"/>
      <w:szCs w:val="24"/>
      <w:u w:val="single"/>
    </w:rPr>
  </w:style>
  <w:style w:type="character" w:styleId="GlBavuru">
    <w:name w:val="Intense Reference"/>
    <w:basedOn w:val="VarsaylanParagrafYazTipi"/>
    <w:uiPriority w:val="32"/>
    <w:semiHidden/>
    <w:unhideWhenUsed/>
    <w:qFormat/>
    <w:rsid w:val="003A060D"/>
    <w:rPr>
      <w:b/>
      <w:sz w:val="24"/>
      <w:u w:val="single"/>
    </w:rPr>
  </w:style>
  <w:style w:type="character" w:styleId="KitapBal">
    <w:name w:val="Book Title"/>
    <w:basedOn w:val="VarsaylanParagrafYazTipi"/>
    <w:uiPriority w:val="33"/>
    <w:semiHidden/>
    <w:unhideWhenUsed/>
    <w:qFormat/>
    <w:rsid w:val="003A060D"/>
    <w:rPr>
      <w:rFonts w:ascii="Times New Roman" w:eastAsia="Times New Roman" w:hAnsi="Times New Roman"/>
      <w:b/>
      <w:i/>
      <w:sz w:val="24"/>
      <w:szCs w:val="24"/>
    </w:rPr>
  </w:style>
  <w:style w:type="paragraph" w:styleId="TBal">
    <w:name w:val="TOC Heading"/>
    <w:basedOn w:val="Balk1"/>
    <w:next w:val="Normal"/>
    <w:uiPriority w:val="39"/>
    <w:unhideWhenUsed/>
    <w:qFormat/>
    <w:rsid w:val="003A060D"/>
    <w:pPr>
      <w:outlineLvl w:val="9"/>
    </w:pPr>
  </w:style>
  <w:style w:type="character" w:customStyle="1" w:styleId="AralkYokChar">
    <w:name w:val="Aralık Yok Char"/>
    <w:basedOn w:val="VarsaylanParagrafYazTipi"/>
    <w:link w:val="AralkYok"/>
    <w:uiPriority w:val="1"/>
    <w:semiHidden/>
    <w:rsid w:val="00844477"/>
    <w:rPr>
      <w:rFonts w:asciiTheme="minorHAnsi" w:hAnsiTheme="minorHAnsi"/>
      <w:sz w:val="24"/>
      <w:szCs w:val="32"/>
      <w:lang w:bidi="en-US"/>
    </w:rPr>
  </w:style>
  <w:style w:type="paragraph" w:styleId="BalonMetni">
    <w:name w:val="Balloon Text"/>
    <w:basedOn w:val="Normal"/>
    <w:link w:val="BalonMetniChar"/>
    <w:uiPriority w:val="99"/>
    <w:semiHidden/>
    <w:unhideWhenUsed/>
    <w:rsid w:val="00730F0A"/>
    <w:rPr>
      <w:rFonts w:ascii="Tahoma" w:hAnsi="Tahoma" w:cs="Tahoma"/>
      <w:sz w:val="16"/>
      <w:szCs w:val="16"/>
    </w:rPr>
  </w:style>
  <w:style w:type="character" w:customStyle="1" w:styleId="BalonMetniChar">
    <w:name w:val="Balon Metni Char"/>
    <w:basedOn w:val="VarsaylanParagrafYazTipi"/>
    <w:link w:val="BalonMetni"/>
    <w:uiPriority w:val="99"/>
    <w:semiHidden/>
    <w:rsid w:val="00730F0A"/>
    <w:rPr>
      <w:rFonts w:ascii="Tahoma" w:hAnsi="Tahoma" w:cs="Tahoma"/>
      <w:sz w:val="16"/>
      <w:szCs w:val="16"/>
      <w:lang w:bidi="en-US"/>
    </w:rPr>
  </w:style>
  <w:style w:type="paragraph" w:styleId="stbilgi">
    <w:name w:val="header"/>
    <w:basedOn w:val="Normal"/>
    <w:link w:val="stbilgiChar"/>
    <w:uiPriority w:val="99"/>
    <w:unhideWhenUsed/>
    <w:rsid w:val="008E1C26"/>
    <w:pPr>
      <w:tabs>
        <w:tab w:val="center" w:pos="4680"/>
        <w:tab w:val="right" w:pos="9360"/>
      </w:tabs>
    </w:pPr>
  </w:style>
  <w:style w:type="character" w:customStyle="1" w:styleId="stbilgiChar">
    <w:name w:val="Üstbilgi Char"/>
    <w:basedOn w:val="VarsaylanParagrafYazTipi"/>
    <w:link w:val="stbilgi"/>
    <w:uiPriority w:val="99"/>
    <w:rsid w:val="008E1C26"/>
    <w:rPr>
      <w:sz w:val="24"/>
      <w:szCs w:val="24"/>
      <w:lang w:bidi="en-US"/>
    </w:rPr>
  </w:style>
  <w:style w:type="paragraph" w:styleId="Altbilgi">
    <w:name w:val="footer"/>
    <w:basedOn w:val="Normal"/>
    <w:link w:val="AltbilgiChar"/>
    <w:uiPriority w:val="99"/>
    <w:unhideWhenUsed/>
    <w:rsid w:val="008E1C26"/>
    <w:pPr>
      <w:tabs>
        <w:tab w:val="center" w:pos="4680"/>
        <w:tab w:val="right" w:pos="9360"/>
      </w:tabs>
    </w:pPr>
  </w:style>
  <w:style w:type="character" w:customStyle="1" w:styleId="AltbilgiChar">
    <w:name w:val="Altbilgi Char"/>
    <w:basedOn w:val="VarsaylanParagrafYazTipi"/>
    <w:link w:val="Altbilgi"/>
    <w:uiPriority w:val="99"/>
    <w:rsid w:val="008E1C26"/>
    <w:rPr>
      <w:sz w:val="24"/>
      <w:szCs w:val="24"/>
      <w:lang w:bidi="en-US"/>
    </w:rPr>
  </w:style>
  <w:style w:type="character" w:styleId="Kpr">
    <w:name w:val="Hyperlink"/>
    <w:basedOn w:val="VarsaylanParagrafYazTipi"/>
    <w:uiPriority w:val="99"/>
    <w:unhideWhenUsed/>
    <w:rsid w:val="00DA1971"/>
    <w:rPr>
      <w:color w:val="0000FF"/>
      <w:u w:val="single"/>
    </w:rPr>
  </w:style>
  <w:style w:type="paragraph" w:styleId="T1">
    <w:name w:val="toc 1"/>
    <w:basedOn w:val="Normal"/>
    <w:next w:val="Normal"/>
    <w:autoRedefine/>
    <w:uiPriority w:val="39"/>
    <w:unhideWhenUsed/>
    <w:rsid w:val="00C3745C"/>
    <w:pPr>
      <w:tabs>
        <w:tab w:val="right" w:leader="dot" w:pos="8486"/>
      </w:tabs>
      <w:ind w:left="720" w:hanging="720"/>
    </w:pPr>
  </w:style>
  <w:style w:type="paragraph" w:styleId="T2">
    <w:name w:val="toc 2"/>
    <w:basedOn w:val="Normal"/>
    <w:next w:val="Normal"/>
    <w:autoRedefine/>
    <w:uiPriority w:val="39"/>
    <w:unhideWhenUsed/>
    <w:rsid w:val="00C3745C"/>
    <w:pPr>
      <w:ind w:left="1080" w:hanging="720"/>
    </w:pPr>
  </w:style>
  <w:style w:type="table" w:styleId="TabloKlavuzu">
    <w:name w:val="Table Grid"/>
    <w:basedOn w:val="NormalTablo"/>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YerTutucuMetni">
    <w:name w:val="Placeholder Text"/>
    <w:basedOn w:val="VarsaylanParagrafYazTipi"/>
    <w:uiPriority w:val="99"/>
    <w:semiHidden/>
    <w:rsid w:val="00746E16"/>
    <w:rPr>
      <w:color w:val="808080"/>
    </w:rPr>
  </w:style>
  <w:style w:type="character" w:customStyle="1" w:styleId="BlockQuotationChar">
    <w:name w:val="Block Quotation Char"/>
    <w:basedOn w:val="AralkYokChar"/>
    <w:link w:val="BlockQuotation"/>
    <w:rsid w:val="0070017B"/>
    <w:rPr>
      <w:rFonts w:asciiTheme="minorHAnsi" w:hAnsiTheme="minorHAnsi"/>
      <w:sz w:val="24"/>
      <w:szCs w:val="24"/>
      <w:lang w:bidi="en-US"/>
    </w:rPr>
  </w:style>
  <w:style w:type="paragraph" w:styleId="Kaynaka">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eParagraf">
    <w:name w:val="List Paragraph"/>
    <w:basedOn w:val="Normal"/>
    <w:uiPriority w:val="34"/>
    <w:unhideWhenUsed/>
    <w:qFormat/>
    <w:rsid w:val="00660B74"/>
    <w:pPr>
      <w:ind w:left="720"/>
      <w:contextualSpacing/>
    </w:pPr>
  </w:style>
  <w:style w:type="paragraph" w:customStyle="1" w:styleId="Default">
    <w:name w:val="Default"/>
    <w:rsid w:val="003A1DE4"/>
    <w:pPr>
      <w:autoSpaceDE w:val="0"/>
      <w:autoSpaceDN w:val="0"/>
      <w:adjustRightInd w:val="0"/>
    </w:pPr>
    <w:rPr>
      <w:color w:val="000000"/>
      <w:sz w:val="24"/>
      <w:szCs w:val="24"/>
      <w:lang w:val="tr-TR"/>
    </w:rPr>
  </w:style>
  <w:style w:type="character" w:customStyle="1" w:styleId="A1">
    <w:name w:val="A1"/>
    <w:uiPriority w:val="99"/>
    <w:rsid w:val="003A1DE4"/>
    <w:rPr>
      <w:color w:val="000000"/>
      <w:sz w:val="22"/>
      <w:szCs w:val="22"/>
    </w:rPr>
  </w:style>
  <w:style w:type="paragraph" w:styleId="NormalWeb">
    <w:name w:val="Normal (Web)"/>
    <w:basedOn w:val="Normal"/>
    <w:uiPriority w:val="99"/>
    <w:unhideWhenUsed/>
    <w:rsid w:val="003A1DE4"/>
    <w:pPr>
      <w:spacing w:before="100" w:beforeAutospacing="1" w:after="100" w:afterAutospacing="1" w:line="240" w:lineRule="auto"/>
    </w:pPr>
    <w:rPr>
      <w:rFonts w:ascii="Times New Roman" w:hAnsi="Times New Roman"/>
      <w:lang w:val="tr-TR" w:eastAsia="tr-TR" w:bidi="ar-SA"/>
    </w:rPr>
  </w:style>
  <w:style w:type="character" w:customStyle="1" w:styleId="apple-converted-space">
    <w:name w:val="apple-converted-space"/>
    <w:basedOn w:val="VarsaylanParagrafYazTipi"/>
    <w:rsid w:val="003A1DE4"/>
  </w:style>
  <w:style w:type="character" w:customStyle="1" w:styleId="ipa">
    <w:name w:val="ipa"/>
    <w:basedOn w:val="VarsaylanParagrafYazTipi"/>
    <w:rsid w:val="003A1DE4"/>
  </w:style>
  <w:style w:type="character" w:styleId="HTMLCite">
    <w:name w:val="HTML Cite"/>
    <w:basedOn w:val="VarsaylanParagrafYazTipi"/>
    <w:uiPriority w:val="99"/>
    <w:semiHidden/>
    <w:unhideWhenUsed/>
    <w:rsid w:val="003A1DE4"/>
    <w:rPr>
      <w:i/>
      <w:iCs/>
    </w:rPr>
  </w:style>
  <w:style w:type="paragraph" w:styleId="T4">
    <w:name w:val="toc 4"/>
    <w:basedOn w:val="Normal"/>
    <w:next w:val="Normal"/>
    <w:autoRedefine/>
    <w:uiPriority w:val="39"/>
    <w:unhideWhenUsed/>
    <w:rsid w:val="00E0639C"/>
    <w:pPr>
      <w:spacing w:after="100"/>
      <w:ind w:left="720"/>
    </w:pPr>
  </w:style>
  <w:style w:type="paragraph" w:styleId="T5">
    <w:name w:val="toc 5"/>
    <w:basedOn w:val="Normal"/>
    <w:next w:val="Normal"/>
    <w:autoRedefine/>
    <w:uiPriority w:val="39"/>
    <w:unhideWhenUsed/>
    <w:rsid w:val="00E0639C"/>
    <w:pPr>
      <w:spacing w:after="100"/>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3773">
      <w:bodyDiv w:val="1"/>
      <w:marLeft w:val="0"/>
      <w:marRight w:val="0"/>
      <w:marTop w:val="0"/>
      <w:marBottom w:val="0"/>
      <w:divBdr>
        <w:top w:val="none" w:sz="0" w:space="0" w:color="auto"/>
        <w:left w:val="none" w:sz="0" w:space="0" w:color="auto"/>
        <w:bottom w:val="none" w:sz="0" w:space="0" w:color="auto"/>
        <w:right w:val="none" w:sz="0" w:space="0" w:color="auto"/>
      </w:divBdr>
    </w:div>
    <w:div w:id="66659441">
      <w:bodyDiv w:val="1"/>
      <w:marLeft w:val="0"/>
      <w:marRight w:val="0"/>
      <w:marTop w:val="0"/>
      <w:marBottom w:val="0"/>
      <w:divBdr>
        <w:top w:val="none" w:sz="0" w:space="0" w:color="auto"/>
        <w:left w:val="none" w:sz="0" w:space="0" w:color="auto"/>
        <w:bottom w:val="none" w:sz="0" w:space="0" w:color="auto"/>
        <w:right w:val="none" w:sz="0" w:space="0" w:color="auto"/>
      </w:divBdr>
    </w:div>
    <w:div w:id="69427159">
      <w:bodyDiv w:val="1"/>
      <w:marLeft w:val="0"/>
      <w:marRight w:val="0"/>
      <w:marTop w:val="0"/>
      <w:marBottom w:val="0"/>
      <w:divBdr>
        <w:top w:val="none" w:sz="0" w:space="0" w:color="auto"/>
        <w:left w:val="none" w:sz="0" w:space="0" w:color="auto"/>
        <w:bottom w:val="none" w:sz="0" w:space="0" w:color="auto"/>
        <w:right w:val="none" w:sz="0" w:space="0" w:color="auto"/>
      </w:divBdr>
    </w:div>
    <w:div w:id="79102029">
      <w:bodyDiv w:val="1"/>
      <w:marLeft w:val="0"/>
      <w:marRight w:val="0"/>
      <w:marTop w:val="0"/>
      <w:marBottom w:val="0"/>
      <w:divBdr>
        <w:top w:val="none" w:sz="0" w:space="0" w:color="auto"/>
        <w:left w:val="none" w:sz="0" w:space="0" w:color="auto"/>
        <w:bottom w:val="none" w:sz="0" w:space="0" w:color="auto"/>
        <w:right w:val="none" w:sz="0" w:space="0" w:color="auto"/>
      </w:divBdr>
    </w:div>
    <w:div w:id="114563950">
      <w:bodyDiv w:val="1"/>
      <w:marLeft w:val="0"/>
      <w:marRight w:val="0"/>
      <w:marTop w:val="0"/>
      <w:marBottom w:val="0"/>
      <w:divBdr>
        <w:top w:val="none" w:sz="0" w:space="0" w:color="auto"/>
        <w:left w:val="none" w:sz="0" w:space="0" w:color="auto"/>
        <w:bottom w:val="none" w:sz="0" w:space="0" w:color="auto"/>
        <w:right w:val="none" w:sz="0" w:space="0" w:color="auto"/>
      </w:divBdr>
    </w:div>
    <w:div w:id="117526690">
      <w:bodyDiv w:val="1"/>
      <w:marLeft w:val="0"/>
      <w:marRight w:val="0"/>
      <w:marTop w:val="0"/>
      <w:marBottom w:val="0"/>
      <w:divBdr>
        <w:top w:val="none" w:sz="0" w:space="0" w:color="auto"/>
        <w:left w:val="none" w:sz="0" w:space="0" w:color="auto"/>
        <w:bottom w:val="none" w:sz="0" w:space="0" w:color="auto"/>
        <w:right w:val="none" w:sz="0" w:space="0" w:color="auto"/>
      </w:divBdr>
    </w:div>
    <w:div w:id="161703319">
      <w:bodyDiv w:val="1"/>
      <w:marLeft w:val="0"/>
      <w:marRight w:val="0"/>
      <w:marTop w:val="0"/>
      <w:marBottom w:val="0"/>
      <w:divBdr>
        <w:top w:val="none" w:sz="0" w:space="0" w:color="auto"/>
        <w:left w:val="none" w:sz="0" w:space="0" w:color="auto"/>
        <w:bottom w:val="none" w:sz="0" w:space="0" w:color="auto"/>
        <w:right w:val="none" w:sz="0" w:space="0" w:color="auto"/>
      </w:divBdr>
    </w:div>
    <w:div w:id="267009465">
      <w:bodyDiv w:val="1"/>
      <w:marLeft w:val="0"/>
      <w:marRight w:val="0"/>
      <w:marTop w:val="0"/>
      <w:marBottom w:val="0"/>
      <w:divBdr>
        <w:top w:val="none" w:sz="0" w:space="0" w:color="auto"/>
        <w:left w:val="none" w:sz="0" w:space="0" w:color="auto"/>
        <w:bottom w:val="none" w:sz="0" w:space="0" w:color="auto"/>
        <w:right w:val="none" w:sz="0" w:space="0" w:color="auto"/>
      </w:divBdr>
    </w:div>
    <w:div w:id="295063116">
      <w:bodyDiv w:val="1"/>
      <w:marLeft w:val="0"/>
      <w:marRight w:val="0"/>
      <w:marTop w:val="0"/>
      <w:marBottom w:val="0"/>
      <w:divBdr>
        <w:top w:val="none" w:sz="0" w:space="0" w:color="auto"/>
        <w:left w:val="none" w:sz="0" w:space="0" w:color="auto"/>
        <w:bottom w:val="none" w:sz="0" w:space="0" w:color="auto"/>
        <w:right w:val="none" w:sz="0" w:space="0" w:color="auto"/>
      </w:divBdr>
    </w:div>
    <w:div w:id="305546085">
      <w:bodyDiv w:val="1"/>
      <w:marLeft w:val="0"/>
      <w:marRight w:val="0"/>
      <w:marTop w:val="0"/>
      <w:marBottom w:val="0"/>
      <w:divBdr>
        <w:top w:val="none" w:sz="0" w:space="0" w:color="auto"/>
        <w:left w:val="none" w:sz="0" w:space="0" w:color="auto"/>
        <w:bottom w:val="none" w:sz="0" w:space="0" w:color="auto"/>
        <w:right w:val="none" w:sz="0" w:space="0" w:color="auto"/>
      </w:divBdr>
    </w:div>
    <w:div w:id="346563455">
      <w:bodyDiv w:val="1"/>
      <w:marLeft w:val="0"/>
      <w:marRight w:val="0"/>
      <w:marTop w:val="0"/>
      <w:marBottom w:val="0"/>
      <w:divBdr>
        <w:top w:val="none" w:sz="0" w:space="0" w:color="auto"/>
        <w:left w:val="none" w:sz="0" w:space="0" w:color="auto"/>
        <w:bottom w:val="none" w:sz="0" w:space="0" w:color="auto"/>
        <w:right w:val="none" w:sz="0" w:space="0" w:color="auto"/>
      </w:divBdr>
      <w:divsChild>
        <w:div w:id="169950568">
          <w:marLeft w:val="0"/>
          <w:marRight w:val="0"/>
          <w:marTop w:val="0"/>
          <w:marBottom w:val="0"/>
          <w:divBdr>
            <w:top w:val="none" w:sz="0" w:space="0" w:color="auto"/>
            <w:left w:val="none" w:sz="0" w:space="0" w:color="auto"/>
            <w:bottom w:val="none" w:sz="0" w:space="0" w:color="auto"/>
            <w:right w:val="none" w:sz="0" w:space="0" w:color="auto"/>
          </w:divBdr>
        </w:div>
        <w:div w:id="250509335">
          <w:marLeft w:val="0"/>
          <w:marRight w:val="0"/>
          <w:marTop w:val="0"/>
          <w:marBottom w:val="0"/>
          <w:divBdr>
            <w:top w:val="none" w:sz="0" w:space="0" w:color="auto"/>
            <w:left w:val="none" w:sz="0" w:space="0" w:color="auto"/>
            <w:bottom w:val="none" w:sz="0" w:space="0" w:color="auto"/>
            <w:right w:val="none" w:sz="0" w:space="0" w:color="auto"/>
          </w:divBdr>
        </w:div>
        <w:div w:id="770780334">
          <w:marLeft w:val="0"/>
          <w:marRight w:val="0"/>
          <w:marTop w:val="0"/>
          <w:marBottom w:val="0"/>
          <w:divBdr>
            <w:top w:val="none" w:sz="0" w:space="0" w:color="auto"/>
            <w:left w:val="none" w:sz="0" w:space="0" w:color="auto"/>
            <w:bottom w:val="none" w:sz="0" w:space="0" w:color="auto"/>
            <w:right w:val="none" w:sz="0" w:space="0" w:color="auto"/>
          </w:divBdr>
        </w:div>
        <w:div w:id="810749439">
          <w:marLeft w:val="0"/>
          <w:marRight w:val="0"/>
          <w:marTop w:val="0"/>
          <w:marBottom w:val="0"/>
          <w:divBdr>
            <w:top w:val="none" w:sz="0" w:space="0" w:color="auto"/>
            <w:left w:val="none" w:sz="0" w:space="0" w:color="auto"/>
            <w:bottom w:val="none" w:sz="0" w:space="0" w:color="auto"/>
            <w:right w:val="none" w:sz="0" w:space="0" w:color="auto"/>
          </w:divBdr>
        </w:div>
        <w:div w:id="848638696">
          <w:marLeft w:val="0"/>
          <w:marRight w:val="0"/>
          <w:marTop w:val="0"/>
          <w:marBottom w:val="0"/>
          <w:divBdr>
            <w:top w:val="none" w:sz="0" w:space="0" w:color="auto"/>
            <w:left w:val="none" w:sz="0" w:space="0" w:color="auto"/>
            <w:bottom w:val="none" w:sz="0" w:space="0" w:color="auto"/>
            <w:right w:val="none" w:sz="0" w:space="0" w:color="auto"/>
          </w:divBdr>
        </w:div>
        <w:div w:id="915167736">
          <w:marLeft w:val="0"/>
          <w:marRight w:val="0"/>
          <w:marTop w:val="0"/>
          <w:marBottom w:val="0"/>
          <w:divBdr>
            <w:top w:val="none" w:sz="0" w:space="0" w:color="auto"/>
            <w:left w:val="none" w:sz="0" w:space="0" w:color="auto"/>
            <w:bottom w:val="none" w:sz="0" w:space="0" w:color="auto"/>
            <w:right w:val="none" w:sz="0" w:space="0" w:color="auto"/>
          </w:divBdr>
        </w:div>
        <w:div w:id="1188178892">
          <w:marLeft w:val="0"/>
          <w:marRight w:val="0"/>
          <w:marTop w:val="0"/>
          <w:marBottom w:val="0"/>
          <w:divBdr>
            <w:top w:val="none" w:sz="0" w:space="0" w:color="auto"/>
            <w:left w:val="none" w:sz="0" w:space="0" w:color="auto"/>
            <w:bottom w:val="none" w:sz="0" w:space="0" w:color="auto"/>
            <w:right w:val="none" w:sz="0" w:space="0" w:color="auto"/>
          </w:divBdr>
        </w:div>
        <w:div w:id="1448424700">
          <w:marLeft w:val="0"/>
          <w:marRight w:val="0"/>
          <w:marTop w:val="0"/>
          <w:marBottom w:val="0"/>
          <w:divBdr>
            <w:top w:val="none" w:sz="0" w:space="0" w:color="auto"/>
            <w:left w:val="none" w:sz="0" w:space="0" w:color="auto"/>
            <w:bottom w:val="none" w:sz="0" w:space="0" w:color="auto"/>
            <w:right w:val="none" w:sz="0" w:space="0" w:color="auto"/>
          </w:divBdr>
        </w:div>
        <w:div w:id="2085953306">
          <w:marLeft w:val="0"/>
          <w:marRight w:val="0"/>
          <w:marTop w:val="0"/>
          <w:marBottom w:val="0"/>
          <w:divBdr>
            <w:top w:val="none" w:sz="0" w:space="0" w:color="auto"/>
            <w:left w:val="none" w:sz="0" w:space="0" w:color="auto"/>
            <w:bottom w:val="none" w:sz="0" w:space="0" w:color="auto"/>
            <w:right w:val="none" w:sz="0" w:space="0" w:color="auto"/>
          </w:divBdr>
        </w:div>
      </w:divsChild>
    </w:div>
    <w:div w:id="398139642">
      <w:bodyDiv w:val="1"/>
      <w:marLeft w:val="0"/>
      <w:marRight w:val="0"/>
      <w:marTop w:val="0"/>
      <w:marBottom w:val="0"/>
      <w:divBdr>
        <w:top w:val="none" w:sz="0" w:space="0" w:color="auto"/>
        <w:left w:val="none" w:sz="0" w:space="0" w:color="auto"/>
        <w:bottom w:val="none" w:sz="0" w:space="0" w:color="auto"/>
        <w:right w:val="none" w:sz="0" w:space="0" w:color="auto"/>
      </w:divBdr>
    </w:div>
    <w:div w:id="449978828">
      <w:bodyDiv w:val="1"/>
      <w:marLeft w:val="0"/>
      <w:marRight w:val="0"/>
      <w:marTop w:val="0"/>
      <w:marBottom w:val="0"/>
      <w:divBdr>
        <w:top w:val="none" w:sz="0" w:space="0" w:color="auto"/>
        <w:left w:val="none" w:sz="0" w:space="0" w:color="auto"/>
        <w:bottom w:val="none" w:sz="0" w:space="0" w:color="auto"/>
        <w:right w:val="none" w:sz="0" w:space="0" w:color="auto"/>
      </w:divBdr>
    </w:div>
    <w:div w:id="454445960">
      <w:bodyDiv w:val="1"/>
      <w:marLeft w:val="0"/>
      <w:marRight w:val="0"/>
      <w:marTop w:val="0"/>
      <w:marBottom w:val="0"/>
      <w:divBdr>
        <w:top w:val="none" w:sz="0" w:space="0" w:color="auto"/>
        <w:left w:val="none" w:sz="0" w:space="0" w:color="auto"/>
        <w:bottom w:val="none" w:sz="0" w:space="0" w:color="auto"/>
        <w:right w:val="none" w:sz="0" w:space="0" w:color="auto"/>
      </w:divBdr>
    </w:div>
    <w:div w:id="680932688">
      <w:bodyDiv w:val="1"/>
      <w:marLeft w:val="0"/>
      <w:marRight w:val="0"/>
      <w:marTop w:val="0"/>
      <w:marBottom w:val="0"/>
      <w:divBdr>
        <w:top w:val="none" w:sz="0" w:space="0" w:color="auto"/>
        <w:left w:val="none" w:sz="0" w:space="0" w:color="auto"/>
        <w:bottom w:val="none" w:sz="0" w:space="0" w:color="auto"/>
        <w:right w:val="none" w:sz="0" w:space="0" w:color="auto"/>
      </w:divBdr>
    </w:div>
    <w:div w:id="769131586">
      <w:bodyDiv w:val="1"/>
      <w:marLeft w:val="0"/>
      <w:marRight w:val="0"/>
      <w:marTop w:val="0"/>
      <w:marBottom w:val="0"/>
      <w:divBdr>
        <w:top w:val="none" w:sz="0" w:space="0" w:color="auto"/>
        <w:left w:val="none" w:sz="0" w:space="0" w:color="auto"/>
        <w:bottom w:val="none" w:sz="0" w:space="0" w:color="auto"/>
        <w:right w:val="none" w:sz="0" w:space="0" w:color="auto"/>
      </w:divBdr>
    </w:div>
    <w:div w:id="875655418">
      <w:bodyDiv w:val="1"/>
      <w:marLeft w:val="0"/>
      <w:marRight w:val="0"/>
      <w:marTop w:val="0"/>
      <w:marBottom w:val="0"/>
      <w:divBdr>
        <w:top w:val="none" w:sz="0" w:space="0" w:color="auto"/>
        <w:left w:val="none" w:sz="0" w:space="0" w:color="auto"/>
        <w:bottom w:val="none" w:sz="0" w:space="0" w:color="auto"/>
        <w:right w:val="none" w:sz="0" w:space="0" w:color="auto"/>
      </w:divBdr>
    </w:div>
    <w:div w:id="1060785268">
      <w:bodyDiv w:val="1"/>
      <w:marLeft w:val="0"/>
      <w:marRight w:val="0"/>
      <w:marTop w:val="0"/>
      <w:marBottom w:val="0"/>
      <w:divBdr>
        <w:top w:val="none" w:sz="0" w:space="0" w:color="auto"/>
        <w:left w:val="none" w:sz="0" w:space="0" w:color="auto"/>
        <w:bottom w:val="none" w:sz="0" w:space="0" w:color="auto"/>
        <w:right w:val="none" w:sz="0" w:space="0" w:color="auto"/>
      </w:divBdr>
    </w:div>
    <w:div w:id="1064453506">
      <w:bodyDiv w:val="1"/>
      <w:marLeft w:val="0"/>
      <w:marRight w:val="0"/>
      <w:marTop w:val="0"/>
      <w:marBottom w:val="0"/>
      <w:divBdr>
        <w:top w:val="none" w:sz="0" w:space="0" w:color="auto"/>
        <w:left w:val="none" w:sz="0" w:space="0" w:color="auto"/>
        <w:bottom w:val="none" w:sz="0" w:space="0" w:color="auto"/>
        <w:right w:val="none" w:sz="0" w:space="0" w:color="auto"/>
      </w:divBdr>
    </w:div>
    <w:div w:id="1073162447">
      <w:bodyDiv w:val="1"/>
      <w:marLeft w:val="0"/>
      <w:marRight w:val="0"/>
      <w:marTop w:val="0"/>
      <w:marBottom w:val="0"/>
      <w:divBdr>
        <w:top w:val="none" w:sz="0" w:space="0" w:color="auto"/>
        <w:left w:val="none" w:sz="0" w:space="0" w:color="auto"/>
        <w:bottom w:val="none" w:sz="0" w:space="0" w:color="auto"/>
        <w:right w:val="none" w:sz="0" w:space="0" w:color="auto"/>
      </w:divBdr>
    </w:div>
    <w:div w:id="1101413803">
      <w:bodyDiv w:val="1"/>
      <w:marLeft w:val="0"/>
      <w:marRight w:val="0"/>
      <w:marTop w:val="0"/>
      <w:marBottom w:val="0"/>
      <w:divBdr>
        <w:top w:val="none" w:sz="0" w:space="0" w:color="auto"/>
        <w:left w:val="none" w:sz="0" w:space="0" w:color="auto"/>
        <w:bottom w:val="none" w:sz="0" w:space="0" w:color="auto"/>
        <w:right w:val="none" w:sz="0" w:space="0" w:color="auto"/>
      </w:divBdr>
    </w:div>
    <w:div w:id="1101946915">
      <w:bodyDiv w:val="1"/>
      <w:marLeft w:val="0"/>
      <w:marRight w:val="0"/>
      <w:marTop w:val="0"/>
      <w:marBottom w:val="0"/>
      <w:divBdr>
        <w:top w:val="none" w:sz="0" w:space="0" w:color="auto"/>
        <w:left w:val="none" w:sz="0" w:space="0" w:color="auto"/>
        <w:bottom w:val="none" w:sz="0" w:space="0" w:color="auto"/>
        <w:right w:val="none" w:sz="0" w:space="0" w:color="auto"/>
      </w:divBdr>
      <w:divsChild>
        <w:div w:id="1239754730">
          <w:marLeft w:val="0"/>
          <w:marRight w:val="0"/>
          <w:marTop w:val="0"/>
          <w:marBottom w:val="0"/>
          <w:divBdr>
            <w:top w:val="none" w:sz="0" w:space="0" w:color="auto"/>
            <w:left w:val="none" w:sz="0" w:space="0" w:color="auto"/>
            <w:bottom w:val="none" w:sz="0" w:space="0" w:color="auto"/>
            <w:right w:val="none" w:sz="0" w:space="0" w:color="auto"/>
          </w:divBdr>
          <w:divsChild>
            <w:div w:id="16512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972163">
      <w:bodyDiv w:val="1"/>
      <w:marLeft w:val="0"/>
      <w:marRight w:val="0"/>
      <w:marTop w:val="0"/>
      <w:marBottom w:val="0"/>
      <w:divBdr>
        <w:top w:val="none" w:sz="0" w:space="0" w:color="auto"/>
        <w:left w:val="none" w:sz="0" w:space="0" w:color="auto"/>
        <w:bottom w:val="none" w:sz="0" w:space="0" w:color="auto"/>
        <w:right w:val="none" w:sz="0" w:space="0" w:color="auto"/>
      </w:divBdr>
    </w:div>
    <w:div w:id="1178041963">
      <w:bodyDiv w:val="1"/>
      <w:marLeft w:val="0"/>
      <w:marRight w:val="0"/>
      <w:marTop w:val="0"/>
      <w:marBottom w:val="0"/>
      <w:divBdr>
        <w:top w:val="none" w:sz="0" w:space="0" w:color="auto"/>
        <w:left w:val="none" w:sz="0" w:space="0" w:color="auto"/>
        <w:bottom w:val="none" w:sz="0" w:space="0" w:color="auto"/>
        <w:right w:val="none" w:sz="0" w:space="0" w:color="auto"/>
      </w:divBdr>
    </w:div>
    <w:div w:id="1207639435">
      <w:bodyDiv w:val="1"/>
      <w:marLeft w:val="0"/>
      <w:marRight w:val="0"/>
      <w:marTop w:val="0"/>
      <w:marBottom w:val="0"/>
      <w:divBdr>
        <w:top w:val="none" w:sz="0" w:space="0" w:color="auto"/>
        <w:left w:val="none" w:sz="0" w:space="0" w:color="auto"/>
        <w:bottom w:val="none" w:sz="0" w:space="0" w:color="auto"/>
        <w:right w:val="none" w:sz="0" w:space="0" w:color="auto"/>
      </w:divBdr>
    </w:div>
    <w:div w:id="1212422579">
      <w:bodyDiv w:val="1"/>
      <w:marLeft w:val="0"/>
      <w:marRight w:val="0"/>
      <w:marTop w:val="0"/>
      <w:marBottom w:val="0"/>
      <w:divBdr>
        <w:top w:val="none" w:sz="0" w:space="0" w:color="auto"/>
        <w:left w:val="none" w:sz="0" w:space="0" w:color="auto"/>
        <w:bottom w:val="none" w:sz="0" w:space="0" w:color="auto"/>
        <w:right w:val="none" w:sz="0" w:space="0" w:color="auto"/>
      </w:divBdr>
    </w:div>
    <w:div w:id="1215855043">
      <w:bodyDiv w:val="1"/>
      <w:marLeft w:val="0"/>
      <w:marRight w:val="0"/>
      <w:marTop w:val="0"/>
      <w:marBottom w:val="0"/>
      <w:divBdr>
        <w:top w:val="none" w:sz="0" w:space="0" w:color="auto"/>
        <w:left w:val="none" w:sz="0" w:space="0" w:color="auto"/>
        <w:bottom w:val="none" w:sz="0" w:space="0" w:color="auto"/>
        <w:right w:val="none" w:sz="0" w:space="0" w:color="auto"/>
      </w:divBdr>
    </w:div>
    <w:div w:id="1233615798">
      <w:bodyDiv w:val="1"/>
      <w:marLeft w:val="0"/>
      <w:marRight w:val="0"/>
      <w:marTop w:val="0"/>
      <w:marBottom w:val="0"/>
      <w:divBdr>
        <w:top w:val="none" w:sz="0" w:space="0" w:color="auto"/>
        <w:left w:val="none" w:sz="0" w:space="0" w:color="auto"/>
        <w:bottom w:val="none" w:sz="0" w:space="0" w:color="auto"/>
        <w:right w:val="none" w:sz="0" w:space="0" w:color="auto"/>
      </w:divBdr>
    </w:div>
    <w:div w:id="1258058812">
      <w:bodyDiv w:val="1"/>
      <w:marLeft w:val="0"/>
      <w:marRight w:val="0"/>
      <w:marTop w:val="0"/>
      <w:marBottom w:val="0"/>
      <w:divBdr>
        <w:top w:val="none" w:sz="0" w:space="0" w:color="auto"/>
        <w:left w:val="none" w:sz="0" w:space="0" w:color="auto"/>
        <w:bottom w:val="none" w:sz="0" w:space="0" w:color="auto"/>
        <w:right w:val="none" w:sz="0" w:space="0" w:color="auto"/>
      </w:divBdr>
    </w:div>
    <w:div w:id="1351837982">
      <w:bodyDiv w:val="1"/>
      <w:marLeft w:val="0"/>
      <w:marRight w:val="0"/>
      <w:marTop w:val="0"/>
      <w:marBottom w:val="0"/>
      <w:divBdr>
        <w:top w:val="none" w:sz="0" w:space="0" w:color="auto"/>
        <w:left w:val="none" w:sz="0" w:space="0" w:color="auto"/>
        <w:bottom w:val="none" w:sz="0" w:space="0" w:color="auto"/>
        <w:right w:val="none" w:sz="0" w:space="0" w:color="auto"/>
      </w:divBdr>
    </w:div>
    <w:div w:id="1364286693">
      <w:bodyDiv w:val="1"/>
      <w:marLeft w:val="0"/>
      <w:marRight w:val="0"/>
      <w:marTop w:val="0"/>
      <w:marBottom w:val="0"/>
      <w:divBdr>
        <w:top w:val="none" w:sz="0" w:space="0" w:color="auto"/>
        <w:left w:val="none" w:sz="0" w:space="0" w:color="auto"/>
        <w:bottom w:val="none" w:sz="0" w:space="0" w:color="auto"/>
        <w:right w:val="none" w:sz="0" w:space="0" w:color="auto"/>
      </w:divBdr>
    </w:div>
    <w:div w:id="1385449286">
      <w:bodyDiv w:val="1"/>
      <w:marLeft w:val="0"/>
      <w:marRight w:val="0"/>
      <w:marTop w:val="0"/>
      <w:marBottom w:val="0"/>
      <w:divBdr>
        <w:top w:val="none" w:sz="0" w:space="0" w:color="auto"/>
        <w:left w:val="none" w:sz="0" w:space="0" w:color="auto"/>
        <w:bottom w:val="none" w:sz="0" w:space="0" w:color="auto"/>
        <w:right w:val="none" w:sz="0" w:space="0" w:color="auto"/>
      </w:divBdr>
    </w:div>
    <w:div w:id="1385565448">
      <w:bodyDiv w:val="1"/>
      <w:marLeft w:val="0"/>
      <w:marRight w:val="0"/>
      <w:marTop w:val="0"/>
      <w:marBottom w:val="0"/>
      <w:divBdr>
        <w:top w:val="none" w:sz="0" w:space="0" w:color="auto"/>
        <w:left w:val="none" w:sz="0" w:space="0" w:color="auto"/>
        <w:bottom w:val="none" w:sz="0" w:space="0" w:color="auto"/>
        <w:right w:val="none" w:sz="0" w:space="0" w:color="auto"/>
      </w:divBdr>
    </w:div>
    <w:div w:id="1394499503">
      <w:bodyDiv w:val="1"/>
      <w:marLeft w:val="0"/>
      <w:marRight w:val="0"/>
      <w:marTop w:val="0"/>
      <w:marBottom w:val="0"/>
      <w:divBdr>
        <w:top w:val="none" w:sz="0" w:space="0" w:color="auto"/>
        <w:left w:val="none" w:sz="0" w:space="0" w:color="auto"/>
        <w:bottom w:val="none" w:sz="0" w:space="0" w:color="auto"/>
        <w:right w:val="none" w:sz="0" w:space="0" w:color="auto"/>
      </w:divBdr>
    </w:div>
    <w:div w:id="1430472163">
      <w:bodyDiv w:val="1"/>
      <w:marLeft w:val="0"/>
      <w:marRight w:val="0"/>
      <w:marTop w:val="0"/>
      <w:marBottom w:val="0"/>
      <w:divBdr>
        <w:top w:val="none" w:sz="0" w:space="0" w:color="auto"/>
        <w:left w:val="none" w:sz="0" w:space="0" w:color="auto"/>
        <w:bottom w:val="none" w:sz="0" w:space="0" w:color="auto"/>
        <w:right w:val="none" w:sz="0" w:space="0" w:color="auto"/>
      </w:divBdr>
    </w:div>
    <w:div w:id="1436949073">
      <w:bodyDiv w:val="1"/>
      <w:marLeft w:val="0"/>
      <w:marRight w:val="0"/>
      <w:marTop w:val="0"/>
      <w:marBottom w:val="0"/>
      <w:divBdr>
        <w:top w:val="none" w:sz="0" w:space="0" w:color="auto"/>
        <w:left w:val="none" w:sz="0" w:space="0" w:color="auto"/>
        <w:bottom w:val="none" w:sz="0" w:space="0" w:color="auto"/>
        <w:right w:val="none" w:sz="0" w:space="0" w:color="auto"/>
      </w:divBdr>
    </w:div>
    <w:div w:id="1464157189">
      <w:bodyDiv w:val="1"/>
      <w:marLeft w:val="0"/>
      <w:marRight w:val="0"/>
      <w:marTop w:val="0"/>
      <w:marBottom w:val="0"/>
      <w:divBdr>
        <w:top w:val="none" w:sz="0" w:space="0" w:color="auto"/>
        <w:left w:val="none" w:sz="0" w:space="0" w:color="auto"/>
        <w:bottom w:val="none" w:sz="0" w:space="0" w:color="auto"/>
        <w:right w:val="none" w:sz="0" w:space="0" w:color="auto"/>
      </w:divBdr>
    </w:div>
    <w:div w:id="1548488520">
      <w:bodyDiv w:val="1"/>
      <w:marLeft w:val="0"/>
      <w:marRight w:val="0"/>
      <w:marTop w:val="0"/>
      <w:marBottom w:val="0"/>
      <w:divBdr>
        <w:top w:val="none" w:sz="0" w:space="0" w:color="auto"/>
        <w:left w:val="none" w:sz="0" w:space="0" w:color="auto"/>
        <w:bottom w:val="none" w:sz="0" w:space="0" w:color="auto"/>
        <w:right w:val="none" w:sz="0" w:space="0" w:color="auto"/>
      </w:divBdr>
    </w:div>
    <w:div w:id="1633514954">
      <w:bodyDiv w:val="1"/>
      <w:marLeft w:val="0"/>
      <w:marRight w:val="0"/>
      <w:marTop w:val="0"/>
      <w:marBottom w:val="0"/>
      <w:divBdr>
        <w:top w:val="none" w:sz="0" w:space="0" w:color="auto"/>
        <w:left w:val="none" w:sz="0" w:space="0" w:color="auto"/>
        <w:bottom w:val="none" w:sz="0" w:space="0" w:color="auto"/>
        <w:right w:val="none" w:sz="0" w:space="0" w:color="auto"/>
      </w:divBdr>
    </w:div>
    <w:div w:id="1635254299">
      <w:bodyDiv w:val="1"/>
      <w:marLeft w:val="0"/>
      <w:marRight w:val="0"/>
      <w:marTop w:val="0"/>
      <w:marBottom w:val="0"/>
      <w:divBdr>
        <w:top w:val="none" w:sz="0" w:space="0" w:color="auto"/>
        <w:left w:val="none" w:sz="0" w:space="0" w:color="auto"/>
        <w:bottom w:val="none" w:sz="0" w:space="0" w:color="auto"/>
        <w:right w:val="none" w:sz="0" w:space="0" w:color="auto"/>
      </w:divBdr>
    </w:div>
    <w:div w:id="1638339287">
      <w:bodyDiv w:val="1"/>
      <w:marLeft w:val="0"/>
      <w:marRight w:val="0"/>
      <w:marTop w:val="0"/>
      <w:marBottom w:val="0"/>
      <w:divBdr>
        <w:top w:val="none" w:sz="0" w:space="0" w:color="auto"/>
        <w:left w:val="none" w:sz="0" w:space="0" w:color="auto"/>
        <w:bottom w:val="none" w:sz="0" w:space="0" w:color="auto"/>
        <w:right w:val="none" w:sz="0" w:space="0" w:color="auto"/>
      </w:divBdr>
    </w:div>
    <w:div w:id="1650940140">
      <w:bodyDiv w:val="1"/>
      <w:marLeft w:val="0"/>
      <w:marRight w:val="0"/>
      <w:marTop w:val="0"/>
      <w:marBottom w:val="0"/>
      <w:divBdr>
        <w:top w:val="none" w:sz="0" w:space="0" w:color="auto"/>
        <w:left w:val="none" w:sz="0" w:space="0" w:color="auto"/>
        <w:bottom w:val="none" w:sz="0" w:space="0" w:color="auto"/>
        <w:right w:val="none" w:sz="0" w:space="0" w:color="auto"/>
      </w:divBdr>
    </w:div>
    <w:div w:id="1708139130">
      <w:bodyDiv w:val="1"/>
      <w:marLeft w:val="0"/>
      <w:marRight w:val="0"/>
      <w:marTop w:val="0"/>
      <w:marBottom w:val="0"/>
      <w:divBdr>
        <w:top w:val="none" w:sz="0" w:space="0" w:color="auto"/>
        <w:left w:val="none" w:sz="0" w:space="0" w:color="auto"/>
        <w:bottom w:val="none" w:sz="0" w:space="0" w:color="auto"/>
        <w:right w:val="none" w:sz="0" w:space="0" w:color="auto"/>
      </w:divBdr>
    </w:div>
    <w:div w:id="1747150559">
      <w:bodyDiv w:val="1"/>
      <w:marLeft w:val="0"/>
      <w:marRight w:val="0"/>
      <w:marTop w:val="0"/>
      <w:marBottom w:val="0"/>
      <w:divBdr>
        <w:top w:val="none" w:sz="0" w:space="0" w:color="auto"/>
        <w:left w:val="none" w:sz="0" w:space="0" w:color="auto"/>
        <w:bottom w:val="none" w:sz="0" w:space="0" w:color="auto"/>
        <w:right w:val="none" w:sz="0" w:space="0" w:color="auto"/>
      </w:divBdr>
    </w:div>
    <w:div w:id="1795363162">
      <w:bodyDiv w:val="1"/>
      <w:marLeft w:val="0"/>
      <w:marRight w:val="0"/>
      <w:marTop w:val="0"/>
      <w:marBottom w:val="0"/>
      <w:divBdr>
        <w:top w:val="none" w:sz="0" w:space="0" w:color="auto"/>
        <w:left w:val="none" w:sz="0" w:space="0" w:color="auto"/>
        <w:bottom w:val="none" w:sz="0" w:space="0" w:color="auto"/>
        <w:right w:val="none" w:sz="0" w:space="0" w:color="auto"/>
      </w:divBdr>
    </w:div>
    <w:div w:id="1804229356">
      <w:bodyDiv w:val="1"/>
      <w:marLeft w:val="0"/>
      <w:marRight w:val="0"/>
      <w:marTop w:val="0"/>
      <w:marBottom w:val="0"/>
      <w:divBdr>
        <w:top w:val="none" w:sz="0" w:space="0" w:color="auto"/>
        <w:left w:val="none" w:sz="0" w:space="0" w:color="auto"/>
        <w:bottom w:val="none" w:sz="0" w:space="0" w:color="auto"/>
        <w:right w:val="none" w:sz="0" w:space="0" w:color="auto"/>
      </w:divBdr>
    </w:div>
    <w:div w:id="1865317320">
      <w:bodyDiv w:val="1"/>
      <w:marLeft w:val="0"/>
      <w:marRight w:val="0"/>
      <w:marTop w:val="0"/>
      <w:marBottom w:val="0"/>
      <w:divBdr>
        <w:top w:val="none" w:sz="0" w:space="0" w:color="auto"/>
        <w:left w:val="none" w:sz="0" w:space="0" w:color="auto"/>
        <w:bottom w:val="none" w:sz="0" w:space="0" w:color="auto"/>
        <w:right w:val="none" w:sz="0" w:space="0" w:color="auto"/>
      </w:divBdr>
    </w:div>
    <w:div w:id="1967661587">
      <w:bodyDiv w:val="1"/>
      <w:marLeft w:val="0"/>
      <w:marRight w:val="0"/>
      <w:marTop w:val="0"/>
      <w:marBottom w:val="0"/>
      <w:divBdr>
        <w:top w:val="none" w:sz="0" w:space="0" w:color="auto"/>
        <w:left w:val="none" w:sz="0" w:space="0" w:color="auto"/>
        <w:bottom w:val="none" w:sz="0" w:space="0" w:color="auto"/>
        <w:right w:val="none" w:sz="0" w:space="0" w:color="auto"/>
      </w:divBdr>
    </w:div>
    <w:div w:id="1998848767">
      <w:bodyDiv w:val="1"/>
      <w:marLeft w:val="0"/>
      <w:marRight w:val="0"/>
      <w:marTop w:val="0"/>
      <w:marBottom w:val="0"/>
      <w:divBdr>
        <w:top w:val="none" w:sz="0" w:space="0" w:color="auto"/>
        <w:left w:val="none" w:sz="0" w:space="0" w:color="auto"/>
        <w:bottom w:val="none" w:sz="0" w:space="0" w:color="auto"/>
        <w:right w:val="none" w:sz="0" w:space="0" w:color="auto"/>
      </w:divBdr>
    </w:div>
    <w:div w:id="2034333109">
      <w:bodyDiv w:val="1"/>
      <w:marLeft w:val="0"/>
      <w:marRight w:val="0"/>
      <w:marTop w:val="0"/>
      <w:marBottom w:val="0"/>
      <w:divBdr>
        <w:top w:val="none" w:sz="0" w:space="0" w:color="auto"/>
        <w:left w:val="none" w:sz="0" w:space="0" w:color="auto"/>
        <w:bottom w:val="none" w:sz="0" w:space="0" w:color="auto"/>
        <w:right w:val="none" w:sz="0" w:space="0" w:color="auto"/>
      </w:divBdr>
    </w:div>
    <w:div w:id="2041467095">
      <w:bodyDiv w:val="1"/>
      <w:marLeft w:val="0"/>
      <w:marRight w:val="0"/>
      <w:marTop w:val="0"/>
      <w:marBottom w:val="0"/>
      <w:divBdr>
        <w:top w:val="none" w:sz="0" w:space="0" w:color="auto"/>
        <w:left w:val="none" w:sz="0" w:space="0" w:color="auto"/>
        <w:bottom w:val="none" w:sz="0" w:space="0" w:color="auto"/>
        <w:right w:val="none" w:sz="0" w:space="0" w:color="auto"/>
      </w:divBdr>
    </w:div>
    <w:div w:id="2063020552">
      <w:bodyDiv w:val="1"/>
      <w:marLeft w:val="0"/>
      <w:marRight w:val="0"/>
      <w:marTop w:val="0"/>
      <w:marBottom w:val="0"/>
      <w:divBdr>
        <w:top w:val="none" w:sz="0" w:space="0" w:color="auto"/>
        <w:left w:val="none" w:sz="0" w:space="0" w:color="auto"/>
        <w:bottom w:val="none" w:sz="0" w:space="0" w:color="auto"/>
        <w:right w:val="none" w:sz="0" w:space="0" w:color="auto"/>
      </w:divBdr>
    </w:div>
    <w:div w:id="2116899810">
      <w:bodyDiv w:val="1"/>
      <w:marLeft w:val="0"/>
      <w:marRight w:val="0"/>
      <w:marTop w:val="0"/>
      <w:marBottom w:val="0"/>
      <w:divBdr>
        <w:top w:val="none" w:sz="0" w:space="0" w:color="auto"/>
        <w:left w:val="none" w:sz="0" w:space="0" w:color="auto"/>
        <w:bottom w:val="none" w:sz="0" w:space="0" w:color="auto"/>
        <w:right w:val="none" w:sz="0" w:space="0" w:color="auto"/>
      </w:divBdr>
    </w:div>
    <w:div w:id="212789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96.png"/><Relationship Id="rId21" Type="http://schemas.openxmlformats.org/officeDocument/2006/relationships/image" Target="media/image6.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6.png"/><Relationship Id="rId68" Type="http://schemas.openxmlformats.org/officeDocument/2006/relationships/image" Target="media/image50.png"/><Relationship Id="rId84" Type="http://schemas.openxmlformats.org/officeDocument/2006/relationships/image" Target="media/image65.png"/><Relationship Id="rId89" Type="http://schemas.openxmlformats.org/officeDocument/2006/relationships/hyperlink" Target="http://www.ogs.ou.edu/MEETINGS/Presentations/OilGasMar2012/MITCHELL%09ANDARKO.pdf" TargetMode="External"/><Relationship Id="rId112" Type="http://schemas.openxmlformats.org/officeDocument/2006/relationships/image" Target="media/image91.png"/><Relationship Id="rId133" Type="http://schemas.openxmlformats.org/officeDocument/2006/relationships/image" Target="media/image112.png"/><Relationship Id="rId138" Type="http://schemas.openxmlformats.org/officeDocument/2006/relationships/image" Target="media/image117.wmf"/><Relationship Id="rId154" Type="http://schemas.openxmlformats.org/officeDocument/2006/relationships/image" Target="media/image133.emf"/><Relationship Id="rId159" Type="http://schemas.openxmlformats.org/officeDocument/2006/relationships/image" Target="media/image138.emf"/><Relationship Id="rId175" Type="http://schemas.openxmlformats.org/officeDocument/2006/relationships/image" Target="media/image154.emf"/><Relationship Id="rId170" Type="http://schemas.openxmlformats.org/officeDocument/2006/relationships/image" Target="media/image149.emf"/><Relationship Id="rId16" Type="http://schemas.openxmlformats.org/officeDocument/2006/relationships/image" Target="media/image1.png"/><Relationship Id="rId107" Type="http://schemas.openxmlformats.org/officeDocument/2006/relationships/image" Target="media/image86.png"/><Relationship Id="rId11" Type="http://schemas.openxmlformats.org/officeDocument/2006/relationships/hyperlink" Target="file:///C:\Users\arcan\Desktop\Morrow%20(02.23.2018).docx" TargetMode="External"/><Relationship Id="rId32" Type="http://schemas.openxmlformats.org/officeDocument/2006/relationships/image" Target="media/image16.png"/><Relationship Id="rId37" Type="http://schemas.openxmlformats.org/officeDocument/2006/relationships/image" Target="media/image21.png"/><Relationship Id="rId53" Type="http://schemas.microsoft.com/office/2007/relationships/hdphoto" Target="media/hdphoto1.wdp"/><Relationship Id="rId58" Type="http://schemas.openxmlformats.org/officeDocument/2006/relationships/image" Target="media/image41.png"/><Relationship Id="rId74" Type="http://schemas.openxmlformats.org/officeDocument/2006/relationships/image" Target="media/image56.emf"/><Relationship Id="rId79" Type="http://schemas.openxmlformats.org/officeDocument/2006/relationships/image" Target="media/image60.png"/><Relationship Id="rId102" Type="http://schemas.openxmlformats.org/officeDocument/2006/relationships/image" Target="media/image81.png"/><Relationship Id="rId123" Type="http://schemas.openxmlformats.org/officeDocument/2006/relationships/image" Target="media/image102.png"/><Relationship Id="rId128" Type="http://schemas.openxmlformats.org/officeDocument/2006/relationships/image" Target="media/image107.png"/><Relationship Id="rId144" Type="http://schemas.openxmlformats.org/officeDocument/2006/relationships/image" Target="media/image123.png"/><Relationship Id="rId149" Type="http://schemas.openxmlformats.org/officeDocument/2006/relationships/image" Target="media/image128.emf"/><Relationship Id="rId5" Type="http://schemas.openxmlformats.org/officeDocument/2006/relationships/webSettings" Target="webSettings.xml"/><Relationship Id="rId90" Type="http://schemas.openxmlformats.org/officeDocument/2006/relationships/hyperlink" Target="http://www.ucmp.berkeley.edu/carboniferous/carboniferous.php" TargetMode="External"/><Relationship Id="rId95" Type="http://schemas.openxmlformats.org/officeDocument/2006/relationships/image" Target="media/image74.png"/><Relationship Id="rId160" Type="http://schemas.openxmlformats.org/officeDocument/2006/relationships/image" Target="media/image139.emf"/><Relationship Id="rId165" Type="http://schemas.openxmlformats.org/officeDocument/2006/relationships/image" Target="media/image144.emf"/><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7.png"/><Relationship Id="rId69" Type="http://schemas.openxmlformats.org/officeDocument/2006/relationships/image" Target="media/image51.png"/><Relationship Id="rId113" Type="http://schemas.openxmlformats.org/officeDocument/2006/relationships/image" Target="media/image92.png"/><Relationship Id="rId118" Type="http://schemas.openxmlformats.org/officeDocument/2006/relationships/image" Target="media/image97.png"/><Relationship Id="rId134" Type="http://schemas.openxmlformats.org/officeDocument/2006/relationships/image" Target="media/image113.png"/><Relationship Id="rId139" Type="http://schemas.openxmlformats.org/officeDocument/2006/relationships/image" Target="media/image118.wmf"/><Relationship Id="rId80" Type="http://schemas.openxmlformats.org/officeDocument/2006/relationships/image" Target="media/image61.png"/><Relationship Id="rId85" Type="http://schemas.openxmlformats.org/officeDocument/2006/relationships/image" Target="media/image66.png"/><Relationship Id="rId150" Type="http://schemas.openxmlformats.org/officeDocument/2006/relationships/image" Target="media/image129.emf"/><Relationship Id="rId155" Type="http://schemas.openxmlformats.org/officeDocument/2006/relationships/image" Target="media/image134.emf"/><Relationship Id="rId171" Type="http://schemas.openxmlformats.org/officeDocument/2006/relationships/image" Target="media/image150.emf"/><Relationship Id="rId176" Type="http://schemas.openxmlformats.org/officeDocument/2006/relationships/image" Target="media/image155.emf"/><Relationship Id="rId12" Type="http://schemas.openxmlformats.org/officeDocument/2006/relationships/hyperlink" Target="file:///C:\Users\arcan\Desktop\Morrow%20(02.23.2018).docx" TargetMode="External"/><Relationship Id="rId17" Type="http://schemas.openxmlformats.org/officeDocument/2006/relationships/image" Target="media/image2.tiff"/><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42.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3.png"/><Relationship Id="rId129" Type="http://schemas.openxmlformats.org/officeDocument/2006/relationships/image" Target="media/image108.png"/><Relationship Id="rId54" Type="http://schemas.openxmlformats.org/officeDocument/2006/relationships/image" Target="media/image37.png"/><Relationship Id="rId70" Type="http://schemas.openxmlformats.org/officeDocument/2006/relationships/image" Target="media/image52.emf"/><Relationship Id="rId75" Type="http://schemas.openxmlformats.org/officeDocument/2006/relationships/image" Target="media/image57.png"/><Relationship Id="rId91" Type="http://schemas.openxmlformats.org/officeDocument/2006/relationships/image" Target="media/image70.png"/><Relationship Id="rId96" Type="http://schemas.openxmlformats.org/officeDocument/2006/relationships/image" Target="media/image75.png"/><Relationship Id="rId140" Type="http://schemas.openxmlformats.org/officeDocument/2006/relationships/image" Target="media/image119.wmf"/><Relationship Id="rId145" Type="http://schemas.openxmlformats.org/officeDocument/2006/relationships/image" Target="media/image124.png"/><Relationship Id="rId161" Type="http://schemas.openxmlformats.org/officeDocument/2006/relationships/image" Target="media/image140.emf"/><Relationship Id="rId166" Type="http://schemas.openxmlformats.org/officeDocument/2006/relationships/image" Target="media/image14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image" Target="media/image13.emf"/><Relationship Id="rId49" Type="http://schemas.openxmlformats.org/officeDocument/2006/relationships/image" Target="media/image33.emf"/><Relationship Id="rId114" Type="http://schemas.openxmlformats.org/officeDocument/2006/relationships/image" Target="media/image93.png"/><Relationship Id="rId119" Type="http://schemas.openxmlformats.org/officeDocument/2006/relationships/image" Target="media/image98.png"/><Relationship Id="rId10" Type="http://schemas.openxmlformats.org/officeDocument/2006/relationships/hyperlink" Target="file:///C:\Users\arcan\Desktop\Morrow%20(02.23.2018).docx"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3.emf"/><Relationship Id="rId65" Type="http://schemas.openxmlformats.org/officeDocument/2006/relationships/image" Target="media/image48.png"/><Relationship Id="rId73" Type="http://schemas.openxmlformats.org/officeDocument/2006/relationships/image" Target="media/image55.png"/><Relationship Id="rId78" Type="http://schemas.openxmlformats.org/officeDocument/2006/relationships/package" Target="embeddings/Microsoft_Excel_Worksheet1.xlsx"/><Relationship Id="rId81" Type="http://schemas.openxmlformats.org/officeDocument/2006/relationships/image" Target="media/image62.png"/><Relationship Id="rId86" Type="http://schemas.openxmlformats.org/officeDocument/2006/relationships/image" Target="media/image67.emf"/><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130" Type="http://schemas.openxmlformats.org/officeDocument/2006/relationships/image" Target="media/image109.png"/><Relationship Id="rId135" Type="http://schemas.openxmlformats.org/officeDocument/2006/relationships/image" Target="media/image114.png"/><Relationship Id="rId143" Type="http://schemas.openxmlformats.org/officeDocument/2006/relationships/image" Target="media/image122.png"/><Relationship Id="rId148" Type="http://schemas.openxmlformats.org/officeDocument/2006/relationships/image" Target="media/image127.emf"/><Relationship Id="rId151" Type="http://schemas.openxmlformats.org/officeDocument/2006/relationships/image" Target="media/image130.emf"/><Relationship Id="rId156" Type="http://schemas.openxmlformats.org/officeDocument/2006/relationships/image" Target="media/image135.emf"/><Relationship Id="rId164" Type="http://schemas.openxmlformats.org/officeDocument/2006/relationships/image" Target="media/image143.emf"/><Relationship Id="rId169" Type="http://schemas.openxmlformats.org/officeDocument/2006/relationships/image" Target="media/image148.emf"/><Relationship Id="rId177" Type="http://schemas.openxmlformats.org/officeDocument/2006/relationships/image" Target="media/image156.emf"/><Relationship Id="rId4" Type="http://schemas.openxmlformats.org/officeDocument/2006/relationships/settings" Target="settings.xml"/><Relationship Id="rId9" Type="http://schemas.openxmlformats.org/officeDocument/2006/relationships/hyperlink" Target="file:///C:\Users\arcan\Desktop\Morrow%20(02.23.2018).docx" TargetMode="External"/><Relationship Id="rId172" Type="http://schemas.openxmlformats.org/officeDocument/2006/relationships/image" Target="media/image151.emf"/><Relationship Id="rId180" Type="http://schemas.openxmlformats.org/officeDocument/2006/relationships/theme" Target="theme/theme1.xml"/><Relationship Id="rId13" Type="http://schemas.openxmlformats.org/officeDocument/2006/relationships/hyperlink" Target="file:///C:\Users\arcan\Desktop\Morrow%20(02.23.2018).docx" TargetMode="External"/><Relationship Id="rId18" Type="http://schemas.openxmlformats.org/officeDocument/2006/relationships/image" Target="media/image3.png"/><Relationship Id="rId39" Type="http://schemas.openxmlformats.org/officeDocument/2006/relationships/image" Target="media/image23.emf"/><Relationship Id="rId109" Type="http://schemas.openxmlformats.org/officeDocument/2006/relationships/image" Target="media/image88.png"/><Relationship Id="rId34" Type="http://schemas.openxmlformats.org/officeDocument/2006/relationships/image" Target="media/image18.emf"/><Relationship Id="rId50" Type="http://schemas.openxmlformats.org/officeDocument/2006/relationships/image" Target="media/image34.png"/><Relationship Id="rId55" Type="http://schemas.openxmlformats.org/officeDocument/2006/relationships/image" Target="media/image38.png"/><Relationship Id="rId76" Type="http://schemas.openxmlformats.org/officeDocument/2006/relationships/image" Target="media/image58.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141" Type="http://schemas.openxmlformats.org/officeDocument/2006/relationships/image" Target="media/image120.wmf"/><Relationship Id="rId146" Type="http://schemas.openxmlformats.org/officeDocument/2006/relationships/image" Target="media/image125.emf"/><Relationship Id="rId167" Type="http://schemas.openxmlformats.org/officeDocument/2006/relationships/image" Target="media/image146.png"/><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71.png"/><Relationship Id="rId162" Type="http://schemas.openxmlformats.org/officeDocument/2006/relationships/image" Target="media/image141.emf"/><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footer" Target="footer4.xml"/><Relationship Id="rId87" Type="http://schemas.openxmlformats.org/officeDocument/2006/relationships/image" Target="media/image68.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image" Target="media/image110.png"/><Relationship Id="rId136" Type="http://schemas.openxmlformats.org/officeDocument/2006/relationships/image" Target="media/image115.wmf"/><Relationship Id="rId157" Type="http://schemas.openxmlformats.org/officeDocument/2006/relationships/image" Target="media/image136.emf"/><Relationship Id="rId178" Type="http://schemas.openxmlformats.org/officeDocument/2006/relationships/fontTable" Target="fontTable.xml"/><Relationship Id="rId61" Type="http://schemas.openxmlformats.org/officeDocument/2006/relationships/image" Target="media/image44.png"/><Relationship Id="rId82" Type="http://schemas.openxmlformats.org/officeDocument/2006/relationships/image" Target="media/image63.png"/><Relationship Id="rId152" Type="http://schemas.openxmlformats.org/officeDocument/2006/relationships/image" Target="media/image131.emf"/><Relationship Id="rId173" Type="http://schemas.openxmlformats.org/officeDocument/2006/relationships/image" Target="media/image152.emf"/><Relationship Id="rId19" Type="http://schemas.openxmlformats.org/officeDocument/2006/relationships/image" Target="media/image4.png"/><Relationship Id="rId14" Type="http://schemas.openxmlformats.org/officeDocument/2006/relationships/hyperlink" Target="file:///C:\Users\arcan\Desktop\Morrow%20(02.23.2018).docx" TargetMode="External"/><Relationship Id="rId30" Type="http://schemas.openxmlformats.org/officeDocument/2006/relationships/footer" Target="footer3.xml"/><Relationship Id="rId35" Type="http://schemas.openxmlformats.org/officeDocument/2006/relationships/image" Target="media/image19.emf"/><Relationship Id="rId56" Type="http://schemas.openxmlformats.org/officeDocument/2006/relationships/image" Target="media/image39.png"/><Relationship Id="rId77" Type="http://schemas.openxmlformats.org/officeDocument/2006/relationships/image" Target="media/image59.emf"/><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image" Target="media/image126.emf"/><Relationship Id="rId168" Type="http://schemas.openxmlformats.org/officeDocument/2006/relationships/image" Target="media/image147.emf"/><Relationship Id="rId8" Type="http://schemas.openxmlformats.org/officeDocument/2006/relationships/footer" Target="footer1.xml"/><Relationship Id="rId51" Type="http://schemas.openxmlformats.org/officeDocument/2006/relationships/image" Target="media/image35.png"/><Relationship Id="rId72" Type="http://schemas.openxmlformats.org/officeDocument/2006/relationships/image" Target="media/image54.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image" Target="media/image121.png"/><Relationship Id="rId163" Type="http://schemas.openxmlformats.org/officeDocument/2006/relationships/image" Target="media/image142.emf"/><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30.png"/><Relationship Id="rId67" Type="http://schemas.openxmlformats.org/officeDocument/2006/relationships/image" Target="media/image49.png"/><Relationship Id="rId116" Type="http://schemas.openxmlformats.org/officeDocument/2006/relationships/image" Target="media/image95.png"/><Relationship Id="rId137" Type="http://schemas.openxmlformats.org/officeDocument/2006/relationships/image" Target="media/image116.wmf"/><Relationship Id="rId158" Type="http://schemas.openxmlformats.org/officeDocument/2006/relationships/image" Target="media/image137.emf"/><Relationship Id="rId20" Type="http://schemas.openxmlformats.org/officeDocument/2006/relationships/image" Target="media/image5.png"/><Relationship Id="rId41" Type="http://schemas.openxmlformats.org/officeDocument/2006/relationships/image" Target="media/image25.png"/><Relationship Id="rId62" Type="http://schemas.openxmlformats.org/officeDocument/2006/relationships/image" Target="media/image45.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90.png"/><Relationship Id="rId132" Type="http://schemas.openxmlformats.org/officeDocument/2006/relationships/image" Target="media/image111.png"/><Relationship Id="rId153" Type="http://schemas.openxmlformats.org/officeDocument/2006/relationships/image" Target="media/image132.emf"/><Relationship Id="rId174" Type="http://schemas.openxmlformats.org/officeDocument/2006/relationships/image" Target="media/image153.emf"/><Relationship Id="rId179" Type="http://schemas.openxmlformats.org/officeDocument/2006/relationships/glossaryDocument" Target="glossary/document.xml"/><Relationship Id="rId15" Type="http://schemas.openxmlformats.org/officeDocument/2006/relationships/footer" Target="footer2.xml"/><Relationship Id="rId36" Type="http://schemas.openxmlformats.org/officeDocument/2006/relationships/image" Target="media/image20.emf"/><Relationship Id="rId57" Type="http://schemas.openxmlformats.org/officeDocument/2006/relationships/image" Target="media/image40.png"/><Relationship Id="rId106" Type="http://schemas.openxmlformats.org/officeDocument/2006/relationships/image" Target="media/image85.png"/><Relationship Id="rId127" Type="http://schemas.openxmlformats.org/officeDocument/2006/relationships/image" Target="media/image10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YerTutucuMetni"/>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YerTutucuMetni"/>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YerTutucuMetni"/>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YerTutucuMetni"/>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YerTutucuMetni"/>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YerTutucuMetni"/>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YerTutucuMetni"/>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YerTutucuMetni"/>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YerTutucuMetni"/>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YerTutucuMetn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3">
    <w:altName w:val="Times New Roman"/>
    <w:panose1 w:val="00000000000000000000"/>
    <w:charset w:val="00"/>
    <w:family w:val="roman"/>
    <w:notTrueType/>
    <w:pitch w:val="default"/>
  </w:font>
  <w:font w:name="2">
    <w:altName w:val="Times New Roman"/>
    <w:panose1 w:val="00000000000000000000"/>
    <w:charset w:val="00"/>
    <w:family w:val="roman"/>
    <w:notTrueType/>
    <w:pitch w:val="default"/>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00004FF" w:usb2="00000000" w:usb3="00000000" w:csb0="0000019F" w:csb1="00000000"/>
  </w:font>
  <w:font w:name="NimbusRomNo9L-Regu">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2"/>
  </w:compat>
  <w:rsids>
    <w:rsidRoot w:val="00045235"/>
    <w:rsid w:val="00004010"/>
    <w:rsid w:val="000047F3"/>
    <w:rsid w:val="00045235"/>
    <w:rsid w:val="00063D21"/>
    <w:rsid w:val="000D511C"/>
    <w:rsid w:val="000E0F85"/>
    <w:rsid w:val="00113531"/>
    <w:rsid w:val="0013672E"/>
    <w:rsid w:val="00151A9E"/>
    <w:rsid w:val="001924A2"/>
    <w:rsid w:val="001C0239"/>
    <w:rsid w:val="001D26AE"/>
    <w:rsid w:val="001E4B90"/>
    <w:rsid w:val="001F1822"/>
    <w:rsid w:val="002C33FF"/>
    <w:rsid w:val="002F2904"/>
    <w:rsid w:val="00303490"/>
    <w:rsid w:val="003153C5"/>
    <w:rsid w:val="00327900"/>
    <w:rsid w:val="003752F0"/>
    <w:rsid w:val="00375AC5"/>
    <w:rsid w:val="004A5A24"/>
    <w:rsid w:val="004B618F"/>
    <w:rsid w:val="004F10EE"/>
    <w:rsid w:val="00506383"/>
    <w:rsid w:val="005313F9"/>
    <w:rsid w:val="0053599A"/>
    <w:rsid w:val="00556DD1"/>
    <w:rsid w:val="005730CD"/>
    <w:rsid w:val="005C08FC"/>
    <w:rsid w:val="005E3C4E"/>
    <w:rsid w:val="00617A9D"/>
    <w:rsid w:val="006348F8"/>
    <w:rsid w:val="00664C6A"/>
    <w:rsid w:val="00693FC1"/>
    <w:rsid w:val="007057CD"/>
    <w:rsid w:val="00713126"/>
    <w:rsid w:val="007332C0"/>
    <w:rsid w:val="00755B9F"/>
    <w:rsid w:val="00765A74"/>
    <w:rsid w:val="00786D0F"/>
    <w:rsid w:val="007963DB"/>
    <w:rsid w:val="007D11E5"/>
    <w:rsid w:val="0086030F"/>
    <w:rsid w:val="00870D11"/>
    <w:rsid w:val="008718A3"/>
    <w:rsid w:val="008809FC"/>
    <w:rsid w:val="008B7CFD"/>
    <w:rsid w:val="008C0287"/>
    <w:rsid w:val="008C532B"/>
    <w:rsid w:val="008D1845"/>
    <w:rsid w:val="00913DAE"/>
    <w:rsid w:val="00943536"/>
    <w:rsid w:val="00950CDF"/>
    <w:rsid w:val="00984578"/>
    <w:rsid w:val="009A7815"/>
    <w:rsid w:val="009C6914"/>
    <w:rsid w:val="009D68F6"/>
    <w:rsid w:val="00A4381C"/>
    <w:rsid w:val="00A4572A"/>
    <w:rsid w:val="00A56A85"/>
    <w:rsid w:val="00AB2CF9"/>
    <w:rsid w:val="00AD7AA9"/>
    <w:rsid w:val="00B12DA6"/>
    <w:rsid w:val="00BA4A35"/>
    <w:rsid w:val="00BC71C5"/>
    <w:rsid w:val="00BC7BF8"/>
    <w:rsid w:val="00BD6622"/>
    <w:rsid w:val="00BF242F"/>
    <w:rsid w:val="00C37B63"/>
    <w:rsid w:val="00C52072"/>
    <w:rsid w:val="00C93A9A"/>
    <w:rsid w:val="00CB699F"/>
    <w:rsid w:val="00D16605"/>
    <w:rsid w:val="00D2737F"/>
    <w:rsid w:val="00D33707"/>
    <w:rsid w:val="00D81DC1"/>
    <w:rsid w:val="00DC53D0"/>
    <w:rsid w:val="00DD1E16"/>
    <w:rsid w:val="00E5448F"/>
    <w:rsid w:val="00E637F6"/>
    <w:rsid w:val="00F01A4F"/>
    <w:rsid w:val="00F03A40"/>
    <w:rsid w:val="00F30098"/>
    <w:rsid w:val="00F47E85"/>
    <w:rsid w:val="00F61436"/>
    <w:rsid w:val="00F7637B"/>
    <w:rsid w:val="00FB5999"/>
    <w:rsid w:val="00FC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C0C84"/>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1F2422083CF146B4961243CBAC75BB0A">
    <w:name w:val="1F2422083CF146B4961243CBAC75BB0A"/>
    <w:rsid w:val="00FC0C84"/>
    <w:pPr>
      <w:spacing w:after="160" w:line="259" w:lineRule="auto"/>
    </w:pPr>
    <w:rPr>
      <w:lang w:val="tr-TR"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E8605-1364-4C91-8786-04C02C6E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191</Pages>
  <Words>31752</Words>
  <Characters>180988</Characters>
  <Application>Microsoft Office Word</Application>
  <DocSecurity>0</DocSecurity>
  <Lines>1508</Lines>
  <Paragraphs>424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Master's Thesis Template</vt:lpstr>
      <vt:lpstr>Master's Thesis Template</vt:lpstr>
    </vt:vector>
  </TitlesOfParts>
  <Company>OU</Company>
  <LinksUpToDate>false</LinksUpToDate>
  <CharactersWithSpaces>212316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Sırrı Arcan GÖRENEKLİ</cp:lastModifiedBy>
  <cp:revision>70</cp:revision>
  <cp:lastPrinted>2018-02-28T14:24:00Z</cp:lastPrinted>
  <dcterms:created xsi:type="dcterms:W3CDTF">2018-02-23T21:25:00Z</dcterms:created>
  <dcterms:modified xsi:type="dcterms:W3CDTF">2018-02-28T14:28:00Z</dcterms:modified>
</cp:coreProperties>
</file>