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7EA80" w14:textId="63B0CF67" w:rsidR="0017457C" w:rsidRDefault="00294545" w:rsidP="00971707">
      <w:pPr>
        <w:spacing w:line="240" w:lineRule="auto"/>
        <w:jc w:val="center"/>
      </w:pPr>
      <w:bookmarkStart w:id="0" w:name="_Hlk99893706"/>
      <w:bookmarkEnd w:id="0"/>
      <w:r>
        <w:t xml:space="preserve">UNIVERSITY OF OKLAHOMA </w:t>
      </w:r>
    </w:p>
    <w:p w14:paraId="68CA0B46" w14:textId="1EA863CD" w:rsidR="00294545" w:rsidRDefault="00294545" w:rsidP="00971707">
      <w:pPr>
        <w:spacing w:line="240" w:lineRule="auto"/>
        <w:jc w:val="center"/>
      </w:pPr>
      <w:r>
        <w:t>GRADUATE COLLEGE</w:t>
      </w:r>
    </w:p>
    <w:p w14:paraId="30086934" w14:textId="77777777" w:rsidR="00294545" w:rsidRDefault="00294545" w:rsidP="00971707">
      <w:pPr>
        <w:spacing w:line="240" w:lineRule="auto"/>
        <w:jc w:val="center"/>
      </w:pPr>
    </w:p>
    <w:p w14:paraId="44176881" w14:textId="77777777" w:rsidR="00294545" w:rsidRDefault="00294545" w:rsidP="00971707">
      <w:pPr>
        <w:spacing w:line="240" w:lineRule="auto"/>
        <w:jc w:val="center"/>
      </w:pPr>
    </w:p>
    <w:p w14:paraId="1217719A" w14:textId="77777777" w:rsidR="00294545" w:rsidRDefault="00294545" w:rsidP="00971707">
      <w:pPr>
        <w:spacing w:line="240" w:lineRule="auto"/>
        <w:jc w:val="center"/>
      </w:pPr>
    </w:p>
    <w:p w14:paraId="48AE5751" w14:textId="77777777" w:rsidR="00971707" w:rsidRDefault="00971707" w:rsidP="00971707">
      <w:pPr>
        <w:spacing w:line="240" w:lineRule="auto"/>
        <w:jc w:val="center"/>
      </w:pPr>
    </w:p>
    <w:p w14:paraId="58DED9FC" w14:textId="77777777" w:rsidR="00971707" w:rsidRDefault="00971707" w:rsidP="00971707">
      <w:pPr>
        <w:spacing w:line="240" w:lineRule="auto"/>
        <w:jc w:val="center"/>
      </w:pPr>
    </w:p>
    <w:p w14:paraId="14C7E0D3" w14:textId="77777777" w:rsidR="00971707" w:rsidRDefault="00971707" w:rsidP="00971707">
      <w:pPr>
        <w:spacing w:line="240" w:lineRule="auto"/>
        <w:jc w:val="center"/>
      </w:pPr>
    </w:p>
    <w:p w14:paraId="12D10931" w14:textId="77777777" w:rsidR="00971707" w:rsidRDefault="00971707" w:rsidP="00971707">
      <w:pPr>
        <w:spacing w:line="240" w:lineRule="auto"/>
        <w:jc w:val="center"/>
      </w:pPr>
    </w:p>
    <w:p w14:paraId="3FC5D76D" w14:textId="77777777" w:rsidR="00971707" w:rsidRDefault="00971707" w:rsidP="00971707">
      <w:pPr>
        <w:spacing w:line="240" w:lineRule="auto"/>
        <w:jc w:val="center"/>
      </w:pPr>
    </w:p>
    <w:p w14:paraId="37CE458A" w14:textId="77777777" w:rsidR="00971707" w:rsidRDefault="00971707" w:rsidP="00971707">
      <w:pPr>
        <w:spacing w:line="240" w:lineRule="auto"/>
        <w:jc w:val="center"/>
      </w:pPr>
    </w:p>
    <w:p w14:paraId="01A0848D" w14:textId="77777777" w:rsidR="00971707" w:rsidRDefault="00971707" w:rsidP="00971707">
      <w:pPr>
        <w:spacing w:line="240" w:lineRule="auto"/>
        <w:jc w:val="center"/>
      </w:pPr>
    </w:p>
    <w:p w14:paraId="18EDFFBC" w14:textId="77777777" w:rsidR="00294545" w:rsidRDefault="00294545" w:rsidP="00971707">
      <w:pPr>
        <w:spacing w:line="240" w:lineRule="auto"/>
        <w:jc w:val="center"/>
      </w:pPr>
    </w:p>
    <w:p w14:paraId="173749D3" w14:textId="5917117C" w:rsidR="00294545" w:rsidRDefault="00294545" w:rsidP="00971707">
      <w:pPr>
        <w:spacing w:line="240" w:lineRule="auto"/>
        <w:jc w:val="center"/>
      </w:pPr>
      <w:r>
        <w:t xml:space="preserve">ILLICIT MASCULINITY: EXAMINING GENDER DIFFERENCES IN </w:t>
      </w:r>
      <w:r w:rsidR="00BB7FA9">
        <w:t>ADOLESCENT</w:t>
      </w:r>
      <w:r>
        <w:t xml:space="preserve"> DRUG USE</w:t>
      </w:r>
    </w:p>
    <w:p w14:paraId="26087DB5" w14:textId="77777777" w:rsidR="002C13D0" w:rsidRDefault="002C13D0" w:rsidP="00971707">
      <w:pPr>
        <w:spacing w:line="240" w:lineRule="auto"/>
        <w:jc w:val="center"/>
      </w:pPr>
    </w:p>
    <w:p w14:paraId="46622EA4" w14:textId="77777777" w:rsidR="002C13D0" w:rsidRDefault="002C13D0" w:rsidP="00971707">
      <w:pPr>
        <w:spacing w:line="240" w:lineRule="auto"/>
        <w:jc w:val="center"/>
      </w:pPr>
    </w:p>
    <w:p w14:paraId="41B2BDB3" w14:textId="77777777" w:rsidR="00971707" w:rsidRDefault="00971707" w:rsidP="00971707">
      <w:pPr>
        <w:spacing w:line="240" w:lineRule="auto"/>
        <w:jc w:val="center"/>
      </w:pPr>
    </w:p>
    <w:p w14:paraId="690064CC" w14:textId="77777777" w:rsidR="00971707" w:rsidRDefault="00971707" w:rsidP="00971707">
      <w:pPr>
        <w:spacing w:line="240" w:lineRule="auto"/>
        <w:jc w:val="center"/>
      </w:pPr>
    </w:p>
    <w:p w14:paraId="4351E689" w14:textId="77777777" w:rsidR="00971707" w:rsidRDefault="00971707" w:rsidP="00971707">
      <w:pPr>
        <w:spacing w:line="240" w:lineRule="auto"/>
        <w:jc w:val="center"/>
      </w:pPr>
    </w:p>
    <w:p w14:paraId="53528CEA" w14:textId="77777777" w:rsidR="00971707" w:rsidRDefault="00971707" w:rsidP="00971707">
      <w:pPr>
        <w:spacing w:line="240" w:lineRule="auto"/>
        <w:jc w:val="center"/>
      </w:pPr>
    </w:p>
    <w:p w14:paraId="67FC15D5" w14:textId="77777777" w:rsidR="00971707" w:rsidRDefault="00971707" w:rsidP="00971707">
      <w:pPr>
        <w:spacing w:line="240" w:lineRule="auto"/>
        <w:jc w:val="center"/>
      </w:pPr>
    </w:p>
    <w:p w14:paraId="543982B3" w14:textId="77777777" w:rsidR="00971707" w:rsidRDefault="00971707" w:rsidP="00971707">
      <w:pPr>
        <w:spacing w:line="240" w:lineRule="auto"/>
        <w:jc w:val="center"/>
      </w:pPr>
    </w:p>
    <w:p w14:paraId="7265AB9E" w14:textId="77777777" w:rsidR="00971707" w:rsidRDefault="00971707" w:rsidP="00971707">
      <w:pPr>
        <w:spacing w:line="240" w:lineRule="auto"/>
        <w:jc w:val="center"/>
      </w:pPr>
    </w:p>
    <w:p w14:paraId="14BC2AE5" w14:textId="4275B0C9" w:rsidR="002C13D0" w:rsidRDefault="002C13D0" w:rsidP="00971707">
      <w:pPr>
        <w:spacing w:line="240" w:lineRule="auto"/>
        <w:jc w:val="center"/>
      </w:pPr>
      <w:r>
        <w:t>A THESIS</w:t>
      </w:r>
    </w:p>
    <w:p w14:paraId="3C446DD8" w14:textId="08C09016" w:rsidR="002C13D0" w:rsidRDefault="002C13D0" w:rsidP="00971707">
      <w:pPr>
        <w:spacing w:line="240" w:lineRule="auto"/>
        <w:jc w:val="center"/>
      </w:pPr>
      <w:r>
        <w:t>SUBMITTED TO THE GRADUATE FACULTY</w:t>
      </w:r>
    </w:p>
    <w:p w14:paraId="10BEC30F" w14:textId="44BCAF7B" w:rsidR="002C13D0" w:rsidRDefault="002C13D0" w:rsidP="00BB7FA9">
      <w:pPr>
        <w:spacing w:line="240" w:lineRule="auto"/>
        <w:jc w:val="center"/>
      </w:pPr>
      <w:r>
        <w:t xml:space="preserve">In partial fulfillment of the requirements for the </w:t>
      </w:r>
      <w:r w:rsidR="00BB7FA9">
        <w:t>d</w:t>
      </w:r>
      <w:r>
        <w:t>egree of</w:t>
      </w:r>
    </w:p>
    <w:p w14:paraId="425C05F5" w14:textId="77C84A45" w:rsidR="002C13D0" w:rsidRDefault="00971707" w:rsidP="00971707">
      <w:pPr>
        <w:spacing w:line="240" w:lineRule="auto"/>
        <w:jc w:val="center"/>
      </w:pPr>
      <w:r>
        <w:t xml:space="preserve">Master of </w:t>
      </w:r>
      <w:r w:rsidR="00F516CB">
        <w:t>Arts</w:t>
      </w:r>
    </w:p>
    <w:p w14:paraId="4123152E" w14:textId="77777777" w:rsidR="00971707" w:rsidRDefault="00971707" w:rsidP="00971707">
      <w:pPr>
        <w:spacing w:line="240" w:lineRule="auto"/>
        <w:jc w:val="center"/>
      </w:pPr>
    </w:p>
    <w:p w14:paraId="12DF74CE" w14:textId="77777777" w:rsidR="00971707" w:rsidRDefault="00971707" w:rsidP="00971707">
      <w:pPr>
        <w:spacing w:line="240" w:lineRule="auto"/>
        <w:jc w:val="center"/>
      </w:pPr>
    </w:p>
    <w:p w14:paraId="4B8040C3" w14:textId="77777777" w:rsidR="00971707" w:rsidRDefault="00971707" w:rsidP="00971707">
      <w:pPr>
        <w:spacing w:line="240" w:lineRule="auto"/>
        <w:jc w:val="center"/>
      </w:pPr>
    </w:p>
    <w:p w14:paraId="5C2C04AA" w14:textId="77777777" w:rsidR="00971707" w:rsidRDefault="00971707" w:rsidP="00971707">
      <w:pPr>
        <w:spacing w:line="240" w:lineRule="auto"/>
        <w:jc w:val="center"/>
      </w:pPr>
    </w:p>
    <w:p w14:paraId="0277A3AA" w14:textId="77777777" w:rsidR="00971707" w:rsidRDefault="00971707" w:rsidP="00971707">
      <w:pPr>
        <w:spacing w:line="240" w:lineRule="auto"/>
        <w:jc w:val="center"/>
      </w:pPr>
    </w:p>
    <w:p w14:paraId="0016A3F0" w14:textId="77777777" w:rsidR="00971707" w:rsidRDefault="00971707" w:rsidP="00971707">
      <w:pPr>
        <w:spacing w:line="240" w:lineRule="auto"/>
        <w:jc w:val="center"/>
      </w:pPr>
    </w:p>
    <w:p w14:paraId="1797E62E" w14:textId="77777777" w:rsidR="00971707" w:rsidRDefault="00971707" w:rsidP="00971707">
      <w:pPr>
        <w:spacing w:line="240" w:lineRule="auto"/>
        <w:jc w:val="center"/>
      </w:pPr>
    </w:p>
    <w:p w14:paraId="1F244D7E" w14:textId="77777777" w:rsidR="00971707" w:rsidRDefault="00971707" w:rsidP="00971707">
      <w:pPr>
        <w:spacing w:line="240" w:lineRule="auto"/>
        <w:jc w:val="center"/>
      </w:pPr>
    </w:p>
    <w:p w14:paraId="58EA4037" w14:textId="77777777" w:rsidR="00971707" w:rsidRDefault="00971707" w:rsidP="00971707">
      <w:pPr>
        <w:spacing w:line="240" w:lineRule="auto"/>
        <w:jc w:val="center"/>
      </w:pPr>
    </w:p>
    <w:p w14:paraId="71B9D01A" w14:textId="77777777" w:rsidR="00971707" w:rsidRDefault="00971707" w:rsidP="00971707">
      <w:pPr>
        <w:spacing w:line="240" w:lineRule="auto"/>
        <w:jc w:val="center"/>
      </w:pPr>
    </w:p>
    <w:p w14:paraId="18685956" w14:textId="5A29F137" w:rsidR="00971707" w:rsidRDefault="00971707" w:rsidP="00971707">
      <w:pPr>
        <w:spacing w:line="240" w:lineRule="auto"/>
        <w:jc w:val="center"/>
      </w:pPr>
      <w:r>
        <w:t>BY</w:t>
      </w:r>
    </w:p>
    <w:p w14:paraId="254010C6" w14:textId="77777777" w:rsidR="00971707" w:rsidRDefault="00971707" w:rsidP="00971707">
      <w:pPr>
        <w:spacing w:line="240" w:lineRule="auto"/>
        <w:jc w:val="center"/>
      </w:pPr>
    </w:p>
    <w:p w14:paraId="3EE57862" w14:textId="231508D7" w:rsidR="00971707" w:rsidRDefault="00971707" w:rsidP="00971707">
      <w:pPr>
        <w:spacing w:line="240" w:lineRule="auto"/>
        <w:jc w:val="center"/>
      </w:pPr>
      <w:r>
        <w:t>Sally Wiser</w:t>
      </w:r>
    </w:p>
    <w:p w14:paraId="5572A623" w14:textId="4537C1F2" w:rsidR="00971707" w:rsidRDefault="00971707" w:rsidP="00971707">
      <w:pPr>
        <w:spacing w:line="240" w:lineRule="auto"/>
        <w:jc w:val="center"/>
      </w:pPr>
      <w:r>
        <w:t>Norman, Oklahoma</w:t>
      </w:r>
    </w:p>
    <w:p w14:paraId="4A27F20A" w14:textId="3603F1E7" w:rsidR="00971707" w:rsidRDefault="00971707" w:rsidP="00971707">
      <w:pPr>
        <w:spacing w:line="240" w:lineRule="auto"/>
        <w:jc w:val="center"/>
      </w:pPr>
      <w:r>
        <w:t>2022</w:t>
      </w:r>
    </w:p>
    <w:p w14:paraId="1A8A0D38" w14:textId="77777777" w:rsidR="0017457C" w:rsidRDefault="0017457C"/>
    <w:p w14:paraId="5A38B61F" w14:textId="6506B92E" w:rsidR="00971707" w:rsidRDefault="00971707" w:rsidP="00971707">
      <w:pPr>
        <w:spacing w:line="240" w:lineRule="auto"/>
        <w:jc w:val="center"/>
      </w:pPr>
      <w:r>
        <w:lastRenderedPageBreak/>
        <w:t>ILLICIT MASCULINITY: EXAMINING GENDER DIFFERENCES IN</w:t>
      </w:r>
      <w:r w:rsidR="00BB7FA9">
        <w:t xml:space="preserve"> ADOLESCENT</w:t>
      </w:r>
      <w:r>
        <w:t xml:space="preserve"> DRUG USE</w:t>
      </w:r>
    </w:p>
    <w:p w14:paraId="46EB3D6E" w14:textId="77777777" w:rsidR="00971707" w:rsidRDefault="00971707" w:rsidP="00971707">
      <w:pPr>
        <w:spacing w:line="240" w:lineRule="auto"/>
        <w:jc w:val="center"/>
      </w:pPr>
    </w:p>
    <w:p w14:paraId="2A72CF93" w14:textId="77777777" w:rsidR="00971707" w:rsidRDefault="00971707" w:rsidP="00971707">
      <w:pPr>
        <w:spacing w:line="240" w:lineRule="auto"/>
        <w:jc w:val="center"/>
      </w:pPr>
    </w:p>
    <w:p w14:paraId="45320064" w14:textId="77777777" w:rsidR="00A76471" w:rsidRDefault="00A76471" w:rsidP="00971707">
      <w:pPr>
        <w:spacing w:line="240" w:lineRule="auto"/>
        <w:jc w:val="center"/>
      </w:pPr>
    </w:p>
    <w:p w14:paraId="6E758D25" w14:textId="77777777" w:rsidR="00BB7FA9" w:rsidRDefault="00BB7FA9" w:rsidP="00971707">
      <w:pPr>
        <w:spacing w:line="240" w:lineRule="auto"/>
        <w:jc w:val="center"/>
      </w:pPr>
    </w:p>
    <w:p w14:paraId="667E8FFB" w14:textId="77777777" w:rsidR="00BB7FA9" w:rsidRDefault="00BB7FA9" w:rsidP="00971707">
      <w:pPr>
        <w:spacing w:line="240" w:lineRule="auto"/>
        <w:jc w:val="center"/>
      </w:pPr>
    </w:p>
    <w:p w14:paraId="528F744E" w14:textId="77777777" w:rsidR="00A76471" w:rsidRDefault="00A76471" w:rsidP="00971707">
      <w:pPr>
        <w:spacing w:line="240" w:lineRule="auto"/>
        <w:jc w:val="center"/>
      </w:pPr>
    </w:p>
    <w:p w14:paraId="5D7AF4A2" w14:textId="77777777" w:rsidR="00A76471" w:rsidRDefault="00A76471" w:rsidP="00971707">
      <w:pPr>
        <w:spacing w:line="240" w:lineRule="auto"/>
        <w:jc w:val="center"/>
      </w:pPr>
    </w:p>
    <w:p w14:paraId="71AE62F6" w14:textId="16A514B4" w:rsidR="003351C2" w:rsidRDefault="00971707" w:rsidP="00971707">
      <w:pPr>
        <w:spacing w:line="240" w:lineRule="auto"/>
        <w:jc w:val="center"/>
      </w:pPr>
      <w:r>
        <w:t>A THESIS APPROVED FOR</w:t>
      </w:r>
      <w:r w:rsidR="001B56F3">
        <w:t xml:space="preserve"> THE DEPARTMENT OF</w:t>
      </w:r>
      <w:r>
        <w:t xml:space="preserve"> </w:t>
      </w:r>
      <w:r w:rsidR="000D5CDB">
        <w:t>SOCIOLOGY</w:t>
      </w:r>
    </w:p>
    <w:p w14:paraId="5DB0EC62" w14:textId="77777777" w:rsidR="000D5CDB" w:rsidRDefault="000D5CDB" w:rsidP="00971707">
      <w:pPr>
        <w:spacing w:line="240" w:lineRule="auto"/>
        <w:jc w:val="center"/>
      </w:pPr>
    </w:p>
    <w:p w14:paraId="515C9AE3" w14:textId="77777777" w:rsidR="000D5CDB" w:rsidRDefault="000D5CDB" w:rsidP="00971707">
      <w:pPr>
        <w:spacing w:line="240" w:lineRule="auto"/>
        <w:jc w:val="center"/>
      </w:pPr>
    </w:p>
    <w:p w14:paraId="1803B4C8" w14:textId="77777777" w:rsidR="000D5CDB" w:rsidRDefault="000D5CDB" w:rsidP="00971707">
      <w:pPr>
        <w:spacing w:line="240" w:lineRule="auto"/>
        <w:jc w:val="center"/>
      </w:pPr>
    </w:p>
    <w:p w14:paraId="35FD0AF3" w14:textId="77777777" w:rsidR="000D5CDB" w:rsidRDefault="000D5CDB" w:rsidP="00971707">
      <w:pPr>
        <w:spacing w:line="240" w:lineRule="auto"/>
        <w:jc w:val="center"/>
      </w:pPr>
    </w:p>
    <w:p w14:paraId="75772611" w14:textId="77777777" w:rsidR="000D5CDB" w:rsidRDefault="000D5CDB" w:rsidP="00971707">
      <w:pPr>
        <w:spacing w:line="240" w:lineRule="auto"/>
        <w:jc w:val="center"/>
      </w:pPr>
    </w:p>
    <w:p w14:paraId="4B65FE80" w14:textId="77777777" w:rsidR="000D5CDB" w:rsidRDefault="000D5CDB" w:rsidP="00971707">
      <w:pPr>
        <w:spacing w:line="240" w:lineRule="auto"/>
        <w:jc w:val="center"/>
      </w:pPr>
    </w:p>
    <w:p w14:paraId="395627F7" w14:textId="77777777" w:rsidR="000D5CDB" w:rsidRDefault="000D5CDB" w:rsidP="00971707">
      <w:pPr>
        <w:spacing w:line="240" w:lineRule="auto"/>
        <w:jc w:val="center"/>
      </w:pPr>
    </w:p>
    <w:p w14:paraId="1CF349E7" w14:textId="77777777" w:rsidR="000D5CDB" w:rsidRDefault="000D5CDB" w:rsidP="00971707">
      <w:pPr>
        <w:spacing w:line="240" w:lineRule="auto"/>
        <w:jc w:val="center"/>
      </w:pPr>
    </w:p>
    <w:p w14:paraId="505E30D0" w14:textId="5567CCF2" w:rsidR="000D5CDB" w:rsidRDefault="000D5CDB" w:rsidP="00971707">
      <w:pPr>
        <w:spacing w:line="240" w:lineRule="auto"/>
        <w:jc w:val="center"/>
      </w:pPr>
      <w:r>
        <w:t>BY THE COMMITTEE CONSISTING OF</w:t>
      </w:r>
    </w:p>
    <w:p w14:paraId="2A47F457" w14:textId="77777777" w:rsidR="000D5CDB" w:rsidRDefault="000D5CDB" w:rsidP="00971707">
      <w:pPr>
        <w:spacing w:line="240" w:lineRule="auto"/>
        <w:jc w:val="center"/>
      </w:pPr>
    </w:p>
    <w:p w14:paraId="24B261F0" w14:textId="77777777" w:rsidR="000D5CDB" w:rsidRDefault="000D5CDB" w:rsidP="00971707">
      <w:pPr>
        <w:spacing w:line="240" w:lineRule="auto"/>
        <w:jc w:val="center"/>
      </w:pPr>
    </w:p>
    <w:p w14:paraId="19F405CE" w14:textId="77777777" w:rsidR="000D5CDB" w:rsidRDefault="000D5CDB" w:rsidP="00971707">
      <w:pPr>
        <w:spacing w:line="240" w:lineRule="auto"/>
        <w:jc w:val="center"/>
      </w:pPr>
    </w:p>
    <w:p w14:paraId="38515E29" w14:textId="77777777" w:rsidR="000D5CDB" w:rsidRDefault="000D5CDB" w:rsidP="00971707">
      <w:pPr>
        <w:spacing w:line="240" w:lineRule="auto"/>
        <w:jc w:val="center"/>
      </w:pPr>
    </w:p>
    <w:p w14:paraId="2FB88A36" w14:textId="1A2A560C" w:rsidR="000D5CDB" w:rsidRDefault="000D5CDB" w:rsidP="000D5CDB">
      <w:pPr>
        <w:spacing w:line="240" w:lineRule="auto"/>
        <w:jc w:val="right"/>
      </w:pPr>
      <w:r>
        <w:t xml:space="preserve">Dr. Meredith Worthen, Chair </w:t>
      </w:r>
    </w:p>
    <w:p w14:paraId="0E59BD28" w14:textId="77777777" w:rsidR="000D5CDB" w:rsidRDefault="000D5CDB" w:rsidP="000D5CDB">
      <w:pPr>
        <w:spacing w:line="240" w:lineRule="auto"/>
        <w:jc w:val="right"/>
      </w:pPr>
    </w:p>
    <w:p w14:paraId="410E18B5" w14:textId="44E587B0" w:rsidR="000D5CDB" w:rsidRDefault="000D5CDB" w:rsidP="000D5CDB">
      <w:pPr>
        <w:spacing w:line="240" w:lineRule="auto"/>
        <w:jc w:val="right"/>
      </w:pPr>
      <w:r>
        <w:t>Dr. B. Mitchel</w:t>
      </w:r>
      <w:r w:rsidR="00A76471">
        <w:t>l Peck</w:t>
      </w:r>
    </w:p>
    <w:p w14:paraId="11D92B6C" w14:textId="77777777" w:rsidR="00A76471" w:rsidRDefault="00A76471" w:rsidP="000D5CDB">
      <w:pPr>
        <w:spacing w:line="240" w:lineRule="auto"/>
        <w:jc w:val="right"/>
      </w:pPr>
    </w:p>
    <w:p w14:paraId="2EB86F28" w14:textId="642DB515" w:rsidR="00A76471" w:rsidRDefault="00A76471" w:rsidP="000D5CDB">
      <w:pPr>
        <w:spacing w:line="240" w:lineRule="auto"/>
        <w:jc w:val="right"/>
      </w:pPr>
      <w:r>
        <w:t xml:space="preserve">Dr. Julie </w:t>
      </w:r>
      <w:proofErr w:type="spellStart"/>
      <w:r>
        <w:t>Gerlinger</w:t>
      </w:r>
      <w:proofErr w:type="spellEnd"/>
    </w:p>
    <w:p w14:paraId="07C6FF44" w14:textId="0200BF0F" w:rsidR="0017457C" w:rsidRDefault="0017457C" w:rsidP="00971707">
      <w:pPr>
        <w:spacing w:line="240" w:lineRule="auto"/>
        <w:jc w:val="center"/>
      </w:pPr>
      <w:r>
        <w:br w:type="page"/>
      </w:r>
    </w:p>
    <w:p w14:paraId="32CC6391" w14:textId="77777777" w:rsidR="00A76471" w:rsidRDefault="00A76471"/>
    <w:p w14:paraId="3D41B83D" w14:textId="77777777" w:rsidR="00A76471" w:rsidRDefault="00A76471"/>
    <w:p w14:paraId="194405CA" w14:textId="77777777" w:rsidR="00A76471" w:rsidRDefault="00A76471"/>
    <w:p w14:paraId="25C0D6EE" w14:textId="77777777" w:rsidR="00A76471" w:rsidRDefault="00A76471"/>
    <w:p w14:paraId="57DC6201" w14:textId="77777777" w:rsidR="00A76471" w:rsidRDefault="00A76471"/>
    <w:p w14:paraId="2A3F196D" w14:textId="77777777" w:rsidR="00A76471" w:rsidRDefault="00A76471"/>
    <w:p w14:paraId="31C28D96" w14:textId="77777777" w:rsidR="00A76471" w:rsidRDefault="00A76471"/>
    <w:p w14:paraId="187AF302" w14:textId="77777777" w:rsidR="00A76471" w:rsidRDefault="00A76471"/>
    <w:p w14:paraId="28362222" w14:textId="77777777" w:rsidR="00A76471" w:rsidRDefault="00A76471"/>
    <w:p w14:paraId="7F1D6821" w14:textId="77777777" w:rsidR="00A76471" w:rsidRDefault="00A76471"/>
    <w:p w14:paraId="351C0A4B" w14:textId="77777777" w:rsidR="00A76471" w:rsidRDefault="00A76471"/>
    <w:p w14:paraId="5F44D955" w14:textId="77777777" w:rsidR="00A76471" w:rsidRDefault="00A76471"/>
    <w:p w14:paraId="48995C67" w14:textId="77777777" w:rsidR="00A76471" w:rsidRDefault="00A76471"/>
    <w:p w14:paraId="05013138" w14:textId="77777777" w:rsidR="00A76471" w:rsidRDefault="00A76471"/>
    <w:p w14:paraId="74197E67" w14:textId="77777777" w:rsidR="00A76471" w:rsidRDefault="00A76471"/>
    <w:p w14:paraId="27B53541" w14:textId="77777777" w:rsidR="00A76471" w:rsidRDefault="00A76471"/>
    <w:p w14:paraId="49C9327B" w14:textId="77777777" w:rsidR="00A76471" w:rsidRDefault="00A76471"/>
    <w:p w14:paraId="61B1491C" w14:textId="77777777" w:rsidR="00A76471" w:rsidRDefault="00A76471"/>
    <w:p w14:paraId="05F5B393" w14:textId="77777777" w:rsidR="00A76471" w:rsidRDefault="00A76471"/>
    <w:p w14:paraId="414D05D2" w14:textId="77777777" w:rsidR="00A76471" w:rsidRDefault="00A76471"/>
    <w:p w14:paraId="6B08C017" w14:textId="77777777" w:rsidR="00A76471" w:rsidRDefault="00A76471"/>
    <w:p w14:paraId="1DC68ACE" w14:textId="77777777" w:rsidR="00A76471" w:rsidRDefault="00A76471"/>
    <w:p w14:paraId="688B19C1" w14:textId="77777777" w:rsidR="00A76471" w:rsidRDefault="00A76471" w:rsidP="00A76471">
      <w:pPr>
        <w:spacing w:line="240" w:lineRule="auto"/>
        <w:jc w:val="center"/>
      </w:pPr>
      <w:r>
        <w:t>© Copyright by Sally Wiser 2022</w:t>
      </w:r>
    </w:p>
    <w:p w14:paraId="6E98E9D0" w14:textId="47035DF8" w:rsidR="00BA2CB3" w:rsidRDefault="00A76471" w:rsidP="00BE748E">
      <w:pPr>
        <w:spacing w:line="240" w:lineRule="auto"/>
        <w:jc w:val="center"/>
      </w:pPr>
      <w:r>
        <w:t>All Rights Reserved.</w:t>
      </w:r>
      <w:r w:rsidR="00BA2CB3">
        <w:br w:type="page"/>
      </w:r>
    </w:p>
    <w:p w14:paraId="12A35FB1" w14:textId="77777777" w:rsidR="001369E3" w:rsidRDefault="001369E3" w:rsidP="00696C24">
      <w:pPr>
        <w:spacing w:line="240" w:lineRule="auto"/>
        <w:jc w:val="center"/>
        <w:sectPr w:rsidR="001369E3" w:rsidSect="00696C24">
          <w:headerReference w:type="default" r:id="rId8"/>
          <w:footerReference w:type="default" r:id="rId9"/>
          <w:pgSz w:w="12240" w:h="15840"/>
          <w:pgMar w:top="1440" w:right="1440" w:bottom="1440" w:left="1440" w:header="720" w:footer="720" w:gutter="0"/>
          <w:pgNumType w:start="1"/>
          <w:cols w:space="720"/>
          <w:docGrid w:linePitch="360"/>
        </w:sectPr>
      </w:pPr>
    </w:p>
    <w:p w14:paraId="0848E7F1" w14:textId="77777777" w:rsidR="00BE748E" w:rsidRDefault="00BE748E" w:rsidP="000A775A">
      <w:pPr>
        <w:spacing w:line="240" w:lineRule="auto"/>
      </w:pPr>
    </w:p>
    <w:p w14:paraId="59AA5CF5" w14:textId="77777777" w:rsidR="00BE748E" w:rsidRDefault="00BE748E" w:rsidP="00BE748E">
      <w:pPr>
        <w:jc w:val="center"/>
      </w:pPr>
    </w:p>
    <w:p w14:paraId="77BCFDF7" w14:textId="77777777" w:rsidR="00BE748E" w:rsidRDefault="00BE748E" w:rsidP="00BE748E">
      <w:pPr>
        <w:jc w:val="center"/>
      </w:pPr>
    </w:p>
    <w:p w14:paraId="2867DA34" w14:textId="77777777" w:rsidR="00BE748E" w:rsidRDefault="00BE748E" w:rsidP="00BE748E">
      <w:pPr>
        <w:jc w:val="center"/>
      </w:pPr>
    </w:p>
    <w:p w14:paraId="332ABEE7" w14:textId="77777777" w:rsidR="00BE748E" w:rsidRDefault="00BE748E" w:rsidP="00BE748E">
      <w:pPr>
        <w:jc w:val="center"/>
      </w:pPr>
    </w:p>
    <w:p w14:paraId="09EA7EBC" w14:textId="77777777" w:rsidR="00BE748E" w:rsidRDefault="00BE748E" w:rsidP="00BE748E">
      <w:pPr>
        <w:jc w:val="center"/>
      </w:pPr>
    </w:p>
    <w:p w14:paraId="040CAB79" w14:textId="77777777" w:rsidR="00BE748E" w:rsidRDefault="00BE748E" w:rsidP="00BE748E">
      <w:pPr>
        <w:jc w:val="center"/>
      </w:pPr>
    </w:p>
    <w:p w14:paraId="751AE4C5" w14:textId="77777777" w:rsidR="00BE748E" w:rsidRDefault="00BE748E" w:rsidP="00BE748E">
      <w:pPr>
        <w:jc w:val="center"/>
      </w:pPr>
    </w:p>
    <w:p w14:paraId="23C75307" w14:textId="77777777" w:rsidR="00BE748E" w:rsidRDefault="00BE748E" w:rsidP="00BE748E">
      <w:pPr>
        <w:jc w:val="center"/>
      </w:pPr>
      <w:r>
        <w:t>ACKNOWLEDGEMENTS</w:t>
      </w:r>
    </w:p>
    <w:p w14:paraId="30C8F7F4" w14:textId="6D5BF03B" w:rsidR="00BE748E" w:rsidRDefault="00BE748E" w:rsidP="0013527E">
      <w:pPr>
        <w:spacing w:line="240" w:lineRule="auto"/>
      </w:pPr>
      <w:r>
        <w:t>To Dr. Meredith Worthen, thank you for mentoring me and assisting me throughout this process. You have been a great support</w:t>
      </w:r>
      <w:r w:rsidR="00573C2E">
        <w:t>er</w:t>
      </w:r>
      <w:r>
        <w:t xml:space="preserve"> of mine</w:t>
      </w:r>
      <w:r w:rsidR="00573C2E">
        <w:t>,</w:t>
      </w:r>
      <w:r>
        <w:t xml:space="preserve"> and I am grateful for your kindness, intellect, and emotional support. </w:t>
      </w:r>
    </w:p>
    <w:p w14:paraId="28DD1F43" w14:textId="77777777" w:rsidR="00BE748E" w:rsidRDefault="00BE748E" w:rsidP="0013527E">
      <w:pPr>
        <w:spacing w:line="240" w:lineRule="auto"/>
      </w:pPr>
    </w:p>
    <w:p w14:paraId="46051C17" w14:textId="0C9A3DB4" w:rsidR="00BE748E" w:rsidRDefault="00BE748E" w:rsidP="0013527E">
      <w:pPr>
        <w:spacing w:line="240" w:lineRule="auto"/>
      </w:pPr>
      <w:r>
        <w:t>To Trevor, for being my rock and support throughout this tumultuous semester. I could not have done this without your support, love, and encouragement.</w:t>
      </w:r>
    </w:p>
    <w:p w14:paraId="4D137486" w14:textId="77777777" w:rsidR="00BE748E" w:rsidRDefault="00BE748E" w:rsidP="0013527E">
      <w:pPr>
        <w:spacing w:line="240" w:lineRule="auto"/>
      </w:pPr>
    </w:p>
    <w:p w14:paraId="669E1577" w14:textId="1E0F5751" w:rsidR="00BE748E" w:rsidRDefault="00BE748E" w:rsidP="0013527E">
      <w:pPr>
        <w:spacing w:line="240" w:lineRule="auto"/>
      </w:pPr>
      <w:r>
        <w:t xml:space="preserve">To my peers and my cohort, for making it this far beside me, </w:t>
      </w:r>
      <w:r w:rsidR="00DB1AAD">
        <w:t>encouraging me in moments of stress and despair, and</w:t>
      </w:r>
      <w:r>
        <w:t xml:space="preserve"> offering friendship and laughter </w:t>
      </w:r>
      <w:r w:rsidR="00DB1AAD">
        <w:t>amid</w:t>
      </w:r>
      <w:r>
        <w:t xml:space="preserve"> a pandemic. Thank you. </w:t>
      </w:r>
      <w:r>
        <w:br w:type="page"/>
      </w:r>
    </w:p>
    <w:sdt>
      <w:sdtPr>
        <w:id w:val="-1525170359"/>
        <w:docPartObj>
          <w:docPartGallery w:val="Table of Contents"/>
          <w:docPartUnique/>
        </w:docPartObj>
      </w:sdtPr>
      <w:sdtEndPr>
        <w:rPr>
          <w:b/>
          <w:bCs/>
          <w:noProof/>
        </w:rPr>
      </w:sdtEndPr>
      <w:sdtContent>
        <w:p w14:paraId="74EC6FE7" w14:textId="3AFAA035" w:rsidR="00EF36D7" w:rsidRDefault="00BD43F7" w:rsidP="00BD43F7">
          <w:pPr>
            <w:spacing w:line="240" w:lineRule="auto"/>
            <w:jc w:val="center"/>
          </w:pPr>
          <w:r>
            <w:t xml:space="preserve">Table of </w:t>
          </w:r>
          <w:r w:rsidR="00EF36D7">
            <w:t>Contents</w:t>
          </w:r>
        </w:p>
        <w:p w14:paraId="3EA209A6" w14:textId="77777777" w:rsidR="00BD43F7" w:rsidRDefault="00BD43F7" w:rsidP="00BD43F7">
          <w:pPr>
            <w:spacing w:line="240" w:lineRule="auto"/>
            <w:jc w:val="center"/>
          </w:pPr>
        </w:p>
        <w:p w14:paraId="38396026" w14:textId="38FE11B7" w:rsidR="004D63D8" w:rsidRDefault="00EF36D7">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02664095" w:history="1">
            <w:r w:rsidR="004D63D8" w:rsidRPr="00656269">
              <w:rPr>
                <w:rStyle w:val="Hyperlink"/>
                <w:noProof/>
              </w:rPr>
              <w:t>ABSTRACT</w:t>
            </w:r>
            <w:r w:rsidR="004D63D8">
              <w:rPr>
                <w:noProof/>
                <w:webHidden/>
              </w:rPr>
              <w:tab/>
            </w:r>
            <w:r w:rsidR="004D63D8">
              <w:rPr>
                <w:noProof/>
                <w:webHidden/>
              </w:rPr>
              <w:fldChar w:fldCharType="begin"/>
            </w:r>
            <w:r w:rsidR="004D63D8">
              <w:rPr>
                <w:noProof/>
                <w:webHidden/>
              </w:rPr>
              <w:instrText xml:space="preserve"> PAGEREF _Toc102664095 \h </w:instrText>
            </w:r>
            <w:r w:rsidR="004D63D8">
              <w:rPr>
                <w:noProof/>
                <w:webHidden/>
              </w:rPr>
            </w:r>
            <w:r w:rsidR="004D63D8">
              <w:rPr>
                <w:noProof/>
                <w:webHidden/>
              </w:rPr>
              <w:fldChar w:fldCharType="separate"/>
            </w:r>
            <w:r w:rsidR="00281225">
              <w:rPr>
                <w:noProof/>
                <w:webHidden/>
              </w:rPr>
              <w:t>viii</w:t>
            </w:r>
            <w:r w:rsidR="004D63D8">
              <w:rPr>
                <w:noProof/>
                <w:webHidden/>
              </w:rPr>
              <w:fldChar w:fldCharType="end"/>
            </w:r>
          </w:hyperlink>
        </w:p>
        <w:p w14:paraId="0C2A5C10" w14:textId="5A25CD2D" w:rsidR="004D63D8" w:rsidRDefault="00281225">
          <w:pPr>
            <w:pStyle w:val="TOC1"/>
            <w:tabs>
              <w:tab w:val="right" w:leader="dot" w:pos="9350"/>
            </w:tabs>
            <w:rPr>
              <w:rFonts w:asciiTheme="minorHAnsi" w:eastAsiaTheme="minorEastAsia" w:hAnsiTheme="minorHAnsi" w:cstheme="minorBidi"/>
              <w:noProof/>
              <w:sz w:val="22"/>
              <w:szCs w:val="22"/>
            </w:rPr>
          </w:pPr>
          <w:hyperlink w:anchor="_Toc102664096" w:history="1">
            <w:r w:rsidR="004D63D8" w:rsidRPr="00656269">
              <w:rPr>
                <w:rStyle w:val="Hyperlink"/>
                <w:noProof/>
              </w:rPr>
              <w:t>INTRODUCTION</w:t>
            </w:r>
            <w:r w:rsidR="004D63D8">
              <w:rPr>
                <w:noProof/>
                <w:webHidden/>
              </w:rPr>
              <w:tab/>
            </w:r>
            <w:r w:rsidR="004D63D8">
              <w:rPr>
                <w:noProof/>
                <w:webHidden/>
              </w:rPr>
              <w:fldChar w:fldCharType="begin"/>
            </w:r>
            <w:r w:rsidR="004D63D8">
              <w:rPr>
                <w:noProof/>
                <w:webHidden/>
              </w:rPr>
              <w:instrText xml:space="preserve"> PAGEREF _Toc102664096 \h </w:instrText>
            </w:r>
            <w:r w:rsidR="004D63D8">
              <w:rPr>
                <w:noProof/>
                <w:webHidden/>
              </w:rPr>
            </w:r>
            <w:r w:rsidR="004D63D8">
              <w:rPr>
                <w:noProof/>
                <w:webHidden/>
              </w:rPr>
              <w:fldChar w:fldCharType="separate"/>
            </w:r>
            <w:r>
              <w:rPr>
                <w:noProof/>
                <w:webHidden/>
              </w:rPr>
              <w:t>1</w:t>
            </w:r>
            <w:r w:rsidR="004D63D8">
              <w:rPr>
                <w:noProof/>
                <w:webHidden/>
              </w:rPr>
              <w:fldChar w:fldCharType="end"/>
            </w:r>
          </w:hyperlink>
        </w:p>
        <w:p w14:paraId="501A8583" w14:textId="7EFF76A1" w:rsidR="004D63D8" w:rsidRDefault="00281225">
          <w:pPr>
            <w:pStyle w:val="TOC1"/>
            <w:tabs>
              <w:tab w:val="right" w:leader="dot" w:pos="9350"/>
            </w:tabs>
            <w:rPr>
              <w:rFonts w:asciiTheme="minorHAnsi" w:eastAsiaTheme="minorEastAsia" w:hAnsiTheme="minorHAnsi" w:cstheme="minorBidi"/>
              <w:noProof/>
              <w:sz w:val="22"/>
              <w:szCs w:val="22"/>
            </w:rPr>
          </w:pPr>
          <w:hyperlink w:anchor="_Toc102664097" w:history="1">
            <w:r w:rsidR="004D63D8" w:rsidRPr="00656269">
              <w:rPr>
                <w:rStyle w:val="Hyperlink"/>
                <w:noProof/>
              </w:rPr>
              <w:t>CONCEPTUAL FRAMEWORK</w:t>
            </w:r>
            <w:r w:rsidR="004D63D8">
              <w:rPr>
                <w:noProof/>
                <w:webHidden/>
              </w:rPr>
              <w:tab/>
            </w:r>
            <w:r w:rsidR="004D63D8">
              <w:rPr>
                <w:noProof/>
                <w:webHidden/>
              </w:rPr>
              <w:fldChar w:fldCharType="begin"/>
            </w:r>
            <w:r w:rsidR="004D63D8">
              <w:rPr>
                <w:noProof/>
                <w:webHidden/>
              </w:rPr>
              <w:instrText xml:space="preserve"> PAGEREF _Toc102664097 \h </w:instrText>
            </w:r>
            <w:r w:rsidR="004D63D8">
              <w:rPr>
                <w:noProof/>
                <w:webHidden/>
              </w:rPr>
            </w:r>
            <w:r w:rsidR="004D63D8">
              <w:rPr>
                <w:noProof/>
                <w:webHidden/>
              </w:rPr>
              <w:fldChar w:fldCharType="separate"/>
            </w:r>
            <w:r>
              <w:rPr>
                <w:noProof/>
                <w:webHidden/>
              </w:rPr>
              <w:t>1</w:t>
            </w:r>
            <w:r w:rsidR="004D63D8">
              <w:rPr>
                <w:noProof/>
                <w:webHidden/>
              </w:rPr>
              <w:fldChar w:fldCharType="end"/>
            </w:r>
          </w:hyperlink>
        </w:p>
        <w:p w14:paraId="2480D92B" w14:textId="5418A96D" w:rsidR="004D63D8" w:rsidRDefault="00281225">
          <w:pPr>
            <w:pStyle w:val="TOC2"/>
            <w:tabs>
              <w:tab w:val="right" w:leader="dot" w:pos="9350"/>
            </w:tabs>
            <w:rPr>
              <w:rFonts w:asciiTheme="minorHAnsi" w:eastAsiaTheme="minorEastAsia" w:hAnsiTheme="minorHAnsi" w:cstheme="minorBidi"/>
              <w:noProof/>
              <w:sz w:val="22"/>
              <w:szCs w:val="22"/>
            </w:rPr>
          </w:pPr>
          <w:hyperlink w:anchor="_Toc102664098" w:history="1">
            <w:r w:rsidR="004D63D8" w:rsidRPr="00656269">
              <w:rPr>
                <w:rStyle w:val="Hyperlink"/>
                <w:noProof/>
              </w:rPr>
              <w:t>Masculinity</w:t>
            </w:r>
            <w:r w:rsidR="004D63D8">
              <w:rPr>
                <w:noProof/>
                <w:webHidden/>
              </w:rPr>
              <w:tab/>
            </w:r>
            <w:r w:rsidR="004D63D8">
              <w:rPr>
                <w:noProof/>
                <w:webHidden/>
              </w:rPr>
              <w:fldChar w:fldCharType="begin"/>
            </w:r>
            <w:r w:rsidR="004D63D8">
              <w:rPr>
                <w:noProof/>
                <w:webHidden/>
              </w:rPr>
              <w:instrText xml:space="preserve"> PAGEREF _Toc102664098 \h </w:instrText>
            </w:r>
            <w:r w:rsidR="004D63D8">
              <w:rPr>
                <w:noProof/>
                <w:webHidden/>
              </w:rPr>
            </w:r>
            <w:r w:rsidR="004D63D8">
              <w:rPr>
                <w:noProof/>
                <w:webHidden/>
              </w:rPr>
              <w:fldChar w:fldCharType="separate"/>
            </w:r>
            <w:r>
              <w:rPr>
                <w:noProof/>
                <w:webHidden/>
              </w:rPr>
              <w:t>2</w:t>
            </w:r>
            <w:r w:rsidR="004D63D8">
              <w:rPr>
                <w:noProof/>
                <w:webHidden/>
              </w:rPr>
              <w:fldChar w:fldCharType="end"/>
            </w:r>
          </w:hyperlink>
        </w:p>
        <w:p w14:paraId="7E1813A5" w14:textId="2068551B" w:rsidR="004D63D8" w:rsidRDefault="00281225">
          <w:pPr>
            <w:pStyle w:val="TOC2"/>
            <w:tabs>
              <w:tab w:val="right" w:leader="dot" w:pos="9350"/>
            </w:tabs>
            <w:rPr>
              <w:rFonts w:asciiTheme="minorHAnsi" w:eastAsiaTheme="minorEastAsia" w:hAnsiTheme="minorHAnsi" w:cstheme="minorBidi"/>
              <w:noProof/>
              <w:sz w:val="22"/>
              <w:szCs w:val="22"/>
            </w:rPr>
          </w:pPr>
          <w:hyperlink w:anchor="_Toc102664099" w:history="1">
            <w:r w:rsidR="004D63D8" w:rsidRPr="00656269">
              <w:rPr>
                <w:rStyle w:val="Hyperlink"/>
                <w:noProof/>
              </w:rPr>
              <w:t>Measuring Illicit Masculinity</w:t>
            </w:r>
            <w:r w:rsidR="004D63D8">
              <w:rPr>
                <w:noProof/>
                <w:webHidden/>
              </w:rPr>
              <w:tab/>
            </w:r>
            <w:r w:rsidR="004D63D8">
              <w:rPr>
                <w:noProof/>
                <w:webHidden/>
              </w:rPr>
              <w:fldChar w:fldCharType="begin"/>
            </w:r>
            <w:r w:rsidR="004D63D8">
              <w:rPr>
                <w:noProof/>
                <w:webHidden/>
              </w:rPr>
              <w:instrText xml:space="preserve"> PAGEREF _Toc102664099 \h </w:instrText>
            </w:r>
            <w:r w:rsidR="004D63D8">
              <w:rPr>
                <w:noProof/>
                <w:webHidden/>
              </w:rPr>
            </w:r>
            <w:r w:rsidR="004D63D8">
              <w:rPr>
                <w:noProof/>
                <w:webHidden/>
              </w:rPr>
              <w:fldChar w:fldCharType="separate"/>
            </w:r>
            <w:r>
              <w:rPr>
                <w:noProof/>
                <w:webHidden/>
              </w:rPr>
              <w:t>4</w:t>
            </w:r>
            <w:r w:rsidR="004D63D8">
              <w:rPr>
                <w:noProof/>
                <w:webHidden/>
              </w:rPr>
              <w:fldChar w:fldCharType="end"/>
            </w:r>
          </w:hyperlink>
        </w:p>
        <w:p w14:paraId="7CB696A6" w14:textId="54579278" w:rsidR="004D63D8" w:rsidRDefault="00281225">
          <w:pPr>
            <w:pStyle w:val="TOC3"/>
            <w:tabs>
              <w:tab w:val="right" w:leader="dot" w:pos="9350"/>
            </w:tabs>
            <w:rPr>
              <w:rFonts w:asciiTheme="minorHAnsi" w:eastAsiaTheme="minorEastAsia" w:hAnsiTheme="minorHAnsi" w:cstheme="minorBidi"/>
              <w:noProof/>
              <w:sz w:val="22"/>
              <w:szCs w:val="22"/>
            </w:rPr>
          </w:pPr>
          <w:hyperlink w:anchor="_Toc102664100" w:history="1">
            <w:r w:rsidR="004D63D8" w:rsidRPr="00656269">
              <w:rPr>
                <w:rStyle w:val="Hyperlink"/>
                <w:noProof/>
              </w:rPr>
              <w:t>Patriarchal Families</w:t>
            </w:r>
            <w:r w:rsidR="004D63D8">
              <w:rPr>
                <w:noProof/>
                <w:webHidden/>
              </w:rPr>
              <w:tab/>
            </w:r>
            <w:r w:rsidR="004D63D8">
              <w:rPr>
                <w:noProof/>
                <w:webHidden/>
              </w:rPr>
              <w:fldChar w:fldCharType="begin"/>
            </w:r>
            <w:r w:rsidR="004D63D8">
              <w:rPr>
                <w:noProof/>
                <w:webHidden/>
              </w:rPr>
              <w:instrText xml:space="preserve"> PAGEREF _Toc102664100 \h </w:instrText>
            </w:r>
            <w:r w:rsidR="004D63D8">
              <w:rPr>
                <w:noProof/>
                <w:webHidden/>
              </w:rPr>
            </w:r>
            <w:r w:rsidR="004D63D8">
              <w:rPr>
                <w:noProof/>
                <w:webHidden/>
              </w:rPr>
              <w:fldChar w:fldCharType="separate"/>
            </w:r>
            <w:r>
              <w:rPr>
                <w:noProof/>
                <w:webHidden/>
              </w:rPr>
              <w:t>4</w:t>
            </w:r>
            <w:r w:rsidR="004D63D8">
              <w:rPr>
                <w:noProof/>
                <w:webHidden/>
              </w:rPr>
              <w:fldChar w:fldCharType="end"/>
            </w:r>
          </w:hyperlink>
        </w:p>
        <w:p w14:paraId="03BE6C4C" w14:textId="587CFFD8" w:rsidR="004D63D8" w:rsidRDefault="00281225">
          <w:pPr>
            <w:pStyle w:val="TOC3"/>
            <w:tabs>
              <w:tab w:val="right" w:leader="dot" w:pos="9350"/>
            </w:tabs>
            <w:rPr>
              <w:rFonts w:asciiTheme="minorHAnsi" w:eastAsiaTheme="minorEastAsia" w:hAnsiTheme="minorHAnsi" w:cstheme="minorBidi"/>
              <w:noProof/>
              <w:sz w:val="22"/>
              <w:szCs w:val="22"/>
            </w:rPr>
          </w:pPr>
          <w:hyperlink w:anchor="_Toc102664101" w:history="1">
            <w:r w:rsidR="004D63D8" w:rsidRPr="00656269">
              <w:rPr>
                <w:rStyle w:val="Hyperlink"/>
                <w:noProof/>
              </w:rPr>
              <w:t>Patriarchal Norms.</w:t>
            </w:r>
            <w:r w:rsidR="004D63D8">
              <w:rPr>
                <w:noProof/>
                <w:webHidden/>
              </w:rPr>
              <w:tab/>
            </w:r>
            <w:r w:rsidR="004D63D8">
              <w:rPr>
                <w:noProof/>
                <w:webHidden/>
              </w:rPr>
              <w:fldChar w:fldCharType="begin"/>
            </w:r>
            <w:r w:rsidR="004D63D8">
              <w:rPr>
                <w:noProof/>
                <w:webHidden/>
              </w:rPr>
              <w:instrText xml:space="preserve"> PAGEREF _Toc102664101 \h </w:instrText>
            </w:r>
            <w:r w:rsidR="004D63D8">
              <w:rPr>
                <w:noProof/>
                <w:webHidden/>
              </w:rPr>
            </w:r>
            <w:r w:rsidR="004D63D8">
              <w:rPr>
                <w:noProof/>
                <w:webHidden/>
              </w:rPr>
              <w:fldChar w:fldCharType="separate"/>
            </w:r>
            <w:r>
              <w:rPr>
                <w:noProof/>
                <w:webHidden/>
              </w:rPr>
              <w:t>5</w:t>
            </w:r>
            <w:r w:rsidR="004D63D8">
              <w:rPr>
                <w:noProof/>
                <w:webHidden/>
              </w:rPr>
              <w:fldChar w:fldCharType="end"/>
            </w:r>
          </w:hyperlink>
        </w:p>
        <w:p w14:paraId="3B4D5B2E" w14:textId="389B6510" w:rsidR="004D63D8" w:rsidRDefault="00281225">
          <w:pPr>
            <w:pStyle w:val="TOC2"/>
            <w:tabs>
              <w:tab w:val="right" w:leader="dot" w:pos="9350"/>
            </w:tabs>
            <w:rPr>
              <w:rFonts w:asciiTheme="minorHAnsi" w:eastAsiaTheme="minorEastAsia" w:hAnsiTheme="minorHAnsi" w:cstheme="minorBidi"/>
              <w:noProof/>
              <w:sz w:val="22"/>
              <w:szCs w:val="22"/>
            </w:rPr>
          </w:pPr>
          <w:hyperlink w:anchor="_Toc102664102" w:history="1">
            <w:r w:rsidR="004D63D8" w:rsidRPr="00656269">
              <w:rPr>
                <w:rStyle w:val="Hyperlink"/>
                <w:noProof/>
              </w:rPr>
              <w:t>Gender Norms and Alcohol Use</w:t>
            </w:r>
            <w:r w:rsidR="004D63D8">
              <w:rPr>
                <w:noProof/>
                <w:webHidden/>
              </w:rPr>
              <w:tab/>
            </w:r>
            <w:r w:rsidR="004D63D8">
              <w:rPr>
                <w:noProof/>
                <w:webHidden/>
              </w:rPr>
              <w:fldChar w:fldCharType="begin"/>
            </w:r>
            <w:r w:rsidR="004D63D8">
              <w:rPr>
                <w:noProof/>
                <w:webHidden/>
              </w:rPr>
              <w:instrText xml:space="preserve"> PAGEREF _Toc102664102 \h </w:instrText>
            </w:r>
            <w:r w:rsidR="004D63D8">
              <w:rPr>
                <w:noProof/>
                <w:webHidden/>
              </w:rPr>
            </w:r>
            <w:r w:rsidR="004D63D8">
              <w:rPr>
                <w:noProof/>
                <w:webHidden/>
              </w:rPr>
              <w:fldChar w:fldCharType="separate"/>
            </w:r>
            <w:r>
              <w:rPr>
                <w:noProof/>
                <w:webHidden/>
              </w:rPr>
              <w:t>6</w:t>
            </w:r>
            <w:r w:rsidR="004D63D8">
              <w:rPr>
                <w:noProof/>
                <w:webHidden/>
              </w:rPr>
              <w:fldChar w:fldCharType="end"/>
            </w:r>
          </w:hyperlink>
        </w:p>
        <w:p w14:paraId="21AFB6B3" w14:textId="3AC51B05" w:rsidR="004D63D8" w:rsidRDefault="00281225">
          <w:pPr>
            <w:pStyle w:val="TOC2"/>
            <w:tabs>
              <w:tab w:val="right" w:leader="dot" w:pos="9350"/>
            </w:tabs>
            <w:rPr>
              <w:rFonts w:asciiTheme="minorHAnsi" w:eastAsiaTheme="minorEastAsia" w:hAnsiTheme="minorHAnsi" w:cstheme="minorBidi"/>
              <w:noProof/>
              <w:sz w:val="22"/>
              <w:szCs w:val="22"/>
            </w:rPr>
          </w:pPr>
          <w:hyperlink w:anchor="_Toc102664103" w:history="1">
            <w:r w:rsidR="004D63D8" w:rsidRPr="00656269">
              <w:rPr>
                <w:rStyle w:val="Hyperlink"/>
                <w:noProof/>
              </w:rPr>
              <w:t>Gender Norms and Marijuana</w:t>
            </w:r>
            <w:r w:rsidR="004D63D8">
              <w:rPr>
                <w:noProof/>
                <w:webHidden/>
              </w:rPr>
              <w:tab/>
            </w:r>
            <w:r w:rsidR="004D63D8">
              <w:rPr>
                <w:noProof/>
                <w:webHidden/>
              </w:rPr>
              <w:fldChar w:fldCharType="begin"/>
            </w:r>
            <w:r w:rsidR="004D63D8">
              <w:rPr>
                <w:noProof/>
                <w:webHidden/>
              </w:rPr>
              <w:instrText xml:space="preserve"> PAGEREF _Toc102664103 \h </w:instrText>
            </w:r>
            <w:r w:rsidR="004D63D8">
              <w:rPr>
                <w:noProof/>
                <w:webHidden/>
              </w:rPr>
            </w:r>
            <w:r w:rsidR="004D63D8">
              <w:rPr>
                <w:noProof/>
                <w:webHidden/>
              </w:rPr>
              <w:fldChar w:fldCharType="separate"/>
            </w:r>
            <w:r>
              <w:rPr>
                <w:noProof/>
                <w:webHidden/>
              </w:rPr>
              <w:t>7</w:t>
            </w:r>
            <w:r w:rsidR="004D63D8">
              <w:rPr>
                <w:noProof/>
                <w:webHidden/>
              </w:rPr>
              <w:fldChar w:fldCharType="end"/>
            </w:r>
          </w:hyperlink>
        </w:p>
        <w:p w14:paraId="6D00B356" w14:textId="420DABBF" w:rsidR="004D63D8" w:rsidRDefault="00281225">
          <w:pPr>
            <w:pStyle w:val="TOC2"/>
            <w:tabs>
              <w:tab w:val="right" w:leader="dot" w:pos="9350"/>
            </w:tabs>
            <w:rPr>
              <w:rFonts w:asciiTheme="minorHAnsi" w:eastAsiaTheme="minorEastAsia" w:hAnsiTheme="minorHAnsi" w:cstheme="minorBidi"/>
              <w:noProof/>
              <w:sz w:val="22"/>
              <w:szCs w:val="22"/>
            </w:rPr>
          </w:pPr>
          <w:hyperlink w:anchor="_Toc102664104" w:history="1">
            <w:r w:rsidR="004D63D8" w:rsidRPr="00656269">
              <w:rPr>
                <w:rStyle w:val="Hyperlink"/>
                <w:noProof/>
              </w:rPr>
              <w:t>Gender and Other Illicit Substances</w:t>
            </w:r>
            <w:r w:rsidR="004D63D8">
              <w:rPr>
                <w:noProof/>
                <w:webHidden/>
              </w:rPr>
              <w:tab/>
            </w:r>
            <w:r w:rsidR="004D63D8">
              <w:rPr>
                <w:noProof/>
                <w:webHidden/>
              </w:rPr>
              <w:fldChar w:fldCharType="begin"/>
            </w:r>
            <w:r w:rsidR="004D63D8">
              <w:rPr>
                <w:noProof/>
                <w:webHidden/>
              </w:rPr>
              <w:instrText xml:space="preserve"> PAGEREF _Toc102664104 \h </w:instrText>
            </w:r>
            <w:r w:rsidR="004D63D8">
              <w:rPr>
                <w:noProof/>
                <w:webHidden/>
              </w:rPr>
            </w:r>
            <w:r w:rsidR="004D63D8">
              <w:rPr>
                <w:noProof/>
                <w:webHidden/>
              </w:rPr>
              <w:fldChar w:fldCharType="separate"/>
            </w:r>
            <w:r>
              <w:rPr>
                <w:noProof/>
                <w:webHidden/>
              </w:rPr>
              <w:t>8</w:t>
            </w:r>
            <w:r w:rsidR="004D63D8">
              <w:rPr>
                <w:noProof/>
                <w:webHidden/>
              </w:rPr>
              <w:fldChar w:fldCharType="end"/>
            </w:r>
          </w:hyperlink>
        </w:p>
        <w:p w14:paraId="4EECE0EE" w14:textId="2B1C4EFA" w:rsidR="004D63D8" w:rsidRDefault="00281225">
          <w:pPr>
            <w:pStyle w:val="TOC3"/>
            <w:tabs>
              <w:tab w:val="right" w:leader="dot" w:pos="9350"/>
            </w:tabs>
            <w:rPr>
              <w:rFonts w:asciiTheme="minorHAnsi" w:eastAsiaTheme="minorEastAsia" w:hAnsiTheme="minorHAnsi" w:cstheme="minorBidi"/>
              <w:noProof/>
              <w:sz w:val="22"/>
              <w:szCs w:val="22"/>
            </w:rPr>
          </w:pPr>
          <w:hyperlink w:anchor="_Toc102664105" w:history="1">
            <w:r w:rsidR="004D63D8" w:rsidRPr="00656269">
              <w:rPr>
                <w:rStyle w:val="Hyperlink"/>
                <w:noProof/>
              </w:rPr>
              <w:t>Cocaine.</w:t>
            </w:r>
            <w:r w:rsidR="004D63D8">
              <w:rPr>
                <w:noProof/>
                <w:webHidden/>
              </w:rPr>
              <w:tab/>
            </w:r>
            <w:r w:rsidR="004D63D8">
              <w:rPr>
                <w:noProof/>
                <w:webHidden/>
              </w:rPr>
              <w:fldChar w:fldCharType="begin"/>
            </w:r>
            <w:r w:rsidR="004D63D8">
              <w:rPr>
                <w:noProof/>
                <w:webHidden/>
              </w:rPr>
              <w:instrText xml:space="preserve"> PAGEREF _Toc102664105 \h </w:instrText>
            </w:r>
            <w:r w:rsidR="004D63D8">
              <w:rPr>
                <w:noProof/>
                <w:webHidden/>
              </w:rPr>
            </w:r>
            <w:r w:rsidR="004D63D8">
              <w:rPr>
                <w:noProof/>
                <w:webHidden/>
              </w:rPr>
              <w:fldChar w:fldCharType="separate"/>
            </w:r>
            <w:r>
              <w:rPr>
                <w:noProof/>
                <w:webHidden/>
              </w:rPr>
              <w:t>8</w:t>
            </w:r>
            <w:r w:rsidR="004D63D8">
              <w:rPr>
                <w:noProof/>
                <w:webHidden/>
              </w:rPr>
              <w:fldChar w:fldCharType="end"/>
            </w:r>
          </w:hyperlink>
        </w:p>
        <w:p w14:paraId="707DD982" w14:textId="6096072F" w:rsidR="004D63D8" w:rsidRDefault="00281225">
          <w:pPr>
            <w:pStyle w:val="TOC3"/>
            <w:tabs>
              <w:tab w:val="right" w:leader="dot" w:pos="9350"/>
            </w:tabs>
            <w:rPr>
              <w:rFonts w:asciiTheme="minorHAnsi" w:eastAsiaTheme="minorEastAsia" w:hAnsiTheme="minorHAnsi" w:cstheme="minorBidi"/>
              <w:noProof/>
              <w:sz w:val="22"/>
              <w:szCs w:val="22"/>
            </w:rPr>
          </w:pPr>
          <w:hyperlink w:anchor="_Toc102664106" w:history="1">
            <w:r w:rsidR="004D63D8" w:rsidRPr="00656269">
              <w:rPr>
                <w:rStyle w:val="Hyperlink"/>
                <w:noProof/>
              </w:rPr>
              <w:t>Heroin and Opioids.</w:t>
            </w:r>
            <w:r w:rsidR="004D63D8">
              <w:rPr>
                <w:noProof/>
                <w:webHidden/>
              </w:rPr>
              <w:tab/>
            </w:r>
            <w:r w:rsidR="004D63D8">
              <w:rPr>
                <w:noProof/>
                <w:webHidden/>
              </w:rPr>
              <w:fldChar w:fldCharType="begin"/>
            </w:r>
            <w:r w:rsidR="004D63D8">
              <w:rPr>
                <w:noProof/>
                <w:webHidden/>
              </w:rPr>
              <w:instrText xml:space="preserve"> PAGEREF _Toc102664106 \h </w:instrText>
            </w:r>
            <w:r w:rsidR="004D63D8">
              <w:rPr>
                <w:noProof/>
                <w:webHidden/>
              </w:rPr>
            </w:r>
            <w:r w:rsidR="004D63D8">
              <w:rPr>
                <w:noProof/>
                <w:webHidden/>
              </w:rPr>
              <w:fldChar w:fldCharType="separate"/>
            </w:r>
            <w:r>
              <w:rPr>
                <w:noProof/>
                <w:webHidden/>
              </w:rPr>
              <w:t>9</w:t>
            </w:r>
            <w:r w:rsidR="004D63D8">
              <w:rPr>
                <w:noProof/>
                <w:webHidden/>
              </w:rPr>
              <w:fldChar w:fldCharType="end"/>
            </w:r>
          </w:hyperlink>
        </w:p>
        <w:p w14:paraId="270E4245" w14:textId="38D6230F" w:rsidR="004D63D8" w:rsidRDefault="00281225">
          <w:pPr>
            <w:pStyle w:val="TOC2"/>
            <w:tabs>
              <w:tab w:val="right" w:leader="dot" w:pos="9350"/>
            </w:tabs>
            <w:rPr>
              <w:rFonts w:asciiTheme="minorHAnsi" w:eastAsiaTheme="minorEastAsia" w:hAnsiTheme="minorHAnsi" w:cstheme="minorBidi"/>
              <w:noProof/>
              <w:sz w:val="22"/>
              <w:szCs w:val="22"/>
            </w:rPr>
          </w:pPr>
          <w:hyperlink w:anchor="_Toc102664107" w:history="1">
            <w:r w:rsidR="004D63D8" w:rsidRPr="00656269">
              <w:rPr>
                <w:rStyle w:val="Hyperlink"/>
                <w:noProof/>
              </w:rPr>
              <w:t>Gender Norms and Other Illicit Substances</w:t>
            </w:r>
            <w:r w:rsidR="004D63D8">
              <w:rPr>
                <w:noProof/>
                <w:webHidden/>
              </w:rPr>
              <w:tab/>
            </w:r>
            <w:r w:rsidR="004D63D8">
              <w:rPr>
                <w:noProof/>
                <w:webHidden/>
              </w:rPr>
              <w:fldChar w:fldCharType="begin"/>
            </w:r>
            <w:r w:rsidR="004D63D8">
              <w:rPr>
                <w:noProof/>
                <w:webHidden/>
              </w:rPr>
              <w:instrText xml:space="preserve"> PAGEREF _Toc102664107 \h </w:instrText>
            </w:r>
            <w:r w:rsidR="004D63D8">
              <w:rPr>
                <w:noProof/>
                <w:webHidden/>
              </w:rPr>
            </w:r>
            <w:r w:rsidR="004D63D8">
              <w:rPr>
                <w:noProof/>
                <w:webHidden/>
              </w:rPr>
              <w:fldChar w:fldCharType="separate"/>
            </w:r>
            <w:r>
              <w:rPr>
                <w:noProof/>
                <w:webHidden/>
              </w:rPr>
              <w:t>9</w:t>
            </w:r>
            <w:r w:rsidR="004D63D8">
              <w:rPr>
                <w:noProof/>
                <w:webHidden/>
              </w:rPr>
              <w:fldChar w:fldCharType="end"/>
            </w:r>
          </w:hyperlink>
        </w:p>
        <w:p w14:paraId="69111639" w14:textId="7F85181B" w:rsidR="004D63D8" w:rsidRDefault="00281225">
          <w:pPr>
            <w:pStyle w:val="TOC1"/>
            <w:tabs>
              <w:tab w:val="right" w:leader="dot" w:pos="9350"/>
            </w:tabs>
            <w:rPr>
              <w:rFonts w:asciiTheme="minorHAnsi" w:eastAsiaTheme="minorEastAsia" w:hAnsiTheme="minorHAnsi" w:cstheme="minorBidi"/>
              <w:noProof/>
              <w:sz w:val="22"/>
              <w:szCs w:val="22"/>
            </w:rPr>
          </w:pPr>
          <w:hyperlink w:anchor="_Toc102664108" w:history="1">
            <w:r w:rsidR="004D63D8" w:rsidRPr="00656269">
              <w:rPr>
                <w:rStyle w:val="Hyperlink"/>
                <w:noProof/>
              </w:rPr>
              <w:t>CURRENT RESEARCH</w:t>
            </w:r>
            <w:r w:rsidR="004D63D8">
              <w:rPr>
                <w:noProof/>
                <w:webHidden/>
              </w:rPr>
              <w:tab/>
            </w:r>
            <w:r w:rsidR="004D63D8">
              <w:rPr>
                <w:noProof/>
                <w:webHidden/>
              </w:rPr>
              <w:fldChar w:fldCharType="begin"/>
            </w:r>
            <w:r w:rsidR="004D63D8">
              <w:rPr>
                <w:noProof/>
                <w:webHidden/>
              </w:rPr>
              <w:instrText xml:space="preserve"> PAGEREF _Toc102664108 \h </w:instrText>
            </w:r>
            <w:r w:rsidR="004D63D8">
              <w:rPr>
                <w:noProof/>
                <w:webHidden/>
              </w:rPr>
            </w:r>
            <w:r w:rsidR="004D63D8">
              <w:rPr>
                <w:noProof/>
                <w:webHidden/>
              </w:rPr>
              <w:fldChar w:fldCharType="separate"/>
            </w:r>
            <w:r>
              <w:rPr>
                <w:noProof/>
                <w:webHidden/>
              </w:rPr>
              <w:t>10</w:t>
            </w:r>
            <w:r w:rsidR="004D63D8">
              <w:rPr>
                <w:noProof/>
                <w:webHidden/>
              </w:rPr>
              <w:fldChar w:fldCharType="end"/>
            </w:r>
          </w:hyperlink>
        </w:p>
        <w:p w14:paraId="4F8E7BA5" w14:textId="4363ABA5" w:rsidR="004D63D8" w:rsidRDefault="00281225">
          <w:pPr>
            <w:pStyle w:val="TOC1"/>
            <w:tabs>
              <w:tab w:val="right" w:leader="dot" w:pos="9350"/>
            </w:tabs>
            <w:rPr>
              <w:rFonts w:asciiTheme="minorHAnsi" w:eastAsiaTheme="minorEastAsia" w:hAnsiTheme="minorHAnsi" w:cstheme="minorBidi"/>
              <w:noProof/>
              <w:sz w:val="22"/>
              <w:szCs w:val="22"/>
            </w:rPr>
          </w:pPr>
          <w:hyperlink w:anchor="_Toc102664109" w:history="1">
            <w:r w:rsidR="004D63D8" w:rsidRPr="00656269">
              <w:rPr>
                <w:rStyle w:val="Hyperlink"/>
                <w:noProof/>
              </w:rPr>
              <w:t>METHODS</w:t>
            </w:r>
            <w:r w:rsidR="004D63D8">
              <w:rPr>
                <w:noProof/>
                <w:webHidden/>
              </w:rPr>
              <w:tab/>
            </w:r>
            <w:r w:rsidR="004D63D8">
              <w:rPr>
                <w:noProof/>
                <w:webHidden/>
              </w:rPr>
              <w:fldChar w:fldCharType="begin"/>
            </w:r>
            <w:r w:rsidR="004D63D8">
              <w:rPr>
                <w:noProof/>
                <w:webHidden/>
              </w:rPr>
              <w:instrText xml:space="preserve"> PAGEREF _Toc102664109 \h </w:instrText>
            </w:r>
            <w:r w:rsidR="004D63D8">
              <w:rPr>
                <w:noProof/>
                <w:webHidden/>
              </w:rPr>
            </w:r>
            <w:r w:rsidR="004D63D8">
              <w:rPr>
                <w:noProof/>
                <w:webHidden/>
              </w:rPr>
              <w:fldChar w:fldCharType="separate"/>
            </w:r>
            <w:r>
              <w:rPr>
                <w:noProof/>
                <w:webHidden/>
              </w:rPr>
              <w:t>11</w:t>
            </w:r>
            <w:r w:rsidR="004D63D8">
              <w:rPr>
                <w:noProof/>
                <w:webHidden/>
              </w:rPr>
              <w:fldChar w:fldCharType="end"/>
            </w:r>
          </w:hyperlink>
        </w:p>
        <w:p w14:paraId="282A5B35" w14:textId="205CC63C" w:rsidR="004D63D8" w:rsidRDefault="00281225">
          <w:pPr>
            <w:pStyle w:val="TOC2"/>
            <w:tabs>
              <w:tab w:val="right" w:leader="dot" w:pos="9350"/>
            </w:tabs>
            <w:rPr>
              <w:rFonts w:asciiTheme="minorHAnsi" w:eastAsiaTheme="minorEastAsia" w:hAnsiTheme="minorHAnsi" w:cstheme="minorBidi"/>
              <w:noProof/>
              <w:sz w:val="22"/>
              <w:szCs w:val="22"/>
            </w:rPr>
          </w:pPr>
          <w:hyperlink w:anchor="_Toc102664110" w:history="1">
            <w:r w:rsidR="004D63D8" w:rsidRPr="00656269">
              <w:rPr>
                <w:rStyle w:val="Hyperlink"/>
                <w:noProof/>
              </w:rPr>
              <w:t>Data</w:t>
            </w:r>
            <w:r w:rsidR="004D63D8">
              <w:rPr>
                <w:noProof/>
                <w:webHidden/>
              </w:rPr>
              <w:tab/>
            </w:r>
            <w:r w:rsidR="004D63D8">
              <w:rPr>
                <w:noProof/>
                <w:webHidden/>
              </w:rPr>
              <w:fldChar w:fldCharType="begin"/>
            </w:r>
            <w:r w:rsidR="004D63D8">
              <w:rPr>
                <w:noProof/>
                <w:webHidden/>
              </w:rPr>
              <w:instrText xml:space="preserve"> PAGEREF _Toc102664110 \h </w:instrText>
            </w:r>
            <w:r w:rsidR="004D63D8">
              <w:rPr>
                <w:noProof/>
                <w:webHidden/>
              </w:rPr>
            </w:r>
            <w:r w:rsidR="004D63D8">
              <w:rPr>
                <w:noProof/>
                <w:webHidden/>
              </w:rPr>
              <w:fldChar w:fldCharType="separate"/>
            </w:r>
            <w:r>
              <w:rPr>
                <w:noProof/>
                <w:webHidden/>
              </w:rPr>
              <w:t>11</w:t>
            </w:r>
            <w:r w:rsidR="004D63D8">
              <w:rPr>
                <w:noProof/>
                <w:webHidden/>
              </w:rPr>
              <w:fldChar w:fldCharType="end"/>
            </w:r>
          </w:hyperlink>
        </w:p>
        <w:p w14:paraId="7BF9DA2A" w14:textId="4CDF1F9C" w:rsidR="004D63D8" w:rsidRDefault="00281225">
          <w:pPr>
            <w:pStyle w:val="TOC2"/>
            <w:tabs>
              <w:tab w:val="right" w:leader="dot" w:pos="9350"/>
            </w:tabs>
            <w:rPr>
              <w:rFonts w:asciiTheme="minorHAnsi" w:eastAsiaTheme="minorEastAsia" w:hAnsiTheme="minorHAnsi" w:cstheme="minorBidi"/>
              <w:noProof/>
              <w:sz w:val="22"/>
              <w:szCs w:val="22"/>
            </w:rPr>
          </w:pPr>
          <w:hyperlink w:anchor="_Toc102664111" w:history="1">
            <w:r w:rsidR="004D63D8" w:rsidRPr="00656269">
              <w:rPr>
                <w:rStyle w:val="Hyperlink"/>
                <w:noProof/>
              </w:rPr>
              <w:t>Sample</w:t>
            </w:r>
            <w:r w:rsidR="004D63D8">
              <w:rPr>
                <w:noProof/>
                <w:webHidden/>
              </w:rPr>
              <w:tab/>
            </w:r>
            <w:r w:rsidR="004D63D8">
              <w:rPr>
                <w:noProof/>
                <w:webHidden/>
              </w:rPr>
              <w:fldChar w:fldCharType="begin"/>
            </w:r>
            <w:r w:rsidR="004D63D8">
              <w:rPr>
                <w:noProof/>
                <w:webHidden/>
              </w:rPr>
              <w:instrText xml:space="preserve"> PAGEREF _Toc102664111 \h </w:instrText>
            </w:r>
            <w:r w:rsidR="004D63D8">
              <w:rPr>
                <w:noProof/>
                <w:webHidden/>
              </w:rPr>
            </w:r>
            <w:r w:rsidR="004D63D8">
              <w:rPr>
                <w:noProof/>
                <w:webHidden/>
              </w:rPr>
              <w:fldChar w:fldCharType="separate"/>
            </w:r>
            <w:r>
              <w:rPr>
                <w:noProof/>
                <w:webHidden/>
              </w:rPr>
              <w:t>12</w:t>
            </w:r>
            <w:r w:rsidR="004D63D8">
              <w:rPr>
                <w:noProof/>
                <w:webHidden/>
              </w:rPr>
              <w:fldChar w:fldCharType="end"/>
            </w:r>
          </w:hyperlink>
        </w:p>
        <w:p w14:paraId="3B337C43" w14:textId="0BD2D4F7" w:rsidR="004D63D8" w:rsidRDefault="00281225">
          <w:pPr>
            <w:pStyle w:val="TOC2"/>
            <w:tabs>
              <w:tab w:val="right" w:leader="dot" w:pos="9350"/>
            </w:tabs>
            <w:rPr>
              <w:rFonts w:asciiTheme="minorHAnsi" w:eastAsiaTheme="minorEastAsia" w:hAnsiTheme="minorHAnsi" w:cstheme="minorBidi"/>
              <w:noProof/>
              <w:sz w:val="22"/>
              <w:szCs w:val="22"/>
            </w:rPr>
          </w:pPr>
          <w:hyperlink w:anchor="_Toc102664112" w:history="1">
            <w:r w:rsidR="004D63D8" w:rsidRPr="00656269">
              <w:rPr>
                <w:rStyle w:val="Hyperlink"/>
                <w:noProof/>
              </w:rPr>
              <w:t>Dependent Variable</w:t>
            </w:r>
            <w:r w:rsidR="004D63D8">
              <w:rPr>
                <w:noProof/>
                <w:webHidden/>
              </w:rPr>
              <w:tab/>
            </w:r>
            <w:r w:rsidR="004D63D8">
              <w:rPr>
                <w:noProof/>
                <w:webHidden/>
              </w:rPr>
              <w:fldChar w:fldCharType="begin"/>
            </w:r>
            <w:r w:rsidR="004D63D8">
              <w:rPr>
                <w:noProof/>
                <w:webHidden/>
              </w:rPr>
              <w:instrText xml:space="preserve"> PAGEREF _Toc102664112 \h </w:instrText>
            </w:r>
            <w:r w:rsidR="004D63D8">
              <w:rPr>
                <w:noProof/>
                <w:webHidden/>
              </w:rPr>
            </w:r>
            <w:r w:rsidR="004D63D8">
              <w:rPr>
                <w:noProof/>
                <w:webHidden/>
              </w:rPr>
              <w:fldChar w:fldCharType="separate"/>
            </w:r>
            <w:r>
              <w:rPr>
                <w:noProof/>
                <w:webHidden/>
              </w:rPr>
              <w:t>12</w:t>
            </w:r>
            <w:r w:rsidR="004D63D8">
              <w:rPr>
                <w:noProof/>
                <w:webHidden/>
              </w:rPr>
              <w:fldChar w:fldCharType="end"/>
            </w:r>
          </w:hyperlink>
        </w:p>
        <w:p w14:paraId="4132EBAF" w14:textId="7B43306D" w:rsidR="004D63D8" w:rsidRDefault="00281225">
          <w:pPr>
            <w:pStyle w:val="TOC2"/>
            <w:tabs>
              <w:tab w:val="right" w:leader="dot" w:pos="9350"/>
            </w:tabs>
            <w:rPr>
              <w:rFonts w:asciiTheme="minorHAnsi" w:eastAsiaTheme="minorEastAsia" w:hAnsiTheme="minorHAnsi" w:cstheme="minorBidi"/>
              <w:noProof/>
              <w:sz w:val="22"/>
              <w:szCs w:val="22"/>
            </w:rPr>
          </w:pPr>
          <w:hyperlink w:anchor="_Toc102664113" w:history="1">
            <w:r w:rsidR="004D63D8" w:rsidRPr="00656269">
              <w:rPr>
                <w:rStyle w:val="Hyperlink"/>
                <w:noProof/>
              </w:rPr>
              <w:t>Independent Variables</w:t>
            </w:r>
            <w:r w:rsidR="004D63D8">
              <w:rPr>
                <w:noProof/>
                <w:webHidden/>
              </w:rPr>
              <w:tab/>
            </w:r>
            <w:r w:rsidR="004D63D8">
              <w:rPr>
                <w:noProof/>
                <w:webHidden/>
              </w:rPr>
              <w:fldChar w:fldCharType="begin"/>
            </w:r>
            <w:r w:rsidR="004D63D8">
              <w:rPr>
                <w:noProof/>
                <w:webHidden/>
              </w:rPr>
              <w:instrText xml:space="preserve"> PAGEREF _Toc102664113 \h </w:instrText>
            </w:r>
            <w:r w:rsidR="004D63D8">
              <w:rPr>
                <w:noProof/>
                <w:webHidden/>
              </w:rPr>
            </w:r>
            <w:r w:rsidR="004D63D8">
              <w:rPr>
                <w:noProof/>
                <w:webHidden/>
              </w:rPr>
              <w:fldChar w:fldCharType="separate"/>
            </w:r>
            <w:r>
              <w:rPr>
                <w:noProof/>
                <w:webHidden/>
              </w:rPr>
              <w:t>13</w:t>
            </w:r>
            <w:r w:rsidR="004D63D8">
              <w:rPr>
                <w:noProof/>
                <w:webHidden/>
              </w:rPr>
              <w:fldChar w:fldCharType="end"/>
            </w:r>
          </w:hyperlink>
        </w:p>
        <w:p w14:paraId="59886E24" w14:textId="02967028" w:rsidR="004D63D8" w:rsidRDefault="00281225">
          <w:pPr>
            <w:pStyle w:val="TOC2"/>
            <w:tabs>
              <w:tab w:val="right" w:leader="dot" w:pos="9350"/>
            </w:tabs>
            <w:rPr>
              <w:rFonts w:asciiTheme="minorHAnsi" w:eastAsiaTheme="minorEastAsia" w:hAnsiTheme="minorHAnsi" w:cstheme="minorBidi"/>
              <w:noProof/>
              <w:sz w:val="22"/>
              <w:szCs w:val="22"/>
            </w:rPr>
          </w:pPr>
          <w:hyperlink w:anchor="_Toc102664114" w:history="1">
            <w:r w:rsidR="004D63D8" w:rsidRPr="00656269">
              <w:rPr>
                <w:rStyle w:val="Hyperlink"/>
                <w:noProof/>
              </w:rPr>
              <w:t>Controls</w:t>
            </w:r>
            <w:r w:rsidR="004D63D8">
              <w:rPr>
                <w:noProof/>
                <w:webHidden/>
              </w:rPr>
              <w:tab/>
            </w:r>
            <w:r w:rsidR="004D63D8">
              <w:rPr>
                <w:noProof/>
                <w:webHidden/>
              </w:rPr>
              <w:fldChar w:fldCharType="begin"/>
            </w:r>
            <w:r w:rsidR="004D63D8">
              <w:rPr>
                <w:noProof/>
                <w:webHidden/>
              </w:rPr>
              <w:instrText xml:space="preserve"> PAGEREF _Toc102664114 \h </w:instrText>
            </w:r>
            <w:r w:rsidR="004D63D8">
              <w:rPr>
                <w:noProof/>
                <w:webHidden/>
              </w:rPr>
            </w:r>
            <w:r w:rsidR="004D63D8">
              <w:rPr>
                <w:noProof/>
                <w:webHidden/>
              </w:rPr>
              <w:fldChar w:fldCharType="separate"/>
            </w:r>
            <w:r>
              <w:rPr>
                <w:noProof/>
                <w:webHidden/>
              </w:rPr>
              <w:t>14</w:t>
            </w:r>
            <w:r w:rsidR="004D63D8">
              <w:rPr>
                <w:noProof/>
                <w:webHidden/>
              </w:rPr>
              <w:fldChar w:fldCharType="end"/>
            </w:r>
          </w:hyperlink>
        </w:p>
        <w:p w14:paraId="61F6458D" w14:textId="5F3FE1D7" w:rsidR="004D63D8" w:rsidRDefault="00281225">
          <w:pPr>
            <w:pStyle w:val="TOC2"/>
            <w:tabs>
              <w:tab w:val="right" w:leader="dot" w:pos="9350"/>
            </w:tabs>
            <w:rPr>
              <w:rFonts w:asciiTheme="minorHAnsi" w:eastAsiaTheme="minorEastAsia" w:hAnsiTheme="minorHAnsi" w:cstheme="minorBidi"/>
              <w:noProof/>
              <w:sz w:val="22"/>
              <w:szCs w:val="22"/>
            </w:rPr>
          </w:pPr>
          <w:hyperlink w:anchor="_Toc102664115" w:history="1">
            <w:r w:rsidR="004D63D8" w:rsidRPr="00656269">
              <w:rPr>
                <w:rStyle w:val="Hyperlink"/>
                <w:noProof/>
              </w:rPr>
              <w:t>Analytical Strategy</w:t>
            </w:r>
            <w:r w:rsidR="004D63D8">
              <w:rPr>
                <w:noProof/>
                <w:webHidden/>
              </w:rPr>
              <w:tab/>
            </w:r>
            <w:r w:rsidR="004D63D8">
              <w:rPr>
                <w:noProof/>
                <w:webHidden/>
              </w:rPr>
              <w:fldChar w:fldCharType="begin"/>
            </w:r>
            <w:r w:rsidR="004D63D8">
              <w:rPr>
                <w:noProof/>
                <w:webHidden/>
              </w:rPr>
              <w:instrText xml:space="preserve"> PAGEREF _Toc102664115 \h </w:instrText>
            </w:r>
            <w:r w:rsidR="004D63D8">
              <w:rPr>
                <w:noProof/>
                <w:webHidden/>
              </w:rPr>
            </w:r>
            <w:r w:rsidR="004D63D8">
              <w:rPr>
                <w:noProof/>
                <w:webHidden/>
              </w:rPr>
              <w:fldChar w:fldCharType="separate"/>
            </w:r>
            <w:r>
              <w:rPr>
                <w:noProof/>
                <w:webHidden/>
              </w:rPr>
              <w:t>15</w:t>
            </w:r>
            <w:r w:rsidR="004D63D8">
              <w:rPr>
                <w:noProof/>
                <w:webHidden/>
              </w:rPr>
              <w:fldChar w:fldCharType="end"/>
            </w:r>
          </w:hyperlink>
        </w:p>
        <w:p w14:paraId="3FD71055" w14:textId="7ED34F21" w:rsidR="004D63D8" w:rsidRDefault="00281225">
          <w:pPr>
            <w:pStyle w:val="TOC1"/>
            <w:tabs>
              <w:tab w:val="right" w:leader="dot" w:pos="9350"/>
            </w:tabs>
            <w:rPr>
              <w:rFonts w:asciiTheme="minorHAnsi" w:eastAsiaTheme="minorEastAsia" w:hAnsiTheme="minorHAnsi" w:cstheme="minorBidi"/>
              <w:noProof/>
              <w:sz w:val="22"/>
              <w:szCs w:val="22"/>
            </w:rPr>
          </w:pPr>
          <w:hyperlink w:anchor="_Toc102664116" w:history="1">
            <w:r w:rsidR="004D63D8" w:rsidRPr="00656269">
              <w:rPr>
                <w:rStyle w:val="Hyperlink"/>
                <w:noProof/>
              </w:rPr>
              <w:t>RESULTS</w:t>
            </w:r>
            <w:r w:rsidR="004D63D8">
              <w:rPr>
                <w:noProof/>
                <w:webHidden/>
              </w:rPr>
              <w:tab/>
            </w:r>
            <w:r w:rsidR="004D63D8">
              <w:rPr>
                <w:noProof/>
                <w:webHidden/>
              </w:rPr>
              <w:fldChar w:fldCharType="begin"/>
            </w:r>
            <w:r w:rsidR="004D63D8">
              <w:rPr>
                <w:noProof/>
                <w:webHidden/>
              </w:rPr>
              <w:instrText xml:space="preserve"> PAGEREF _Toc102664116 \h </w:instrText>
            </w:r>
            <w:r w:rsidR="004D63D8">
              <w:rPr>
                <w:noProof/>
                <w:webHidden/>
              </w:rPr>
            </w:r>
            <w:r w:rsidR="004D63D8">
              <w:rPr>
                <w:noProof/>
                <w:webHidden/>
              </w:rPr>
              <w:fldChar w:fldCharType="separate"/>
            </w:r>
            <w:r>
              <w:rPr>
                <w:noProof/>
                <w:webHidden/>
              </w:rPr>
              <w:t>17</w:t>
            </w:r>
            <w:r w:rsidR="004D63D8">
              <w:rPr>
                <w:noProof/>
                <w:webHidden/>
              </w:rPr>
              <w:fldChar w:fldCharType="end"/>
            </w:r>
          </w:hyperlink>
        </w:p>
        <w:p w14:paraId="389A6C1D" w14:textId="22CC4303" w:rsidR="004D63D8" w:rsidRDefault="00281225">
          <w:pPr>
            <w:pStyle w:val="TOC2"/>
            <w:tabs>
              <w:tab w:val="right" w:leader="dot" w:pos="9350"/>
            </w:tabs>
            <w:rPr>
              <w:rFonts w:asciiTheme="minorHAnsi" w:eastAsiaTheme="minorEastAsia" w:hAnsiTheme="minorHAnsi" w:cstheme="minorBidi"/>
              <w:noProof/>
              <w:sz w:val="22"/>
              <w:szCs w:val="22"/>
            </w:rPr>
          </w:pPr>
          <w:hyperlink w:anchor="_Toc102664117" w:history="1">
            <w:r w:rsidR="004D63D8" w:rsidRPr="00656269">
              <w:rPr>
                <w:rStyle w:val="Hyperlink"/>
                <w:noProof/>
              </w:rPr>
              <w:t>Marijuana</w:t>
            </w:r>
            <w:r w:rsidR="004D63D8">
              <w:rPr>
                <w:noProof/>
                <w:webHidden/>
              </w:rPr>
              <w:tab/>
            </w:r>
            <w:r w:rsidR="004D63D8">
              <w:rPr>
                <w:noProof/>
                <w:webHidden/>
              </w:rPr>
              <w:fldChar w:fldCharType="begin"/>
            </w:r>
            <w:r w:rsidR="004D63D8">
              <w:rPr>
                <w:noProof/>
                <w:webHidden/>
              </w:rPr>
              <w:instrText xml:space="preserve"> PAGEREF _Toc102664117 \h </w:instrText>
            </w:r>
            <w:r w:rsidR="004D63D8">
              <w:rPr>
                <w:noProof/>
                <w:webHidden/>
              </w:rPr>
            </w:r>
            <w:r w:rsidR="004D63D8">
              <w:rPr>
                <w:noProof/>
                <w:webHidden/>
              </w:rPr>
              <w:fldChar w:fldCharType="separate"/>
            </w:r>
            <w:r>
              <w:rPr>
                <w:noProof/>
                <w:webHidden/>
              </w:rPr>
              <w:t>17</w:t>
            </w:r>
            <w:r w:rsidR="004D63D8">
              <w:rPr>
                <w:noProof/>
                <w:webHidden/>
              </w:rPr>
              <w:fldChar w:fldCharType="end"/>
            </w:r>
          </w:hyperlink>
        </w:p>
        <w:p w14:paraId="17326935" w14:textId="02F42C5B" w:rsidR="004D63D8" w:rsidRDefault="00281225">
          <w:pPr>
            <w:pStyle w:val="TOC2"/>
            <w:tabs>
              <w:tab w:val="right" w:leader="dot" w:pos="9350"/>
            </w:tabs>
            <w:rPr>
              <w:rFonts w:asciiTheme="minorHAnsi" w:eastAsiaTheme="minorEastAsia" w:hAnsiTheme="minorHAnsi" w:cstheme="minorBidi"/>
              <w:noProof/>
              <w:sz w:val="22"/>
              <w:szCs w:val="22"/>
            </w:rPr>
          </w:pPr>
          <w:hyperlink w:anchor="_Toc102664118" w:history="1">
            <w:r w:rsidR="004D63D8" w:rsidRPr="00656269">
              <w:rPr>
                <w:rStyle w:val="Hyperlink"/>
                <w:noProof/>
              </w:rPr>
              <w:t>Cocaine</w:t>
            </w:r>
            <w:r w:rsidR="004D63D8">
              <w:rPr>
                <w:noProof/>
                <w:webHidden/>
              </w:rPr>
              <w:tab/>
            </w:r>
            <w:r w:rsidR="004D63D8">
              <w:rPr>
                <w:noProof/>
                <w:webHidden/>
              </w:rPr>
              <w:fldChar w:fldCharType="begin"/>
            </w:r>
            <w:r w:rsidR="004D63D8">
              <w:rPr>
                <w:noProof/>
                <w:webHidden/>
              </w:rPr>
              <w:instrText xml:space="preserve"> PAGEREF _Toc102664118 \h </w:instrText>
            </w:r>
            <w:r w:rsidR="004D63D8">
              <w:rPr>
                <w:noProof/>
                <w:webHidden/>
              </w:rPr>
            </w:r>
            <w:r w:rsidR="004D63D8">
              <w:rPr>
                <w:noProof/>
                <w:webHidden/>
              </w:rPr>
              <w:fldChar w:fldCharType="separate"/>
            </w:r>
            <w:r>
              <w:rPr>
                <w:noProof/>
                <w:webHidden/>
              </w:rPr>
              <w:t>23</w:t>
            </w:r>
            <w:r w:rsidR="004D63D8">
              <w:rPr>
                <w:noProof/>
                <w:webHidden/>
              </w:rPr>
              <w:fldChar w:fldCharType="end"/>
            </w:r>
          </w:hyperlink>
        </w:p>
        <w:p w14:paraId="03FAD379" w14:textId="464A47B6" w:rsidR="004D63D8" w:rsidRDefault="00281225">
          <w:pPr>
            <w:pStyle w:val="TOC2"/>
            <w:tabs>
              <w:tab w:val="right" w:leader="dot" w:pos="9350"/>
            </w:tabs>
            <w:rPr>
              <w:rFonts w:asciiTheme="minorHAnsi" w:eastAsiaTheme="minorEastAsia" w:hAnsiTheme="minorHAnsi" w:cstheme="minorBidi"/>
              <w:noProof/>
              <w:sz w:val="22"/>
              <w:szCs w:val="22"/>
            </w:rPr>
          </w:pPr>
          <w:hyperlink w:anchor="_Toc102664119" w:history="1">
            <w:r w:rsidR="004D63D8" w:rsidRPr="00656269">
              <w:rPr>
                <w:rStyle w:val="Hyperlink"/>
                <w:noProof/>
              </w:rPr>
              <w:t>Heroin</w:t>
            </w:r>
            <w:r w:rsidR="004D63D8">
              <w:rPr>
                <w:noProof/>
                <w:webHidden/>
              </w:rPr>
              <w:tab/>
            </w:r>
            <w:r w:rsidR="004D63D8">
              <w:rPr>
                <w:noProof/>
                <w:webHidden/>
              </w:rPr>
              <w:fldChar w:fldCharType="begin"/>
            </w:r>
            <w:r w:rsidR="004D63D8">
              <w:rPr>
                <w:noProof/>
                <w:webHidden/>
              </w:rPr>
              <w:instrText xml:space="preserve"> PAGEREF _Toc102664119 \h </w:instrText>
            </w:r>
            <w:r w:rsidR="004D63D8">
              <w:rPr>
                <w:noProof/>
                <w:webHidden/>
              </w:rPr>
            </w:r>
            <w:r w:rsidR="004D63D8">
              <w:rPr>
                <w:noProof/>
                <w:webHidden/>
              </w:rPr>
              <w:fldChar w:fldCharType="separate"/>
            </w:r>
            <w:r>
              <w:rPr>
                <w:noProof/>
                <w:webHidden/>
              </w:rPr>
              <w:t>28</w:t>
            </w:r>
            <w:r w:rsidR="004D63D8">
              <w:rPr>
                <w:noProof/>
                <w:webHidden/>
              </w:rPr>
              <w:fldChar w:fldCharType="end"/>
            </w:r>
          </w:hyperlink>
        </w:p>
        <w:p w14:paraId="488F8BCB" w14:textId="6DDF01E1" w:rsidR="004D63D8" w:rsidRDefault="00281225">
          <w:pPr>
            <w:pStyle w:val="TOC2"/>
            <w:tabs>
              <w:tab w:val="right" w:leader="dot" w:pos="9350"/>
            </w:tabs>
            <w:rPr>
              <w:rFonts w:asciiTheme="minorHAnsi" w:eastAsiaTheme="minorEastAsia" w:hAnsiTheme="minorHAnsi" w:cstheme="minorBidi"/>
              <w:noProof/>
              <w:sz w:val="22"/>
              <w:szCs w:val="22"/>
            </w:rPr>
          </w:pPr>
          <w:hyperlink w:anchor="_Toc102664120" w:history="1">
            <w:r w:rsidR="004D63D8" w:rsidRPr="00656269">
              <w:rPr>
                <w:rStyle w:val="Hyperlink"/>
                <w:noProof/>
              </w:rPr>
              <w:t>Narcotics</w:t>
            </w:r>
            <w:r w:rsidR="004D63D8">
              <w:rPr>
                <w:noProof/>
                <w:webHidden/>
              </w:rPr>
              <w:tab/>
            </w:r>
            <w:r w:rsidR="004D63D8">
              <w:rPr>
                <w:noProof/>
                <w:webHidden/>
              </w:rPr>
              <w:fldChar w:fldCharType="begin"/>
            </w:r>
            <w:r w:rsidR="004D63D8">
              <w:rPr>
                <w:noProof/>
                <w:webHidden/>
              </w:rPr>
              <w:instrText xml:space="preserve"> PAGEREF _Toc102664120 \h </w:instrText>
            </w:r>
            <w:r w:rsidR="004D63D8">
              <w:rPr>
                <w:noProof/>
                <w:webHidden/>
              </w:rPr>
            </w:r>
            <w:r w:rsidR="004D63D8">
              <w:rPr>
                <w:noProof/>
                <w:webHidden/>
              </w:rPr>
              <w:fldChar w:fldCharType="separate"/>
            </w:r>
            <w:r>
              <w:rPr>
                <w:noProof/>
                <w:webHidden/>
              </w:rPr>
              <w:t>31</w:t>
            </w:r>
            <w:r w:rsidR="004D63D8">
              <w:rPr>
                <w:noProof/>
                <w:webHidden/>
              </w:rPr>
              <w:fldChar w:fldCharType="end"/>
            </w:r>
          </w:hyperlink>
        </w:p>
        <w:p w14:paraId="45F2C57C" w14:textId="0F568840" w:rsidR="004D63D8" w:rsidRDefault="00281225">
          <w:pPr>
            <w:pStyle w:val="TOC2"/>
            <w:tabs>
              <w:tab w:val="right" w:leader="dot" w:pos="9350"/>
            </w:tabs>
            <w:rPr>
              <w:rFonts w:asciiTheme="minorHAnsi" w:eastAsiaTheme="minorEastAsia" w:hAnsiTheme="minorHAnsi" w:cstheme="minorBidi"/>
              <w:noProof/>
              <w:sz w:val="22"/>
              <w:szCs w:val="22"/>
            </w:rPr>
          </w:pPr>
          <w:hyperlink w:anchor="_Toc102664121" w:history="1">
            <w:r w:rsidR="004D63D8" w:rsidRPr="00656269">
              <w:rPr>
                <w:rStyle w:val="Hyperlink"/>
                <w:noProof/>
              </w:rPr>
              <w:t>Summary</w:t>
            </w:r>
            <w:r w:rsidR="004D63D8">
              <w:rPr>
                <w:noProof/>
                <w:webHidden/>
              </w:rPr>
              <w:tab/>
            </w:r>
            <w:r w:rsidR="004D63D8">
              <w:rPr>
                <w:noProof/>
                <w:webHidden/>
              </w:rPr>
              <w:fldChar w:fldCharType="begin"/>
            </w:r>
            <w:r w:rsidR="004D63D8">
              <w:rPr>
                <w:noProof/>
                <w:webHidden/>
              </w:rPr>
              <w:instrText xml:space="preserve"> PAGEREF _Toc102664121 \h </w:instrText>
            </w:r>
            <w:r w:rsidR="004D63D8">
              <w:rPr>
                <w:noProof/>
                <w:webHidden/>
              </w:rPr>
            </w:r>
            <w:r w:rsidR="004D63D8">
              <w:rPr>
                <w:noProof/>
                <w:webHidden/>
              </w:rPr>
              <w:fldChar w:fldCharType="separate"/>
            </w:r>
            <w:r>
              <w:rPr>
                <w:noProof/>
                <w:webHidden/>
              </w:rPr>
              <w:t>36</w:t>
            </w:r>
            <w:r w:rsidR="004D63D8">
              <w:rPr>
                <w:noProof/>
                <w:webHidden/>
              </w:rPr>
              <w:fldChar w:fldCharType="end"/>
            </w:r>
          </w:hyperlink>
        </w:p>
        <w:p w14:paraId="0D8EFE9E" w14:textId="29E0955A" w:rsidR="004D63D8" w:rsidRDefault="00281225">
          <w:pPr>
            <w:pStyle w:val="TOC1"/>
            <w:tabs>
              <w:tab w:val="right" w:leader="dot" w:pos="9350"/>
            </w:tabs>
            <w:rPr>
              <w:rFonts w:asciiTheme="minorHAnsi" w:eastAsiaTheme="minorEastAsia" w:hAnsiTheme="minorHAnsi" w:cstheme="minorBidi"/>
              <w:noProof/>
              <w:sz w:val="22"/>
              <w:szCs w:val="22"/>
            </w:rPr>
          </w:pPr>
          <w:hyperlink w:anchor="_Toc102664122" w:history="1">
            <w:r w:rsidR="004D63D8" w:rsidRPr="00656269">
              <w:rPr>
                <w:rStyle w:val="Hyperlink"/>
                <w:noProof/>
              </w:rPr>
              <w:t>DISCUSSION</w:t>
            </w:r>
            <w:r w:rsidR="004D63D8">
              <w:rPr>
                <w:noProof/>
                <w:webHidden/>
              </w:rPr>
              <w:tab/>
            </w:r>
            <w:r w:rsidR="004D63D8">
              <w:rPr>
                <w:noProof/>
                <w:webHidden/>
              </w:rPr>
              <w:fldChar w:fldCharType="begin"/>
            </w:r>
            <w:r w:rsidR="004D63D8">
              <w:rPr>
                <w:noProof/>
                <w:webHidden/>
              </w:rPr>
              <w:instrText xml:space="preserve"> PAGEREF _Toc102664122 \h </w:instrText>
            </w:r>
            <w:r w:rsidR="004D63D8">
              <w:rPr>
                <w:noProof/>
                <w:webHidden/>
              </w:rPr>
            </w:r>
            <w:r w:rsidR="004D63D8">
              <w:rPr>
                <w:noProof/>
                <w:webHidden/>
              </w:rPr>
              <w:fldChar w:fldCharType="separate"/>
            </w:r>
            <w:r>
              <w:rPr>
                <w:noProof/>
                <w:webHidden/>
              </w:rPr>
              <w:t>36</w:t>
            </w:r>
            <w:r w:rsidR="004D63D8">
              <w:rPr>
                <w:noProof/>
                <w:webHidden/>
              </w:rPr>
              <w:fldChar w:fldCharType="end"/>
            </w:r>
          </w:hyperlink>
        </w:p>
        <w:p w14:paraId="41CA9B56" w14:textId="3400D4A5" w:rsidR="004D63D8" w:rsidRDefault="00281225">
          <w:pPr>
            <w:pStyle w:val="TOC2"/>
            <w:tabs>
              <w:tab w:val="right" w:leader="dot" w:pos="9350"/>
            </w:tabs>
            <w:rPr>
              <w:rFonts w:asciiTheme="minorHAnsi" w:eastAsiaTheme="minorEastAsia" w:hAnsiTheme="minorHAnsi" w:cstheme="minorBidi"/>
              <w:noProof/>
              <w:sz w:val="22"/>
              <w:szCs w:val="22"/>
            </w:rPr>
          </w:pPr>
          <w:hyperlink w:anchor="_Toc102664123" w:history="1">
            <w:r w:rsidR="004D63D8" w:rsidRPr="00656269">
              <w:rPr>
                <w:rStyle w:val="Hyperlink"/>
                <w:noProof/>
              </w:rPr>
              <w:t>Marijuana</w:t>
            </w:r>
            <w:r w:rsidR="004D63D8">
              <w:rPr>
                <w:noProof/>
                <w:webHidden/>
              </w:rPr>
              <w:tab/>
            </w:r>
            <w:r w:rsidR="004D63D8">
              <w:rPr>
                <w:noProof/>
                <w:webHidden/>
              </w:rPr>
              <w:fldChar w:fldCharType="begin"/>
            </w:r>
            <w:r w:rsidR="004D63D8">
              <w:rPr>
                <w:noProof/>
                <w:webHidden/>
              </w:rPr>
              <w:instrText xml:space="preserve"> PAGEREF _Toc102664123 \h </w:instrText>
            </w:r>
            <w:r w:rsidR="004D63D8">
              <w:rPr>
                <w:noProof/>
                <w:webHidden/>
              </w:rPr>
            </w:r>
            <w:r w:rsidR="004D63D8">
              <w:rPr>
                <w:noProof/>
                <w:webHidden/>
              </w:rPr>
              <w:fldChar w:fldCharType="separate"/>
            </w:r>
            <w:r>
              <w:rPr>
                <w:noProof/>
                <w:webHidden/>
              </w:rPr>
              <w:t>37</w:t>
            </w:r>
            <w:r w:rsidR="004D63D8">
              <w:rPr>
                <w:noProof/>
                <w:webHidden/>
              </w:rPr>
              <w:fldChar w:fldCharType="end"/>
            </w:r>
          </w:hyperlink>
        </w:p>
        <w:p w14:paraId="14B604F7" w14:textId="274996CA" w:rsidR="004D63D8" w:rsidRDefault="00281225">
          <w:pPr>
            <w:pStyle w:val="TOC2"/>
            <w:tabs>
              <w:tab w:val="right" w:leader="dot" w:pos="9350"/>
            </w:tabs>
            <w:rPr>
              <w:rFonts w:asciiTheme="minorHAnsi" w:eastAsiaTheme="minorEastAsia" w:hAnsiTheme="minorHAnsi" w:cstheme="minorBidi"/>
              <w:noProof/>
              <w:sz w:val="22"/>
              <w:szCs w:val="22"/>
            </w:rPr>
          </w:pPr>
          <w:hyperlink w:anchor="_Toc102664124" w:history="1">
            <w:r w:rsidR="004D63D8" w:rsidRPr="00656269">
              <w:rPr>
                <w:rStyle w:val="Hyperlink"/>
                <w:noProof/>
              </w:rPr>
              <w:t>Cocaine</w:t>
            </w:r>
            <w:r w:rsidR="004D63D8">
              <w:rPr>
                <w:noProof/>
                <w:webHidden/>
              </w:rPr>
              <w:tab/>
            </w:r>
            <w:r w:rsidR="004D63D8">
              <w:rPr>
                <w:noProof/>
                <w:webHidden/>
              </w:rPr>
              <w:fldChar w:fldCharType="begin"/>
            </w:r>
            <w:r w:rsidR="004D63D8">
              <w:rPr>
                <w:noProof/>
                <w:webHidden/>
              </w:rPr>
              <w:instrText xml:space="preserve"> PAGEREF _Toc102664124 \h </w:instrText>
            </w:r>
            <w:r w:rsidR="004D63D8">
              <w:rPr>
                <w:noProof/>
                <w:webHidden/>
              </w:rPr>
            </w:r>
            <w:r w:rsidR="004D63D8">
              <w:rPr>
                <w:noProof/>
                <w:webHidden/>
              </w:rPr>
              <w:fldChar w:fldCharType="separate"/>
            </w:r>
            <w:r>
              <w:rPr>
                <w:noProof/>
                <w:webHidden/>
              </w:rPr>
              <w:t>39</w:t>
            </w:r>
            <w:r w:rsidR="004D63D8">
              <w:rPr>
                <w:noProof/>
                <w:webHidden/>
              </w:rPr>
              <w:fldChar w:fldCharType="end"/>
            </w:r>
          </w:hyperlink>
        </w:p>
        <w:p w14:paraId="25E93F97" w14:textId="73F02721" w:rsidR="004D63D8" w:rsidRDefault="00281225">
          <w:pPr>
            <w:pStyle w:val="TOC2"/>
            <w:tabs>
              <w:tab w:val="right" w:leader="dot" w:pos="9350"/>
            </w:tabs>
            <w:rPr>
              <w:rFonts w:asciiTheme="minorHAnsi" w:eastAsiaTheme="minorEastAsia" w:hAnsiTheme="minorHAnsi" w:cstheme="minorBidi"/>
              <w:noProof/>
              <w:sz w:val="22"/>
              <w:szCs w:val="22"/>
            </w:rPr>
          </w:pPr>
          <w:hyperlink w:anchor="_Toc102664125" w:history="1">
            <w:r w:rsidR="004D63D8" w:rsidRPr="00656269">
              <w:rPr>
                <w:rStyle w:val="Hyperlink"/>
                <w:noProof/>
              </w:rPr>
              <w:t>Heroin</w:t>
            </w:r>
            <w:r w:rsidR="004D63D8">
              <w:rPr>
                <w:noProof/>
                <w:webHidden/>
              </w:rPr>
              <w:tab/>
            </w:r>
            <w:r w:rsidR="004D63D8">
              <w:rPr>
                <w:noProof/>
                <w:webHidden/>
              </w:rPr>
              <w:fldChar w:fldCharType="begin"/>
            </w:r>
            <w:r w:rsidR="004D63D8">
              <w:rPr>
                <w:noProof/>
                <w:webHidden/>
              </w:rPr>
              <w:instrText xml:space="preserve"> PAGEREF _Toc102664125 \h </w:instrText>
            </w:r>
            <w:r w:rsidR="004D63D8">
              <w:rPr>
                <w:noProof/>
                <w:webHidden/>
              </w:rPr>
            </w:r>
            <w:r w:rsidR="004D63D8">
              <w:rPr>
                <w:noProof/>
                <w:webHidden/>
              </w:rPr>
              <w:fldChar w:fldCharType="separate"/>
            </w:r>
            <w:r>
              <w:rPr>
                <w:noProof/>
                <w:webHidden/>
              </w:rPr>
              <w:t>40</w:t>
            </w:r>
            <w:r w:rsidR="004D63D8">
              <w:rPr>
                <w:noProof/>
                <w:webHidden/>
              </w:rPr>
              <w:fldChar w:fldCharType="end"/>
            </w:r>
          </w:hyperlink>
        </w:p>
        <w:p w14:paraId="00393EC1" w14:textId="080410CC" w:rsidR="004D63D8" w:rsidRDefault="00281225">
          <w:pPr>
            <w:pStyle w:val="TOC2"/>
            <w:tabs>
              <w:tab w:val="right" w:leader="dot" w:pos="9350"/>
            </w:tabs>
            <w:rPr>
              <w:rFonts w:asciiTheme="minorHAnsi" w:eastAsiaTheme="minorEastAsia" w:hAnsiTheme="minorHAnsi" w:cstheme="minorBidi"/>
              <w:noProof/>
              <w:sz w:val="22"/>
              <w:szCs w:val="22"/>
            </w:rPr>
          </w:pPr>
          <w:hyperlink w:anchor="_Toc102664126" w:history="1">
            <w:r w:rsidR="004D63D8" w:rsidRPr="00656269">
              <w:rPr>
                <w:rStyle w:val="Hyperlink"/>
                <w:noProof/>
              </w:rPr>
              <w:t>Narcotics</w:t>
            </w:r>
            <w:r w:rsidR="004D63D8">
              <w:rPr>
                <w:noProof/>
                <w:webHidden/>
              </w:rPr>
              <w:tab/>
            </w:r>
            <w:r w:rsidR="004D63D8">
              <w:rPr>
                <w:noProof/>
                <w:webHidden/>
              </w:rPr>
              <w:fldChar w:fldCharType="begin"/>
            </w:r>
            <w:r w:rsidR="004D63D8">
              <w:rPr>
                <w:noProof/>
                <w:webHidden/>
              </w:rPr>
              <w:instrText xml:space="preserve"> PAGEREF _Toc102664126 \h </w:instrText>
            </w:r>
            <w:r w:rsidR="004D63D8">
              <w:rPr>
                <w:noProof/>
                <w:webHidden/>
              </w:rPr>
            </w:r>
            <w:r w:rsidR="004D63D8">
              <w:rPr>
                <w:noProof/>
                <w:webHidden/>
              </w:rPr>
              <w:fldChar w:fldCharType="separate"/>
            </w:r>
            <w:r>
              <w:rPr>
                <w:noProof/>
                <w:webHidden/>
              </w:rPr>
              <w:t>41</w:t>
            </w:r>
            <w:r w:rsidR="004D63D8">
              <w:rPr>
                <w:noProof/>
                <w:webHidden/>
              </w:rPr>
              <w:fldChar w:fldCharType="end"/>
            </w:r>
          </w:hyperlink>
        </w:p>
        <w:p w14:paraId="2F291CC0" w14:textId="1EC12832" w:rsidR="004D63D8" w:rsidRDefault="00281225">
          <w:pPr>
            <w:pStyle w:val="TOC2"/>
            <w:tabs>
              <w:tab w:val="right" w:leader="dot" w:pos="9350"/>
            </w:tabs>
            <w:rPr>
              <w:rFonts w:asciiTheme="minorHAnsi" w:eastAsiaTheme="minorEastAsia" w:hAnsiTheme="minorHAnsi" w:cstheme="minorBidi"/>
              <w:noProof/>
              <w:sz w:val="22"/>
              <w:szCs w:val="22"/>
            </w:rPr>
          </w:pPr>
          <w:hyperlink w:anchor="_Toc102664127" w:history="1">
            <w:r w:rsidR="004D63D8" w:rsidRPr="00656269">
              <w:rPr>
                <w:rStyle w:val="Hyperlink"/>
                <w:noProof/>
              </w:rPr>
              <w:t>Summary of Overall Findings</w:t>
            </w:r>
            <w:r w:rsidR="004D63D8">
              <w:rPr>
                <w:noProof/>
                <w:webHidden/>
              </w:rPr>
              <w:tab/>
            </w:r>
            <w:r w:rsidR="004D63D8">
              <w:rPr>
                <w:noProof/>
                <w:webHidden/>
              </w:rPr>
              <w:fldChar w:fldCharType="begin"/>
            </w:r>
            <w:r w:rsidR="004D63D8">
              <w:rPr>
                <w:noProof/>
                <w:webHidden/>
              </w:rPr>
              <w:instrText xml:space="preserve"> PAGEREF _Toc102664127 \h </w:instrText>
            </w:r>
            <w:r w:rsidR="004D63D8">
              <w:rPr>
                <w:noProof/>
                <w:webHidden/>
              </w:rPr>
            </w:r>
            <w:r w:rsidR="004D63D8">
              <w:rPr>
                <w:noProof/>
                <w:webHidden/>
              </w:rPr>
              <w:fldChar w:fldCharType="separate"/>
            </w:r>
            <w:r>
              <w:rPr>
                <w:noProof/>
                <w:webHidden/>
              </w:rPr>
              <w:t>43</w:t>
            </w:r>
            <w:r w:rsidR="004D63D8">
              <w:rPr>
                <w:noProof/>
                <w:webHidden/>
              </w:rPr>
              <w:fldChar w:fldCharType="end"/>
            </w:r>
          </w:hyperlink>
        </w:p>
        <w:p w14:paraId="5740B2CA" w14:textId="0B785D28" w:rsidR="004D63D8" w:rsidRDefault="00281225">
          <w:pPr>
            <w:pStyle w:val="TOC1"/>
            <w:tabs>
              <w:tab w:val="right" w:leader="dot" w:pos="9350"/>
            </w:tabs>
            <w:rPr>
              <w:rFonts w:asciiTheme="minorHAnsi" w:eastAsiaTheme="minorEastAsia" w:hAnsiTheme="minorHAnsi" w:cstheme="minorBidi"/>
              <w:noProof/>
              <w:sz w:val="22"/>
              <w:szCs w:val="22"/>
            </w:rPr>
          </w:pPr>
          <w:hyperlink w:anchor="_Toc102664128" w:history="1">
            <w:r w:rsidR="004D63D8" w:rsidRPr="00656269">
              <w:rPr>
                <w:rStyle w:val="Hyperlink"/>
                <w:noProof/>
              </w:rPr>
              <w:t>CONCLUSION</w:t>
            </w:r>
            <w:r w:rsidR="004D63D8">
              <w:rPr>
                <w:noProof/>
                <w:webHidden/>
              </w:rPr>
              <w:tab/>
            </w:r>
            <w:r w:rsidR="004D63D8">
              <w:rPr>
                <w:noProof/>
                <w:webHidden/>
              </w:rPr>
              <w:fldChar w:fldCharType="begin"/>
            </w:r>
            <w:r w:rsidR="004D63D8">
              <w:rPr>
                <w:noProof/>
                <w:webHidden/>
              </w:rPr>
              <w:instrText xml:space="preserve"> PAGEREF _Toc102664128 \h </w:instrText>
            </w:r>
            <w:r w:rsidR="004D63D8">
              <w:rPr>
                <w:noProof/>
                <w:webHidden/>
              </w:rPr>
            </w:r>
            <w:r w:rsidR="004D63D8">
              <w:rPr>
                <w:noProof/>
                <w:webHidden/>
              </w:rPr>
              <w:fldChar w:fldCharType="separate"/>
            </w:r>
            <w:r>
              <w:rPr>
                <w:noProof/>
                <w:webHidden/>
              </w:rPr>
              <w:t>44</w:t>
            </w:r>
            <w:r w:rsidR="004D63D8">
              <w:rPr>
                <w:noProof/>
                <w:webHidden/>
              </w:rPr>
              <w:fldChar w:fldCharType="end"/>
            </w:r>
          </w:hyperlink>
        </w:p>
        <w:p w14:paraId="6817CAB8" w14:textId="7765594B" w:rsidR="004D63D8" w:rsidRDefault="00281225">
          <w:pPr>
            <w:pStyle w:val="TOC2"/>
            <w:tabs>
              <w:tab w:val="right" w:leader="dot" w:pos="9350"/>
            </w:tabs>
            <w:rPr>
              <w:rFonts w:asciiTheme="minorHAnsi" w:eastAsiaTheme="minorEastAsia" w:hAnsiTheme="minorHAnsi" w:cstheme="minorBidi"/>
              <w:noProof/>
              <w:sz w:val="22"/>
              <w:szCs w:val="22"/>
            </w:rPr>
          </w:pPr>
          <w:hyperlink w:anchor="_Toc102664129" w:history="1">
            <w:r w:rsidR="004D63D8" w:rsidRPr="00656269">
              <w:rPr>
                <w:rStyle w:val="Hyperlink"/>
                <w:noProof/>
              </w:rPr>
              <w:t>Future Research</w:t>
            </w:r>
            <w:r w:rsidR="004D63D8">
              <w:rPr>
                <w:noProof/>
                <w:webHidden/>
              </w:rPr>
              <w:tab/>
            </w:r>
            <w:r w:rsidR="004D63D8">
              <w:rPr>
                <w:noProof/>
                <w:webHidden/>
              </w:rPr>
              <w:fldChar w:fldCharType="begin"/>
            </w:r>
            <w:r w:rsidR="004D63D8">
              <w:rPr>
                <w:noProof/>
                <w:webHidden/>
              </w:rPr>
              <w:instrText xml:space="preserve"> PAGEREF _Toc102664129 \h </w:instrText>
            </w:r>
            <w:r w:rsidR="004D63D8">
              <w:rPr>
                <w:noProof/>
                <w:webHidden/>
              </w:rPr>
            </w:r>
            <w:r w:rsidR="004D63D8">
              <w:rPr>
                <w:noProof/>
                <w:webHidden/>
              </w:rPr>
              <w:fldChar w:fldCharType="separate"/>
            </w:r>
            <w:r>
              <w:rPr>
                <w:noProof/>
                <w:webHidden/>
              </w:rPr>
              <w:t>46</w:t>
            </w:r>
            <w:r w:rsidR="004D63D8">
              <w:rPr>
                <w:noProof/>
                <w:webHidden/>
              </w:rPr>
              <w:fldChar w:fldCharType="end"/>
            </w:r>
          </w:hyperlink>
        </w:p>
        <w:p w14:paraId="73C8DECA" w14:textId="03846010" w:rsidR="004D63D8" w:rsidRDefault="00281225">
          <w:pPr>
            <w:pStyle w:val="TOC2"/>
            <w:tabs>
              <w:tab w:val="right" w:leader="dot" w:pos="9350"/>
            </w:tabs>
            <w:rPr>
              <w:rFonts w:asciiTheme="minorHAnsi" w:eastAsiaTheme="minorEastAsia" w:hAnsiTheme="minorHAnsi" w:cstheme="minorBidi"/>
              <w:noProof/>
              <w:sz w:val="22"/>
              <w:szCs w:val="22"/>
            </w:rPr>
          </w:pPr>
          <w:hyperlink w:anchor="_Toc102664130" w:history="1">
            <w:r w:rsidR="004D63D8" w:rsidRPr="00656269">
              <w:rPr>
                <w:rStyle w:val="Hyperlink"/>
                <w:noProof/>
              </w:rPr>
              <w:t>Limitations</w:t>
            </w:r>
            <w:r w:rsidR="004D63D8">
              <w:rPr>
                <w:noProof/>
                <w:webHidden/>
              </w:rPr>
              <w:tab/>
            </w:r>
            <w:r w:rsidR="004D63D8">
              <w:rPr>
                <w:noProof/>
                <w:webHidden/>
              </w:rPr>
              <w:fldChar w:fldCharType="begin"/>
            </w:r>
            <w:r w:rsidR="004D63D8">
              <w:rPr>
                <w:noProof/>
                <w:webHidden/>
              </w:rPr>
              <w:instrText xml:space="preserve"> PAGEREF _Toc102664130 \h </w:instrText>
            </w:r>
            <w:r w:rsidR="004D63D8">
              <w:rPr>
                <w:noProof/>
                <w:webHidden/>
              </w:rPr>
            </w:r>
            <w:r w:rsidR="004D63D8">
              <w:rPr>
                <w:noProof/>
                <w:webHidden/>
              </w:rPr>
              <w:fldChar w:fldCharType="separate"/>
            </w:r>
            <w:r>
              <w:rPr>
                <w:noProof/>
                <w:webHidden/>
              </w:rPr>
              <w:t>47</w:t>
            </w:r>
            <w:r w:rsidR="004D63D8">
              <w:rPr>
                <w:noProof/>
                <w:webHidden/>
              </w:rPr>
              <w:fldChar w:fldCharType="end"/>
            </w:r>
          </w:hyperlink>
        </w:p>
        <w:p w14:paraId="7C17E570" w14:textId="4C97AC5B" w:rsidR="004D63D8" w:rsidRDefault="00281225">
          <w:pPr>
            <w:pStyle w:val="TOC2"/>
            <w:tabs>
              <w:tab w:val="right" w:leader="dot" w:pos="9350"/>
            </w:tabs>
            <w:rPr>
              <w:rFonts w:asciiTheme="minorHAnsi" w:eastAsiaTheme="minorEastAsia" w:hAnsiTheme="minorHAnsi" w:cstheme="minorBidi"/>
              <w:noProof/>
              <w:sz w:val="22"/>
              <w:szCs w:val="22"/>
            </w:rPr>
          </w:pPr>
          <w:hyperlink w:anchor="_Toc102664131" w:history="1">
            <w:r w:rsidR="004D63D8" w:rsidRPr="00656269">
              <w:rPr>
                <w:rStyle w:val="Hyperlink"/>
                <w:noProof/>
              </w:rPr>
              <w:t>Contributions</w:t>
            </w:r>
            <w:r w:rsidR="004D63D8">
              <w:rPr>
                <w:noProof/>
                <w:webHidden/>
              </w:rPr>
              <w:tab/>
            </w:r>
            <w:r w:rsidR="004D63D8">
              <w:rPr>
                <w:noProof/>
                <w:webHidden/>
              </w:rPr>
              <w:fldChar w:fldCharType="begin"/>
            </w:r>
            <w:r w:rsidR="004D63D8">
              <w:rPr>
                <w:noProof/>
                <w:webHidden/>
              </w:rPr>
              <w:instrText xml:space="preserve"> PAGEREF _Toc102664131 \h </w:instrText>
            </w:r>
            <w:r w:rsidR="004D63D8">
              <w:rPr>
                <w:noProof/>
                <w:webHidden/>
              </w:rPr>
            </w:r>
            <w:r w:rsidR="004D63D8">
              <w:rPr>
                <w:noProof/>
                <w:webHidden/>
              </w:rPr>
              <w:fldChar w:fldCharType="separate"/>
            </w:r>
            <w:r>
              <w:rPr>
                <w:noProof/>
                <w:webHidden/>
              </w:rPr>
              <w:t>49</w:t>
            </w:r>
            <w:r w:rsidR="004D63D8">
              <w:rPr>
                <w:noProof/>
                <w:webHidden/>
              </w:rPr>
              <w:fldChar w:fldCharType="end"/>
            </w:r>
          </w:hyperlink>
        </w:p>
        <w:p w14:paraId="3BC9F5D8" w14:textId="51909503" w:rsidR="004D63D8" w:rsidRDefault="00281225">
          <w:pPr>
            <w:pStyle w:val="TOC2"/>
            <w:tabs>
              <w:tab w:val="right" w:leader="dot" w:pos="9350"/>
            </w:tabs>
            <w:rPr>
              <w:rFonts w:asciiTheme="minorHAnsi" w:eastAsiaTheme="minorEastAsia" w:hAnsiTheme="minorHAnsi" w:cstheme="minorBidi"/>
              <w:noProof/>
              <w:sz w:val="22"/>
              <w:szCs w:val="22"/>
            </w:rPr>
          </w:pPr>
          <w:hyperlink w:anchor="_Toc102664132" w:history="1">
            <w:r w:rsidR="004D63D8" w:rsidRPr="00656269">
              <w:rPr>
                <w:rStyle w:val="Hyperlink"/>
                <w:noProof/>
              </w:rPr>
              <w:t>Implications</w:t>
            </w:r>
            <w:r w:rsidR="004D63D8">
              <w:rPr>
                <w:noProof/>
                <w:webHidden/>
              </w:rPr>
              <w:tab/>
            </w:r>
            <w:r w:rsidR="004D63D8">
              <w:rPr>
                <w:noProof/>
                <w:webHidden/>
              </w:rPr>
              <w:fldChar w:fldCharType="begin"/>
            </w:r>
            <w:r w:rsidR="004D63D8">
              <w:rPr>
                <w:noProof/>
                <w:webHidden/>
              </w:rPr>
              <w:instrText xml:space="preserve"> PAGEREF _Toc102664132 \h </w:instrText>
            </w:r>
            <w:r w:rsidR="004D63D8">
              <w:rPr>
                <w:noProof/>
                <w:webHidden/>
              </w:rPr>
            </w:r>
            <w:r w:rsidR="004D63D8">
              <w:rPr>
                <w:noProof/>
                <w:webHidden/>
              </w:rPr>
              <w:fldChar w:fldCharType="separate"/>
            </w:r>
            <w:r>
              <w:rPr>
                <w:noProof/>
                <w:webHidden/>
              </w:rPr>
              <w:t>50</w:t>
            </w:r>
            <w:r w:rsidR="004D63D8">
              <w:rPr>
                <w:noProof/>
                <w:webHidden/>
              </w:rPr>
              <w:fldChar w:fldCharType="end"/>
            </w:r>
          </w:hyperlink>
        </w:p>
        <w:p w14:paraId="4DE9388F" w14:textId="5E45B8F0" w:rsidR="004D63D8" w:rsidRDefault="00281225">
          <w:pPr>
            <w:pStyle w:val="TOC1"/>
            <w:tabs>
              <w:tab w:val="right" w:leader="dot" w:pos="9350"/>
            </w:tabs>
            <w:rPr>
              <w:rFonts w:asciiTheme="minorHAnsi" w:eastAsiaTheme="minorEastAsia" w:hAnsiTheme="minorHAnsi" w:cstheme="minorBidi"/>
              <w:noProof/>
              <w:sz w:val="22"/>
              <w:szCs w:val="22"/>
            </w:rPr>
          </w:pPr>
          <w:hyperlink w:anchor="_Toc102664133" w:history="1">
            <w:r w:rsidR="004D63D8" w:rsidRPr="00656269">
              <w:rPr>
                <w:rStyle w:val="Hyperlink"/>
                <w:noProof/>
              </w:rPr>
              <w:t>References</w:t>
            </w:r>
            <w:r w:rsidR="004D63D8">
              <w:rPr>
                <w:noProof/>
                <w:webHidden/>
              </w:rPr>
              <w:tab/>
            </w:r>
            <w:r w:rsidR="004D63D8">
              <w:rPr>
                <w:noProof/>
                <w:webHidden/>
              </w:rPr>
              <w:fldChar w:fldCharType="begin"/>
            </w:r>
            <w:r w:rsidR="004D63D8">
              <w:rPr>
                <w:noProof/>
                <w:webHidden/>
              </w:rPr>
              <w:instrText xml:space="preserve"> PAGEREF _Toc102664133 \h </w:instrText>
            </w:r>
            <w:r w:rsidR="004D63D8">
              <w:rPr>
                <w:noProof/>
                <w:webHidden/>
              </w:rPr>
            </w:r>
            <w:r w:rsidR="004D63D8">
              <w:rPr>
                <w:noProof/>
                <w:webHidden/>
              </w:rPr>
              <w:fldChar w:fldCharType="separate"/>
            </w:r>
            <w:r>
              <w:rPr>
                <w:noProof/>
                <w:webHidden/>
              </w:rPr>
              <w:t>51</w:t>
            </w:r>
            <w:r w:rsidR="004D63D8">
              <w:rPr>
                <w:noProof/>
                <w:webHidden/>
              </w:rPr>
              <w:fldChar w:fldCharType="end"/>
            </w:r>
          </w:hyperlink>
        </w:p>
        <w:p w14:paraId="072B9EAB" w14:textId="03AC9D75" w:rsidR="004D63D8" w:rsidRDefault="00281225">
          <w:pPr>
            <w:pStyle w:val="TOC1"/>
            <w:tabs>
              <w:tab w:val="right" w:leader="dot" w:pos="9350"/>
            </w:tabs>
            <w:rPr>
              <w:rFonts w:asciiTheme="minorHAnsi" w:eastAsiaTheme="minorEastAsia" w:hAnsiTheme="minorHAnsi" w:cstheme="minorBidi"/>
              <w:noProof/>
              <w:sz w:val="22"/>
              <w:szCs w:val="22"/>
            </w:rPr>
          </w:pPr>
          <w:hyperlink w:anchor="_Toc102664134" w:history="1">
            <w:r w:rsidR="004D63D8" w:rsidRPr="00656269">
              <w:rPr>
                <w:rStyle w:val="Hyperlink"/>
                <w:noProof/>
              </w:rPr>
              <w:t>APPENDIX</w:t>
            </w:r>
            <w:r w:rsidR="004D63D8">
              <w:rPr>
                <w:noProof/>
                <w:webHidden/>
              </w:rPr>
              <w:tab/>
            </w:r>
            <w:r w:rsidR="004D63D8">
              <w:rPr>
                <w:noProof/>
                <w:webHidden/>
              </w:rPr>
              <w:fldChar w:fldCharType="begin"/>
            </w:r>
            <w:r w:rsidR="004D63D8">
              <w:rPr>
                <w:noProof/>
                <w:webHidden/>
              </w:rPr>
              <w:instrText xml:space="preserve"> PAGEREF _Toc102664134 \h </w:instrText>
            </w:r>
            <w:r w:rsidR="004D63D8">
              <w:rPr>
                <w:noProof/>
                <w:webHidden/>
              </w:rPr>
            </w:r>
            <w:r w:rsidR="004D63D8">
              <w:rPr>
                <w:noProof/>
                <w:webHidden/>
              </w:rPr>
              <w:fldChar w:fldCharType="separate"/>
            </w:r>
            <w:r>
              <w:rPr>
                <w:noProof/>
                <w:webHidden/>
              </w:rPr>
              <w:t>55</w:t>
            </w:r>
            <w:r w:rsidR="004D63D8">
              <w:rPr>
                <w:noProof/>
                <w:webHidden/>
              </w:rPr>
              <w:fldChar w:fldCharType="end"/>
            </w:r>
          </w:hyperlink>
        </w:p>
        <w:p w14:paraId="2D8DF2B2" w14:textId="2F72BBFF" w:rsidR="00EF36D7" w:rsidRDefault="00EF36D7">
          <w:r>
            <w:rPr>
              <w:b/>
              <w:bCs/>
              <w:noProof/>
            </w:rPr>
            <w:fldChar w:fldCharType="end"/>
          </w:r>
        </w:p>
      </w:sdtContent>
    </w:sdt>
    <w:p w14:paraId="4578CBAF" w14:textId="15758A9D" w:rsidR="0042680F" w:rsidRDefault="0042680F">
      <w:r>
        <w:br w:type="page"/>
      </w:r>
    </w:p>
    <w:p w14:paraId="059FAF9B" w14:textId="77777777" w:rsidR="0042680F" w:rsidRDefault="0042680F" w:rsidP="0042680F">
      <w:pPr>
        <w:pStyle w:val="Heading1"/>
      </w:pPr>
      <w:bookmarkStart w:id="1" w:name="_Toc102664095"/>
      <w:r>
        <w:lastRenderedPageBreak/>
        <w:t>ABSTRACT</w:t>
      </w:r>
      <w:bookmarkEnd w:id="1"/>
    </w:p>
    <w:p w14:paraId="5A2077F1" w14:textId="0AF26829" w:rsidR="0042680F" w:rsidRDefault="0042680F" w:rsidP="0042680F">
      <w:r>
        <w:tab/>
        <w:t xml:space="preserve">While previous literature has examined how attitudes towards patriarchal and traditional gender norms influence alcohol and marijuana consumption, </w:t>
      </w:r>
      <w:r w:rsidR="006363D3">
        <w:t>little research</w:t>
      </w:r>
      <w:r>
        <w:t xml:space="preserve"> explores how these norms influence illicit drug use, particularly among juveniles. This research begins to explore that gap in the literature and attempts to </w:t>
      </w:r>
      <w:proofErr w:type="gramStart"/>
      <w:r>
        <w:t>open up</w:t>
      </w:r>
      <w:proofErr w:type="gramEnd"/>
      <w:r>
        <w:t xml:space="preserve"> further paths for examining how family structure and patriarchal norms influence the relationships between gender and crime. Using data from Monitoring the Future (N=115,492)</w:t>
      </w:r>
      <w:r w:rsidR="00A5729C">
        <w:t>,</w:t>
      </w:r>
      <w:r>
        <w:t xml:space="preserve"> this research examines the relationship between masculinity and the use of various illicit drugs (marijuana, n = 48,589; cocaine, n = 49,029; heroin, n = 49,094; and narcotics, n = 49,094) </w:t>
      </w:r>
      <w:r w:rsidR="00484854">
        <w:t>among</w:t>
      </w:r>
      <w:r>
        <w:t xml:space="preserve"> </w:t>
      </w:r>
      <w:r w:rsidR="00A5729C">
        <w:t xml:space="preserve">U.S. </w:t>
      </w:r>
      <w:r>
        <w:t xml:space="preserve">high schoolers as they vary between young men and young women. Findings show statistically significant gender differences in each of the substances included in the study. Family structure has no significant effect on the gender differences in substance use, but agreement with patriarchal norms contributes to a significantly larger gender difference in marijuana, cocaine, and narcotics use when compared to disagreement with patriarchal norms. </w:t>
      </w:r>
      <w:r w:rsidR="008821D2">
        <w:t>This</w:t>
      </w:r>
      <w:r w:rsidR="006C009C">
        <w:t xml:space="preserve"> research contributes to the literature that has focused on the gender gap in crime and provides</w:t>
      </w:r>
      <w:r>
        <w:t xml:space="preserve"> insight into how masculinity contributes to gender differences in substance abuse. </w:t>
      </w:r>
    </w:p>
    <w:p w14:paraId="781FCEAC" w14:textId="77777777" w:rsidR="0003159A" w:rsidRDefault="0003159A" w:rsidP="0042680F"/>
    <w:p w14:paraId="386AB534" w14:textId="05F84A20" w:rsidR="0003159A" w:rsidRPr="009A32A5" w:rsidRDefault="0003159A" w:rsidP="0042680F">
      <w:pPr>
        <w:rPr>
          <w:i/>
          <w:iCs/>
        </w:rPr>
      </w:pPr>
      <w:r w:rsidRPr="009A32A5">
        <w:rPr>
          <w:i/>
          <w:iCs/>
        </w:rPr>
        <w:t xml:space="preserve">Key words: </w:t>
      </w:r>
      <w:r w:rsidR="006A7DDF" w:rsidRPr="009A32A5">
        <w:rPr>
          <w:i/>
          <w:iCs/>
        </w:rPr>
        <w:t xml:space="preserve">masculinity and crime, gender and crime, substance use, </w:t>
      </w:r>
      <w:r w:rsidR="009A32A5" w:rsidRPr="009A32A5">
        <w:rPr>
          <w:i/>
          <w:iCs/>
        </w:rPr>
        <w:t>gender gap</w:t>
      </w:r>
    </w:p>
    <w:p w14:paraId="59536234" w14:textId="58251510" w:rsidR="0042680F" w:rsidRDefault="0042680F">
      <w:r>
        <w:br w:type="page"/>
      </w:r>
    </w:p>
    <w:p w14:paraId="21A5DCFB" w14:textId="77777777" w:rsidR="009A3F91" w:rsidRDefault="009A3F91" w:rsidP="008B0876">
      <w:pPr>
        <w:spacing w:line="240" w:lineRule="auto"/>
        <w:sectPr w:rsidR="009A3F91" w:rsidSect="000A775A">
          <w:footerReference w:type="default" r:id="rId10"/>
          <w:pgSz w:w="12240" w:h="15840"/>
          <w:pgMar w:top="1440" w:right="1440" w:bottom="1440" w:left="1440" w:header="720" w:footer="720" w:gutter="0"/>
          <w:pgNumType w:fmt="lowerRoman" w:start="4"/>
          <w:cols w:space="720"/>
          <w:docGrid w:linePitch="360"/>
        </w:sectPr>
      </w:pPr>
    </w:p>
    <w:p w14:paraId="50BE2799" w14:textId="704C5D45" w:rsidR="00D0637F" w:rsidRDefault="00D0637F" w:rsidP="006E7BBC">
      <w:pPr>
        <w:jc w:val="center"/>
      </w:pPr>
      <w:r>
        <w:lastRenderedPageBreak/>
        <w:t xml:space="preserve">Illicit Masculinity: </w:t>
      </w:r>
      <w:r w:rsidR="003153F4">
        <w:t xml:space="preserve">Examining </w:t>
      </w:r>
      <w:r>
        <w:t>Gender Differences in Adolescent Drug Use</w:t>
      </w:r>
    </w:p>
    <w:p w14:paraId="275F0F2D" w14:textId="3A990082" w:rsidR="00D0637F" w:rsidRPr="00860B71" w:rsidRDefault="00D0637F" w:rsidP="00860B71">
      <w:pPr>
        <w:pStyle w:val="Heading1"/>
      </w:pPr>
      <w:bookmarkStart w:id="2" w:name="_Toc102664096"/>
      <w:r w:rsidRPr="00860B71">
        <w:t>INTRODUCTION</w:t>
      </w:r>
      <w:bookmarkEnd w:id="2"/>
    </w:p>
    <w:p w14:paraId="049CC7EE" w14:textId="00DDDC07" w:rsidR="00D0637F" w:rsidRDefault="00D0637F" w:rsidP="006E7BBC">
      <w:r>
        <w:tab/>
        <w:t xml:space="preserve">While previous </w:t>
      </w:r>
      <w:r w:rsidR="005144AB">
        <w:t xml:space="preserve">literature has examined how attitudes towards patriarchal and traditional gender norms influence alcohol and marijuana consumption, </w:t>
      </w:r>
      <w:r w:rsidR="008821D2">
        <w:t>little research</w:t>
      </w:r>
      <w:r w:rsidR="005144AB">
        <w:t xml:space="preserve"> explores how these norms influence illicit drug use, particularly among juveniles. This research</w:t>
      </w:r>
      <w:r w:rsidR="00A67C18">
        <w:t xml:space="preserve"> </w:t>
      </w:r>
      <w:r w:rsidR="005144AB">
        <w:t>begin</w:t>
      </w:r>
      <w:r w:rsidR="00140AF6">
        <w:t>s</w:t>
      </w:r>
      <w:r w:rsidR="005144AB">
        <w:t xml:space="preserve"> to explore that gap in the literature and attempt</w:t>
      </w:r>
      <w:r w:rsidR="00140AF6">
        <w:t>s</w:t>
      </w:r>
      <w:r w:rsidR="005144AB">
        <w:t xml:space="preserve"> to </w:t>
      </w:r>
      <w:proofErr w:type="gramStart"/>
      <w:r w:rsidR="005144AB">
        <w:t>open up</w:t>
      </w:r>
      <w:proofErr w:type="gramEnd"/>
      <w:r w:rsidR="005144AB">
        <w:t xml:space="preserve"> further paths for examining how patriarchal norms influence the relationships between gender and crime. Using data from Monitoring the Future (N=</w:t>
      </w:r>
      <w:r w:rsidR="005C4D97">
        <w:t>115,492</w:t>
      </w:r>
      <w:r w:rsidR="002F414B">
        <w:t>)</w:t>
      </w:r>
      <w:r w:rsidR="008821D2">
        <w:t>,</w:t>
      </w:r>
      <w:r w:rsidR="002F414B">
        <w:t xml:space="preserve"> </w:t>
      </w:r>
      <w:r w:rsidR="005144AB">
        <w:t>this research examine</w:t>
      </w:r>
      <w:r w:rsidR="00140AF6">
        <w:t>s</w:t>
      </w:r>
      <w:r w:rsidR="005144AB">
        <w:t xml:space="preserve"> the relationship between masculinity</w:t>
      </w:r>
      <w:r w:rsidR="00E341F3">
        <w:t xml:space="preserve"> </w:t>
      </w:r>
      <w:r w:rsidR="005144AB">
        <w:t>and the use of various illicit drugs (marijuana,</w:t>
      </w:r>
      <w:r w:rsidR="0010664B">
        <w:t xml:space="preserve"> n =</w:t>
      </w:r>
      <w:r w:rsidR="002F414B">
        <w:t xml:space="preserve"> </w:t>
      </w:r>
      <w:r w:rsidR="005C4D97">
        <w:t>48,589</w:t>
      </w:r>
      <w:r w:rsidR="0010664B">
        <w:t>;</w:t>
      </w:r>
      <w:r w:rsidR="005144AB">
        <w:t xml:space="preserve"> cocaine,</w:t>
      </w:r>
      <w:r w:rsidR="0010664B">
        <w:t xml:space="preserve"> n = </w:t>
      </w:r>
      <w:r w:rsidR="005C4D97">
        <w:t>49,029</w:t>
      </w:r>
      <w:r w:rsidR="0010664B">
        <w:t>;</w:t>
      </w:r>
      <w:r w:rsidR="005144AB">
        <w:t xml:space="preserve"> heroin,</w:t>
      </w:r>
      <w:r w:rsidR="005C4D97">
        <w:t xml:space="preserve"> n = 49,094</w:t>
      </w:r>
      <w:r w:rsidR="0039373B">
        <w:t>;</w:t>
      </w:r>
      <w:r w:rsidR="005144AB">
        <w:t xml:space="preserve"> and narcotics</w:t>
      </w:r>
      <w:r w:rsidR="0039373B">
        <w:t>, n = 49,094</w:t>
      </w:r>
      <w:r w:rsidR="005144AB">
        <w:t xml:space="preserve">) </w:t>
      </w:r>
      <w:r w:rsidR="001F532D">
        <w:t>among</w:t>
      </w:r>
      <w:r w:rsidR="005144AB">
        <w:t xml:space="preserve"> </w:t>
      </w:r>
      <w:r w:rsidR="00A5729C">
        <w:t xml:space="preserve">U.S. </w:t>
      </w:r>
      <w:r w:rsidR="005144AB">
        <w:t xml:space="preserve">high schoolers as they vary between young men and young women. While gender and sex are not the same and a binary representation is not ideal, due to the limitations of the Monitoring the Future dataset, gender will be derived from the respondents’ sex and treated as a binary </w:t>
      </w:r>
      <w:r w:rsidR="00660639">
        <w:fldChar w:fldCharType="begin"/>
      </w:r>
      <w:r w:rsidR="00AB7823">
        <w:instrText xml:space="preserve"> ADDIN ZOTERO_ITEM CSL_CITATION {"citationID":"eNJ1SLYR","properties":{"formattedCitation":"(Westbrook and Saperstein 2015)","plainCitation":"(Westbrook and Saperstein 2015)","noteIndex":0},"citationItems":[{"id":125,"uris":["http://zotero.org/users/9138993/items/CLUHXWNH"],"itemData":{"id":125,"type":"article-journal","abstract":"Recently, scholars and activists have turned their attention toward improving the measurement of sex and gender in survey research. The focus of this effort has been on including answer options beyond ?male? and ?female? to questions about the respondent?s gender. This is an important step toward both reflecting the diversity of gendered lives and better aligning survey measurement practice with contemporary gender theory. However, our systematic examination of questionnaires, manuals, and other technical materials from four of the largest and longest-running surveys in the United States indicates that there are a number of other issues with how gender is conceptualized and measured in social surveys that also deserve attention, including essentialist practices that treat sex and gender as synonymous, easily determined by others, obvious, and unchanging over the life course. We find that these understandings extend well beyond direct questions about the respondent?s gender, permeating the surveys. A hyper-gendered world of ?males? and ?females,? ?brothers? and ?sisters,? and ?husbands? and ?wives? shapes what we can see in survey data. If not altered, surveys will continue to reproduce statistical representations that erase important dimensions of variation and likely limit understanding of the processes that perpetuate social inequality.","container-title":"Gender &amp; Society","DOI":"10.1177/0891243215584758","ISSN":"0891-2432","issue":"4","journalAbbreviation":"Gender &amp; Society","note":"publisher: SAGE Publications Inc","page":"534-560","source":"SAGE Journals","title":"New Categories Are Not Enough: Rethinking the Measurement of Sex and Gender in Social Surveys","title-short":"New Categories Are Not Enough","volume":"29","author":[{"family":"Westbrook","given":"Laurel"},{"family":"Saperstein","given":"Aliya"}],"issued":{"date-parts":[["2015",8,1]]}}}],"schema":"https://github.com/citation-style-language/schema/raw/master/csl-citation.json"} </w:instrText>
      </w:r>
      <w:r w:rsidR="00660639">
        <w:fldChar w:fldCharType="separate"/>
      </w:r>
      <w:r w:rsidR="00660639" w:rsidRPr="00660639">
        <w:t>(Westbrook and Saperstein 2015)</w:t>
      </w:r>
      <w:r w:rsidR="00660639">
        <w:fldChar w:fldCharType="end"/>
      </w:r>
      <w:r w:rsidR="00D16E0F">
        <w:t xml:space="preserve">. Based on previous literature, it is expected </w:t>
      </w:r>
      <w:r w:rsidR="0010664B">
        <w:t xml:space="preserve">that stronger </w:t>
      </w:r>
      <w:r w:rsidR="008329DE">
        <w:t>adherence to patriarchal norms will</w:t>
      </w:r>
      <w:r w:rsidR="00644AC8">
        <w:t xml:space="preserve"> increase the likelihood of illicit drug use in young men and decrease the likelihood of illicit drug use in young women</w:t>
      </w:r>
      <w:r w:rsidR="00745550">
        <w:t>. Results from this research contribute to the literature that has focused on the gender gap in crime and provide insight into</w:t>
      </w:r>
      <w:r w:rsidR="00155E45">
        <w:t xml:space="preserve"> how</w:t>
      </w:r>
      <w:r w:rsidR="00745550">
        <w:t xml:space="preserve"> </w:t>
      </w:r>
      <w:r w:rsidR="008551D3">
        <w:t>masculinity</w:t>
      </w:r>
      <w:r w:rsidR="00745550">
        <w:t xml:space="preserve"> contribute</w:t>
      </w:r>
      <w:r w:rsidR="0010664B">
        <w:t>s</w:t>
      </w:r>
      <w:r w:rsidR="00745550">
        <w:t xml:space="preserve"> to gender differences in substance abuse. </w:t>
      </w:r>
    </w:p>
    <w:p w14:paraId="6EFB1426" w14:textId="10B49480" w:rsidR="00AD0EA0" w:rsidRDefault="002E16CA" w:rsidP="00D46F83">
      <w:pPr>
        <w:pStyle w:val="Heading1"/>
      </w:pPr>
      <w:bookmarkStart w:id="3" w:name="_Toc102664097"/>
      <w:r>
        <w:t>CO</w:t>
      </w:r>
      <w:r w:rsidR="00D13356">
        <w:t>N</w:t>
      </w:r>
      <w:r>
        <w:t>CEPTUAL FRAMEWORK</w:t>
      </w:r>
      <w:bookmarkEnd w:id="3"/>
    </w:p>
    <w:p w14:paraId="6FD666F3" w14:textId="3174F93C" w:rsidR="00444AFF" w:rsidRDefault="00F960B8" w:rsidP="006E7BBC">
      <w:r>
        <w:tab/>
        <w:t>In</w:t>
      </w:r>
      <w:r w:rsidR="00C33283">
        <w:t xml:space="preserve"> this research, I </w:t>
      </w:r>
      <w:r w:rsidR="0041112E">
        <w:t>develop and discuss</w:t>
      </w:r>
      <w:r w:rsidR="00C33283">
        <w:t xml:space="preserve"> a concept that I refer to as illicit masculinity. Illicit masculinity is the idea that </w:t>
      </w:r>
      <w:r w:rsidR="00591453">
        <w:t>norms that have been traditionally</w:t>
      </w:r>
      <w:r w:rsidR="00484854">
        <w:t xml:space="preserve"> associated with </w:t>
      </w:r>
      <w:r w:rsidR="00C33283">
        <w:t>manliness</w:t>
      </w:r>
      <w:r w:rsidR="00484854">
        <w:t>/</w:t>
      </w:r>
      <w:r w:rsidR="00C33283">
        <w:t>masculinity</w:t>
      </w:r>
      <w:r w:rsidR="00484854">
        <w:t xml:space="preserve"> (e.g., Brannon’s </w:t>
      </w:r>
      <w:r w:rsidR="00390208">
        <w:fldChar w:fldCharType="begin"/>
      </w:r>
      <w:r w:rsidR="002F5040">
        <w:instrText xml:space="preserve"> ADDIN ZOTERO_ITEM CSL_CITATION {"citationID":"X8ysNNaa","properties":{"formattedCitation":"(Brannon and David 1976)","plainCitation":"(Brannon and David 1976)","dontUpdate":true,"noteIndex":0},"citationItems":[{"id":375,"uris":["http://zotero.org/users/9138993/items/98CNVUC3"],"itemData":{"id":375,"type":"book","abstract":"the typology: no sissy stuff, the big wheel, the sturdy oak, give 'em hell","event-place":"Reading, Massachusetts","publisher":"Addison-Wesley Publishing Company","publisher-place":"Reading, Massachusetts","title":"The Forty-Nine Percent Majority: The Male Sex Role","author":[{"family":"Brannon","given":"Robert"},{"family":"David","given":"Deborah Sarah"}],"issued":{"date-parts":[["1976"]]}}}],"schema":"https://github.com/citation-style-language/schema/raw/master/csl-citation.json"} </w:instrText>
      </w:r>
      <w:r w:rsidR="00390208">
        <w:fldChar w:fldCharType="separate"/>
      </w:r>
      <w:r w:rsidR="00390208" w:rsidRPr="00390208">
        <w:t>(1976)</w:t>
      </w:r>
      <w:r w:rsidR="00390208">
        <w:fldChar w:fldCharType="end"/>
      </w:r>
      <w:r w:rsidR="00390208">
        <w:t xml:space="preserve"> </w:t>
      </w:r>
      <w:r w:rsidR="00484854">
        <w:t xml:space="preserve">typology </w:t>
      </w:r>
      <w:r w:rsidR="00432E54">
        <w:t xml:space="preserve">of </w:t>
      </w:r>
      <w:r w:rsidR="00484854" w:rsidRPr="00484854">
        <w:t>"No Sissy Stuff"; "The Big Wheel"; "</w:t>
      </w:r>
      <w:r w:rsidR="00484854">
        <w:t>The Sturdy Oak"; "Give '</w:t>
      </w:r>
      <w:proofErr w:type="spellStart"/>
      <w:r w:rsidR="00484854">
        <w:t>Em</w:t>
      </w:r>
      <w:proofErr w:type="spellEnd"/>
      <w:r w:rsidR="00484854">
        <w:t xml:space="preserve"> Hell”)</w:t>
      </w:r>
      <w:r w:rsidR="00C33283">
        <w:t xml:space="preserve"> are linked to illicit activities, such as illicit drug use. </w:t>
      </w:r>
      <w:r w:rsidR="00591453">
        <w:t xml:space="preserve">I argue </w:t>
      </w:r>
      <w:r w:rsidR="00591453">
        <w:lastRenderedPageBreak/>
        <w:t xml:space="preserve">that </w:t>
      </w:r>
      <w:r w:rsidR="00A524DE">
        <w:t xml:space="preserve">adherence to traditional ideas of masculinity </w:t>
      </w:r>
      <w:r w:rsidR="004B7877">
        <w:t xml:space="preserve">increases the likelihood of illicit substance </w:t>
      </w:r>
      <w:r w:rsidR="00F66FB4">
        <w:t>use among men and decreases the likelihood of illicit substance use among women</w:t>
      </w:r>
      <w:r w:rsidR="00B32F25">
        <w:t>, because masculinity encourages risky behaviors</w:t>
      </w:r>
      <w:r w:rsidR="000C60F2">
        <w:t xml:space="preserve"> </w:t>
      </w:r>
      <w:r w:rsidR="009009D9">
        <w:t xml:space="preserve">and </w:t>
      </w:r>
      <w:r w:rsidR="00B32F25">
        <w:t>delinquency</w:t>
      </w:r>
      <w:r w:rsidR="009423CF">
        <w:t xml:space="preserve">. </w:t>
      </w:r>
      <w:r w:rsidR="001D1904">
        <w:t xml:space="preserve">In Western cultures, masculinity is associated with risk taking, </w:t>
      </w:r>
      <w:r w:rsidR="005D0F48">
        <w:t xml:space="preserve">aggressiveness, and power </w:t>
      </w:r>
      <w:r w:rsidR="00E1085F">
        <w:fldChar w:fldCharType="begin"/>
      </w:r>
      <w:r w:rsidR="00E1085F">
        <w:instrText xml:space="preserve"> ADDIN ZOTERO_ITEM CSL_CITATION {"citationID":"vkKESNU6","properties":{"formattedCitation":"(Brannon and David 1976; Kimmel 1994; Norland, Wessel, and Shover 1981)","plainCitation":"(Brannon and David 1976; Kimmel 1994; Norland, Wessel, and Shover 1981)","noteIndex":0},"citationItems":[{"id":375,"uris":["http://zotero.org/users/9138993/items/98CNVUC3"],"itemData":{"id":375,"type":"book","abstract":"the typology: no sissy stuff, the big wheel, the sturdy oak, give 'em hell","event-place":"Reading, Massachusetts","publisher":"Addison-Wesley Publishing Company","publisher-place":"Reading, Massachusetts","title":"The Forty-Nine Percent Majority: The Male Sex Role","author":[{"family":"Brannon","given":"Robert"},{"family":"David","given":"Deborah Sarah"}],"issued":{"date-parts":[["1976"]]}}},{"id":293,"uris":["http://zotero.org/users/9138993/items/Q2K2J9G8"],"itemData":{"id":293,"type":"chapter","container-title":"Theorizing Masculinities","event-place":"Thousand Oaks, CA","note":"edited by Harry Brod and Michael Kaufman.","page":"119-43","publisher":"Sage","publisher-place":"Thousand Oaks, CA","title":"Masculinity as Homophobia: Fear, Shame, and Silence in the Construction of Gender Identity.","author":[{"family":"Kimmel","given":"Michael S."}],"issued":{"date-parts":[["1994"]]}}},{"id":376,"uris":["http://zotero.org/users/9138993/items/YNK5GJIC"],"itemData":{"id":376,"type":"article-journal","container-title":"Criminology","issue":"3","journalAbbreviation":"Criminology","language":"eng","page":"421-433","source":"HeinOnline","title":"Masculinity and Delinquency","volume":"19","author":[{"family":"Norland","given":"Stephen"},{"family":"Wessel","given":"Randall C."},{"family":"Shover","given":"Neal"}],"issued":{"date-parts":[["1981"]],"season":"1982"}}}],"schema":"https://github.com/citation-style-language/schema/raw/master/csl-citation.json"} </w:instrText>
      </w:r>
      <w:r w:rsidR="00E1085F">
        <w:fldChar w:fldCharType="separate"/>
      </w:r>
      <w:r w:rsidR="00E1085F" w:rsidRPr="00E1085F">
        <w:t>(Brannon and David 1976; Kimmel 1994; Norland, Wessel, and Shover 1981)</w:t>
      </w:r>
      <w:r w:rsidR="00E1085F">
        <w:fldChar w:fldCharType="end"/>
      </w:r>
      <w:r w:rsidR="00973508">
        <w:t xml:space="preserve">. </w:t>
      </w:r>
      <w:r w:rsidR="00EE371D">
        <w:t xml:space="preserve">This </w:t>
      </w:r>
      <w:r w:rsidR="004E6E27">
        <w:t xml:space="preserve">association </w:t>
      </w:r>
      <w:r w:rsidR="00EE371D">
        <w:t>encourages men to display</w:t>
      </w:r>
      <w:r w:rsidR="003156B5">
        <w:t xml:space="preserve"> their</w:t>
      </w:r>
      <w:r w:rsidR="00EE371D">
        <w:t xml:space="preserve"> masculinity through risky or delinquent behaviors, while simultaneously setting a </w:t>
      </w:r>
      <w:r w:rsidR="003156B5">
        <w:t xml:space="preserve">societal </w:t>
      </w:r>
      <w:r w:rsidR="00EE371D">
        <w:t>standard that these types of behaviors are unacceptable for women</w:t>
      </w:r>
      <w:r w:rsidR="004063BF">
        <w:t>, as engaging in such behaviors is unfeminine</w:t>
      </w:r>
      <w:r w:rsidR="000B64DD">
        <w:t xml:space="preserve"> </w:t>
      </w:r>
      <w:r w:rsidR="000B64DD">
        <w:fldChar w:fldCharType="begin"/>
      </w:r>
      <w:r w:rsidR="000B64DD">
        <w:instrText xml:space="preserve"> ADDIN ZOTERO_ITEM CSL_CITATION {"citationID":"ZYIq4rJ8","properties":{"formattedCitation":"(Connell and Messerschmidt 2005; Kimmel 1994; Norland et al. 1981; Schippers 2007)","plainCitation":"(Connell and Messerschmidt 2005; Kimmel 1994; Norland et al. 1981; Schippers 2007)","noteIndex":0},"citationItems":[{"id":36,"uris":["http://zotero.org/users/9138993/items/FRRFNZST"],"itemData":{"id":36,"type":"article-journal","abstract":"The concept of hegemonic masculinity has influenced gender studies across many academic fields but has also attracted serious criticism. The authors trace the origin of the concept in a convergence of ideas in the early 1980s and map the ways it was applied when research on men and masculinities expanded. Evaluating the principal criticisms, the authors defend the underlying concept of masculinity, which in most research use is neither reified nor essentialist. However, the criticism of trait models of gender and rigid typologies is sound. The treatment of the subject in research on hegemonic masculinity can be improved with the aid of recent psychological models, although limits to discursive flexibility must be recognized. The concept of hegemonic masculinity does not equate to a model of social reproduction; we need to recognize social struggles in which subordinated masculinities influence dominant forms. Finally, the authors review what has been confirmed from early formulations (the idea of multiple masculinities, the concept of hegemony, and the emphasis on change) and what needs to be discarded (one-dimensional treatment of hierarchy and trait conceptions of gender). The authors suggest reformulation of the concept in four areas: a more complex model of gender hierarchy, emphasizing the agency of women; explicit recognition of the geography of masculinities, emphasizing the interplay among local, regional, and global levels; a more specific treatment of embodiment in contexts of privilege and power; and a stronger emphasis on the dynamics of hegemonic masculinity, recognizing internal contradictions and the possibilities of movement toward gender democracy.","container-title":"Gender and Society","ISSN":"0891-2432","issue":"6","note":"publisher: Sage Publications, Inc.","page":"829-859","source":"JSTOR","title":"Hegemonic Masculinity: Rethinking the Concept","title-short":"Hegemonic Masculinity","volume":"19","author":[{"family":"Connell","given":"R. W."},{"family":"Messerschmidt","given":"James W."}],"issued":{"date-parts":[["2005"]]}}},{"id":293,"uris":["http://zotero.org/users/9138993/items/Q2K2J9G8"],"itemData":{"id":293,"type":"chapter","container-title":"Theorizing Masculinities","event-place":"Thousand Oaks, CA","note":"edited by Harry Brod and Michael Kaufman.","page":"119-43","publisher":"Sage","publisher-place":"Thousand Oaks, CA","title":"Masculinity as Homophobia: Fear, Shame, and Silence in the Construction of Gender Identity.","author":[{"family":"Kimmel","given":"Michael S."}],"issued":{"date-parts":[["1994"]]}}},{"id":376,"uris":["http://zotero.org/users/9138993/items/YNK5GJIC"],"itemData":{"id":376,"type":"article-journal","container-title":"Criminology","issue":"3","journalAbbreviation":"Criminology","language":"eng","page":"421-433","source":"HeinOnline","title":"Masculinity and Delinquency","volume":"19","author":[{"family":"Norland","given":"Stephen"},{"family":"Wessel","given":"Randall C."},{"family":"Shover","given":"Neal"}],"issued":{"date-parts":[["1981"]],"season":"1982"}}},{"id":296,"uris":["http://zotero.org/users/9138993/items/7CHIU7X3"],"itemData":{"id":296,"type":"article-journal","abstract":"R. W. Connell's path-breaking notion of multiple masculinities (Connell, 1995) and hegemonic masculinity (Connell, 1987, 1995) have been taken up as central constructs in the sociology of gender. Although there has been a great deal of empirical research and theory published that has built upon and utilized Connell's concepts, an adequate conceptualization of hegemonic femininity and multiple femininities has not yet been developed. To redress this, the author presents a theoretical framework that builds upon the insights of Connell and others, offers a definition of hegemonic masculinity and hegemonic femininity that allows for multiple configurations within each, and that can be used empirically across settings and groups. The author also outlines how hegemonic masculinity and hegemonic femininity are implicated in and intersect with other systems of inequality such as class, race, and ethnicity.","container-title":"Theory and society","DOI":"10.1007/s11186-007-9022-4","ISSN":"0304-2421","issue":"1","language":"eng","note":"publisher-place: Dordrecht\npublisher: Kluwer","page":"85–102","source":"ou-primo.com","title":"Recovering the Feminine Other: Masculinity, Femininity, and Gender Hegemony","title-short":"Recovering the Feminine Other","volume":"36","author":[{"family":"Schippers","given":"Mimi"}],"issued":{"date-parts":[["2007"]]}}}],"schema":"https://github.com/citation-style-language/schema/raw/master/csl-citation.json"} </w:instrText>
      </w:r>
      <w:r w:rsidR="000B64DD">
        <w:fldChar w:fldCharType="separate"/>
      </w:r>
      <w:r w:rsidR="000B64DD" w:rsidRPr="000B64DD">
        <w:t>(Connell and Messerschmidt 2005; Kimmel 1994; Norland et al. 1981; Schippers 2007)</w:t>
      </w:r>
      <w:r w:rsidR="000B64DD">
        <w:fldChar w:fldCharType="end"/>
      </w:r>
      <w:r w:rsidR="006D2131">
        <w:t>.</w:t>
      </w:r>
      <w:r w:rsidR="00F66FB4">
        <w:t xml:space="preserve">. As discussed more below, gender differences in substance use are common </w:t>
      </w:r>
      <w:r w:rsidR="00B069CA">
        <w:t>and present amongst several types of illicit substances</w:t>
      </w:r>
      <w:r w:rsidR="00CC1A39">
        <w:t xml:space="preserve"> </w:t>
      </w:r>
      <w:r w:rsidR="00CC1A39">
        <w:fldChar w:fldCharType="begin"/>
      </w:r>
      <w:r w:rsidR="00390208">
        <w:instrText xml:space="preserve"> ADDIN ZOTERO_ITEM CSL_CITATION {"citationID":"QAx7HE33","properties":{"formattedCitation":"(Dahl and Sandberg 2015; Kasperski et al. 2011; Marsh et al. 2018; Palamar et al. 2016; Schneider et al. 2018)","plainCitation":"(Dahl and Sandberg 2015; Kasperski et al. 2011; Marsh et al. 2018; Palamar et al. 2016; Schneider et al. 2018)","dontUpdate":true,"noteIndex":0},"citationItems":[{"id":165,"uris":["http://zotero.org/users/9138993/items/724NCNBS"],"itemData":{"id":165,"type":"article-journal","abstract":"Cannabis is sometimes associated with feminine or gender neutral values. Still, most cannabis users are male, and in our data cannabis use is associated with masculinity. In qualitative interviews with 19 female users and a larger sample of male users in Norway, four aspects of cannabis using practices were described as feminine: not providing cannabis, being less involved in cannabis user networks, not handling the drug effects and being concerned about control. Some women challenged gendered expectations and presented themselves as alternative, tough and rebellious through cannabis use. We explore how women navigate through a gendered drug culture, and study how femininities and masculinities are enacted, challenged and recast in a Scandinavian context characterized by gender equality and an anti-drugs culture. We argue that a new egalitarian form of masculinity is getting increasingly important. Still, female users often end up enacting traditional femininities when using cannabis.","container-title":"Sociology","ISSN":"0038-0385","issue":"4","note":"publisher: Sage Publications, Ltd.","page":"696-711","source":"JSTOR","title":"Female Cannabis Users and New Masculinities: The Gendering of Cannabis Use","title-short":"Female Cannabis Users and New Masculinities","volume":"49","author":[{"family":"Dahl","given":"Silje Louise"},{"family":"Sandberg","given":"Sveinung"}],"issued":{"date-parts":[["2015"]]}}},{"id":107,"uris":["http://zotero.org/users/9138993/items/62WB75FC"],"itemData":{"id":107,"type":"article-journal","abstract":"College students have high rates of heavy drinking and other risky behaviors, but little is known about trends in their use of cocaine. In this longitudinal study of 1253 college students at one large, public university in the mid-Atlantic region, annual interviews assessed opportunity to use cocaine, cocaine use, and DSM-IV criteria for cocaine abuse and dependence. Follow-up rates exceeded 87% annually. Data from the first four years of college were analyzed to detect changes over time and possible gender differences. By their fourth year of college, 36%wt of students had been offered cocaine at least once in their lifetime, and 13%wt had used cocaine. Annual prevalence of cocaine use increased significantly over time (4%wt in Year 1 to 10%wt in Year 4) and remained similar across genders. Opportunities to use cocaine were significantly more prevalent for males than females during Years 2 through 4. Cocaine use given opportunity increased significantly over time for both males and females. Among 243 cocaine users, females (n=113) had more serious use patterns than males, with higher average frequency of use (18.39 vs. 8.83days during the peak year of use, p&lt;.05) and greater likelihood of meeting criteria for cocaine dependence (9.3% vs. 2.5%, p&lt;.05). Gender differences in typical cocaine dosage were not apparent. College administrators and health providers should be aware of the prevalence of cocaine use among student populations and design strategies to address the problem.","container-title":"Addictive Behaviors","DOI":"10.1016/j.addbeh.2010.12.002","ISSN":"0306-4603","issue":"4","journalAbbreviation":"Addictive Behaviors","language":"en","page":"408-411","source":"ScienceDirect","title":"College students' use of cocaine: Results from a longitudinal study","title-short":"College students' use of cocaine","volume":"36","author":[{"family":"Kasperski","given":"Sarah J."},{"family":"Vincent","given":"Kathryn B."},{"family":"Caldeira","given":"Kimberly M."},{"family":"Garnier-Dykstra","given":"Laura M."},{"family":"O'Grady","given":"Kevin E."},{"family":"Arria","given":"Amelia M."}],"issued":{"date-parts":[["2011",4,1]]}}},{"id":106,"uris":["http://zotero.org/users/9138993/items/ASQZXMR6"],"itemData":{"id":106,"type":"article-journal","abstract":"Background\nTrends in the current opioid epidemic in the United States show that use of heroin is increasing while nonmedical use of prescription opioids is slowing. Understanding gender differences in these trends is essential to efforts to address the opioid epidemic. This study compared gender difference in trends in heroin and nonmedical prescription opioid use in the U.S. between 2007 and 2014.\nMethods\nData from the National Survey on Drug Use and Health (NSDUH) were used to trace prevalence and to estimate risk for heroin and nonmedical prescription opioid use in the last year for women and men.\nResults\nPrevalence rates in the total sample (N = 447,188) indicate a notable increase in heroin use and a steady decline in the nonmedical use of prescription opioids between 2007 and 2014 for both women and men. Women are increasing heroin use at a faster rate than men but decreasing nonmedical prescription opioid use at a slower rate than men. Overall, risk factors for both heroin use and nonmedical prescription opioid use are similar to other illicit substances, but the magnitude of associations indicates that women may be at greater risk for the nonmedical use of prescription opioids than for the use of heroin.\nConclusions\nTrend analyses reveal a linear increase in heroin use and a quadratic decline in nonmedical prescription opioid use at the population level. The differential rates of change between men and women in use of both opioids highlight the need for comprehensive, gender-sensitive approaches to prevention and treatment for both heroin and nonmedical prescription opioid use. Future research should continue to explore gender differences in treatment access, including access to medication-assisted treatments and treatments integrated with health and social services, especially for women.","container-title":"Journal of Substance Abuse Treatment","DOI":"10.1016/j.jsat.2018.01.001","ISSN":"0740-5472","journalAbbreviation":"Journal of Substance Abuse Treatment","language":"en","page":"79-85","source":"ScienceDirect","title":"Gender differences in trends for heroin use and nonmedical prescription opioid use, 2007–2014","volume":"87","author":[{"family":"Marsh","given":"Jeanne C."},{"family":"Park","given":"Keunhye"},{"family":"Lin","given":"Yu-An"},{"family":"Bersamira","given":"Cliff"}],"issued":{"date-parts":[["2018",4,1]]}}},{"id":105,"uris":["http://zotero.org/users/9138993/items/JKSDIRS9"],"itemData":{"id":105,"type":"article-journal","abstract":"Background\nNonmedical use of opioids has become increasingly problematic in recent years with increases in overdoses, treatment admissions, and deaths. Use also appears to be contributing to heroin initiation, which has increased in recent years. Further research is needed to examine which adolescents are at highest risk for nonmedical use of opioids and heroin and to explore potential links between nonmedical opioid use and heroin use.\nMethods\nData were analyzed from a nationally representative sample of American high school seniors in the Monitoring the Future study (2009–2013, Weighted N=67,822). We examined associations between frequency and recency of nonmedical use of opioids and heroin. Sociodemographic correlates of use of each drug were also examined.\nResults\n12.4% of students reported lifetime nonmedical opioid use and 1.2% reported lifetime heroin use. As frequency of lifetime nonmedical opioid use increased, so too did the odds for reporting heroin use, with over three-quarters (77.3%) of heroin users reporting lifetime nonmedical opioid use. Recent (30-day) nonmedical opioid use was a robust risk factor for heroin use and almost a quarter (23.2%) of students who reported using opioids ≥40 times reported lifetime heroin use. Black and Hispanic students were less likely to report nonmedical opioid or heroin use than white students, but they were more likely to report heroin use in absence of nonmedical opioid use.\nDiscussion\nRecent and frequent nonmedical opioid use are risk factors for heroin use among adolescents. Prevention needs to be targeted to those at highest risk.","container-title":"Drug and Alcohol Dependence","DOI":"10.1016/j.drugalcdep.2015.11.005","ISSN":"0376-8716","journalAbbreviation":"Drug and Alcohol Dependence","language":"en","page":"132-138","source":"ScienceDirect","title":"Nonmedical opioid use and heroin use in a nationally representative sample of us high school seniors","volume":"158","author":[{"family":"Palamar","given":"Joseph J."},{"family":"Shearston","given":"Jenni A."},{"family":"Dawson","given":"Eric W."},{"family":"Mateu-Gelabert","given":"Pedro"},{"family":"Ompad","given":"Danielle C."}],"issued":{"date-parts":[["2016",1,1]]}}},{"id":111,"uris":["http://zotero.org/users/9138993/items/K6KMTS82"],"itemData":{"id":111,"type":"article-journal","container-title":"Drug and Alcohol Dependence","DOI":"10.1016/j.drugalcdep.2017.10.028","language":"en","page":"69-72","title":"Past 15-year trends in lifetime cocaine use among US high school students | Elsevier Enhanced Reader","volume":"183","author":[{"family":"Schneider","given":"Kristen E."},{"family":"Krawczyk","given":"Noa"},{"family":"Ziming","given":"Xuan"},{"family":"Johnson","given":"Renee M."}],"issued":{"date-parts":[["2018"]]}}}],"schema":"https://github.com/citation-style-language/schema/raw/master/csl-citation.json"} </w:instrText>
      </w:r>
      <w:r w:rsidR="00CC1A39">
        <w:fldChar w:fldCharType="separate"/>
      </w:r>
      <w:r w:rsidR="00CC1A39" w:rsidRPr="00CC1A39">
        <w:t>(Dahl and Sandberg 2015; Kasperski et al. 2011; Marsh et al. 2018; Palamar et al. 2016; Schneider et al. 2018)</w:t>
      </w:r>
      <w:r w:rsidR="00CC1A39">
        <w:fldChar w:fldCharType="end"/>
      </w:r>
      <w:r w:rsidR="0003375D">
        <w:t xml:space="preserve">. </w:t>
      </w:r>
      <w:r w:rsidR="00351DE3">
        <w:t xml:space="preserve">Gender norms and masculinity have also been associated with the use of </w:t>
      </w:r>
      <w:r w:rsidR="00CC0122">
        <w:t xml:space="preserve">illicit drug use, including marijuana and cocaine, suggesting that men may express their masculinity through the use of illicit substances and that women may refrain from illicit substances due to </w:t>
      </w:r>
      <w:r w:rsidR="0020555A">
        <w:t xml:space="preserve">the association between illicit substances and masculinity </w:t>
      </w:r>
      <w:r w:rsidR="0020555A">
        <w:fldChar w:fldCharType="begin"/>
      </w:r>
      <w:r w:rsidR="0020555A">
        <w:instrText xml:space="preserve"> ADDIN ZOTERO_ITEM CSL_CITATION {"citationID":"TWnYbzQl","properties":{"formattedCitation":"(Dahl and Sandberg 2015; Darcy 2018, 2020; Kolar 2021)","plainCitation":"(Dahl and Sandberg 2015; Darcy 2018, 2020; Kolar 2021)","noteIndex":0},"citationItems":[{"id":165,"uris":["http://zotero.org/users/9138993/items/724NCNBS"],"itemData":{"id":165,"type":"article-journal","abstract":"Cannabis is sometimes associated with feminine or gender neutral values. Still, most cannabis users are male, and in our data cannabis use is associated with masculinity. In qualitative interviews with 19 female users and a larger sample of male users in Norway, four aspects of cannabis using practices were described as feminine: not providing cannabis, being less involved in cannabis user networks, not handling the drug effects and being concerned about control. Some women challenged gendered expectations and presented themselves as alternative, tough and rebellious through cannabis use. We explore how women navigate through a gendered drug culture, and study how femininities and masculinities are enacted, challenged and recast in a Scandinavian context characterized by gender equality and an anti-drugs culture. We argue that a new egalitarian form of masculinity is getting increasingly important. Still, female users often end up enacting traditional femininities when using cannabis.","container-title":"Sociology","ISSN":"0038-0385","issue":"4","note":"publisher: Sage Publications, Ltd.","page":"696-711","source":"JSTOR","title":"Female Cannabis Users and New Masculinities: The Gendering of Cannabis Use","title-short":"Female Cannabis Users and New Masculinities","volume":"49","author":[{"family":"Dahl","given":"Silje Louise"},{"family":"Sandberg","given":"Sveinung"}],"issued":{"date-parts":[["2015"]]}}},{"id":112,"uris":["http://zotero.org/users/9138993/items/LJ77884B"],"itemData":{"id":112,"type":"article-journal","abstract":"This paper highlights a significant gender disparity within Ireland?s illicit drug landscape, which is predominantly composed of men. Irish men?s historical gender invisibility contributed to their predominance as drug users being overlooked. Thus, this paper focuses a masculinities lens on Irish men?s recreational use of illicit drugs, making their drug taking visible as a gendered activity. The study utilised a qualitative methodology, with masculinities theory forming the primary theoretical and analytical lens. Nine focus groups were conducted with Irish men exploring their views on illicit drugs. Twenty in-depth interviews were completed with men who identified as illicit recreational drug users, exploring their drug-taking histories and experiences. Findings demonstrate how the use of illicit drugs can symbolically communicate messages about the drug taker. The study reveals masculinities are an interpretative lens employed by men when trying to understand their own or other men?s drug taking. It is argued that men?s drug taking and masculinities intersect. In homosocial contexts, men?s recreational use of illicit drugs can contribute to them demonstrating masculinities to other drug-taking men; however, outside of these contexts, the same behaviours can be viewed by non-drug takers as emasculating.","container-title":"Irish Journal of Sociology","DOI":"10.1177/0791603517735772","ISSN":"0791-6035","issue":"1","journalAbbreviation":"Irish Journal of Sociology","note":"publisher: SAGE Publications Ltd","page":"5-24","source":"SAGE Journals","title":"Making the invisible visible: Masculinities and men’s illicit recreational drug use","title-short":"Making the invisible visible","volume":"26","author":[{"family":"Darcy","given":"Clay"}],"issued":{"date-parts":[["2018",4,1]]}}},{"id":110,"uris":["http://zotero.org/users/9138993/items/XTD3HEAU"],"itemData":{"id":110,"type":"article-journal","abstract":"The purpose of this article is to explore the motivations behind some men’s recreational use of illicit drugs from a gender standpoint. The rationale for this analysis stems from men’s predominance as illicit drug users and their likelihood of experiencing problem drug use and becoming a part of an over-represented population in drug treatment services. Explanations for men’s problematic/addicted patterns of drug use often point to marginalisation, disadvantage, and/or men’s tendency towards problematic health behaviours. This article argues that men’s illicit recreational drug use is often glossed over as a gendered activity and receives less scrutiny than problematic/addicted patterns of drug taking. It examines the drug-taking motivations of 20 Irish men who identified as illicit recreational drug users to expand on and deepen current explanations for men’s illicit recreational drug use. The article demonstrates how men engage in drug use for complex and contradictory reasons that include embodied quests for pleasure and excitement, achieving connection with other men, and performing or contravening masculinities in homosocial contexts.","container-title":"Sociological Research Online","DOI":"10.1177/1360780419879940","ISSN":"1360-7804","issue":"3","journalAbbreviation":"Sociological Research Online","language":"en","note":"publisher: SAGE Publications Ltd","page":"421-437","source":"SAGE Journals","title":"Men and the Drug Buzz: Masculinity and Men’s Motivations for Illicit Recreational Drug Use","title-short":"Men and the Drug Buzz","volume":"25","author":[{"family":"Darcy","given":"Clay"}],"issued":{"date-parts":[["2020",9,1]]}}},{"id":19,"uris":["http://zotero.org/users/9138993/items/DH2G2MC9"],"itemData":{"id":19,"type":"article-journal","abstract":"In the present study, I investigate how often unacknowledged gendered norms shape young women’s use of and access to illicit cannabis. I apply a “doing gender” approach to analyse 58 interviews conducted with cannabis using and non-using female and male college students in Canada in 2012, a time when nonmedical cannabis possession and supply were illegal. I identify prominent gendered norms and stereotypes that are critical of women’s use and that create barriers to women’s participation as either buyers or dealers in the illicit cannabis market. I show how these norms reinforce associations of cannabis use with masculinity and how they may direct social pressure against women’s use. I engage with Deutsch's (2007) concept of “undoing” gender to provide a novel contribution to research on cannabis by illustrating women’s strategies for resisting derogatory stereotypes. I highlight how women resist stigmatization of their use in the university context by drawing on presentations of social belonging, particularly scholastic success. However, I show that women may reinforce other stereotypes when appealing to such strategies. Legalization of nonmedical cannabis will create regulated commercial access alternatives to the highly gendered barriers that characterize illicit cannabis markets. My analysis suggests some increase in women’s cannabis use may be expected as a result, although deeply embedded gender norms are likely to maintain downward social pressure on women’s rates of use.","container-title":"Sex Roles","DOI":"10.1007/s11199-020-01176-4","ISSN":"1573-2762","issue":"7","journalAbbreviation":"Sex Roles","language":"en","page":"418-438","source":"Springer Link","title":"Women’s Use of and Access to Illicit Cannabis: An Investigation of Gendered Norms among College Students in Canada","title-short":"Women’s Use of and Access to Illicit Cannabis","volume":"84","author":[{"family":"Kolar","given":"Kat"}],"issued":{"date-parts":[["2021",4,1]]}}}],"schema":"https://github.com/citation-style-language/schema/raw/master/csl-citation.json"} </w:instrText>
      </w:r>
      <w:r w:rsidR="0020555A">
        <w:fldChar w:fldCharType="separate"/>
      </w:r>
      <w:r w:rsidR="0020555A" w:rsidRPr="0020555A">
        <w:t>(Dahl and Sandberg 2015; Darcy 2018, 2020; Kolar 2021)</w:t>
      </w:r>
      <w:r w:rsidR="0020555A">
        <w:fldChar w:fldCharType="end"/>
      </w:r>
      <w:r w:rsidR="003C13BD">
        <w:t xml:space="preserve">. While previous literature (discussed more below) has begun to explore the connection between masculinity and illicit substances, I offer a term to describe that association: illicit masculinity. </w:t>
      </w:r>
      <w:r w:rsidR="001F6980">
        <w:t xml:space="preserve">Illicit masculinity not only refers to the association between masculinity and illicit activities, but also posits that illicit activities are more acceptable for </w:t>
      </w:r>
      <w:r w:rsidR="00D3517D">
        <w:t xml:space="preserve">men than they are for women, thus contributing to the gender differences seen in illicit activities, including illicit substance use. </w:t>
      </w:r>
    </w:p>
    <w:p w14:paraId="3CF1AB05" w14:textId="5DBA3381" w:rsidR="002E16CA" w:rsidRDefault="002E16CA" w:rsidP="00701DEC">
      <w:pPr>
        <w:pStyle w:val="Heading2"/>
      </w:pPr>
      <w:bookmarkStart w:id="4" w:name="_Toc102664098"/>
      <w:r>
        <w:t>Masculinity</w:t>
      </w:r>
      <w:bookmarkEnd w:id="4"/>
    </w:p>
    <w:p w14:paraId="6118BB82" w14:textId="199EA478" w:rsidR="00591453" w:rsidRDefault="00D13356" w:rsidP="002F5040">
      <w:r>
        <w:tab/>
      </w:r>
      <w:r w:rsidR="00D44A26">
        <w:t>To</w:t>
      </w:r>
      <w:r w:rsidR="00DD104F">
        <w:t xml:space="preserve"> provide context for the development of illicit masculinity, I must first review previous concept</w:t>
      </w:r>
      <w:r w:rsidR="00987840">
        <w:t>ualizations</w:t>
      </w:r>
      <w:r w:rsidR="00DD104F">
        <w:t xml:space="preserve"> and </w:t>
      </w:r>
      <w:r w:rsidR="00D44A26">
        <w:t>developments of masculinit</w:t>
      </w:r>
      <w:r w:rsidR="003E4453">
        <w:t>ies.</w:t>
      </w:r>
      <w:r w:rsidR="00D44A26">
        <w:t xml:space="preserve"> </w:t>
      </w:r>
      <w:r w:rsidR="009F62CD">
        <w:t xml:space="preserve">Brannon </w:t>
      </w:r>
      <w:r w:rsidR="009F62CD">
        <w:fldChar w:fldCharType="begin"/>
      </w:r>
      <w:r w:rsidR="002F5040">
        <w:instrText xml:space="preserve"> ADDIN ZOTERO_ITEM CSL_CITATION {"citationID":"hPHNA0Y9","properties":{"formattedCitation":"(Brannon and David 1976)","plainCitation":"(Brannon and David 1976)","dontUpdate":true,"noteIndex":0},"citationItems":[{"id":375,"uris":["http://zotero.org/users/9138993/items/98CNVUC3"],"itemData":{"id":375,"type":"book","abstract":"the typology: no sissy stuff, the big wheel, the sturdy oak, give 'em hell","event-place":"Reading, Massachusetts","publisher":"Addison-Wesley Publishing Company","publisher-place":"Reading, Massachusetts","title":"The Forty-Nine Percent Majority: The Male Sex Role","author":[{"family":"Brannon","given":"Robert"},{"family":"David","given":"Deborah Sarah"}],"issued":{"date-parts":[["1976"]]}}}],"schema":"https://github.com/citation-style-language/schema/raw/master/csl-citation.json"} </w:instrText>
      </w:r>
      <w:r w:rsidR="009F62CD">
        <w:fldChar w:fldCharType="separate"/>
      </w:r>
      <w:r w:rsidR="009F62CD" w:rsidRPr="009F62CD">
        <w:t>(1976)</w:t>
      </w:r>
      <w:r w:rsidR="009F62CD">
        <w:fldChar w:fldCharType="end"/>
      </w:r>
      <w:r w:rsidR="00693153">
        <w:t xml:space="preserve"> summarized the </w:t>
      </w:r>
      <w:r w:rsidR="00693153">
        <w:lastRenderedPageBreak/>
        <w:t xml:space="preserve">definition of manhood into four </w:t>
      </w:r>
      <w:r w:rsidR="00443910">
        <w:t>categories</w:t>
      </w:r>
      <w:r w:rsidR="00693153">
        <w:t xml:space="preserve">. The first, “No Sissy Stuff!” </w:t>
      </w:r>
      <w:r w:rsidR="00AD0C4F">
        <w:t xml:space="preserve">sets masculinity in direct opposition to femininity – men </w:t>
      </w:r>
      <w:r w:rsidR="00575F29">
        <w:t>should never</w:t>
      </w:r>
      <w:r w:rsidR="00AD0C4F">
        <w:t xml:space="preserve"> engage in any behaviors deemed feminine or “sissy”</w:t>
      </w:r>
      <w:r w:rsidR="00575F29">
        <w:t>, lest they risk being emasculated. The second, “Be a Big Wheel”</w:t>
      </w:r>
      <w:r w:rsidR="004B3922">
        <w:t xml:space="preserve"> summarizes the link between masculinity and power</w:t>
      </w:r>
      <w:r w:rsidR="00D2409C">
        <w:t xml:space="preserve"> </w:t>
      </w:r>
      <w:r w:rsidR="00D2409C">
        <w:fldChar w:fldCharType="begin"/>
      </w:r>
      <w:r w:rsidR="00D2409C">
        <w:instrText xml:space="preserve"> ADDIN ZOTERO_ITEM CSL_CITATION {"citationID":"rC6gVnKr","properties":{"formattedCitation":"(Brannon and David 1976; Kimmel 1994)","plainCitation":"(Brannon and David 1976; Kimmel 1994)","noteIndex":0},"citationItems":[{"id":375,"uris":["http://zotero.org/users/9138993/items/98CNVUC3"],"itemData":{"id":375,"type":"book","abstract":"the typology: no sissy stuff, the big wheel, the sturdy oak, give 'em hell","event-place":"Reading, Massachusetts","publisher":"Addison-Wesley Publishing Company","publisher-place":"Reading, Massachusetts","title":"The Forty-Nine Percent Majority: The Male Sex Role","author":[{"family":"Brannon","given":"Robert"},{"family":"David","given":"Deborah Sarah"}],"issued":{"date-parts":[["1976"]]}}},{"id":293,"uris":["http://zotero.org/users/9138993/items/Q2K2J9G8"],"itemData":{"id":293,"type":"chapter","container-title":"Theorizing Masculinities","event-place":"Thousand Oaks, CA","note":"edited by Harry Brod and Michael Kaufman.","page":"119-43","publisher":"Sage","publisher-place":"Thousand Oaks, CA","title":"Masculinity as Homophobia: Fear, Shame, and Silence in the Construction of Gender Identity.","author":[{"family":"Kimmel","given":"Michael S."}],"issued":{"date-parts":[["1994"]]}}}],"schema":"https://github.com/citation-style-language/schema/raw/master/csl-citation.json"} </w:instrText>
      </w:r>
      <w:r w:rsidR="00D2409C">
        <w:fldChar w:fldCharType="separate"/>
      </w:r>
      <w:r w:rsidR="00D2409C" w:rsidRPr="00D2409C">
        <w:t>(Brannon and David 1976; Kimmel 1994)</w:t>
      </w:r>
      <w:r w:rsidR="00D2409C">
        <w:fldChar w:fldCharType="end"/>
      </w:r>
      <w:r w:rsidR="004B3922">
        <w:t xml:space="preserve">. </w:t>
      </w:r>
      <w:r w:rsidR="00CD56D0">
        <w:t xml:space="preserve">In this second </w:t>
      </w:r>
      <w:r w:rsidR="009B7545">
        <w:t>category</w:t>
      </w:r>
      <w:r w:rsidR="00CD56D0">
        <w:t xml:space="preserve">, </w:t>
      </w:r>
      <w:r w:rsidR="004B3922">
        <w:t>Brannon (1976) argues that masculinity is measure</w:t>
      </w:r>
      <w:r w:rsidR="00CD56D0">
        <w:t>d</w:t>
      </w:r>
      <w:r w:rsidR="004B3922">
        <w:t xml:space="preserve"> by social status, power, </w:t>
      </w:r>
      <w:r w:rsidR="00CD56D0">
        <w:t>and success</w:t>
      </w:r>
      <w:r w:rsidR="00271620">
        <w:t xml:space="preserve">, and that men should strive to be more powerful than other men, creating a </w:t>
      </w:r>
      <w:r w:rsidR="00126FA6">
        <w:t xml:space="preserve">link between power, competition, and </w:t>
      </w:r>
      <w:r w:rsidR="00D2409C">
        <w:t>masculinity</w:t>
      </w:r>
      <w:r w:rsidR="00271620">
        <w:t>. The third, “Be a Sturdy Oak,”</w:t>
      </w:r>
      <w:r w:rsidR="00126FA6">
        <w:t xml:space="preserve"> </w:t>
      </w:r>
      <w:r w:rsidR="00D2409C">
        <w:t>refers to the idea that men must keep their emotions in check and under control</w:t>
      </w:r>
      <w:r w:rsidR="00A56347">
        <w:t xml:space="preserve"> </w:t>
      </w:r>
      <w:r w:rsidR="00A56347">
        <w:fldChar w:fldCharType="begin"/>
      </w:r>
      <w:r w:rsidR="00A56347">
        <w:instrText xml:space="preserve"> ADDIN ZOTERO_ITEM CSL_CITATION {"citationID":"6HXWo05k","properties":{"formattedCitation":"(Brannon and David 1976; Kimmel 1994)","plainCitation":"(Brannon and David 1976; Kimmel 1994)","noteIndex":0},"citationItems":[{"id":375,"uris":["http://zotero.org/users/9138993/items/98CNVUC3"],"itemData":{"id":375,"type":"book","abstract":"the typology: no sissy stuff, the big wheel, the sturdy oak, give 'em hell","event-place":"Reading, Massachusetts","publisher":"Addison-Wesley Publishing Company","publisher-place":"Reading, Massachusetts","title":"The Forty-Nine Percent Majority: The Male Sex Role","author":[{"family":"Brannon","given":"Robert"},{"family":"David","given":"Deborah Sarah"}],"issued":{"date-parts":[["1976"]]}}},{"id":293,"uris":["http://zotero.org/users/9138993/items/Q2K2J9G8"],"itemData":{"id":293,"type":"chapter","container-title":"Theorizing Masculinities","event-place":"Thousand Oaks, CA","note":"edited by Harry Brod and Michael Kaufman.","page":"119-43","publisher":"Sage","publisher-place":"Thousand Oaks, CA","title":"Masculinity as Homophobia: Fear, Shame, and Silence in the Construction of Gender Identity.","author":[{"family":"Kimmel","given":"Michael S."}],"issued":{"date-parts":[["1994"]]}}}],"schema":"https://github.com/citation-style-language/schema/raw/master/csl-citation.json"} </w:instrText>
      </w:r>
      <w:r w:rsidR="00A56347">
        <w:fldChar w:fldCharType="separate"/>
      </w:r>
      <w:r w:rsidR="00A56347" w:rsidRPr="00A56347">
        <w:t>(Brannon and David 1976; Kimmel 1994)</w:t>
      </w:r>
      <w:r w:rsidR="00A56347">
        <w:fldChar w:fldCharType="end"/>
      </w:r>
      <w:r w:rsidR="00D2409C">
        <w:t>.</w:t>
      </w:r>
      <w:r w:rsidR="00A56347">
        <w:t xml:space="preserve"> </w:t>
      </w:r>
      <w:r w:rsidR="00C90C97">
        <w:t>Here, Brannon (1976) emphasizes the idea that</w:t>
      </w:r>
      <w:r w:rsidR="00444968">
        <w:t xml:space="preserve"> masculinity can be proven through never showing emotion and that real men do not cry. </w:t>
      </w:r>
      <w:r w:rsidR="00D2409C">
        <w:t xml:space="preserve"> </w:t>
      </w:r>
      <w:r w:rsidR="00444968">
        <w:t xml:space="preserve">Finally, Brannon’s (1976) fourth </w:t>
      </w:r>
      <w:r w:rsidR="009B7545">
        <w:t>category</w:t>
      </w:r>
      <w:r w:rsidR="00444968">
        <w:t xml:space="preserve"> of manhood, “Give ‘</w:t>
      </w:r>
      <w:proofErr w:type="spellStart"/>
      <w:r w:rsidR="00444968">
        <w:t>Em</w:t>
      </w:r>
      <w:proofErr w:type="spellEnd"/>
      <w:r w:rsidR="00444968">
        <w:t xml:space="preserve"> Hell”, </w:t>
      </w:r>
      <w:r w:rsidR="00262B44">
        <w:t>establishes the relationship between masculinity and aggression, assertiveness, and risk taking</w:t>
      </w:r>
      <w:r w:rsidR="00EB293F">
        <w:t xml:space="preserve"> by claiming that </w:t>
      </w:r>
      <w:r w:rsidR="002F5040">
        <w:t xml:space="preserve">daring behaviors and aggression are appropriate displays of masculinity. </w:t>
      </w:r>
    </w:p>
    <w:p w14:paraId="6CBE12A6" w14:textId="6B65FCFB" w:rsidR="00973C69" w:rsidRDefault="00591453" w:rsidP="00F073FC">
      <w:pPr>
        <w:ind w:firstLine="720"/>
      </w:pPr>
      <w:r>
        <w:t xml:space="preserve">Beyond Brannon’s (1976) typology and other work that stems largely from it, scholarship on masculinities has expanded previous definitions and conceptualizations of masculinity in a few ways. For example, </w:t>
      </w:r>
      <w:r w:rsidR="003008B4">
        <w:t>Connell (1987, 1995)</w:t>
      </w:r>
      <w:r w:rsidR="00CB0C17">
        <w:t xml:space="preserve"> </w:t>
      </w:r>
      <w:r w:rsidR="006B0CDA">
        <w:t xml:space="preserve">developed the concepts of hegemonic masculinity and nonhegemonic masculinities. Hegemonic masculinity reinforces the gender order that places men in dominant social positions over women in societies, reinforces dominant patriarchal norms, and establishes both masculine and feminine standards </w:t>
      </w:r>
      <w:r w:rsidR="006B0CDA">
        <w:fldChar w:fldCharType="begin"/>
      </w:r>
      <w:r w:rsidR="006B0CDA">
        <w:instrText xml:space="preserve"> ADDIN ZOTERO_ITEM CSL_CITATION {"citationID":"Gs8E3BqS","properties":{"formattedCitation":"(Connell 1987, 1995; Connell and Messerschmidt 2005; Messerschmidt and Messner 2019; Schippers 2007)","plainCitation":"(Connell 1987, 1995; Connell and Messerschmidt 2005; Messerschmidt and Messner 2019; Schippers 2007)","noteIndex":0},"citationItems":[{"id":312,"uris":["http://zotero.org/users/9138993/items/F8SEKU3T"],"itemData":{"id":312,"type":"book","event-place":"Sydney, Australia","publisher":"Allen and Unwin","publisher-place":"Sydney, Australia","title":"Gender and Power","author":[{"family":"Connell","given":"R.W."}],"issued":{"date-parts":[["1987"]]}}},{"id":313,"uris":["http://zotero.org/users/9138993/items/NR78S2UQ"],"itemData":{"id":313,"type":"book","event-place":"Cambridge, UK","publisher":"Polity Press","publisher-place":"Cambridge, UK","title":"Masculinities","author":[{"family":"Connell","given":"R. W."}],"issued":{"date-parts":[["1995"]]}}},{"id":36,"uris":["http://zotero.org/users/9138993/items/FRRFNZST"],"itemData":{"id":36,"type":"article-journal","abstract":"The concept of hegemonic masculinity has influenced gender studies across many academic fields but has also attracted serious criticism. The authors trace the origin of the concept in a convergence of ideas in the early 1980s and map the ways it was applied when research on men and masculinities expanded. Evaluating the principal criticisms, the authors defend the underlying concept of masculinity, which in most research use is neither reified nor essentialist. However, the criticism of trait models of gender and rigid typologies is sound. The treatment of the subject in research on hegemonic masculinity can be improved with the aid of recent psychological models, although limits to discursive flexibility must be recognized. The concept of hegemonic masculinity does not equate to a model of social reproduction; we need to recognize social struggles in which subordinated masculinities influence dominant forms. Finally, the authors review what has been confirmed from early formulations (the idea of multiple masculinities, the concept of hegemony, and the emphasis on change) and what needs to be discarded (one-dimensional treatment of hierarchy and trait conceptions of gender). The authors suggest reformulation of the concept in four areas: a more complex model of gender hierarchy, emphasizing the agency of women; explicit recognition of the geography of masculinities, emphasizing the interplay among local, regional, and global levels; a more specific treatment of embodiment in contexts of privilege and power; and a stronger emphasis on the dynamics of hegemonic masculinity, recognizing internal contradictions and the possibilities of movement toward gender democracy.","container-title":"Gender and Society","ISSN":"0891-2432","issue":"6","note":"publisher: Sage Publications, Inc.","page":"829-859","source":"JSTOR","title":"Hegemonic Masculinity: Rethinking the Concept","title-short":"Hegemonic Masculinity","volume":"19","author":[{"family":"Connell","given":"R. W."},{"family":"Messerschmidt","given":"James W."}],"issued":{"date-parts":[["2005"]]}}},{"id":295,"uris":["http://zotero.org/users/9138993/items/N727CN8J"],"itemData":{"id":295,"type":"chapter","container-title":"Gender Reckonings: New Social Theory and Research","event-place":"New York","note":"Edited by James W. Messerschmidt, Paricia Yancey Martin, Michael A. Messner, and Raewyn Connell.","page":"35-56","publisher":"New York University Press","publisher-place":"New York","title":"Hegemonic, Nonhegemonic, and \"New\" Masculinities","author":[{"family":"Messerschmidt","given":"James W."},{"family":"Messner","given":"Michael A."}],"issued":{"date-parts":[["2019"]]}}},{"id":296,"uris":["http://zotero.org/users/9138993/items/7CHIU7X3"],"itemData":{"id":296,"type":"article-journal","abstract":"R. W. Connell's path-breaking notion of multiple masculinities (Connell, 1995) and hegemonic masculinity (Connell, 1987, 1995) have been taken up as central constructs in the sociology of gender. Although there has been a great deal of empirical research and theory published that has built upon and utilized Connell's concepts, an adequate conceptualization of hegemonic femininity and multiple femininities has not yet been developed. To redress this, the author presents a theoretical framework that builds upon the insights of Connell and others, offers a definition of hegemonic masculinity and hegemonic femininity that allows for multiple configurations within each, and that can be used empirically across settings and groups. The author also outlines how hegemonic masculinity and hegemonic femininity are implicated in and intersect with other systems of inequality such as class, race, and ethnicity.","container-title":"Theory and society","DOI":"10.1007/s11186-007-9022-4","ISSN":"0304-2421","issue":"1","language":"eng","note":"publisher-place: Dordrecht\npublisher: Kluwer","page":"85–102","source":"ou-primo.com","title":"Recovering the Feminine Other: Masculinity, Femininity, and Gender Hegemony","title-short":"Recovering the Feminine Other","volume":"36","author":[{"family":"Schippers","given":"Mimi"}],"issued":{"date-parts":[["2007"]]}}}],"schema":"https://github.com/citation-style-language/schema/raw/master/csl-citation.json"} </w:instrText>
      </w:r>
      <w:r w:rsidR="006B0CDA">
        <w:fldChar w:fldCharType="separate"/>
      </w:r>
      <w:r w:rsidR="006B0CDA" w:rsidRPr="00264694">
        <w:t>(Connell 1987, 1995; Connell and Messerschmidt 2005; Messerschmidt and Messner 2019; Schippers 2007)</w:t>
      </w:r>
      <w:r w:rsidR="006B0CDA">
        <w:fldChar w:fldCharType="end"/>
      </w:r>
      <w:r w:rsidR="006B0CDA">
        <w:t xml:space="preserve">. </w:t>
      </w:r>
      <w:r w:rsidR="00CB0C17">
        <w:t xml:space="preserve">Expanding on </w:t>
      </w:r>
      <w:r w:rsidR="00783565">
        <w:t xml:space="preserve">Connell’s </w:t>
      </w:r>
      <w:r w:rsidR="00783565">
        <w:fldChar w:fldCharType="begin"/>
      </w:r>
      <w:r w:rsidR="00340BB8">
        <w:instrText xml:space="preserve"> ADDIN ZOTERO_ITEM CSL_CITATION {"citationID":"GIHujATk","properties":{"formattedCitation":"(Connell 1987, 1995)","plainCitation":"(Connell 1987, 1995)","dontUpdate":true,"noteIndex":0},"citationItems":[{"id":312,"uris":["http://zotero.org/users/9138993/items/F8SEKU3T"],"itemData":{"id":312,"type":"book","event-place":"Sydney, Australia","publisher":"Allen and Unwin","publisher-place":"Sydney, Australia","title":"Gender and Power","author":[{"family":"Connell","given":"R.W."}],"issued":{"date-parts":[["1987"]]}}},{"id":313,"uris":["http://zotero.org/users/9138993/items/NR78S2UQ"],"itemData":{"id":313,"type":"book","event-place":"Cambridge, UK","publisher":"Polity Press","publisher-place":"Cambridge, UK","title":"Masculinities","author":[{"family":"Connell","given":"R. W."}],"issued":{"date-parts":[["1995"]]}}}],"schema":"https://github.com/citation-style-language/schema/raw/master/csl-citation.json"} </w:instrText>
      </w:r>
      <w:r w:rsidR="00783565">
        <w:fldChar w:fldCharType="separate"/>
      </w:r>
      <w:r w:rsidR="00783565" w:rsidRPr="006533BF">
        <w:t>(1987, 1995)</w:t>
      </w:r>
      <w:r w:rsidR="00783565">
        <w:fldChar w:fldCharType="end"/>
      </w:r>
      <w:r w:rsidR="00783565">
        <w:t xml:space="preserve"> </w:t>
      </w:r>
      <w:r w:rsidR="00CB0C17">
        <w:t>work on hegemonic and nonhegemonic masculinities, Messerschmidt and Messner</w:t>
      </w:r>
      <w:r w:rsidR="00783565">
        <w:t xml:space="preserve"> </w:t>
      </w:r>
      <w:r w:rsidR="00783565">
        <w:fldChar w:fldCharType="begin"/>
      </w:r>
      <w:r w:rsidR="00340BB8">
        <w:instrText xml:space="preserve"> ADDIN ZOTERO_ITEM CSL_CITATION {"citationID":"nsPjrjrY","properties":{"formattedCitation":"(Messerschmidt and Messner 2019)","plainCitation":"(Messerschmidt and Messner 2019)","dontUpdate":true,"noteIndex":0},"citationItems":[{"id":295,"uris":["http://zotero.org/users/9138993/items/N727CN8J"],"itemData":{"id":295,"type":"chapter","container-title":"Gender Reckonings: New Social Theory and Research","event-place":"New York","note":"Edited by James W. Messerschmidt, Paricia Yancey Martin, Michael A. Messner, and Raewyn Connell.","page":"35-56","publisher":"New York University Press","publisher-place":"New York","title":"Hegemonic, Nonhegemonic, and \"New\" Masculinities","author":[{"family":"Messerschmidt","given":"James W."},{"family":"Messner","given":"Michael A."}],"issued":{"date-parts":[["2019"]]}}}],"schema":"https://github.com/citation-style-language/schema/raw/master/csl-citation.json"} </w:instrText>
      </w:r>
      <w:r w:rsidR="00783565">
        <w:fldChar w:fldCharType="separate"/>
      </w:r>
      <w:r w:rsidR="00783565" w:rsidRPr="00783565">
        <w:t>(2019)</w:t>
      </w:r>
      <w:r w:rsidR="00783565">
        <w:fldChar w:fldCharType="end"/>
      </w:r>
      <w:r w:rsidR="00CB0C17">
        <w:t xml:space="preserve"> </w:t>
      </w:r>
      <w:r w:rsidR="00783565">
        <w:t>discuss new types of masculinities, including “dominant,” “dominating,” and “positive” forms of masculinity</w:t>
      </w:r>
      <w:r w:rsidR="00A4385C">
        <w:t xml:space="preserve">. They also develop the concept of hegemonic masculinity </w:t>
      </w:r>
      <w:r w:rsidR="00A4385C">
        <w:lastRenderedPageBreak/>
        <w:t>further</w:t>
      </w:r>
      <w:r w:rsidR="003F7137">
        <w:t xml:space="preserve">, linking it to the </w:t>
      </w:r>
      <w:r w:rsidR="00634645">
        <w:t xml:space="preserve">maintenance of a hierarchal gender order that places men in higher positions of social power than women </w:t>
      </w:r>
      <w:r w:rsidR="00634645">
        <w:fldChar w:fldCharType="begin"/>
      </w:r>
      <w:r w:rsidR="00634645">
        <w:instrText xml:space="preserve"> ADDIN ZOTERO_ITEM CSL_CITATION {"citationID":"R6A1Hbqm","properties":{"formattedCitation":"(Connell and Messerschmidt 2005; Messerschmidt and Messner 2019)","plainCitation":"(Connell and Messerschmidt 2005; Messerschmidt and Messner 2019)","noteIndex":0},"citationItems":[{"id":36,"uris":["http://zotero.org/users/9138993/items/FRRFNZST"],"itemData":{"id":36,"type":"article-journal","abstract":"The concept of hegemonic masculinity has influenced gender studies across many academic fields but has also attracted serious criticism. The authors trace the origin of the concept in a convergence of ideas in the early 1980s and map the ways it was applied when research on men and masculinities expanded. Evaluating the principal criticisms, the authors defend the underlying concept of masculinity, which in most research use is neither reified nor essentialist. However, the criticism of trait models of gender and rigid typologies is sound. The treatment of the subject in research on hegemonic masculinity can be improved with the aid of recent psychological models, although limits to discursive flexibility must be recognized. The concept of hegemonic masculinity does not equate to a model of social reproduction; we need to recognize social struggles in which subordinated masculinities influence dominant forms. Finally, the authors review what has been confirmed from early formulations (the idea of multiple masculinities, the concept of hegemony, and the emphasis on change) and what needs to be discarded (one-dimensional treatment of hierarchy and trait conceptions of gender). The authors suggest reformulation of the concept in four areas: a more complex model of gender hierarchy, emphasizing the agency of women; explicit recognition of the geography of masculinities, emphasizing the interplay among local, regional, and global levels; a more specific treatment of embodiment in contexts of privilege and power; and a stronger emphasis on the dynamics of hegemonic masculinity, recognizing internal contradictions and the possibilities of movement toward gender democracy.","container-title":"Gender and Society","ISSN":"0891-2432","issue":"6","note":"publisher: Sage Publications, Inc.","page":"829-859","source":"JSTOR","title":"Hegemonic Masculinity: Rethinking the Concept","title-short":"Hegemonic Masculinity","volume":"19","author":[{"family":"Connell","given":"R. W."},{"family":"Messerschmidt","given":"James W."}],"issued":{"date-parts":[["2005"]]}}},{"id":295,"uris":["http://zotero.org/users/9138993/items/N727CN8J"],"itemData":{"id":295,"type":"chapter","container-title":"Gender Reckonings: New Social Theory and Research","event-place":"New York","note":"Edited by James W. Messerschmidt, Paricia Yancey Martin, Michael A. Messner, and Raewyn Connell.","page":"35-56","publisher":"New York University Press","publisher-place":"New York","title":"Hegemonic, Nonhegemonic, and \"New\" Masculinities","author":[{"family":"Messerschmidt","given":"James W."},{"family":"Messner","given":"Michael A."}],"issued":{"date-parts":[["2019"]]}}}],"schema":"https://github.com/citation-style-language/schema/raw/master/csl-citation.json"} </w:instrText>
      </w:r>
      <w:r w:rsidR="00634645">
        <w:fldChar w:fldCharType="separate"/>
      </w:r>
      <w:r w:rsidR="00634645" w:rsidRPr="00634645">
        <w:t>(Connell and Messerschmidt 2005; Messerschmidt and Messner 2019)</w:t>
      </w:r>
      <w:r w:rsidR="00634645">
        <w:fldChar w:fldCharType="end"/>
      </w:r>
      <w:r w:rsidR="00634645">
        <w:t xml:space="preserve">. </w:t>
      </w:r>
      <w:r w:rsidR="0084367E">
        <w:t xml:space="preserve">They also discuss that masculinities are not limited to those assigned male at birth, but that those who are assigned female at birth </w:t>
      </w:r>
      <w:r w:rsidR="00480D07">
        <w:t>also exhibit masculine qualit</w:t>
      </w:r>
      <w:r w:rsidR="003008B4">
        <w:t xml:space="preserve">ies </w:t>
      </w:r>
      <w:r w:rsidR="003008B4">
        <w:fldChar w:fldCharType="begin"/>
      </w:r>
      <w:r w:rsidR="003008B4">
        <w:instrText xml:space="preserve"> ADDIN ZOTERO_ITEM CSL_CITATION {"citationID":"qUR18Hnb","properties":{"formattedCitation":"(Connell and Messerschmidt 2005; Messerschmidt and Messner 2019)","plainCitation":"(Connell and Messerschmidt 2005; Messerschmidt and Messner 2019)","noteIndex":0},"citationItems":[{"id":36,"uris":["http://zotero.org/users/9138993/items/FRRFNZST"],"itemData":{"id":36,"type":"article-journal","abstract":"The concept of hegemonic masculinity has influenced gender studies across many academic fields but has also attracted serious criticism. The authors trace the origin of the concept in a convergence of ideas in the early 1980s and map the ways it was applied when research on men and masculinities expanded. Evaluating the principal criticisms, the authors defend the underlying concept of masculinity, which in most research use is neither reified nor essentialist. However, the criticism of trait models of gender and rigid typologies is sound. The treatment of the subject in research on hegemonic masculinity can be improved with the aid of recent psychological models, although limits to discursive flexibility must be recognized. The concept of hegemonic masculinity does not equate to a model of social reproduction; we need to recognize social struggles in which subordinated masculinities influence dominant forms. Finally, the authors review what has been confirmed from early formulations (the idea of multiple masculinities, the concept of hegemony, and the emphasis on change) and what needs to be discarded (one-dimensional treatment of hierarchy and trait conceptions of gender). The authors suggest reformulation of the concept in four areas: a more complex model of gender hierarchy, emphasizing the agency of women; explicit recognition of the geography of masculinities, emphasizing the interplay among local, regional, and global levels; a more specific treatment of embodiment in contexts of privilege and power; and a stronger emphasis on the dynamics of hegemonic masculinity, recognizing internal contradictions and the possibilities of movement toward gender democracy.","container-title":"Gender and Society","ISSN":"0891-2432","issue":"6","note":"publisher: Sage Publications, Inc.","page":"829-859","source":"JSTOR","title":"Hegemonic Masculinity: Rethinking the Concept","title-short":"Hegemonic Masculinity","volume":"19","author":[{"family":"Connell","given":"R. W."},{"family":"Messerschmidt","given":"James W."}],"issued":{"date-parts":[["2005"]]}}},{"id":295,"uris":["http://zotero.org/users/9138993/items/N727CN8J"],"itemData":{"id":295,"type":"chapter","container-title":"Gender Reckonings: New Social Theory and Research","event-place":"New York","note":"Edited by James W. Messerschmidt, Paricia Yancey Martin, Michael A. Messner, and Raewyn Connell.","page":"35-56","publisher":"New York University Press","publisher-place":"New York","title":"Hegemonic, Nonhegemonic, and \"New\" Masculinities","author":[{"family":"Messerschmidt","given":"James W."},{"family":"Messner","given":"Michael A."}],"issued":{"date-parts":[["2019"]]}}}],"schema":"https://github.com/citation-style-language/schema/raw/master/csl-citation.json"} </w:instrText>
      </w:r>
      <w:r w:rsidR="003008B4">
        <w:fldChar w:fldCharType="separate"/>
      </w:r>
      <w:r w:rsidR="003008B4" w:rsidRPr="003008B4">
        <w:t>(Connell and Messerschmidt 2005; Messerschmidt and Messner 2019)</w:t>
      </w:r>
      <w:r w:rsidR="003008B4">
        <w:fldChar w:fldCharType="end"/>
      </w:r>
      <w:r w:rsidR="003008B4">
        <w:t xml:space="preserve">. </w:t>
      </w:r>
      <w:r w:rsidR="006B0CDA">
        <w:t>Messersc</w:t>
      </w:r>
      <w:r w:rsidR="00AC0FB0">
        <w:t>hmidt and Messner (2019)</w:t>
      </w:r>
      <w:r w:rsidR="00ED477C">
        <w:t xml:space="preserve"> end their discussion of masculinities by </w:t>
      </w:r>
      <w:r w:rsidR="002A4EB2">
        <w:t>promoting future research that continues to expand definitions and concepts of masculinities</w:t>
      </w:r>
      <w:r w:rsidR="00022AD0">
        <w:t xml:space="preserve">, explaining that more research into masculinities will extend </w:t>
      </w:r>
      <w:r w:rsidR="0078314B">
        <w:t xml:space="preserve">sociological knowledge of gender. </w:t>
      </w:r>
      <w:r w:rsidR="007B3E33">
        <w:t xml:space="preserve">This research seeks to continue expanding concepts of masculinity by addressing the </w:t>
      </w:r>
      <w:r w:rsidR="002359CA">
        <w:t>relationship between masculinity and illicit substance use and proposing the</w:t>
      </w:r>
      <w:r w:rsidR="007370F3">
        <w:t xml:space="preserve"> phrase</w:t>
      </w:r>
      <w:r w:rsidR="002359CA">
        <w:t xml:space="preserve"> “illicit masculinity” as a </w:t>
      </w:r>
      <w:r w:rsidR="007370F3">
        <w:t xml:space="preserve">term that can be used to describe this relationship. </w:t>
      </w:r>
    </w:p>
    <w:p w14:paraId="75AFDBD4" w14:textId="681CB1E7" w:rsidR="00F960B8" w:rsidRDefault="00F960B8" w:rsidP="00701DEC">
      <w:pPr>
        <w:pStyle w:val="Heading2"/>
      </w:pPr>
      <w:bookmarkStart w:id="5" w:name="_Toc102664099"/>
      <w:r>
        <w:t>Measuring</w:t>
      </w:r>
      <w:r w:rsidR="001C5051">
        <w:t xml:space="preserve"> Illicit</w:t>
      </w:r>
      <w:r>
        <w:t xml:space="preserve"> Masculinity</w:t>
      </w:r>
      <w:bookmarkEnd w:id="5"/>
      <w:r>
        <w:t xml:space="preserve"> </w:t>
      </w:r>
    </w:p>
    <w:p w14:paraId="39BCF975" w14:textId="77777777" w:rsidR="00A03DB3" w:rsidRDefault="001C5051" w:rsidP="001C5051">
      <w:r>
        <w:tab/>
      </w:r>
      <w:r w:rsidR="001E298E">
        <w:t>T</w:t>
      </w:r>
      <w:r>
        <w:t>he current literature examining the relationship between masculinity and substance use (discusse</w:t>
      </w:r>
      <w:r w:rsidR="001E298E">
        <w:t>d</w:t>
      </w:r>
      <w:r>
        <w:t xml:space="preserve"> more below)</w:t>
      </w:r>
      <w:r w:rsidR="001E298E">
        <w:t xml:space="preserve"> is primarily qualitative. As I take a quantitative approach, I draw on </w:t>
      </w:r>
      <w:r w:rsidR="001B16E0">
        <w:t>measurements that have been used</w:t>
      </w:r>
      <w:r w:rsidR="002D5FCF">
        <w:t xml:space="preserve"> in previous research</w:t>
      </w:r>
      <w:r w:rsidR="001B16E0">
        <w:t xml:space="preserve"> to examine gender differences </w:t>
      </w:r>
      <w:r w:rsidR="00474604">
        <w:t>in delinq</w:t>
      </w:r>
      <w:r w:rsidR="001671BA">
        <w:t xml:space="preserve">uency </w:t>
      </w:r>
      <w:proofErr w:type="gramStart"/>
      <w:r w:rsidR="001671BA">
        <w:t>in order to</w:t>
      </w:r>
      <w:proofErr w:type="gramEnd"/>
      <w:r w:rsidR="001671BA">
        <w:t xml:space="preserve"> formulate possible measure of illicit masculinity. </w:t>
      </w:r>
    </w:p>
    <w:p w14:paraId="03982A61" w14:textId="0C23088A" w:rsidR="001C5051" w:rsidRDefault="00A03DB3" w:rsidP="00A12B37">
      <w:pPr>
        <w:ind w:firstLine="720"/>
      </w:pPr>
      <w:bookmarkStart w:id="6" w:name="_Toc102664100"/>
      <w:r w:rsidRPr="00F073FC">
        <w:rPr>
          <w:rStyle w:val="Heading3Char"/>
        </w:rPr>
        <w:t>Patriarchal Families</w:t>
      </w:r>
      <w:bookmarkEnd w:id="6"/>
      <w:r>
        <w:rPr>
          <w:i/>
          <w:iCs/>
        </w:rPr>
        <w:t xml:space="preserve">. </w:t>
      </w:r>
      <w:r w:rsidR="001671BA">
        <w:t xml:space="preserve">I first draw </w:t>
      </w:r>
      <w:r w:rsidR="00E90D0F">
        <w:t xml:space="preserve">from research centered around power-control theory, which posits that </w:t>
      </w:r>
      <w:r w:rsidR="00B7676A">
        <w:t>gender d</w:t>
      </w:r>
      <w:r w:rsidR="00C2651F">
        <w:t>ifferences in</w:t>
      </w:r>
      <w:r w:rsidR="00FB46C4">
        <w:t xml:space="preserve"> labor force participation among mothers and fathers</w:t>
      </w:r>
      <w:r w:rsidR="00B7676A">
        <w:t xml:space="preserve"> translate into </w:t>
      </w:r>
      <w:r w:rsidR="00D03754">
        <w:t>gender differences in parental control</w:t>
      </w:r>
      <w:r w:rsidR="00340BB8">
        <w:t xml:space="preserve"> household </w:t>
      </w:r>
      <w:r w:rsidR="00340BB8">
        <w:fldChar w:fldCharType="begin"/>
      </w:r>
      <w:r w:rsidR="00340BB8">
        <w:instrText xml:space="preserve"> ADDIN ZOTERO_ITEM CSL_CITATION {"citationID":"CjvbMz6S","properties":{"formattedCitation":"(Blackwell 2000; Grasmick et al. 1996; Hadjar et al. 2007)","plainCitation":"(Blackwell 2000; Grasmick et al. 1996; Hadjar et al. 2007)","noteIndex":0},"citationItems":[{"id":43,"uris":["http://zotero.org/users/9138993/items/U27MWAUF"],"itemData":{"id":43,"type":"article-journal","container-title":"Criminology","issue":"2","journalAbbreviation":"Criminology","language":"eng","page":"439-488","source":"HeinOnline","title":"Perceived Sanction Threats, Gender, and Crime: A Test and Elaboration of Power-Control Theory","title-short":"Perceived Sanction Threats, Gender, and Crime","volume":"38","author":[{"family":"Blackwell","given":"Brenda Sims"}],"issued":{"date-parts":[["2000"]]}}},{"id":93,"uris":["http://zotero.org/users/9138993/items/JA5A7KJF"],"itemData":{"id":93,"type":"article-journal","abstract":"Power-control theory, at its most abstract level, links gender differences in risk preference to patriarchal family structures. In previous studies, direct tests have focused on adolescent delinquency, which is a specific form of risk-taking, and have used measures of risk preference specific to delinquency. In the present article, we introduce evidence for more general power-control theory hypotheses by employing a more global measure of risk preference and analyzing data from a sample of adults. We have found that among adults who were raised in more patriarchal families, females have a significantly lower taste for risk, globally defined, than males, and that such a gender difference does not appear among adults who were raised in less patriarchal families. The findings provide a basis for expanding the scope of power-control theory beyond adolescent delinquency to include the gender patterning, and changes over time in that patterning, of a wide range of risk-taking behaviors among adults, including risks that are socially and culturally valued.","container-title":"Social Forces","DOI":"10.2307/2580761","ISSN":"0037-7732","issue":"1","note":"publisher: Oxford University Press","page":"177-199","source":"JSTOR","title":"Risk Preferences and Patriarchy: Extending Power-Control Theory","title-short":"Risk Preferences and Patriarchy","volume":"75","author":[{"family":"Grasmick","given":"Harold G."},{"family":"Hagan","given":"John"},{"family":"Blackwell","given":"Brenda Sims"},{"family":"Arneklev","given":"Bruce J."}],"issued":{"date-parts":[["1996"]]}}},{"id":41,"uris":["http://zotero.org/users/9138993/items/5ILJNGSI"],"itemData":{"id":41,"type":"article-journal","abstract":"Cross-cultural evidence on the gender gap in delinquency is presented. Based on power-control theory (PCT), gender differences in aggressive behaviour are analysed. We assume that differences in labour force participation between father and mother lead to differences in parental control behaviour towards boys and girls, which in turn lead to different risk-taking preferences and eventually produce gender differences in aggressive behaviour. A revised PCT acknowledges that dominance ideologies also play a role in the genesis of gender differences in delinquency. This proposition is also tested. Analyses are based on data from 319 families (father, mother and two adolescent opposite-sex siblings) from West Berlin, East Berlin and Toronto. The findings support assumptions of PCT but differ substantially between the three cities. Evidence of the link between structural patriarchy and parental style ? postulated in the original PCT ? is found in East Berlin, whereas the West Berlin and Toronto results fit a modified version of PCT featuring gender-role attitudes (ideological patriarchy).","container-title":"European Journal of Criminology","DOI":"10.1177/1477370807071729","ISSN":"1477-3708","issue":"1","journalAbbreviation":"European Journal of Criminology","note":"publisher: SAGE Publications","page":"33-58","source":"SAGE Journals","title":"Juvenile Delinquency and Gender Revisited: The Family and Power-Control Theory Reconceived","title-short":"Juvenile Delinquency and Gender Revisited","volume":"4","author":[{"family":"Hadjar","given":"Andreas"},{"family":"Baier","given":"Dirk"},{"family":"Boehnke","given":"Klaus"},{"family":"Hagan","given":"John"}],"issued":{"date-parts":[["2007",1,1]]}}}],"schema":"https://github.com/citation-style-language/schema/raw/master/csl-citation.json"} </w:instrText>
      </w:r>
      <w:r w:rsidR="00340BB8">
        <w:fldChar w:fldCharType="separate"/>
      </w:r>
      <w:r w:rsidR="00340BB8" w:rsidRPr="00340BB8">
        <w:t>(Blackwell 2000; Grasmick et al. 1996; Hadjar et al. 2007)</w:t>
      </w:r>
      <w:r w:rsidR="00340BB8">
        <w:fldChar w:fldCharType="end"/>
      </w:r>
      <w:r w:rsidR="00807CAF">
        <w:t xml:space="preserve">. </w:t>
      </w:r>
      <w:r w:rsidR="00D03754">
        <w:t xml:space="preserve">Power-control theory </w:t>
      </w:r>
      <w:r w:rsidR="00A827D0">
        <w:t>also incorporates gender ideologies into it</w:t>
      </w:r>
      <w:r w:rsidR="00F07F3B">
        <w:t>s assumptions, arguing that families who have a father in the workplace and a mother at home (patriarchal families) are more likely to</w:t>
      </w:r>
      <w:r w:rsidR="00795ACD">
        <w:t xml:space="preserve"> perpetuate traditional gender norms, which </w:t>
      </w:r>
      <w:r w:rsidR="000D4E47">
        <w:t>power-control theory argues increases the likelihood of</w:t>
      </w:r>
      <w:r w:rsidR="00F07F3B">
        <w:t xml:space="preserve"> hav</w:t>
      </w:r>
      <w:r w:rsidR="000D4E47">
        <w:t>ing</w:t>
      </w:r>
      <w:r w:rsidR="00F07F3B">
        <w:t xml:space="preserve"> delinquent sons and non-delinquent </w:t>
      </w:r>
      <w:r w:rsidR="00F07F3B">
        <w:lastRenderedPageBreak/>
        <w:t>daughters</w:t>
      </w:r>
      <w:r w:rsidR="003979D3">
        <w:t xml:space="preserve"> </w:t>
      </w:r>
      <w:r w:rsidR="003979D3">
        <w:fldChar w:fldCharType="begin"/>
      </w:r>
      <w:r w:rsidR="003979D3">
        <w:instrText xml:space="preserve"> ADDIN ZOTERO_ITEM CSL_CITATION {"citationID":"l2hPGftV","properties":{"formattedCitation":"(Blackwell 2000; Grasmick et al. 1996; Hadjar et al. 2007)","plainCitation":"(Blackwell 2000; Grasmick et al. 1996; Hadjar et al. 2007)","noteIndex":0},"citationItems":[{"id":43,"uris":["http://zotero.org/users/9138993/items/U27MWAUF"],"itemData":{"id":43,"type":"article-journal","container-title":"Criminology","issue":"2","journalAbbreviation":"Criminology","language":"eng","page":"439-488","source":"HeinOnline","title":"Perceived Sanction Threats, Gender, and Crime: A Test and Elaboration of Power-Control Theory","title-short":"Perceived Sanction Threats, Gender, and Crime","volume":"38","author":[{"family":"Blackwell","given":"Brenda Sims"}],"issued":{"date-parts":[["2000"]]}}},{"id":93,"uris":["http://zotero.org/users/9138993/items/JA5A7KJF"],"itemData":{"id":93,"type":"article-journal","abstract":"Power-control theory, at its most abstract level, links gender differences in risk preference to patriarchal family structures. In previous studies, direct tests have focused on adolescent delinquency, which is a specific form of risk-taking, and have used measures of risk preference specific to delinquency. In the present article, we introduce evidence for more general power-control theory hypotheses by employing a more global measure of risk preference and analyzing data from a sample of adults. We have found that among adults who were raised in more patriarchal families, females have a significantly lower taste for risk, globally defined, than males, and that such a gender difference does not appear among adults who were raised in less patriarchal families. The findings provide a basis for expanding the scope of power-control theory beyond adolescent delinquency to include the gender patterning, and changes over time in that patterning, of a wide range of risk-taking behaviors among adults, including risks that are socially and culturally valued.","container-title":"Social Forces","DOI":"10.2307/2580761","ISSN":"0037-7732","issue":"1","note":"publisher: Oxford University Press","page":"177-199","source":"JSTOR","title":"Risk Preferences and Patriarchy: Extending Power-Control Theory","title-short":"Risk Preferences and Patriarchy","volume":"75","author":[{"family":"Grasmick","given":"Harold G."},{"family":"Hagan","given":"John"},{"family":"Blackwell","given":"Brenda Sims"},{"family":"Arneklev","given":"Bruce J."}],"issued":{"date-parts":[["1996"]]}}},{"id":41,"uris":["http://zotero.org/users/9138993/items/5ILJNGSI"],"itemData":{"id":41,"type":"article-journal","abstract":"Cross-cultural evidence on the gender gap in delinquency is presented. Based on power-control theory (PCT), gender differences in aggressive behaviour are analysed. We assume that differences in labour force participation between father and mother lead to differences in parental control behaviour towards boys and girls, which in turn lead to different risk-taking preferences and eventually produce gender differences in aggressive behaviour. A revised PCT acknowledges that dominance ideologies also play a role in the genesis of gender differences in delinquency. This proposition is also tested. Analyses are based on data from 319 families (father, mother and two adolescent opposite-sex siblings) from West Berlin, East Berlin and Toronto. The findings support assumptions of PCT but differ substantially between the three cities. Evidence of the link between structural patriarchy and parental style ? postulated in the original PCT ? is found in East Berlin, whereas the West Berlin and Toronto results fit a modified version of PCT featuring gender-role attitudes (ideological patriarchy).","container-title":"European Journal of Criminology","DOI":"10.1177/1477370807071729","ISSN":"1477-3708","issue":"1","journalAbbreviation":"European Journal of Criminology","note":"publisher: SAGE Publications","page":"33-58","source":"SAGE Journals","title":"Juvenile Delinquency and Gender Revisited: The Family and Power-Control Theory Reconceived","title-short":"Juvenile Delinquency and Gender Revisited","volume":"4","author":[{"family":"Hadjar","given":"Andreas"},{"family":"Baier","given":"Dirk"},{"family":"Boehnke","given":"Klaus"},{"family":"Hagan","given":"John"}],"issued":{"date-parts":[["2007",1,1]]}}}],"schema":"https://github.com/citation-style-language/schema/raw/master/csl-citation.json"} </w:instrText>
      </w:r>
      <w:r w:rsidR="003979D3">
        <w:fldChar w:fldCharType="separate"/>
      </w:r>
      <w:r w:rsidR="003979D3" w:rsidRPr="003979D3">
        <w:t>(Blackwell 2000; Grasmick et al. 1996; Hadjar et al. 2007)</w:t>
      </w:r>
      <w:r w:rsidR="003979D3">
        <w:fldChar w:fldCharType="end"/>
      </w:r>
      <w:r w:rsidR="003979D3">
        <w:t xml:space="preserve">. </w:t>
      </w:r>
      <w:r w:rsidR="00F73D00">
        <w:t>This is due to an unequal application of social controls on sons and daughters by the mother – a mother in a patriarchal home, according to power-control theory, may apply more social controls to their daughters than their sons, thus increasing their sons’</w:t>
      </w:r>
      <w:r w:rsidR="002B4D66">
        <w:t xml:space="preserve"> likelihood</w:t>
      </w:r>
      <w:r w:rsidR="00F73D00">
        <w:t xml:space="preserve"> for delinquency, while decreasing their daughters’</w:t>
      </w:r>
      <w:r w:rsidR="003D7C9B">
        <w:t xml:space="preserve">, thus contributing to the gender gap in delinquency </w:t>
      </w:r>
      <w:r w:rsidR="003D7C9B">
        <w:fldChar w:fldCharType="begin"/>
      </w:r>
      <w:r w:rsidR="003D7C9B">
        <w:instrText xml:space="preserve"> ADDIN ZOTERO_ITEM CSL_CITATION {"citationID":"vb7JB0lV","properties":{"formattedCitation":"(Blackwell 2000; Hadjar et al. 2007)","plainCitation":"(Blackwell 2000; Hadjar et al. 2007)","noteIndex":0},"citationItems":[{"id":43,"uris":["http://zotero.org/users/9138993/items/U27MWAUF"],"itemData":{"id":43,"type":"article-journal","container-title":"Criminology","issue":"2","journalAbbreviation":"Criminology","language":"eng","page":"439-488","source":"HeinOnline","title":"Perceived Sanction Threats, Gender, and Crime: A Test and Elaboration of Power-Control Theory","title-short":"Perceived Sanction Threats, Gender, and Crime","volume":"38","author":[{"family":"Blackwell","given":"Brenda Sims"}],"issued":{"date-parts":[["2000"]]}}},{"id":41,"uris":["http://zotero.org/users/9138993/items/5ILJNGSI"],"itemData":{"id":41,"type":"article-journal","abstract":"Cross-cultural evidence on the gender gap in delinquency is presented. Based on power-control theory (PCT), gender differences in aggressive behaviour are analysed. We assume that differences in labour force participation between father and mother lead to differences in parental control behaviour towards boys and girls, which in turn lead to different risk-taking preferences and eventually produce gender differences in aggressive behaviour. A revised PCT acknowledges that dominance ideologies also play a role in the genesis of gender differences in delinquency. This proposition is also tested. Analyses are based on data from 319 families (father, mother and two adolescent opposite-sex siblings) from West Berlin, East Berlin and Toronto. The findings support assumptions of PCT but differ substantially between the three cities. Evidence of the link between structural patriarchy and parental style ? postulated in the original PCT ? is found in East Berlin, whereas the West Berlin and Toronto results fit a modified version of PCT featuring gender-role attitudes (ideological patriarchy).","container-title":"European Journal of Criminology","DOI":"10.1177/1477370807071729","ISSN":"1477-3708","issue":"1","journalAbbreviation":"European Journal of Criminology","note":"publisher: SAGE Publications","page":"33-58","source":"SAGE Journals","title":"Juvenile Delinquency and Gender Revisited: The Family and Power-Control Theory Reconceived","title-short":"Juvenile Delinquency and Gender Revisited","volume":"4","author":[{"family":"Hadjar","given":"Andreas"},{"family":"Baier","given":"Dirk"},{"family":"Boehnke","given":"Klaus"},{"family":"Hagan","given":"John"}],"issued":{"date-parts":[["2007",1,1]]}}}],"schema":"https://github.com/citation-style-language/schema/raw/master/csl-citation.json"} </w:instrText>
      </w:r>
      <w:r w:rsidR="003D7C9B">
        <w:fldChar w:fldCharType="separate"/>
      </w:r>
      <w:r w:rsidR="003D7C9B" w:rsidRPr="003D7C9B">
        <w:t>(Blackwell 2000; Hadjar et al. 2007)</w:t>
      </w:r>
      <w:r w:rsidR="003D7C9B">
        <w:fldChar w:fldCharType="end"/>
      </w:r>
      <w:r w:rsidR="00F73D00">
        <w:t xml:space="preserve">. </w:t>
      </w:r>
      <w:r w:rsidR="003979D3">
        <w:t xml:space="preserve">Power-control theory posits that families in which both </w:t>
      </w:r>
      <w:r w:rsidR="00484614">
        <w:t xml:space="preserve">the </w:t>
      </w:r>
      <w:r w:rsidR="003979D3">
        <w:t xml:space="preserve">mother and father work (egalitarian families), however, </w:t>
      </w:r>
      <w:r w:rsidR="00F73D00">
        <w:t xml:space="preserve">are more likely to apply controls equally to their sons and daughters, </w:t>
      </w:r>
      <w:r w:rsidR="002B0DAC">
        <w:t xml:space="preserve">decreasing the likelihood of risky behaviors and delinquency equally, regardless of gender. </w:t>
      </w:r>
      <w:r w:rsidR="006C2378">
        <w:t xml:space="preserve">Drawing from this concept of family structure contributing to the gender gap in crime due to the suspected perpetuation of traditional gender norms in patriarchal structures, I </w:t>
      </w:r>
      <w:r w:rsidR="00D01F35">
        <w:t xml:space="preserve">include family structure as a proxy measure for illicit masculinity in this study. </w:t>
      </w:r>
      <w:r w:rsidR="00F42BA8">
        <w:t xml:space="preserve">While power-control theory has its critiques due to its heteronormative approach and lack of inclusion </w:t>
      </w:r>
      <w:r w:rsidR="0004359B">
        <w:t xml:space="preserve">of single-parent families, </w:t>
      </w:r>
      <w:r w:rsidR="00631823">
        <w:t xml:space="preserve">as no measure for illicit masculinity exists, </w:t>
      </w:r>
      <w:r w:rsidR="001645F4">
        <w:t>I nonetheless test the prospect of patriarchal family structure as a proxy for illicit masculinity</w:t>
      </w:r>
      <w:r w:rsidR="009C109D">
        <w:t xml:space="preserve">. </w:t>
      </w:r>
    </w:p>
    <w:p w14:paraId="08458702" w14:textId="7F5B40A0" w:rsidR="002157D6" w:rsidRDefault="003E50AC" w:rsidP="00F528E6">
      <w:r>
        <w:tab/>
      </w:r>
      <w:bookmarkStart w:id="7" w:name="_Toc102664101"/>
      <w:r w:rsidR="00A03DB3" w:rsidRPr="00A12B37">
        <w:rPr>
          <w:rStyle w:val="Heading3Char"/>
        </w:rPr>
        <w:t>Patriarchal Norms.</w:t>
      </w:r>
      <w:bookmarkEnd w:id="7"/>
      <w:r w:rsidR="00A03DB3">
        <w:rPr>
          <w:i/>
          <w:iCs/>
        </w:rPr>
        <w:t xml:space="preserve"> </w:t>
      </w:r>
      <w:r w:rsidR="00397C66">
        <w:t xml:space="preserve">As this research draws on previous </w:t>
      </w:r>
      <w:r w:rsidR="00104AA3">
        <w:t xml:space="preserve">developments of hegemonic masculinity and other masculinities, I also include a measure of patriarchal norms, with the intention of measuring respondents’ attitudes towards the patriarchy, and infer that positive attitudes towards the patriarchy translate to positive attitudes towards a hegemonic gender order </w:t>
      </w:r>
      <w:r w:rsidR="00104AA3">
        <w:fldChar w:fldCharType="begin"/>
      </w:r>
      <w:r w:rsidR="00104AA3">
        <w:instrText xml:space="preserve"> ADDIN ZOTERO_ITEM CSL_CITATION {"citationID":"iK7oytQ7","properties":{"formattedCitation":"(Connell 1995; Connell and Messerschmidt 2005; Schippers 2007)","plainCitation":"(Connell 1995; Connell and Messerschmidt 2005; Schippers 2007)","noteIndex":0},"citationItems":[{"id":313,"uris":["http://zotero.org/users/9138993/items/NR78S2UQ"],"itemData":{"id":313,"type":"book","event-place":"Cambridge, UK","publisher":"Polity Press","publisher-place":"Cambridge, UK","title":"Masculinities","author":[{"family":"Connell","given":"R. W."}],"issued":{"date-parts":[["1995"]]}}},{"id":36,"uris":["http://zotero.org/users/9138993/items/FRRFNZST"],"itemData":{"id":36,"type":"article-journal","abstract":"The concept of hegemonic masculinity has influenced gender studies across many academic fields but has also attracted serious criticism. The authors trace the origin of the concept in a convergence of ideas in the early 1980s and map the ways it was applied when research on men and masculinities expanded. Evaluating the principal criticisms, the authors defend the underlying concept of masculinity, which in most research use is neither reified nor essentialist. However, the criticism of trait models of gender and rigid typologies is sound. The treatment of the subject in research on hegemonic masculinity can be improved with the aid of recent psychological models, although limits to discursive flexibility must be recognized. The concept of hegemonic masculinity does not equate to a model of social reproduction; we need to recognize social struggles in which subordinated masculinities influence dominant forms. Finally, the authors review what has been confirmed from early formulations (the idea of multiple masculinities, the concept of hegemony, and the emphasis on change) and what needs to be discarded (one-dimensional treatment of hierarchy and trait conceptions of gender). The authors suggest reformulation of the concept in four areas: a more complex model of gender hierarchy, emphasizing the agency of women; explicit recognition of the geography of masculinities, emphasizing the interplay among local, regional, and global levels; a more specific treatment of embodiment in contexts of privilege and power; and a stronger emphasis on the dynamics of hegemonic masculinity, recognizing internal contradictions and the possibilities of movement toward gender democracy.","container-title":"Gender and Society","ISSN":"0891-2432","issue":"6","note":"publisher: Sage Publications, Inc.","page":"829-859","source":"JSTOR","title":"Hegemonic Masculinity: Rethinking the Concept","title-short":"Hegemonic Masculinity","volume":"19","author":[{"family":"Connell","given":"R. W."},{"family":"Messerschmidt","given":"James W."}],"issued":{"date-parts":[["2005"]]}}},{"id":296,"uris":["http://zotero.org/users/9138993/items/7CHIU7X3"],"itemData":{"id":296,"type":"article-journal","abstract":"R. W. Connell's path-breaking notion of multiple masculinities (Connell, 1995) and hegemonic masculinity (Connell, 1987, 1995) have been taken up as central constructs in the sociology of gender. Although there has been a great deal of empirical research and theory published that has built upon and utilized Connell's concepts, an adequate conceptualization of hegemonic femininity and multiple femininities has not yet been developed. To redress this, the author presents a theoretical framework that builds upon the insights of Connell and others, offers a definition of hegemonic masculinity and hegemonic femininity that allows for multiple configurations within each, and that can be used empirically across settings and groups. The author also outlines how hegemonic masculinity and hegemonic femininity are implicated in and intersect with other systems of inequality such as class, race, and ethnicity.","container-title":"Theory and society","DOI":"10.1007/s11186-007-9022-4","ISSN":"0304-2421","issue":"1","language":"eng","note":"publisher-place: Dordrecht\npublisher: Kluwer","page":"85–102","source":"ou-primo.com","title":"Recovering the Feminine Other: Masculinity, Femininity, and Gender Hegemony","title-short":"Recovering the Feminine Other","volume":"36","author":[{"family":"Schippers","given":"Mimi"}],"issued":{"date-parts":[["2007"]]}}}],"schema":"https://github.com/citation-style-language/schema/raw/master/csl-citation.json"} </w:instrText>
      </w:r>
      <w:r w:rsidR="00104AA3">
        <w:fldChar w:fldCharType="separate"/>
      </w:r>
      <w:r w:rsidR="00104AA3" w:rsidRPr="00104AA3">
        <w:t>(Connell 1995; Connell and Messerschmidt 2005; Schippers 2007)</w:t>
      </w:r>
      <w:r w:rsidR="00104AA3">
        <w:fldChar w:fldCharType="end"/>
      </w:r>
      <w:r w:rsidR="00C67473">
        <w:t xml:space="preserve">. As hegemonic masculinity is rooted in a gender order in which </w:t>
      </w:r>
      <w:r w:rsidR="00DC231E">
        <w:t xml:space="preserve">patriarchal norms are perpetuated and reflected, </w:t>
      </w:r>
      <w:r w:rsidR="00C75B4E">
        <w:t xml:space="preserve">I propose that positive attitudes towards patriarchal norms </w:t>
      </w:r>
      <w:r w:rsidR="000E6C94">
        <w:t>reflects an agreement with a subsequent concept of illicit masculinity: that illicit activities are more acceptable for men than they are for women. This</w:t>
      </w:r>
      <w:r w:rsidR="002157D6">
        <w:t xml:space="preserve">, then, deters women from engaging in illicit activities and promotes </w:t>
      </w:r>
      <w:r w:rsidR="00541827">
        <w:t xml:space="preserve">engagement in illicit </w:t>
      </w:r>
      <w:r w:rsidR="00541827">
        <w:lastRenderedPageBreak/>
        <w:t xml:space="preserve">activities for men as a display of their masculinity </w:t>
      </w:r>
      <w:r w:rsidR="00541827">
        <w:fldChar w:fldCharType="begin"/>
      </w:r>
      <w:r w:rsidR="00541827">
        <w:instrText xml:space="preserve"> ADDIN ZOTERO_ITEM CSL_CITATION {"citationID":"dEcrgQJx","properties":{"formattedCitation":"(Connell and Messerschmidt 2005; Darcy 2020; Messerschmidt and Messner 2019)","plainCitation":"(Connell and Messerschmidt 2005; Darcy 2020; Messerschmidt and Messner 2019)","noteIndex":0},"citationItems":[{"id":36,"uris":["http://zotero.org/users/9138993/items/FRRFNZST"],"itemData":{"id":36,"type":"article-journal","abstract":"The concept of hegemonic masculinity has influenced gender studies across many academic fields but has also attracted serious criticism. The authors trace the origin of the concept in a convergence of ideas in the early 1980s and map the ways it was applied when research on men and masculinities expanded. Evaluating the principal criticisms, the authors defend the underlying concept of masculinity, which in most research use is neither reified nor essentialist. However, the criticism of trait models of gender and rigid typologies is sound. The treatment of the subject in research on hegemonic masculinity can be improved with the aid of recent psychological models, although limits to discursive flexibility must be recognized. The concept of hegemonic masculinity does not equate to a model of social reproduction; we need to recognize social struggles in which subordinated masculinities influence dominant forms. Finally, the authors review what has been confirmed from early formulations (the idea of multiple masculinities, the concept of hegemony, and the emphasis on change) and what needs to be discarded (one-dimensional treatment of hierarchy and trait conceptions of gender). The authors suggest reformulation of the concept in four areas: a more complex model of gender hierarchy, emphasizing the agency of women; explicit recognition of the geography of masculinities, emphasizing the interplay among local, regional, and global levels; a more specific treatment of embodiment in contexts of privilege and power; and a stronger emphasis on the dynamics of hegemonic masculinity, recognizing internal contradictions and the possibilities of movement toward gender democracy.","container-title":"Gender and Society","ISSN":"0891-2432","issue":"6","note":"publisher: Sage Publications, Inc.","page":"829-859","source":"JSTOR","title":"Hegemonic Masculinity: Rethinking the Concept","title-short":"Hegemonic Masculinity","volume":"19","author":[{"family":"Connell","given":"R. W."},{"family":"Messerschmidt","given":"James W."}],"issued":{"date-parts":[["2005"]]}}},{"id":110,"uris":["http://zotero.org/users/9138993/items/XTD3HEAU"],"itemData":{"id":110,"type":"article-journal","abstract":"The purpose of this article is to explore the motivations behind some men’s recreational use of illicit drugs from a gender standpoint. The rationale for this analysis stems from men’s predominance as illicit drug users and their likelihood of experiencing problem drug use and becoming a part of an over-represented population in drug treatment services. Explanations for men’s problematic/addicted patterns of drug use often point to marginalisation, disadvantage, and/or men’s tendency towards problematic health behaviours. This article argues that men’s illicit recreational drug use is often glossed over as a gendered activity and receives less scrutiny than problematic/addicted patterns of drug taking. It examines the drug-taking motivations of 20 Irish men who identified as illicit recreational drug users to expand on and deepen current explanations for men’s illicit recreational drug use. The article demonstrates how men engage in drug use for complex and contradictory reasons that include embodied quests for pleasure and excitement, achieving connection with other men, and performing or contravening masculinities in homosocial contexts.","container-title":"Sociological Research Online","DOI":"10.1177/1360780419879940","ISSN":"1360-7804","issue":"3","journalAbbreviation":"Sociological Research Online","language":"en","note":"publisher: SAGE Publications Ltd","page":"421-437","source":"SAGE Journals","title":"Men and the Drug Buzz: Masculinity and Men’s Motivations for Illicit Recreational Drug Use","title-short":"Men and the Drug Buzz","volume":"25","author":[{"family":"Darcy","given":"Clay"}],"issued":{"date-parts":[["2020",9,1]]}}},{"id":295,"uris":["http://zotero.org/users/9138993/items/N727CN8J"],"itemData":{"id":295,"type":"chapter","container-title":"Gender Reckonings: New Social Theory and Research","event-place":"New York","note":"Edited by James W. Messerschmidt, Paricia Yancey Martin, Michael A. Messner, and Raewyn Connell.","page":"35-56","publisher":"New York University Press","publisher-place":"New York","title":"Hegemonic, Nonhegemonic, and \"New\" Masculinities","author":[{"family":"Messerschmidt","given":"James W."},{"family":"Messner","given":"Michael A."}],"issued":{"date-parts":[["2019"]]}}}],"schema":"https://github.com/citation-style-language/schema/raw/master/csl-citation.json"} </w:instrText>
      </w:r>
      <w:r w:rsidR="00541827">
        <w:fldChar w:fldCharType="separate"/>
      </w:r>
      <w:r w:rsidR="00541827" w:rsidRPr="00541827">
        <w:t>(Connell and Messerschmidt 2005; Darcy 2020; Messerschmidt and Messner 2019)</w:t>
      </w:r>
      <w:r w:rsidR="00541827">
        <w:fldChar w:fldCharType="end"/>
      </w:r>
      <w:r w:rsidR="00A94539">
        <w:t xml:space="preserve">. </w:t>
      </w:r>
      <w:r w:rsidR="00755B1D">
        <w:t xml:space="preserve">While this measure may not be an exact measure of masculinity, I propose its use as a proxy for illicit masculinity and </w:t>
      </w:r>
      <w:r w:rsidR="00F528E6">
        <w:t xml:space="preserve">test its prospects as an acceptable measure in this research. </w:t>
      </w:r>
    </w:p>
    <w:p w14:paraId="356D5408" w14:textId="196E7B4C" w:rsidR="00F27ACF" w:rsidRDefault="00F27ACF" w:rsidP="00A12B37">
      <w:r>
        <w:t>LITERATURE REVIEW</w:t>
      </w:r>
    </w:p>
    <w:p w14:paraId="57B33E87" w14:textId="256155CA" w:rsidR="00F27ACF" w:rsidRDefault="00F27ACF" w:rsidP="00EF36D7">
      <w:pPr>
        <w:pStyle w:val="Heading2"/>
      </w:pPr>
      <w:bookmarkStart w:id="8" w:name="_Toc102664102"/>
      <w:r>
        <w:t>Gender Norms and Alcohol Use</w:t>
      </w:r>
      <w:bookmarkEnd w:id="8"/>
    </w:p>
    <w:p w14:paraId="7DC90A51" w14:textId="0B4EDC39" w:rsidR="00F27ACF" w:rsidRDefault="00CA75ED" w:rsidP="006E7BBC">
      <w:r>
        <w:tab/>
        <w:t xml:space="preserve">In the last few decades, criminologists have examined </w:t>
      </w:r>
      <w:r w:rsidR="00DC4A1C">
        <w:t xml:space="preserve">gender norms to better understand </w:t>
      </w:r>
      <w:r>
        <w:t>gender differences in alcohol consumption</w:t>
      </w:r>
      <w:r w:rsidR="00C7320C">
        <w:t xml:space="preserve"> with mixed findings</w:t>
      </w:r>
      <w:r>
        <w:t xml:space="preserve"> </w:t>
      </w:r>
      <w:r>
        <w:fldChar w:fldCharType="begin"/>
      </w:r>
      <w:r w:rsidR="00182057">
        <w:instrText xml:space="preserve"> ADDIN ZOTERO_ITEM CSL_CITATION {"citationID":"is9VzFbW","properties":{"formattedCitation":"(Christie-Mizell and Peralta 2009; Rebecca Farmer Huselid and M Lynne Cooper 1992; Whaley, Hayes-Smith, and Hayes-Smith 2013; Wilkinson et al. 2018)","plainCitation":"(Christie-Mizell and Peralta 2009; Rebecca Farmer Huselid and M Lynne Cooper 1992; Whaley, Hayes-Smith, and Hayes-Smith 2013; Wilkinson et al. 2018)","dontUpdate":true,"noteIndex":0},"citationItems":[{"id":62,"uris":["http://zotero.org/users/9138993/items/TJCQFKPB"],"itemData":{"id":62,"type":"article-journal","abstract":"We utilize data from the National Longitudinal Survey of Youth young adult sample (N = 1,488) to investigate whether gender role attitudes and the occupation of and transition to three adult roles (i.e., employment, marriage, and parenthood) contribute to the maintenance of the gender gap in the frequency and quantity of alcohol use. Our results indicate that traditional gender role attitudes are related to less frequent drinking for both men and women, but role attitudes are not associated with the number of drinks consumed. We also find that employment and transitions to employment increase the frequency and quantity of drinking, but less so for women compared to men. Furthermore, marriage, parenthood, and transitions to parenthood are related to less frequent drinking for women only. In terms of the number of drinks consumed, only employment and transitions to employment distinguish men and women. Employment is related to increased quantity of drinking for men, but decreased drinking for women, while transitions to employment have no effect on men, but do decrease the amount of drinking for women. Marriage decreases the number of drinks consumed equally for both men and women.","container-title":"Journal of Health and Social Behavior","ISSN":"0022-1465","issue":"4","note":"publisher: [American Sociological Association, Sage Publications, Inc.]","page":"410-426","source":"JSTOR","title":"The Gender Gap in Alcohol Consumption during Late Adolescence and Young Adulthood: Gendered Attitudes and Adult Roles","title-short":"The Gender Gap in Alcohol Consumption during Late Adolescence and Young Adulthood","volume":"50","author":[{"family":"Christie-Mizell","given":"C. André"},{"family":"Peralta","given":"Robert L."}],"issued":{"date-parts":[["2009"]]}}},{"id":57,"uris":["http://zotero.org/users/9138993/items/EWGMYFTM"],"itemData":{"id":57,"type":"article-journal","abstract":"This study tested the hypothesis that internalized gender-role personality attributes and gender-role ideology mediate sex differences in alcohol use and drinking problems in a random sample of 1,077 adolescents aged 13 to 19. Results indicated that gender roles substantially, although not completely, mediated the effects of sex on drinking patterns. The relationships between gender roles and alcohol use were largely consistent with the hypothesis that individuals with conventional gender identities conform more closely to cultural norms that condone drinking among males but not among females. However, effects of the gender-linked attributes of expressivity, emotional control, and instrumentality on drinking also may be interpreted within a framework that views them as functional coping styles. Finally, differences between Black and White teens in the relationships between alcohol use and the masculine attributes of instrumentality and emotional control suggest possible race differences in the functional value of these attributes.","container-title":"Journal of health and social behavior","DOI":"10.2307/2137313","ISSN":"0022-1465","issue":"4","language":"eng","note":"publisher-place: Washington, DC\npublisher: American Sociological Association","page":"348–362","source":"ou-primo.com","title":"Gender Roles as Mediators of Sex Differences in Adolescent Alcohol Use and Abuse","volume":"33","author":[{"family":"Huselid","given":"Rebecca Farmer"},{"family":"Cooper","given":"M Lynne"}],"issued":{"date-parts":[["1992"]]}}},{"id":47,"uris":["http://zotero.org/users/9138993/items/ESKB7SBI"],"itemData":{"id":47,"type":"article-journal","abstract":"A gender gap in alcohol and drug use exists but is somewhat smaller than the gender gap in other forms of delinquency. This article extends studies that examine the gender–delinquency relationship to substance use in particular and estimate the extent to which major risk and protective factors mediate the association between gender and alcohol and marijuana use. The authors simultaneously draw on two traditional delinquency theories, social learning and social control, and the feminist pathways perspective regarding victimizations. This gendered pathways approach highlights the extent to which gender influences life experiences and thus the trajectories of girls and boys. In a large sample of 8th to 12th graders, school bonds and victimizations accounted for much of the gender–substance use relationship, especially in the case of casual and binge drinking.","container-title":"Crime &amp; Delinquency","DOI":"10.1177/0011128710389581","ISSN":"0011-1287","issue":"5","journalAbbreviation":"Crime &amp; Delinquency","language":"en","note":"publisher: SAGE Publications Inc","page":"651-669","source":"SAGE Journals","title":"Gendered Pathways? Gender, Mediating Factors, and the Gap in Boys’ and Girls’ Substance Use","title-short":"Gendered Pathways?","volume":"59","author":[{"family":"Whaley","given":"Rachel Bridges"},{"family":"Hayes-Smith","given":"Justin"},{"family":"Hayes-Smith","given":"Rebecca"}],"issued":{"date-parts":[["2013",8,1]]}}},{"id":50,"uris":["http://zotero.org/users/9138993/items/EG2W57XF"],"itemData":{"id":50,"type":"article-journal","abstract":"Substance use is prevalent among adolescents in the U.S., especially males. Understanding the cross-sectional and longitudinal associations between gender norms and substance use is necessary to tailor substance use prevention messages and efforts appropriately. This study investigates the relationship between adherence to gender-typical behavior (AGB) and substance use from adolescence into young adulthood. Participants in the National Longitudinal Study of Adolescent to Adult Health completed self-report measures on the frequency of binge drinking, cigarette smoking and marijuana use as well as various behaviors and emotional states that captured the latent construct of AGB. Sex-stratified logistic regression models revealed cross-sectional and longitudinal relationships between AGB and high frequency substance use. For example, an adolescent male who is more gender-adherent, compared to less adherent males, has 75% higher odds of high frequency binge drinking in adolescence and 22% higher odds of high frequency binge drinking in young adulthood. Sex-stratified multinomial logistic regression models also revealed cross-sectional and longitudinal relationships between AGB and patterns of use. For example, a more gender-adherent adolescent male, compared to 1 who is less adherent, is 256% more likely to use all 3 substances in adolescence and 66% more likely to use all 3 in young adulthood. Cross-sectional and longitudinal results for females indicate greater gender-adherence is associated with lower odds of high frequency substance use. These findings indicate adherence to gender norms may influence substance use behaviors across the developmental trajectory, and inform strategies for prevention efforts. (PsycInfo Database Record (c) 2020 APA, all rights reserved) (Source: journal abstract)","container-title":"Psychology of Men &amp; Masculinities","DOI":"http://dx.doi.org.ezproxy.lib.ou.edu/10.1037/men0000088","ISSN":"1524-9220","issue":"1","language":"English","note":"number-of-pages: 145-155\npublisher: Educational Publishing Foundation\n(US)","page":"145-155","source":"ProQuest","title":"Adherence to gender-typical behavior and high-frequency substance use from adolescence into young adulthood","volume":"19","author":[{"family":"Wilkinson","given":"Andra L."},{"family":"Fleming","given":"Paul J."},{"family":"Link to external site","given":"this","dropping-particle":"link will open in a new window"},{"family":"Halpern","given":"Carolyn Tucker"},{"family":"Herring","given":"Amy H."},{"family":"Harris","given":"Kathleen Mullan"}],"issued":{"date-parts":[["2018",1]]}}}],"schema":"https://github.com/citation-style-language/schema/raw/master/csl-citation.json"} </w:instrText>
      </w:r>
      <w:r>
        <w:fldChar w:fldCharType="separate"/>
      </w:r>
      <w:r w:rsidRPr="000A2417">
        <w:t>(Christie-Mizell and Peralta 2009; Huselid and Cooper 1992; Whaley, Hayes-Smith, and Hayes-Smith 2013; Wilkinson et al. 2018)</w:t>
      </w:r>
      <w:r>
        <w:fldChar w:fldCharType="end"/>
      </w:r>
      <w:r>
        <w:t>. For example, Christie-Mizzel and Peralta (</w:t>
      </w:r>
      <w:r>
        <w:fldChar w:fldCharType="begin"/>
      </w:r>
      <w:r w:rsidR="00AB7823">
        <w:instrText xml:space="preserve"> ADDIN ZOTERO_ITEM CSL_CITATION {"citationID":"NkHWOSty","properties":{"formattedCitation":"(Christie-Mizell and Peralta 2009)","plainCitation":"(Christie-Mizell and Peralta 2009)","dontUpdate":true,"noteIndex":0},"citationItems":[{"id":62,"uris":["http://zotero.org/users/9138993/items/TJCQFKPB"],"itemData":{"id":62,"type":"article-journal","abstract":"We utilize data from the National Longitudinal Survey of Youth young adult sample (N = 1,488) to investigate whether gender role attitudes and the occupation of and transition to three adult roles (i.e., employment, marriage, and parenthood) contribute to the maintenance of the gender gap in the frequency and quantity of alcohol use. Our results indicate that traditional gender role attitudes are related to less frequent drinking for both men and women, but role attitudes are not associated with the number of drinks consumed. We also find that employment and transitions to employment increase the frequency and quantity of drinking, but less so for women compared to men. Furthermore, marriage, parenthood, and transitions to parenthood are related to less frequent drinking for women only. In terms of the number of drinks consumed, only employment and transitions to employment distinguish men and women. Employment is related to increased quantity of drinking for men, but decreased drinking for women, while transitions to employment have no effect on men, but do decrease the amount of drinking for women. Marriage decreases the number of drinks consumed equally for both men and women.","container-title":"Journal of Health and Social Behavior","ISSN":"0022-1465","issue":"4","note":"publisher: [American Sociological Association, Sage Publications, Inc.]","page":"410-426","source":"JSTOR","title":"The Gender Gap in Alcohol Consumption during Late Adolescence and Young Adulthood: Gendered Attitudes and Adult Roles","title-short":"The Gender Gap in Alcohol Consumption during Late Adolescence and Young Adulthood","volume":"50","author":[{"family":"Christie-Mizell","given":"C. André"},{"family":"Peralta","given":"Robert L."}],"issued":{"date-parts":[["2009"]]}}}],"schema":"https://github.com/citation-style-language/schema/raw/master/csl-citation.json"} </w:instrText>
      </w:r>
      <w:r>
        <w:fldChar w:fldCharType="separate"/>
      </w:r>
      <w:r w:rsidRPr="00AF48D7">
        <w:t>2009)</w:t>
      </w:r>
      <w:r>
        <w:fldChar w:fldCharType="end"/>
      </w:r>
      <w:r>
        <w:t xml:space="preserve"> use a sample from the National Longitudinal Survey of Youth (N=1,488) to examine how gender role attitudes and various adult roles (employment, marriage, and parenthood) relate to gender differences in alcohol consumption. Results suggests that positive attitudes towards patriarchal gender norms relate to less frequent drinking for both young men and women as they transition to adulthood. However, another study using data from the Michigan Alcohol and Other Drugs school-based survey (N=78,103) offers support for the claim that boys and girls are affected by gender norms in </w:t>
      </w:r>
      <w:r w:rsidRPr="00467736">
        <w:rPr>
          <w:i/>
        </w:rPr>
        <w:t xml:space="preserve">different </w:t>
      </w:r>
      <w:r>
        <w:t xml:space="preserve">ways. Using a combination of social control, social learning, and feminist pathways approaches, Whaley, Hayes-Smith, and Hayes-Smith </w:t>
      </w:r>
      <w:r>
        <w:fldChar w:fldCharType="begin"/>
      </w:r>
      <w:r w:rsidR="00AB7823">
        <w:instrText xml:space="preserve"> ADDIN ZOTERO_ITEM CSL_CITATION {"citationID":"fM7Gt6WD","properties":{"formattedCitation":"(Whaley et al. 2013)","plainCitation":"(Whaley et al. 2013)","dontUpdate":true,"noteIndex":0},"citationItems":[{"id":47,"uris":["http://zotero.org/users/9138993/items/ESKB7SBI"],"itemData":{"id":47,"type":"article-journal","abstract":"A gender gap in alcohol and drug use exists but is somewhat smaller than the gender gap in other forms of delinquency. This article extends studies that examine the gender–delinquency relationship to substance use in particular and estimate the extent to which major risk and protective factors mediate the association between gender and alcohol and marijuana use. The authors simultaneously draw on two traditional delinquency theories, social learning and social control, and the feminist pathways perspective regarding victimizations. This gendered pathways approach highlights the extent to which gender influences life experiences and thus the trajectories of girls and boys. In a large sample of 8th to 12th graders, school bonds and victimizations accounted for much of the gender–substance use relationship, especially in the case of casual and binge drinking.","container-title":"Crime &amp; Delinquency","DOI":"10.1177/0011128710389581","ISSN":"0011-1287","issue":"5","journalAbbreviation":"Crime &amp; Delinquency","language":"en","note":"publisher: SAGE Publications Inc","page":"651-669","source":"SAGE Journals","title":"Gendered Pathways? Gender, Mediating Factors, and the Gap in Boys’ and Girls’ Substance Use","title-short":"Gendered Pathways?","volume":"59","author":[{"family":"Whaley","given":"Rachel Bridges"},{"family":"Hayes-Smith","given":"Justin"},{"family":"Hayes-Smith","given":"Rebecca"}],"issued":{"date-parts":[["2013",8,1]]}}}],"schema":"https://github.com/citation-style-language/schema/raw/master/csl-citation.json"} </w:instrText>
      </w:r>
      <w:r>
        <w:fldChar w:fldCharType="separate"/>
      </w:r>
      <w:r w:rsidRPr="002812D9">
        <w:t>(2013)</w:t>
      </w:r>
      <w:r>
        <w:fldChar w:fldCharType="end"/>
      </w:r>
      <w:r>
        <w:t xml:space="preserve"> argue that examining gender differences in substance use via a gendered pathways approach highlights the extent to which gender influences life experiences that may lead youth to drink alcohol. Results reveal that boys are more likely to abuse alcohol than girls, though the authors claim that more research is needed to better understand this relationship </w:t>
      </w:r>
      <w:r>
        <w:fldChar w:fldCharType="begin"/>
      </w:r>
      <w:r w:rsidR="00AB7823">
        <w:instrText xml:space="preserve"> ADDIN ZOTERO_ITEM CSL_CITATION {"citationID":"Ozdp14dL","properties":{"formattedCitation":"(Whaley et al. 2013)","plainCitation":"(Whaley et al. 2013)","noteIndex":0},"citationItems":[{"id":47,"uris":["http://zotero.org/users/9138993/items/ESKB7SBI"],"itemData":{"id":47,"type":"article-journal","abstract":"A gender gap in alcohol and drug use exists but is somewhat smaller than the gender gap in other forms of delinquency. This article extends studies that examine the gender–delinquency relationship to substance use in particular and estimate the extent to which major risk and protective factors mediate the association between gender and alcohol and marijuana use. The authors simultaneously draw on two traditional delinquency theories, social learning and social control, and the feminist pathways perspective regarding victimizations. This gendered pathways approach highlights the extent to which gender influences life experiences and thus the trajectories of girls and boys. In a large sample of 8th to 12th graders, school bonds and victimizations accounted for much of the gender–substance use relationship, especially in the case of casual and binge drinking.","container-title":"Crime &amp; Delinquency","DOI":"10.1177/0011128710389581","ISSN":"0011-1287","issue":"5","journalAbbreviation":"Crime &amp; Delinquency","language":"en","note":"publisher: SAGE Publications Inc","page":"651-669","source":"SAGE Journals","title":"Gendered Pathways? Gender, Mediating Factors, and the Gap in Boys’ and Girls’ Substance Use","title-short":"Gendered Pathways?","volume":"59","author":[{"family":"Whaley","given":"Rachel Bridges"},{"family":"Hayes-Smith","given":"Justin"},{"family":"Hayes-Smith","given":"Rebecca"}],"issued":{"date-parts":[["2013",8,1]]}}}],"schema":"https://github.com/citation-style-language/schema/raw/master/csl-citation.json"} </w:instrText>
      </w:r>
      <w:r>
        <w:fldChar w:fldCharType="separate"/>
      </w:r>
      <w:r w:rsidRPr="00836AF1">
        <w:t>(Whaley et al. 2013)</w:t>
      </w:r>
      <w:r>
        <w:fldChar w:fldCharType="end"/>
      </w:r>
      <w:r>
        <w:t xml:space="preserve">. Such findings suggest that patriarchal norms may be related to gender differences in alcohol use, yet it is unclear how such results may </w:t>
      </w:r>
      <w:r>
        <w:lastRenderedPageBreak/>
        <w:t>inform research that focuses on illicit drug use (other than adolescent alcohol use). Below, these patterns are further examined as they relate to gender norms and the use of marijuana, cocaine, heroin, and narcotics (opioids).</w:t>
      </w:r>
    </w:p>
    <w:p w14:paraId="3C4D4501" w14:textId="77777777" w:rsidR="000E531D" w:rsidRPr="00467736" w:rsidRDefault="000E531D" w:rsidP="00EF36D7">
      <w:pPr>
        <w:pStyle w:val="Heading2"/>
      </w:pPr>
      <w:bookmarkStart w:id="9" w:name="_Toc102664103"/>
      <w:r>
        <w:t>Gender Norms and Marijuana</w:t>
      </w:r>
      <w:bookmarkEnd w:id="9"/>
    </w:p>
    <w:p w14:paraId="0D597795" w14:textId="4B1A49CC" w:rsidR="000E531D" w:rsidRDefault="000E531D" w:rsidP="006E7BBC">
      <w:pPr>
        <w:ind w:firstLine="720"/>
      </w:pPr>
      <w:r>
        <w:t xml:space="preserve">When it comes to gender differences in the use of marijuana, research suggests that marijuana use is associated with masculinity, even though most data </w:t>
      </w:r>
      <w:r w:rsidRPr="009631A1">
        <w:rPr>
          <w:i/>
        </w:rPr>
        <w:t>do not</w:t>
      </w:r>
      <w:r>
        <w:t xml:space="preserve"> find a significant relationship between gender and marijuana usage </w:t>
      </w:r>
      <w:r>
        <w:fldChar w:fldCharType="begin"/>
      </w:r>
      <w:r w:rsidR="00AB7823">
        <w:instrText xml:space="preserve"> ADDIN ZOTERO_ITEM CSL_CITATION {"citationID":"u9N2rOq4","properties":{"formattedCitation":"(Dahl and Sandberg 2015; Haines et al. 2009)","plainCitation":"(Dahl and Sandberg 2015; Haines et al. 2009)","noteIndex":0},"citationItems":[{"id":165,"uris":["http://zotero.org/users/9138993/items/724NCNBS"],"itemData":{"id":165,"type":"article-journal","abstract":"Cannabis is sometimes associated with feminine or gender neutral values. Still, most cannabis users are male, and in our data cannabis use is associated with masculinity. In qualitative interviews with 19 female users and a larger sample of male users in Norway, four aspects of cannabis using practices were described as feminine: not providing cannabis, being less involved in cannabis user networks, not handling the drug effects and being concerned about control. Some women challenged gendered expectations and presented themselves as alternative, tough and rebellious through cannabis use. We explore how women navigate through a gendered drug culture, and study how femininities and masculinities are enacted, challenged and recast in a Scandinavian context characterized by gender equality and an anti-drugs culture. We argue that a new egalitarian form of masculinity is getting increasingly important. Still, female users often end up enacting traditional femininities when using cannabis.","container-title":"Sociology","ISSN":"0038-0385","issue":"4","note":"publisher: Sage Publications, Ltd.","page":"696-711","source":"JSTOR","title":"Female Cannabis Users and New Masculinities: The Gendering of Cannabis Use","title-short":"Female Cannabis Users and New Masculinities","volume":"49","author":[{"family":"Dahl","given":"Silje Louise"},{"family":"Sandberg","given":"Sveinung"}],"issued":{"date-parts":[["2015"]]}}},{"id":9,"uris":["http://zotero.org/users/9138993/items/ZE7E6FAE"],"itemData":{"id":9,"type":"article-journal","abstract":"In this paper we report on findings from a qualitative study of marijuana use by adolescents in two communities in British Columbia, Canada. During 2005 and 2006, 45 interviews were carried out at schools with students aged 13–18, with an aim of understanding how adolescents perceive their experiences with marijuana to be shaped by gender. While it has been established that patterns of use differ for girls and boys, there is relatively little qualitative research addressing marijuana smoking as gendered social practice. Drawing from contemporary social theories of gender our analysis explores the normative functions of gender discourse within adolescents' narratives, situating their descriptions of marijuana use within the context of the research interview and within the social contexts of drug use. The results highlight the challenges we encountered in asking about gender during one-to-one interviews, juxtaposed with examples from the narratives that illustrate how boys and girls use marijuana as a way of “doing” gender. To conclude, we suggest how our findings can inform the design of gender-specific health messaging on adolescent marijuana use.","container-title":"Social Science &amp; Medicine","DOI":"10.1016/j.socscimed.2009.03.003","ISSN":"0277-9536","issue":"11","journalAbbreviation":"Social Science &amp; Medicine","language":"en","page":"2029-2036","source":"ScienceDirect","title":"“I couldn't say, I'm not a girl” – Adolescents talk about gender and marijuana use","volume":"68","author":[{"family":"Haines","given":"Rebecca J."},{"family":"Johnson","given":"Joy L."},{"family":"Carter","given":"Connie I."},{"family":"Arora","given":"Kamal"}],"issued":{"date-parts":[["2009",6,1]]}}}],"schema":"https://github.com/citation-style-language/schema/raw/master/csl-citation.json"} </w:instrText>
      </w:r>
      <w:r>
        <w:fldChar w:fldCharType="separate"/>
      </w:r>
      <w:r w:rsidRPr="00563F98">
        <w:t>(Dahl and Sandberg 2015; Haines et al. 2009)</w:t>
      </w:r>
      <w:r>
        <w:fldChar w:fldCharType="end"/>
      </w:r>
      <w:r>
        <w:t xml:space="preserve">. This suggests that, while both men and women use marijuana, the cultural norms surrounding </w:t>
      </w:r>
      <w:r w:rsidR="0070003E">
        <w:t xml:space="preserve">the use of this drug </w:t>
      </w:r>
      <w:r>
        <w:t xml:space="preserve">are centered around masculine ideals. Taking an exploratory, qualitative approach to gender norms and gender differences in marijuana usage, Kolar </w:t>
      </w:r>
      <w:r>
        <w:fldChar w:fldCharType="begin"/>
      </w:r>
      <w:r w:rsidR="00AB7823">
        <w:instrText xml:space="preserve"> ADDIN ZOTERO_ITEM CSL_CITATION {"citationID":"sfShiN6a","properties":{"formattedCitation":"(Kolar 2021)","plainCitation":"(Kolar 2021)","dontUpdate":true,"noteIndex":0},"citationItems":[{"id":19,"uris":["http://zotero.org/users/9138993/items/DH2G2MC9"],"itemData":{"id":19,"type":"article-journal","abstract":"In the present study, I investigate how often unacknowledged gendered norms shape young women’s use of and access to illicit cannabis. I apply a “doing gender” approach to analyse 58 interviews conducted with cannabis using and non-using female and male college students in Canada in 2012, a time when nonmedical cannabis possession and supply were illegal. I identify prominent gendered norms and stereotypes that are critical of women’s use and that create barriers to women’s participation as either buyers or dealers in the illicit cannabis market. I show how these norms reinforce associations of cannabis use with masculinity and how they may direct social pressure against women’s use. I engage with Deutsch's (2007) concept of “undoing” gender to provide a novel contribution to research on cannabis by illustrating women’s strategies for resisting derogatory stereotypes. I highlight how women resist stigmatization of their use in the university context by drawing on presentations of social belonging, particularly scholastic success. However, I show that women may reinforce other stereotypes when appealing to such strategies. Legalization of nonmedical cannabis will create regulated commercial access alternatives to the highly gendered barriers that characterize illicit cannabis markets. My analysis suggests some increase in women’s cannabis use may be expected as a result, although deeply embedded gender norms are likely to maintain downward social pressure on women’s rates of use.","container-title":"Sex Roles","DOI":"10.1007/s11199-020-01176-4","ISSN":"1573-2762","issue":"7","journalAbbreviation":"Sex Roles","language":"en","page":"418-438","source":"Springer Link","title":"Women’s Use of and Access to Illicit Cannabis: An Investigation of Gendered Norms among College Students in Canada","title-short":"Women’s Use of and Access to Illicit Cannabis","volume":"84","author":[{"family":"Kolar","given":"Kat"}],"issued":{"date-parts":[["2021",4,1]]}}}],"schema":"https://github.com/citation-style-language/schema/raw/master/csl-citation.json"} </w:instrText>
      </w:r>
      <w:r>
        <w:fldChar w:fldCharType="separate"/>
      </w:r>
      <w:r w:rsidRPr="002470DF">
        <w:t>(2021)</w:t>
      </w:r>
      <w:r>
        <w:fldChar w:fldCharType="end"/>
      </w:r>
      <w:r>
        <w:t xml:space="preserve"> finds several gender-related stigmas surrounding the use of cannabis, including ideas such as "it's worse if a girl [smokes]" and “[smoking marijuana] is generally a ‘man’ thing.” Her research suggests that the recent increase in women's use of marijuana can be attributed to both the increased availability of marijuana (as it has become legal in more areas) as well as its (related) increasing social acceptability. Kolar </w:t>
      </w:r>
      <w:r>
        <w:fldChar w:fldCharType="begin"/>
      </w:r>
      <w:r w:rsidR="00AB7823">
        <w:instrText xml:space="preserve"> ADDIN ZOTERO_ITEM CSL_CITATION {"citationID":"zl2zIkr6","properties":{"formattedCitation":"(Kolar 2021)","plainCitation":"(Kolar 2021)","dontUpdate":true,"noteIndex":0},"citationItems":[{"id":19,"uris":["http://zotero.org/users/9138993/items/DH2G2MC9"],"itemData":{"id":19,"type":"article-journal","abstract":"In the present study, I investigate how often unacknowledged gendered norms shape young women’s use of and access to illicit cannabis. I apply a “doing gender” approach to analyse 58 interviews conducted with cannabis using and non-using female and male college students in Canada in 2012, a time when nonmedical cannabis possession and supply were illegal. I identify prominent gendered norms and stereotypes that are critical of women’s use and that create barriers to women’s participation as either buyers or dealers in the illicit cannabis market. I show how these norms reinforce associations of cannabis use with masculinity and how they may direct social pressure against women’s use. I engage with Deutsch's (2007) concept of “undoing” gender to provide a novel contribution to research on cannabis by illustrating women’s strategies for resisting derogatory stereotypes. I highlight how women resist stigmatization of their use in the university context by drawing on presentations of social belonging, particularly scholastic success. However, I show that women may reinforce other stereotypes when appealing to such strategies. Legalization of nonmedical cannabis will create regulated commercial access alternatives to the highly gendered barriers that characterize illicit cannabis markets. My analysis suggests some increase in women’s cannabis use may be expected as a result, although deeply embedded gender norms are likely to maintain downward social pressure on women’s rates of use.","container-title":"Sex Roles","DOI":"10.1007/s11199-020-01176-4","ISSN":"1573-2762","issue":"7","journalAbbreviation":"Sex Roles","language":"en","page":"418-438","source":"Springer Link","title":"Women’s Use of and Access to Illicit Cannabis: An Investigation of Gendered Norms among College Students in Canada","title-short":"Women’s Use of and Access to Illicit Cannabis","volume":"84","author":[{"family":"Kolar","given":"Kat"}],"issued":{"date-parts":[["2021",4,1]]}}}],"schema":"https://github.com/citation-style-language/schema/raw/master/csl-citation.json"} </w:instrText>
      </w:r>
      <w:r>
        <w:fldChar w:fldCharType="separate"/>
      </w:r>
      <w:r w:rsidRPr="00F07098">
        <w:t>(2021)</w:t>
      </w:r>
      <w:r>
        <w:fldChar w:fldCharType="end"/>
      </w:r>
      <w:r>
        <w:t xml:space="preserve"> discusses that, </w:t>
      </w:r>
      <w:r w:rsidR="00A14660">
        <w:t xml:space="preserve">prior to being </w:t>
      </w:r>
      <w:r w:rsidR="0064399C">
        <w:t>decriminalized</w:t>
      </w:r>
      <w:r>
        <w:t xml:space="preserve">, smoking </w:t>
      </w:r>
      <w:r w:rsidR="00370A03">
        <w:t>marijuana</w:t>
      </w:r>
      <w:r>
        <w:t xml:space="preserve"> was seen as a more masculine activity</w:t>
      </w:r>
      <w:r w:rsidR="0064399C">
        <w:t xml:space="preserve"> due to the criminal risks surrounding its use</w:t>
      </w:r>
      <w:r w:rsidR="000A404C">
        <w:t>. A</w:t>
      </w:r>
      <w:r>
        <w:t xml:space="preserve">s society tends to see women committing crimes as doubly deviant and less acceptable than men committing crimes, women smoking marijuana </w:t>
      </w:r>
      <w:r w:rsidR="00370A03">
        <w:t>has been</w:t>
      </w:r>
      <w:r>
        <w:t xml:space="preserve"> frowned upon more so than men smoking marijuana; however, with the illicitness of marijuana decreasing</w:t>
      </w:r>
      <w:r w:rsidR="0064399C">
        <w:t xml:space="preserve"> through its continued</w:t>
      </w:r>
      <w:r w:rsidR="005F2954">
        <w:t xml:space="preserve"> </w:t>
      </w:r>
      <w:r w:rsidR="0064399C">
        <w:t xml:space="preserve">legalization and </w:t>
      </w:r>
      <w:r w:rsidR="004C4E4D">
        <w:t>regulation</w:t>
      </w:r>
      <w:r>
        <w:t xml:space="preserve">, </w:t>
      </w:r>
      <w:r w:rsidR="00A233DD">
        <w:t xml:space="preserve">the </w:t>
      </w:r>
      <w:r w:rsidR="00BD0614">
        <w:t xml:space="preserve">societal view that women using marijuana is less acceptable has been waning as well. </w:t>
      </w:r>
      <w:r>
        <w:t xml:space="preserve">Overall, </w:t>
      </w:r>
      <w:r w:rsidR="002E5849">
        <w:t>Kolar’s (2021)</w:t>
      </w:r>
      <w:r>
        <w:t xml:space="preserve"> research suggests that the negative stigmas around marijuana usage may be waning and that further research into the relationship between gender norms and gender differences in the use of marijuana is needed.</w:t>
      </w:r>
    </w:p>
    <w:p w14:paraId="2CA8979D" w14:textId="77777777" w:rsidR="00300935" w:rsidRDefault="00300935" w:rsidP="00EF36D7">
      <w:pPr>
        <w:pStyle w:val="Heading2"/>
      </w:pPr>
      <w:bookmarkStart w:id="10" w:name="_Toc102664104"/>
      <w:r>
        <w:lastRenderedPageBreak/>
        <w:t>Gender and Other Illicit Substances</w:t>
      </w:r>
      <w:bookmarkEnd w:id="10"/>
      <w:r>
        <w:t xml:space="preserve"> </w:t>
      </w:r>
    </w:p>
    <w:p w14:paraId="5ACD1A9B" w14:textId="7BC5D916" w:rsidR="00300935" w:rsidRDefault="00300935" w:rsidP="006E7BBC">
      <w:r>
        <w:tab/>
        <w:t xml:space="preserve">While gender norms have been discussed </w:t>
      </w:r>
      <w:r w:rsidR="009D7FB8">
        <w:t>in relation</w:t>
      </w:r>
      <w:r>
        <w:t xml:space="preserve"> to alcohol and marijuana use, much less is known about patterns associated with gender norms and the use of other illicit substances. In fact, much research focuses on identifying gender differences in illicit substance use without providing much discussion as to why these differences exist. These studies are reviewed below and provide support for the importance of examining how gender norms relate to illicit substance use. </w:t>
      </w:r>
    </w:p>
    <w:p w14:paraId="12C9F65F" w14:textId="36524020" w:rsidR="0063094A" w:rsidRDefault="0063094A" w:rsidP="006E7BBC">
      <w:pPr>
        <w:ind w:firstLine="720"/>
      </w:pPr>
      <w:bookmarkStart w:id="11" w:name="_Toc102664105"/>
      <w:r w:rsidRPr="00EF36D7">
        <w:rPr>
          <w:rStyle w:val="Heading3Char"/>
        </w:rPr>
        <w:t>Cocaine.</w:t>
      </w:r>
      <w:bookmarkEnd w:id="11"/>
      <w:r w:rsidRPr="00467736">
        <w:rPr>
          <w:i/>
          <w:iCs/>
        </w:rPr>
        <w:t xml:space="preserve"> </w:t>
      </w:r>
      <w:r>
        <w:t xml:space="preserve">A study conducted in 2010 using longitudinal data from years 2003-2006 of the College Life Study to examine trends in cocaine use among college students (N=1,253) finds that men have significantly more opportunities to use cocaine compared to women, as men in the sample were offered cocaine at a higher rate than women; however, their research shows that women in the sample used cocaine more frequently than men and were more likely to become dependent on it </w:t>
      </w:r>
      <w:r>
        <w:fldChar w:fldCharType="begin"/>
      </w:r>
      <w:r w:rsidR="00AB7823">
        <w:instrText xml:space="preserve"> ADDIN ZOTERO_ITEM CSL_CITATION {"citationID":"ZbtlZMBx","properties":{"formattedCitation":"(Kasperski et al. 2011)","plainCitation":"(Kasperski et al. 2011)","noteIndex":0},"citationItems":[{"id":107,"uris":["http://zotero.org/users/9138993/items/62WB75FC"],"itemData":{"id":107,"type":"article-journal","abstract":"College students have high rates of heavy drinking and other risky behaviors, but little is known about trends in their use of cocaine. In this longitudinal study of 1253 college students at one large, public university in the mid-Atlantic region, annual interviews assessed opportunity to use cocaine, cocaine use, and DSM-IV criteria for cocaine abuse and dependence. Follow-up rates exceeded 87% annually. Data from the first four years of college were analyzed to detect changes over time and possible gender differences. By their fourth year of college, 36%wt of students had been offered cocaine at least once in their lifetime, and 13%wt had used cocaine. Annual prevalence of cocaine use increased significantly over time (4%wt in Year 1 to 10%wt in Year 4) and remained similar across genders. Opportunities to use cocaine were significantly more prevalent for males than females during Years 2 through 4. Cocaine use given opportunity increased significantly over time for both males and females. Among 243 cocaine users, females (n=113) had more serious use patterns than males, with higher average frequency of use (18.39 vs. 8.83days during the peak year of use, p&lt;.05) and greater likelihood of meeting criteria for cocaine dependence (9.3% vs. 2.5%, p&lt;.05). Gender differences in typical cocaine dosage were not apparent. College administrators and health providers should be aware of the prevalence of cocaine use among student populations and design strategies to address the problem.","container-title":"Addictive Behaviors","DOI":"10.1016/j.addbeh.2010.12.002","ISSN":"0306-4603","issue":"4","journalAbbreviation":"Addictive Behaviors","language":"en","page":"408-411","source":"ScienceDirect","title":"College students' use of cocaine: Results from a longitudinal study","title-short":"College students' use of cocaine","volume":"36","author":[{"family":"Kasperski","given":"Sarah J."},{"family":"Vincent","given":"Kathryn B."},{"family":"Caldeira","given":"Kimberly M."},{"family":"Garnier-Dykstra","given":"Laura M."},{"family":"O'Grady","given":"Kevin E."},{"family":"Arria","given":"Amelia M."}],"issued":{"date-parts":[["2011",4,1]]}}}],"schema":"https://github.com/citation-style-language/schema/raw/master/csl-citation.json"} </w:instrText>
      </w:r>
      <w:r>
        <w:fldChar w:fldCharType="separate"/>
      </w:r>
      <w:r w:rsidRPr="00515D00">
        <w:t>(Kasperski et al. 2011)</w:t>
      </w:r>
      <w:r>
        <w:fldChar w:fldCharType="end"/>
      </w:r>
      <w:r>
        <w:t>. In another study looking at cocaine use among high school seniors in the United States, Schneider et al</w:t>
      </w:r>
      <w:r w:rsidR="00D039BB">
        <w:t>.</w:t>
      </w:r>
      <w:r>
        <w:t xml:space="preserve"> </w:t>
      </w:r>
      <w:r>
        <w:fldChar w:fldCharType="begin"/>
      </w:r>
      <w:r w:rsidR="00AB7823">
        <w:instrText xml:space="preserve"> ADDIN ZOTERO_ITEM CSL_CITATION {"citationID":"MWEsB4DS","properties":{"formattedCitation":"(Schneider et al. 2018)","plainCitation":"(Schneider et al. 2018)","dontUpdate":true,"noteIndex":0},"citationItems":[{"id":111,"uris":["http://zotero.org/users/9138993/items/K6KMTS82"],"itemData":{"id":111,"type":"article-journal","container-title":"Drug and Alcohol Dependence","DOI":"10.1016/j.drugalcdep.2017.10.028","language":"en","page":"69-72","title":"Past 15-year trends in lifetime cocaine use among US high school students | Elsevier Enhanced Reader","volume":"183","author":[{"family":"Schneider","given":"Kristen E."},{"family":"Krawczyk","given":"Noa"},{"family":"Ziming","given":"Xuan"},{"family":"Johnson","given":"Renee M."}],"issued":{"date-parts":[["2018"]]}}}],"schema":"https://github.com/citation-style-language/schema/raw/master/csl-citation.json"} </w:instrText>
      </w:r>
      <w:r>
        <w:fldChar w:fldCharType="separate"/>
      </w:r>
      <w:r w:rsidRPr="00A54609">
        <w:t>(2018)</w:t>
      </w:r>
      <w:r>
        <w:fldChar w:fldCharType="end"/>
      </w:r>
      <w:r>
        <w:t xml:space="preserve"> use data from the </w:t>
      </w:r>
      <w:r w:rsidR="009D7FB8">
        <w:t>N</w:t>
      </w:r>
      <w:r>
        <w:t xml:space="preserve">ational Youth Risk Behavior Surveys (YRBS) to examine trends in cocaine use from 1999 to 2015. Results show that while cocaine use was not as common in 2015 as it was in the 1990s, rates of adolescent cocaine use have significantly increased recently, with 2.5 percent of high school seniors having used cocaine in 2009 </w:t>
      </w:r>
      <w:r w:rsidR="009D7FB8">
        <w:t xml:space="preserve">compared with </w:t>
      </w:r>
      <w:r>
        <w:t>5.2 percent having used cocaine in 2015. The gender differences in cocaine use have also increased from the early 2000s. In 2003, the gender difference in cocaine use was 1.05 percent, and in 2015 the difference was 2.55 percent; the largest gender difference recorded in the fifteen years of data used in the study</w:t>
      </w:r>
      <w:r w:rsidR="008D2B96">
        <w:t>, with men having higher rates of cocaine use than women</w:t>
      </w:r>
      <w:r>
        <w:t xml:space="preserve"> </w:t>
      </w:r>
      <w:r>
        <w:fldChar w:fldCharType="begin"/>
      </w:r>
      <w:r w:rsidR="00AB7823">
        <w:instrText xml:space="preserve"> ADDIN ZOTERO_ITEM CSL_CITATION {"citationID":"O4kKlFeN","properties":{"formattedCitation":"(Schneider et al. 2018)","plainCitation":"(Schneider et al. 2018)","noteIndex":0},"citationItems":[{"id":111,"uris":["http://zotero.org/users/9138993/items/K6KMTS82"],"itemData":{"id":111,"type":"article-journal","container-title":"Drug and Alcohol Dependence","DOI":"10.1016/j.drugalcdep.2017.10.028","language":"en","page":"69-72","title":"Past 15-year trends in lifetime cocaine use among US high school students | Elsevier Enhanced Reader","volume":"183","author":[{"family":"Schneider","given":"Kristen E."},{"family":"Krawczyk","given":"Noa"},{"family":"Ziming","given":"Xuan"},{"family":"Johnson","given":"Renee M."}],"issued":{"date-parts":[["2018"]]}}}],"schema":"https://github.com/citation-style-language/schema/raw/master/csl-citation.json"} </w:instrText>
      </w:r>
      <w:r>
        <w:fldChar w:fldCharType="separate"/>
      </w:r>
      <w:r w:rsidRPr="00495B8A">
        <w:t>(Schneider et al. 2018)</w:t>
      </w:r>
      <w:r>
        <w:fldChar w:fldCharType="end"/>
      </w:r>
      <w:r>
        <w:t xml:space="preserve">. Thus, gender differences in the rates of cocaine use are evident across multiple studies. </w:t>
      </w:r>
    </w:p>
    <w:p w14:paraId="7FB061E5" w14:textId="42348578" w:rsidR="00300935" w:rsidRDefault="0063094A" w:rsidP="006E7BBC">
      <w:pPr>
        <w:ind w:firstLine="720"/>
      </w:pPr>
      <w:bookmarkStart w:id="12" w:name="_Toc102664106"/>
      <w:r w:rsidRPr="00EF36D7">
        <w:rPr>
          <w:rStyle w:val="Heading3Char"/>
        </w:rPr>
        <w:lastRenderedPageBreak/>
        <w:t>Heroin and Opioids.</w:t>
      </w:r>
      <w:bookmarkEnd w:id="12"/>
      <w:r>
        <w:t xml:space="preserve"> Examining gender differences in trends of heroin use and opioid abuse, Marsh et al. </w:t>
      </w:r>
      <w:r>
        <w:fldChar w:fldCharType="begin"/>
      </w:r>
      <w:r w:rsidR="00AB7823">
        <w:instrText xml:space="preserve"> ADDIN ZOTERO_ITEM CSL_CITATION {"citationID":"CkMQz8P8","properties":{"formattedCitation":"(Marsh et al. 2018)","plainCitation":"(Marsh et al. 2018)","dontUpdate":true,"noteIndex":0},"citationItems":[{"id":106,"uris":["http://zotero.org/users/9138993/items/ASQZXMR6"],"itemData":{"id":106,"type":"article-journal","abstract":"Background\nTrends in the current opioid epidemic in the United States show that use of heroin is increasing while nonmedical use of prescription opioids is slowing. Understanding gender differences in these trends is essential to efforts to address the opioid epidemic. This study compared gender difference in trends in heroin and nonmedical prescription opioid use in the U.S. between 2007 and 2014.\nMethods\nData from the National Survey on Drug Use and Health (NSDUH) were used to trace prevalence and to estimate risk for heroin and nonmedical prescription opioid use in the last year for women and men.\nResults\nPrevalence rates in the total sample (N = 447,188) indicate a notable increase in heroin use and a steady decline in the nonmedical use of prescription opioids between 2007 and 2014 for both women and men. Women are increasing heroin use at a faster rate than men but decreasing nonmedical prescription opioid use at a slower rate than men. Overall, risk factors for both heroin use and nonmedical prescription opioid use are similar to other illicit substances, but the magnitude of associations indicates that women may be at greater risk for the nonmedical use of prescription opioids than for the use of heroin.\nConclusions\nTrend analyses reveal a linear increase in heroin use and a quadratic decline in nonmedical prescription opioid use at the population level. The differential rates of change between men and women in use of both opioids highlight the need for comprehensive, gender-sensitive approaches to prevention and treatment for both heroin and nonmedical prescription opioid use. Future research should continue to explore gender differences in treatment access, including access to medication-assisted treatments and treatments integrated with health and social services, especially for women.","container-title":"Journal of Substance Abuse Treatment","DOI":"10.1016/j.jsat.2018.01.001","ISSN":"0740-5472","journalAbbreviation":"Journal of Substance Abuse Treatment","language":"en","page":"79-85","source":"ScienceDirect","title":"Gender differences in trends for heroin use and nonmedical prescription opioid use, 2007–2014","volume":"87","author":[{"family":"Marsh","given":"Jeanne C."},{"family":"Park","given":"Keunhye"},{"family":"Lin","given":"Yu-An"},{"family":"Bersamira","given":"Cliff"}],"issued":{"date-parts":[["2018",4,1]]}}}],"schema":"https://github.com/citation-style-language/schema/raw/master/csl-citation.json"} </w:instrText>
      </w:r>
      <w:r>
        <w:fldChar w:fldCharType="separate"/>
      </w:r>
      <w:r w:rsidRPr="00F40618">
        <w:t>(2018)</w:t>
      </w:r>
      <w:r>
        <w:fldChar w:fldCharType="end"/>
      </w:r>
      <w:r>
        <w:t xml:space="preserve"> use data from the National Survey on Drug Use and Health (NSDUH) to examine trends in the current opioid epidemic in the United States, along with trends in heroin use from 2007 to 2014 (N=447,188). Results indicate a steady increase in heroin use and a steady decline in the nonmedical use of opioids for both men and women, but with differential rates of change. Women’s use of heroin </w:t>
      </w:r>
      <w:r w:rsidR="00CE6400">
        <w:t xml:space="preserve">has been </w:t>
      </w:r>
      <w:r>
        <w:t>increasing at a faster rate than men, and women’s use of opioids is decreasing as a slower rate than men</w:t>
      </w:r>
      <w:r w:rsidR="00D25C22">
        <w:t xml:space="preserve"> (Marsh et al. 2018)</w:t>
      </w:r>
      <w:r>
        <w:t xml:space="preserve">. In another study examining heroin and opioid use </w:t>
      </w:r>
      <w:r w:rsidR="00CE6400">
        <w:t>among</w:t>
      </w:r>
      <w:r>
        <w:t xml:space="preserve"> American high school seniors, </w:t>
      </w:r>
      <w:proofErr w:type="spellStart"/>
      <w:r>
        <w:t>Palamar</w:t>
      </w:r>
      <w:proofErr w:type="spellEnd"/>
      <w:r>
        <w:t xml:space="preserve"> et al. </w:t>
      </w:r>
      <w:r>
        <w:fldChar w:fldCharType="begin"/>
      </w:r>
      <w:r w:rsidR="00AB7823">
        <w:instrText xml:space="preserve"> ADDIN ZOTERO_ITEM CSL_CITATION {"citationID":"cbxMPe74","properties":{"formattedCitation":"(Palamar et al. 2016)","plainCitation":"(Palamar et al. 2016)","dontUpdate":true,"noteIndex":0},"citationItems":[{"id":105,"uris":["http://zotero.org/users/9138993/items/JKSDIRS9"],"itemData":{"id":105,"type":"article-journal","abstract":"Background\nNonmedical use of opioids has become increasingly problematic in recent years with increases in overdoses, treatment admissions, and deaths. Use also appears to be contributing to heroin initiation, which has increased in recent years. Further research is needed to examine which adolescents are at highest risk for nonmedical use of opioids and heroin and to explore potential links between nonmedical opioid use and heroin use.\nMethods\nData were analyzed from a nationally representative sample of American high school seniors in the Monitoring the Future study (2009–2013, Weighted N=67,822). We examined associations between frequency and recency of nonmedical use of opioids and heroin. Sociodemographic correlates of use of each drug were also examined.\nResults\n12.4% of students reported lifetime nonmedical opioid use and 1.2% reported lifetime heroin use. As frequency of lifetime nonmedical opioid use increased, so too did the odds for reporting heroin use, with over three-quarters (77.3%) of heroin users reporting lifetime nonmedical opioid use. Recent (30-day) nonmedical opioid use was a robust risk factor for heroin use and almost a quarter (23.2%) of students who reported using opioids ≥40 times reported lifetime heroin use. Black and Hispanic students were less likely to report nonmedical opioid or heroin use than white students, but they were more likely to report heroin use in absence of nonmedical opioid use.\nDiscussion\nRecent and frequent nonmedical opioid use are risk factors for heroin use among adolescents. Prevention needs to be targeted to those at highest risk.","container-title":"Drug and Alcohol Dependence","DOI":"10.1016/j.drugalcdep.2015.11.005","ISSN":"0376-8716","journalAbbreviation":"Drug and Alcohol Dependence","language":"en","page":"132-138","source":"ScienceDirect","title":"Nonmedical opioid use and heroin use in a nationally representative sample of us high school seniors","volume":"158","author":[{"family":"Palamar","given":"Joseph J."},{"family":"Shearston","given":"Jenni A."},{"family":"Dawson","given":"Eric W."},{"family":"Mateu-Gelabert","given":"Pedro"},{"family":"Ompad","given":"Danielle C."}],"issued":{"date-parts":[["2016",1,1]]}}}],"schema":"https://github.com/citation-style-language/schema/raw/master/csl-citation.json"} </w:instrText>
      </w:r>
      <w:r>
        <w:fldChar w:fldCharType="separate"/>
      </w:r>
      <w:r w:rsidRPr="00715584">
        <w:t>(2016)</w:t>
      </w:r>
      <w:r>
        <w:fldChar w:fldCharType="end"/>
      </w:r>
      <w:r>
        <w:t xml:space="preserve"> use years 2009 through 2013 of Monitoring the Future (N=67,822) to look at the association between heroin and opioid use through several sociodemographic correlates, including gender. Results from this study show that 12.4 percent of high school seniors report using nonmedical opioid</w:t>
      </w:r>
      <w:r w:rsidR="00D039BB">
        <w:t>s</w:t>
      </w:r>
      <w:r>
        <w:t xml:space="preserve"> at least once in their life, while 1.2 percent reported lifetime heroin use. Results also suggest that young women are less likely to report the use of both opioids and heroin compared to young men</w:t>
      </w:r>
      <w:r w:rsidR="00D25C22">
        <w:t xml:space="preserve"> (</w:t>
      </w:r>
      <w:proofErr w:type="spellStart"/>
      <w:r w:rsidR="00D25C22">
        <w:t>Palamar</w:t>
      </w:r>
      <w:proofErr w:type="spellEnd"/>
      <w:r w:rsidR="00D25C22">
        <w:t xml:space="preserve"> et al. 2016)</w:t>
      </w:r>
      <w:r>
        <w:t>. Together these studies demonstrate that there are gender differences in the use of heroin and opioids.</w:t>
      </w:r>
    </w:p>
    <w:p w14:paraId="2D7F3C95" w14:textId="77777777" w:rsidR="00B2639E" w:rsidRPr="00467736" w:rsidRDefault="00B2639E" w:rsidP="00EF36D7">
      <w:pPr>
        <w:pStyle w:val="Heading2"/>
      </w:pPr>
      <w:bookmarkStart w:id="13" w:name="_Toc102664107"/>
      <w:r>
        <w:t>Gender Norms and Other Illicit Substances</w:t>
      </w:r>
      <w:bookmarkEnd w:id="13"/>
      <w:r>
        <w:t xml:space="preserve"> </w:t>
      </w:r>
    </w:p>
    <w:p w14:paraId="0543F3AE" w14:textId="3FA86DCD" w:rsidR="00B2639E" w:rsidRDefault="00B2639E" w:rsidP="006E7BBC">
      <w:pPr>
        <w:ind w:firstLine="720"/>
      </w:pPr>
      <w:r>
        <w:t xml:space="preserve">Though the bulk of the existing literature has focused on establishing gender differences in rates of illicit substance use, some sociologists have begun to explore the reasoning behind such differences, suggesting that gender norms and expectations may play a role in the gender gap that is present in illicit drug use </w:t>
      </w:r>
      <w:r>
        <w:fldChar w:fldCharType="begin"/>
      </w:r>
      <w:r w:rsidR="00AB7823">
        <w:instrText xml:space="preserve"> ADDIN ZOTERO_ITEM CSL_CITATION {"citationID":"Ze8hM4s0","properties":{"formattedCitation":"(Darcy 2018, 2020; Keane 2017)","plainCitation":"(Darcy 2018, 2020; Keane 2017)","noteIndex":0},"citationItems":[{"id":112,"uris":["http://zotero.org/users/9138993/items/LJ77884B"],"itemData":{"id":112,"type":"article-journal","abstract":"This paper highlights a significant gender disparity within Ireland?s illicit drug landscape, which is predominantly composed of men. Irish men?s historical gender invisibility contributed to their predominance as drug users being overlooked. Thus, this paper focuses a masculinities lens on Irish men?s recreational use of illicit drugs, making their drug taking visible as a gendered activity. The study utilised a qualitative methodology, with masculinities theory forming the primary theoretical and analytical lens. Nine focus groups were conducted with Irish men exploring their views on illicit drugs. Twenty in-depth interviews were completed with men who identified as illicit recreational drug users, exploring their drug-taking histories and experiences. Findings demonstrate how the use of illicit drugs can symbolically communicate messages about the drug taker. The study reveals masculinities are an interpretative lens employed by men when trying to understand their own or other men?s drug taking. It is argued that men?s drug taking and masculinities intersect. In homosocial contexts, men?s recreational use of illicit drugs can contribute to them demonstrating masculinities to other drug-taking men; however, outside of these contexts, the same behaviours can be viewed by non-drug takers as emasculating.","container-title":"Irish Journal of Sociology","DOI":"10.1177/0791603517735772","ISSN":"0791-6035","issue":"1","journalAbbreviation":"Irish Journal of Sociology","note":"publisher: SAGE Publications Ltd","page":"5-24","source":"SAGE Journals","title":"Making the invisible visible: Masculinities and men’s illicit recreational drug use","title-short":"Making the invisible visible","volume":"26","author":[{"family":"Darcy","given":"Clay"}],"issued":{"date-parts":[["2018",4,1]]}}},{"id":110,"uris":["http://zotero.org/users/9138993/items/XTD3HEAU"],"itemData":{"id":110,"type":"article-journal","abstract":"The purpose of this article is to explore the motivations behind some men’s recreational use of illicit drugs from a gender standpoint. The rationale for this analysis stems from men’s predominance as illicit drug users and their likelihood of experiencing problem drug use and becoming a part of an over-represented population in drug treatment services. Explanations for men’s problematic/addicted patterns of drug use often point to marginalisation, disadvantage, and/or men’s tendency towards problematic health behaviours. This article argues that men’s illicit recreational drug use is often glossed over as a gendered activity and receives less scrutiny than problematic/addicted patterns of drug taking. It examines the drug-taking motivations of 20 Irish men who identified as illicit recreational drug users to expand on and deepen current explanations for men’s illicit recreational drug use. The article demonstrates how men engage in drug use for complex and contradictory reasons that include embodied quests for pleasure and excitement, achieving connection with other men, and performing or contravening masculinities in homosocial contexts.","container-title":"Sociological Research Online","DOI":"10.1177/1360780419879940","ISSN":"1360-7804","issue":"3","journalAbbreviation":"Sociological Research Online","language":"en","note":"publisher: SAGE Publications Ltd","page":"421-437","source":"SAGE Journals","title":"Men and the Drug Buzz: Masculinity and Men’s Motivations for Illicit Recreational Drug Use","title-short":"Men and the Drug Buzz","volume":"25","author":[{"family":"Darcy","given":"Clay"}],"issued":{"date-parts":[["2020",9,1]]}}},{"id":115,"uris":["http://zotero.org/users/9138993/items/Z56IBGTU"],"itemData":{"id":115,"type":"article-journal","abstract":"Despite clear evidence that men use illicit drugs more than women, use them at higher levels and use them from an earlier age, female vulnerability has been a central theme of medical, public health, and popular discourse on drug use. Discourses of vulnerability and norms of responsibility for familial and social wellbeing combine to produce women’s drug use as more unnatural and more deviant than men’s use. This article draws on Campbell’s notion of ‘governing mentalities to highlight the way the figure of the vulnerable female drug user” is reproduced in contemporary US government discourse on addiction and drug use. It thus aims to contribute to the feminist project of deconstructing gendered discourse on drug use and addiction. The article begins by examining contemporary neuroscientific accounts of the brain as the site of addiction, highlighting the co-existence of generic and sex-differentiated accounts of addiction. It then discusses the recent US Surgeon General’s report Facing Addiction in America (2016) along with “fact sheets” on drug use and gender produced by the US National Institute on Drug Abuse. It argues that the governing mentality that collapses sex and gender while emphasising female vulnerability obscures the multiple ways women experience drugs. The article also suggests that attention should be paid to the complex relationships between maleness and masculinity and drug use, without reiterating the history of foregrounding and universalising men’s experiences.","container-title":"The Social History of Alcohol and Drugs","DOI":"10.1086/SHAD31010126","ISSN":"1930-8418, 2640-7329","journalAbbreviation":"The Social History of Alcohol and Drugs","language":"en","page":"126-139","source":"DOI.org (Crossref)","title":"Female vulnerability and susceptible brains: Gendered discourses of addiction","title-short":"Female vulnerability and susceptible brains","volume":"31","author":[{"family":"Keane","given":"Helen"}],"issued":{"date-parts":[["2017",12]]}}}],"schema":"https://github.com/citation-style-language/schema/raw/master/csl-citation.json"} </w:instrText>
      </w:r>
      <w:r>
        <w:fldChar w:fldCharType="separate"/>
      </w:r>
      <w:r w:rsidRPr="00D85EA6">
        <w:t>(Darcy 2018, 2020; Keane 2017)</w:t>
      </w:r>
      <w:r>
        <w:fldChar w:fldCharType="end"/>
      </w:r>
      <w:r>
        <w:t xml:space="preserve">. For example, a qualitative study consisting of twenty in-depth interviews with current male recreational drug users links masculinity to illicit drug use, suggesting that the use of illicit drugs is a highly gendered activity </w:t>
      </w:r>
      <w:r>
        <w:fldChar w:fldCharType="begin"/>
      </w:r>
      <w:r w:rsidR="00AB7823">
        <w:instrText xml:space="preserve"> ADDIN ZOTERO_ITEM CSL_CITATION {"citationID":"XopLTcMZ","properties":{"formattedCitation":"(Darcy 2018, 2020)","plainCitation":"(Darcy 2018, 2020)","noteIndex":0},"citationItems":[{"id":112,"uris":["http://zotero.org/users/9138993/items/LJ77884B"],"itemData":{"id":112,"type":"article-journal","abstract":"This paper highlights a significant gender disparity within Ireland?s illicit drug landscape, which is predominantly composed of men. Irish men?s historical gender invisibility contributed to their predominance as drug users being overlooked. Thus, this paper focuses a masculinities lens on Irish men?s recreational use of illicit drugs, making their drug taking visible as a gendered activity. The study utilised a qualitative methodology, with masculinities theory forming the primary theoretical and analytical lens. Nine focus groups were conducted with Irish men exploring their views on illicit drugs. Twenty in-depth interviews were completed with men who identified as illicit recreational drug users, exploring their drug-taking histories and experiences. Findings demonstrate how the use of illicit drugs can symbolically communicate messages about the drug taker. The study reveals masculinities are an interpretative lens employed by men when trying to understand their own or other men?s drug taking. It is argued that men?s drug taking and masculinities intersect. In homosocial contexts, men?s recreational use of illicit drugs can contribute to them demonstrating masculinities to other drug-taking men; however, outside of these contexts, the same behaviours can be viewed by non-drug takers as emasculating.","container-title":"Irish Journal of Sociology","DOI":"10.1177/0791603517735772","ISSN":"0791-6035","issue":"1","journalAbbreviation":"Irish Journal of Sociology","note":"publisher: SAGE Publications Ltd","page":"5-24","source":"SAGE Journals","title":"Making the invisible visible: Masculinities and men’s illicit recreational drug use","title-short":"Making the invisible visible","volume":"26","author":[{"family":"Darcy","given":"Clay"}],"issued":{"date-parts":[["2018",4,1]]}}},{"id":110,"uris":["http://zotero.org/users/9138993/items/XTD3HEAU"],"itemData":{"id":110,"type":"article-journal","abstract":"The purpose of this article is to explore the motivations behind some men’s recreational use of illicit drugs from a gender standpoint. The rationale for this analysis stems from men’s predominance as illicit drug users and their likelihood of experiencing problem drug use and becoming a part of an over-represented population in drug treatment services. Explanations for men’s problematic/addicted patterns of drug use often point to marginalisation, disadvantage, and/or men’s tendency towards problematic health behaviours. This article argues that men’s illicit recreational drug use is often glossed over as a gendered activity and receives less scrutiny than problematic/addicted patterns of drug taking. It examines the drug-taking motivations of 20 Irish men who identified as illicit recreational drug users to expand on and deepen current explanations for men’s illicit recreational drug use. The article demonstrates how men engage in drug use for complex and contradictory reasons that include embodied quests for pleasure and excitement, achieving connection with other men, and performing or contravening masculinities in homosocial contexts.","container-title":"Sociological Research Online","DOI":"10.1177/1360780419879940","ISSN":"1360-7804","issue":"3","journalAbbreviation":"Sociological Research Online","language":"en","note":"publisher: SAGE Publications Ltd","page":"421-437","source":"SAGE Journals","title":"Men and the Drug Buzz: Masculinity and Men’s Motivations for Illicit Recreational Drug Use","title-short":"Men and the Drug Buzz","volume":"25","author":[{"family":"Darcy","given":"Clay"}],"issued":{"date-parts":[["2020",9,1]]}}}],"schema":"https://github.com/citation-style-language/schema/raw/master/csl-citation.json"} </w:instrText>
      </w:r>
      <w:r>
        <w:fldChar w:fldCharType="separate"/>
      </w:r>
      <w:r w:rsidRPr="00021D02">
        <w:t>(Darcy 2018, 2020)</w:t>
      </w:r>
      <w:r>
        <w:fldChar w:fldCharType="end"/>
      </w:r>
      <w:r>
        <w:t xml:space="preserve">. The findings from this research suggest that using illicit drugs can send a </w:t>
      </w:r>
      <w:r>
        <w:lastRenderedPageBreak/>
        <w:t xml:space="preserve">symbolic message about the drug user’s masculinity and that men’s drug habits intersect with their perceptions of their own masculinity. While the research notes that drug use is a highly complex matter, Darcy </w:t>
      </w:r>
      <w:r>
        <w:fldChar w:fldCharType="begin"/>
      </w:r>
      <w:r w:rsidR="00AB7823">
        <w:instrText xml:space="preserve"> ADDIN ZOTERO_ITEM CSL_CITATION {"citationID":"qMfH0oTi","properties":{"formattedCitation":"(Darcy 2018, 2020)","plainCitation":"(Darcy 2018, 2020)","dontUpdate":true,"noteIndex":0},"citationItems":[{"id":112,"uris":["http://zotero.org/users/9138993/items/LJ77884B"],"itemData":{"id":112,"type":"article-journal","abstract":"This paper highlights a significant gender disparity within Ireland?s illicit drug landscape, which is predominantly composed of men. Irish men?s historical gender invisibility contributed to their predominance as drug users being overlooked. Thus, this paper focuses a masculinities lens on Irish men?s recreational use of illicit drugs, making their drug taking visible as a gendered activity. The study utilised a qualitative methodology, with masculinities theory forming the primary theoretical and analytical lens. Nine focus groups were conducted with Irish men exploring their views on illicit drugs. Twenty in-depth interviews were completed with men who identified as illicit recreational drug users, exploring their drug-taking histories and experiences. Findings demonstrate how the use of illicit drugs can symbolically communicate messages about the drug taker. The study reveals masculinities are an interpretative lens employed by men when trying to understand their own or other men?s drug taking. It is argued that men?s drug taking and masculinities intersect. In homosocial contexts, men?s recreational use of illicit drugs can contribute to them demonstrating masculinities to other drug-taking men; however, outside of these contexts, the same behaviours can be viewed by non-drug takers as emasculating.","container-title":"Irish Journal of Sociology","DOI":"10.1177/0791603517735772","ISSN":"0791-6035","issue":"1","journalAbbreviation":"Irish Journal of Sociology","note":"publisher: SAGE Publications Ltd","page":"5-24","source":"SAGE Journals","title":"Making the invisible visible: Masculinities and men’s illicit recreational drug use","title-short":"Making the invisible visible","volume":"26","author":[{"family":"Darcy","given":"Clay"}],"issued":{"date-parts":[["2018",4,1]]}}},{"id":110,"uris":["http://zotero.org/users/9138993/items/XTD3HEAU"],"itemData":{"id":110,"type":"article-journal","abstract":"The purpose of this article is to explore the motivations behind some men’s recreational use of illicit drugs from a gender standpoint. The rationale for this analysis stems from men’s predominance as illicit drug users and their likelihood of experiencing problem drug use and becoming a part of an over-represented population in drug treatment services. Explanations for men’s problematic/addicted patterns of drug use often point to marginalisation, disadvantage, and/or men’s tendency towards problematic health behaviours. This article argues that men’s illicit recreational drug use is often glossed over as a gendered activity and receives less scrutiny than problematic/addicted patterns of drug taking. It examines the drug-taking motivations of 20 Irish men who identified as illicit recreational drug users to expand on and deepen current explanations for men’s illicit recreational drug use. The article demonstrates how men engage in drug use for complex and contradictory reasons that include embodied quests for pleasure and excitement, achieving connection with other men, and performing or contravening masculinities in homosocial contexts.","container-title":"Sociological Research Online","DOI":"10.1177/1360780419879940","ISSN":"1360-7804","issue":"3","journalAbbreviation":"Sociological Research Online","language":"en","note":"publisher: SAGE Publications Ltd","page":"421-437","source":"SAGE Journals","title":"Men and the Drug Buzz: Masculinity and Men’s Motivations for Illicit Recreational Drug Use","title-short":"Men and the Drug Buzz","volume":"25","author":[{"family":"Darcy","given":"Clay"}],"issued":{"date-parts":[["2020",9,1]]}}}],"schema":"https://github.com/citation-style-language/schema/raw/master/csl-citation.json"} </w:instrText>
      </w:r>
      <w:r>
        <w:fldChar w:fldCharType="separate"/>
      </w:r>
      <w:r w:rsidRPr="00BC7CCA">
        <w:t>(2018, 2020)</w:t>
      </w:r>
      <w:r>
        <w:fldChar w:fldCharType="end"/>
      </w:r>
      <w:r>
        <w:t xml:space="preserve"> begins to expand on the gendered contexts involved in illicit drug use. </w:t>
      </w:r>
      <w:r w:rsidR="00D039BB">
        <w:t xml:space="preserve">The current study extends upon this important work. </w:t>
      </w:r>
    </w:p>
    <w:p w14:paraId="24929E47" w14:textId="61B15122" w:rsidR="00CF2155" w:rsidRDefault="00CF2155" w:rsidP="00EF36D7">
      <w:pPr>
        <w:pStyle w:val="Heading1"/>
      </w:pPr>
      <w:bookmarkStart w:id="14" w:name="_Toc102664108"/>
      <w:r>
        <w:t>CURRENT RESEARCH</w:t>
      </w:r>
      <w:bookmarkEnd w:id="14"/>
      <w:r>
        <w:t xml:space="preserve"> </w:t>
      </w:r>
    </w:p>
    <w:p w14:paraId="27231116" w14:textId="5A5A4D29" w:rsidR="00CF2155" w:rsidRDefault="00AA64AC" w:rsidP="006E7BBC">
      <w:pPr>
        <w:ind w:firstLine="720"/>
      </w:pPr>
      <w:r>
        <w:t xml:space="preserve">This research </w:t>
      </w:r>
      <w:r w:rsidR="00F159C8">
        <w:t xml:space="preserve">examines </w:t>
      </w:r>
      <w:r>
        <w:t xml:space="preserve">the relationship between patriarchal norms and gender differences in the use of four types of drugs (marijuana, cocaine, heroin, and narcotics) and </w:t>
      </w:r>
      <w:r w:rsidR="00E57FB8">
        <w:t>seeks to</w:t>
      </w:r>
      <w:r w:rsidR="004D1FCF">
        <w:t xml:space="preserve"> investigate</w:t>
      </w:r>
      <w:r>
        <w:t xml:space="preserve"> the question: </w:t>
      </w:r>
      <w:r w:rsidRPr="003539C4">
        <w:rPr>
          <w:i/>
          <w:iCs/>
        </w:rPr>
        <w:t>How do family structure and beliefs in patriarchal norms relate to gender differences in the use of illicit drugs?</w:t>
      </w:r>
      <w:r>
        <w:t xml:space="preserve"> </w:t>
      </w:r>
      <w:r w:rsidR="00E57FB8">
        <w:t xml:space="preserve">Specifically, </w:t>
      </w:r>
      <w:r w:rsidR="00364DC7">
        <w:t xml:space="preserve">I explore patriarchy and masculinity as they relate to drug use </w:t>
      </w:r>
      <w:r w:rsidR="00BD1A4F">
        <w:t>among</w:t>
      </w:r>
      <w:r w:rsidR="00364DC7">
        <w:t xml:space="preserve"> adolescents and propose the idea of illicit masculinity; that is, that illicit activities such as crime and drug use are linked to ideas of patriarchy and masculinity. As discussed above, masculinity has already been linked to the use of illicit drugs, though there is room for further expansion and development of this connection. I posit that positive attitudes towards patriarchal norms in adolescent boys</w:t>
      </w:r>
      <w:r w:rsidR="00DF08D1">
        <w:t xml:space="preserve"> are associated with</w:t>
      </w:r>
      <w:r w:rsidR="00364DC7">
        <w:t xml:space="preserve"> their likelihood of using illicit drugs while positive attitudes towards patriarchal norms in adolescent girls ha</w:t>
      </w:r>
      <w:r w:rsidR="0072533B">
        <w:t>ve</w:t>
      </w:r>
      <w:r w:rsidR="00364DC7">
        <w:t xml:space="preserve"> a simultaneous converse effect. Young men who hold negative views towards patriarchal norms will have a lower likelihood of using illicit drugs, while young women who hold negative views towards such norms will have higher likelihoods of using illicit drugs. Overall, I argue that illicit masculinity, measured through patriarchal family structure and the belief of patriarchal norms, contributes</w:t>
      </w:r>
      <w:r w:rsidR="004D1FCF">
        <w:t xml:space="preserve"> </w:t>
      </w:r>
      <w:r w:rsidR="00364DC7">
        <w:t xml:space="preserve">to </w:t>
      </w:r>
      <w:r w:rsidR="004D1FCF">
        <w:t>a significant</w:t>
      </w:r>
      <w:r w:rsidR="00364DC7">
        <w:t xml:space="preserve"> gender gap in adolescent drug use. </w:t>
      </w:r>
      <w:r w:rsidR="00FE57D0">
        <w:t xml:space="preserve">Using logistic regression models to </w:t>
      </w:r>
      <w:r w:rsidR="0071327C">
        <w:t xml:space="preserve">examine </w:t>
      </w:r>
      <w:r w:rsidR="00FE57D0">
        <w:t xml:space="preserve">the </w:t>
      </w:r>
      <w:r w:rsidR="0084759F">
        <w:t xml:space="preserve">effects of gender and patriarchal norms on the use of various drugs, I propose and test the following hypotheses: </w:t>
      </w:r>
    </w:p>
    <w:p w14:paraId="763A5111" w14:textId="06058BA1" w:rsidR="00DA3390" w:rsidRDefault="0069460E" w:rsidP="006E7BBC">
      <w:pPr>
        <w:ind w:left="720"/>
      </w:pPr>
      <w:r>
        <w:lastRenderedPageBreak/>
        <w:t>H</w:t>
      </w:r>
      <w:r w:rsidR="004E23B7">
        <w:t xml:space="preserve">ypothesis 1a: </w:t>
      </w:r>
      <w:r w:rsidR="00C101FA">
        <w:t>Gender is significantly related to the use of cocaine, narcotics, and heroin, in that young men are more likely to use these drugs than young women</w:t>
      </w:r>
      <w:r w:rsidR="00630647">
        <w:t>.</w:t>
      </w:r>
    </w:p>
    <w:p w14:paraId="4B3E241A" w14:textId="1DCA61BA" w:rsidR="00DA3390" w:rsidRDefault="00DA3390" w:rsidP="006E7BBC">
      <w:pPr>
        <w:ind w:left="720"/>
      </w:pPr>
      <w:r>
        <w:t>Hypothesis 1b: Gender is not significantly related to the use of marijuana</w:t>
      </w:r>
      <w:r w:rsidR="00630647">
        <w:t>.</w:t>
      </w:r>
    </w:p>
    <w:p w14:paraId="185D0191" w14:textId="6F24A336" w:rsidR="009E1B48" w:rsidRDefault="009E1B48" w:rsidP="006E7BBC">
      <w:pPr>
        <w:ind w:left="720"/>
      </w:pPr>
      <w:r>
        <w:t xml:space="preserve">Hypothesis 2: </w:t>
      </w:r>
      <w:r w:rsidR="00A703A5">
        <w:t xml:space="preserve">Patriarchal family structures will contribute to a larger gender difference </w:t>
      </w:r>
      <w:r w:rsidR="006936A7">
        <w:t xml:space="preserve">in each illicit substance use </w:t>
      </w:r>
      <w:r w:rsidR="00A703A5">
        <w:t>when compared to egalitarian</w:t>
      </w:r>
      <w:r w:rsidR="00C05901">
        <w:t xml:space="preserve"> family</w:t>
      </w:r>
      <w:r w:rsidR="00A703A5">
        <w:t xml:space="preserve"> structures. </w:t>
      </w:r>
    </w:p>
    <w:p w14:paraId="2E9E8B5E" w14:textId="0F85456B" w:rsidR="00DA3390" w:rsidRDefault="00DA3390" w:rsidP="006E7BBC">
      <w:pPr>
        <w:ind w:left="720"/>
      </w:pPr>
      <w:r>
        <w:t>Hypothesis</w:t>
      </w:r>
      <w:r w:rsidR="009E1B48">
        <w:t xml:space="preserve"> 3</w:t>
      </w:r>
      <w:r w:rsidR="001A06BF">
        <w:t xml:space="preserve">: </w:t>
      </w:r>
      <w:r w:rsidR="006936A7">
        <w:t>A</w:t>
      </w:r>
      <w:r w:rsidR="00C05901">
        <w:t>greement with</w:t>
      </w:r>
      <w:r w:rsidR="006936A7">
        <w:t xml:space="preserve"> patriarchal norms will result in a larger gender difference in each illicit substance use </w:t>
      </w:r>
      <w:r w:rsidR="001563C8">
        <w:t xml:space="preserve">when compared </w:t>
      </w:r>
      <w:r w:rsidR="00C05901">
        <w:t>to</w:t>
      </w:r>
      <w:r w:rsidR="001563C8">
        <w:t xml:space="preserve"> disagree</w:t>
      </w:r>
      <w:r w:rsidR="00C05901">
        <w:t>ment</w:t>
      </w:r>
      <w:r w:rsidR="001563C8">
        <w:t xml:space="preserve"> with patriarchal norms.</w:t>
      </w:r>
      <w:r w:rsidR="00180DE9">
        <w:t xml:space="preserve"> </w:t>
      </w:r>
    </w:p>
    <w:p w14:paraId="1D5C4394" w14:textId="648E7AFF" w:rsidR="00CF2155" w:rsidRDefault="00CF2155" w:rsidP="00EF36D7">
      <w:pPr>
        <w:pStyle w:val="Heading1"/>
      </w:pPr>
      <w:bookmarkStart w:id="15" w:name="_Toc102664109"/>
      <w:r>
        <w:t>METHODS</w:t>
      </w:r>
      <w:bookmarkEnd w:id="15"/>
    </w:p>
    <w:p w14:paraId="3D0C9C32" w14:textId="05DF40C1" w:rsidR="00CF2155" w:rsidRDefault="00FC4F17" w:rsidP="00EF36D7">
      <w:pPr>
        <w:pStyle w:val="Heading2"/>
      </w:pPr>
      <w:bookmarkStart w:id="16" w:name="_Toc102664110"/>
      <w:r>
        <w:t>Data</w:t>
      </w:r>
      <w:bookmarkEnd w:id="16"/>
    </w:p>
    <w:p w14:paraId="0509FED0" w14:textId="66C2742E" w:rsidR="006913FF" w:rsidRDefault="006913FF" w:rsidP="006E7BBC">
      <w:pPr>
        <w:ind w:firstLine="720"/>
      </w:pPr>
      <w:r>
        <w:t>In this study, I use data from the Monitoring the Future (MTF) dataset from 1976 to 2019. The survey explores changes in values, behaviors, and lifestyles of American youth and contains a nationally representative sample of 8</w:t>
      </w:r>
      <w:r w:rsidRPr="00FD57D9">
        <w:rPr>
          <w:vertAlign w:val="superscript"/>
        </w:rPr>
        <w:t>th</w:t>
      </w:r>
      <w:r>
        <w:t>-, 10</w:t>
      </w:r>
      <w:r w:rsidRPr="00FD57D9">
        <w:rPr>
          <w:vertAlign w:val="superscript"/>
        </w:rPr>
        <w:t>th</w:t>
      </w:r>
      <w:r>
        <w:t>-, and 12</w:t>
      </w:r>
      <w:r w:rsidRPr="00FD57D9">
        <w:rPr>
          <w:vertAlign w:val="superscript"/>
        </w:rPr>
        <w:t>th</w:t>
      </w:r>
      <w:r>
        <w:rPr>
          <w:vertAlign w:val="superscript"/>
        </w:rPr>
        <w:t xml:space="preserve"> </w:t>
      </w:r>
      <w:r>
        <w:t>-graders across the United States. This dataset includes both public and restricted-use data and consists of six questionnaires covering various subjects assigned randomly to participants. For this research, I focus on the publicly available data from questionnaire three for 12</w:t>
      </w:r>
      <w:r w:rsidRPr="00FD57D9">
        <w:rPr>
          <w:vertAlign w:val="superscript"/>
        </w:rPr>
        <w:t>th</w:t>
      </w:r>
      <w:r>
        <w:t>-grade participants</w:t>
      </w:r>
      <w:r w:rsidR="002C2235" w:rsidRPr="005B489A">
        <w:rPr>
          <w:rStyle w:val="FootnoteReference"/>
        </w:rPr>
        <w:footnoteReference w:id="1"/>
      </w:r>
      <w:r>
        <w:t>. This questionnaire contains various questions regarding the participants’ drug use</w:t>
      </w:r>
      <w:r w:rsidR="00892A27">
        <w:t xml:space="preserve">, family life, </w:t>
      </w:r>
      <w:r>
        <w:t xml:space="preserve">and cultural beliefs about gender. As my research question focuses on illicit drug use and a belief in patriarchal norms, these data provide an insight into the experiences and beliefs of those about to leave high school and begin their adult lives. </w:t>
      </w:r>
    </w:p>
    <w:p w14:paraId="02AB69E4" w14:textId="04CF43EA" w:rsidR="006913FF" w:rsidRDefault="00A00FB6" w:rsidP="00EF36D7">
      <w:pPr>
        <w:pStyle w:val="Heading2"/>
      </w:pPr>
      <w:bookmarkStart w:id="17" w:name="_Toc102664111"/>
      <w:r>
        <w:lastRenderedPageBreak/>
        <w:t>Sample</w:t>
      </w:r>
      <w:bookmarkEnd w:id="17"/>
    </w:p>
    <w:p w14:paraId="79F2F7B3" w14:textId="7D7EFD80" w:rsidR="00FC27CC" w:rsidRDefault="006D5538" w:rsidP="006E7BBC">
      <w:r>
        <w:tab/>
      </w:r>
      <w:r w:rsidR="00FC27CC">
        <w:t>Using listwise deletion</w:t>
      </w:r>
      <w:r w:rsidR="00676024">
        <w:t xml:space="preserve">, I form my sample from respondents who report their gender, </w:t>
      </w:r>
      <w:r w:rsidR="002C6FE4">
        <w:t>family structure, and attitudes towards patriarchal norms. To examine each illicit substance independently</w:t>
      </w:r>
      <w:r w:rsidR="00F3508E">
        <w:t>, I create four sub</w:t>
      </w:r>
      <w:r w:rsidR="00E12B70">
        <w:t>groups</w:t>
      </w:r>
      <w:r w:rsidR="00F3508E">
        <w:t>. The first sub</w:t>
      </w:r>
      <w:r w:rsidR="00E12B70">
        <w:t>group</w:t>
      </w:r>
      <w:r w:rsidR="00F3508E">
        <w:t xml:space="preserve"> is formed from youth who report</w:t>
      </w:r>
      <w:r w:rsidR="004B013B">
        <w:t xml:space="preserve"> </w:t>
      </w:r>
      <w:proofErr w:type="gramStart"/>
      <w:r w:rsidR="004B013B">
        <w:t>whether or not</w:t>
      </w:r>
      <w:proofErr w:type="gramEnd"/>
      <w:r w:rsidR="004B013B">
        <w:t xml:space="preserve"> they have</w:t>
      </w:r>
      <w:r w:rsidR="00F3508E">
        <w:t xml:space="preserve"> used marijuana in their lifetime and is composed of </w:t>
      </w:r>
      <w:r w:rsidR="00120C6E">
        <w:t xml:space="preserve">48,589 observations. The second </w:t>
      </w:r>
      <w:r w:rsidR="00E12B70">
        <w:t xml:space="preserve">subgroup </w:t>
      </w:r>
      <w:r w:rsidR="00120C6E">
        <w:t>includes respondents who report</w:t>
      </w:r>
      <w:r w:rsidR="00BC0477">
        <w:t xml:space="preserve"> </w:t>
      </w:r>
      <w:proofErr w:type="gramStart"/>
      <w:r w:rsidR="00BC0477">
        <w:t>whether or not</w:t>
      </w:r>
      <w:proofErr w:type="gramEnd"/>
      <w:r w:rsidR="00BC0477">
        <w:t xml:space="preserve"> they have </w:t>
      </w:r>
      <w:r w:rsidR="00120C6E">
        <w:t xml:space="preserve">used any form of cocaine in their lifetime and is composed of 49,029 observations. The third </w:t>
      </w:r>
      <w:r w:rsidR="00E12B70">
        <w:t xml:space="preserve">subgroup </w:t>
      </w:r>
      <w:r w:rsidR="0044683B">
        <w:t xml:space="preserve">includes respondents who have reported </w:t>
      </w:r>
      <w:proofErr w:type="gramStart"/>
      <w:r w:rsidR="00BC0477">
        <w:t>whether or not</w:t>
      </w:r>
      <w:proofErr w:type="gramEnd"/>
      <w:r w:rsidR="00BC0477">
        <w:t xml:space="preserve"> they have used</w:t>
      </w:r>
      <w:r w:rsidR="0044683B">
        <w:t xml:space="preserve"> heroin at least once in their lifetime and is composed of 49,103 respondents, while the fourth </w:t>
      </w:r>
      <w:r w:rsidR="00E12B70">
        <w:t xml:space="preserve">subgroup </w:t>
      </w:r>
      <w:r w:rsidR="0044683B">
        <w:t>is composed of youth who report</w:t>
      </w:r>
      <w:r w:rsidR="00BC0477">
        <w:t xml:space="preserve"> whether or not they have</w:t>
      </w:r>
      <w:r w:rsidR="0044683B">
        <w:t xml:space="preserve"> </w:t>
      </w:r>
      <w:r w:rsidR="00AB489E">
        <w:t xml:space="preserve">illegally used narcotics at least once in their lifetime and is composed of 49,094 observations. </w:t>
      </w:r>
    </w:p>
    <w:p w14:paraId="72D98D10" w14:textId="7902CBFB" w:rsidR="006D5538" w:rsidRDefault="006D5538" w:rsidP="00EF36D7">
      <w:pPr>
        <w:pStyle w:val="Heading2"/>
      </w:pPr>
      <w:bookmarkStart w:id="18" w:name="_Toc102664112"/>
      <w:r>
        <w:t>Dependent Variable</w:t>
      </w:r>
      <w:bookmarkEnd w:id="18"/>
    </w:p>
    <w:p w14:paraId="3D7AD5DC" w14:textId="77777777" w:rsidR="00655801" w:rsidRPr="00E13011" w:rsidRDefault="00655801" w:rsidP="006E7BBC">
      <w:pPr>
        <w:rPr>
          <w:u w:val="single"/>
        </w:rPr>
      </w:pPr>
      <w:r w:rsidRPr="00E13011">
        <w:rPr>
          <w:u w:val="single"/>
        </w:rPr>
        <w:t>Substance Use</w:t>
      </w:r>
    </w:p>
    <w:p w14:paraId="2C6B2C65" w14:textId="727E7D20" w:rsidR="00655801" w:rsidRDefault="00655801" w:rsidP="006E7BBC">
      <w:r>
        <w:tab/>
        <w:t>The MTF survey collects data on participants’ use of several illicit substances in their lifetime by asking the question “</w:t>
      </w:r>
      <w:r w:rsidRPr="00E421CE">
        <w:t>On how many occasions (if any) have you</w:t>
      </w:r>
      <w:r>
        <w:t xml:space="preserve"> </w:t>
      </w:r>
      <w:r w:rsidRPr="008A5873">
        <w:rPr>
          <w:i/>
          <w:iCs/>
        </w:rPr>
        <w:t xml:space="preserve">[used x </w:t>
      </w:r>
      <w:r>
        <w:rPr>
          <w:i/>
          <w:iCs/>
        </w:rPr>
        <w:t>substance</w:t>
      </w:r>
      <w:r w:rsidRPr="008A5873">
        <w:rPr>
          <w:i/>
          <w:iCs/>
        </w:rPr>
        <w:t>]</w:t>
      </w:r>
      <w:r w:rsidRPr="00E421CE">
        <w:t xml:space="preserve"> in your lifetime?</w:t>
      </w:r>
      <w:r>
        <w:t>” substituting in different substances and appropriate descriptions of the substance</w:t>
      </w:r>
      <w:r w:rsidRPr="005B489A">
        <w:rPr>
          <w:rStyle w:val="FootnoteReference"/>
        </w:rPr>
        <w:footnoteReference w:id="2"/>
      </w:r>
      <w:r>
        <w:t xml:space="preserve"> for each question. Responses to these questions range from “0 Occasions” to “40 or More Occasions.” My analysis contain</w:t>
      </w:r>
      <w:r w:rsidR="00A2568C">
        <w:t>s</w:t>
      </w:r>
      <w:r>
        <w:t xml:space="preserve"> four separate measures of substance use: marijuana, cocaine, heroin, and narcotics. Each measure serve</w:t>
      </w:r>
      <w:r w:rsidR="00A2568C">
        <w:t>s</w:t>
      </w:r>
      <w:r>
        <w:t xml:space="preserve"> as a dependent variable in its corresponding </w:t>
      </w:r>
      <w:r w:rsidR="00E12B70">
        <w:t>subgroup.</w:t>
      </w:r>
      <w:r>
        <w:t xml:space="preserve"> Alcohol consumption </w:t>
      </w:r>
      <w:r w:rsidR="00F82593">
        <w:t xml:space="preserve">is </w:t>
      </w:r>
      <w:r>
        <w:t xml:space="preserve">not included in this study. For each drug examined in the study (marijuana, cocaine, heroin, and narcotics) I recode responses to the question into a </w:t>
      </w:r>
      <w:r>
        <w:lastRenderedPageBreak/>
        <w:t xml:space="preserve">dichotomous indicator variable, with a value of 1 representing participants who report having used the corresponding substance and a value of 0 representing those who report having never used the </w:t>
      </w:r>
      <w:proofErr w:type="gramStart"/>
      <w:r>
        <w:t>aforementioned substance</w:t>
      </w:r>
      <w:proofErr w:type="gramEnd"/>
      <w:r>
        <w:t xml:space="preserve">. </w:t>
      </w:r>
    </w:p>
    <w:p w14:paraId="224D4443" w14:textId="77777777" w:rsidR="008F2379" w:rsidRPr="00467736" w:rsidRDefault="008F2379" w:rsidP="00EF36D7">
      <w:pPr>
        <w:pStyle w:val="Heading2"/>
      </w:pPr>
      <w:bookmarkStart w:id="19" w:name="_Toc102664113"/>
      <w:r>
        <w:t>Independent Variables</w:t>
      </w:r>
      <w:bookmarkEnd w:id="19"/>
    </w:p>
    <w:p w14:paraId="094081DB" w14:textId="77777777" w:rsidR="008F2379" w:rsidRPr="00516114" w:rsidRDefault="008F2379" w:rsidP="006E7BBC">
      <w:r>
        <w:rPr>
          <w:u w:val="single"/>
        </w:rPr>
        <w:t>Gender</w:t>
      </w:r>
    </w:p>
    <w:p w14:paraId="10C1EEB4" w14:textId="50FD0CFB" w:rsidR="0071604E" w:rsidRDefault="008F2379" w:rsidP="006E7BBC">
      <w:r>
        <w:tab/>
        <w:t>To capture gender difference,</w:t>
      </w:r>
      <w:r w:rsidDel="00711B89">
        <w:t xml:space="preserve"> </w:t>
      </w:r>
      <w:r>
        <w:t xml:space="preserve">I create an indicator for young men (coded as 1) and young </w:t>
      </w:r>
      <w:r w:rsidR="00381CA4">
        <w:t>wo</w:t>
      </w:r>
      <w:r>
        <w:t>men (coded as 0). Gender in this context is formed from a question asking about the respondent’s sex and is treated as a binary. While a binary representation of gender is not ideal, due to the limitations of this survey, it is treated as such and is interpreted as “men” and “women.”</w:t>
      </w:r>
    </w:p>
    <w:p w14:paraId="1AB3B9F7" w14:textId="1C9C8428" w:rsidR="00381CA4" w:rsidRDefault="00381CA4" w:rsidP="006E7BBC">
      <w:pPr>
        <w:rPr>
          <w:u w:val="single"/>
        </w:rPr>
      </w:pPr>
      <w:r>
        <w:rPr>
          <w:u w:val="single"/>
        </w:rPr>
        <w:t>Patriarchal Familie</w:t>
      </w:r>
      <w:r w:rsidRPr="001D1A96">
        <w:rPr>
          <w:u w:val="single"/>
        </w:rPr>
        <w:t>s</w:t>
      </w:r>
    </w:p>
    <w:p w14:paraId="21CB98DA" w14:textId="18017FCF" w:rsidR="00381CA4" w:rsidRDefault="00381CA4" w:rsidP="006E7BBC">
      <w:r>
        <w:tab/>
        <w:t xml:space="preserve">The </w:t>
      </w:r>
      <w:r w:rsidR="00483F70">
        <w:t xml:space="preserve">patriarchal </w:t>
      </w:r>
      <w:r>
        <w:t xml:space="preserve">family measure </w:t>
      </w:r>
      <w:r w:rsidR="00E9718E">
        <w:t>is</w:t>
      </w:r>
      <w:r>
        <w:t xml:space="preserve"> composed of two questions from the MTF survey. The first question asks respondents “Which of the following people live in the same household with you?” and provides the options: Father (or stepfather), mother (or stepmother), and brothers (or stepbrother) and sisters (or stepsisters). Due to the public use format of these data, the MTF creators deleted observations that fell into other alternatives, such as living with grandparents, other relatives, or living alone. The responses from this question </w:t>
      </w:r>
      <w:r w:rsidR="00E9718E">
        <w:t xml:space="preserve">are </w:t>
      </w:r>
      <w:r>
        <w:t xml:space="preserve">recoded into a categorical variable measuring family structures, with categories for single-father homes and single mother homes, with dual parent homes serving as a reference category. The MTF survey also asks the respondent about their mother’s work status by asking: “Did your mother have a paid job (half-time or more) during the time you were growing up?” Responses to this question are recoded into an indicator variable, with those whose mothers worked during their childhood coded as 1 and those whose mothers did not work during their childhood coded as 0. This variable is then </w:t>
      </w:r>
      <w:r>
        <w:lastRenderedPageBreak/>
        <w:t xml:space="preserve">grouped with the family structure variable and recoded so that </w:t>
      </w:r>
      <w:r w:rsidR="009311AE">
        <w:t xml:space="preserve">respondents </w:t>
      </w:r>
      <w:r w:rsidR="008C2D1C">
        <w:t xml:space="preserve">from </w:t>
      </w:r>
      <w:r w:rsidR="009311AE">
        <w:t xml:space="preserve">dual-parent homes </w:t>
      </w:r>
      <w:r w:rsidR="008C2D1C">
        <w:t xml:space="preserve">in which </w:t>
      </w:r>
      <w:r w:rsidR="009311AE">
        <w:t xml:space="preserve">the mother does not work are assigned a value of </w:t>
      </w:r>
      <w:r>
        <w:t xml:space="preserve">1, representing </w:t>
      </w:r>
      <w:r w:rsidR="009311AE">
        <w:t>a patriarchal</w:t>
      </w:r>
      <w:r>
        <w:t xml:space="preserve"> family structure, while </w:t>
      </w:r>
      <w:r w:rsidR="009311AE">
        <w:t>respondents who come from dual-parent homes (a mother and a father, in this case) whose mother also worked during their childhood are coded as</w:t>
      </w:r>
      <w:r>
        <w:t xml:space="preserve"> 0, representing </w:t>
      </w:r>
      <w:r w:rsidR="009311AE">
        <w:t xml:space="preserve">egalitarian </w:t>
      </w:r>
      <w:r>
        <w:t xml:space="preserve">family structures. For the purposes of this research, those respondents coming from single-parent homes </w:t>
      </w:r>
      <w:r w:rsidR="000C461F">
        <w:t>were</w:t>
      </w:r>
      <w:r>
        <w:t xml:space="preserve"> dropped (see </w:t>
      </w:r>
      <w:r>
        <w:fldChar w:fldCharType="begin"/>
      </w:r>
      <w:r w:rsidR="00AB7823">
        <w:instrText xml:space="preserve"> ADDIN ZOTERO_ITEM CSL_CITATION {"citationID":"Ui4LBKYW","properties":{"formattedCitation":"(Blackwell 2000)","plainCitation":"(Blackwell 2000)","dontUpdate":true,"noteIndex":0},"citationItems":[{"id":43,"uris":["http://zotero.org/users/9138993/items/U27MWAUF"],"itemData":{"id":43,"type":"article-journal","container-title":"Criminology","issue":"2","journalAbbreviation":"Criminology","language":"eng","page":"439-488","source":"HeinOnline","title":"Perceived Sanction Threats, Gender, and Crime: A Test and Elaboration of Power-Control Theory","title-short":"Perceived Sanction Threats, Gender, and Crime","volume":"38","author":[{"family":"Blackwell","given":"Brenda Sims"}],"issued":{"date-parts":[["2000"]]}}}],"schema":"https://github.com/citation-style-language/schema/raw/master/csl-citation.json"} </w:instrText>
      </w:r>
      <w:r>
        <w:fldChar w:fldCharType="separate"/>
      </w:r>
      <w:r w:rsidRPr="00411EA1">
        <w:t>Blackwell 2000)</w:t>
      </w:r>
      <w:r>
        <w:fldChar w:fldCharType="end"/>
      </w:r>
      <w:r w:rsidR="009311AE">
        <w:t xml:space="preserve">. </w:t>
      </w:r>
    </w:p>
    <w:p w14:paraId="7AEF1F0B" w14:textId="77777777" w:rsidR="0071604E" w:rsidRDefault="0071604E" w:rsidP="006E7BBC">
      <w:pPr>
        <w:rPr>
          <w:u w:val="single"/>
        </w:rPr>
      </w:pPr>
      <w:r>
        <w:rPr>
          <w:u w:val="single"/>
        </w:rPr>
        <w:t>Attitudes Toward Patriarchal Norms</w:t>
      </w:r>
    </w:p>
    <w:p w14:paraId="4286D6EB" w14:textId="56F6846D" w:rsidR="0071604E" w:rsidRDefault="0071604E" w:rsidP="006E7BBC">
      <w:pPr>
        <w:ind w:firstLine="720"/>
      </w:pPr>
      <w:r>
        <w:t xml:space="preserve">The MTF survey measures the participants’ level of agreement with several cultural beliefs, including </w:t>
      </w:r>
      <w:r w:rsidR="005A01A5">
        <w:t xml:space="preserve">those </w:t>
      </w:r>
      <w:r>
        <w:t xml:space="preserve">pertaining to gender ideals and norms. To create my </w:t>
      </w:r>
      <w:r w:rsidRPr="004121FB">
        <w:rPr>
          <w:i/>
          <w:iCs/>
        </w:rPr>
        <w:t>attitudes toward patriarchal norms</w:t>
      </w:r>
      <w:r>
        <w:t xml:space="preserve"> variable, I recode the five-point Likert scale from participants’ level of agreement with the following statement: “</w:t>
      </w:r>
      <w:r w:rsidRPr="00F14724">
        <w:t>It is usually better for everyone involved if the man is the achiever outside the home and the woman takes care of the home and family</w:t>
      </w:r>
      <w:r>
        <w:t xml:space="preserve">,” with those who agree (strongly or in general) coded as 1, compared to those who disagree (strongly or in general), coded as 0. Those who indicated “neither” were dropped from the sample. </w:t>
      </w:r>
    </w:p>
    <w:p w14:paraId="67E74FA4" w14:textId="1A2B78B1" w:rsidR="006601F9" w:rsidRDefault="006601F9" w:rsidP="00EF36D7">
      <w:pPr>
        <w:pStyle w:val="Heading2"/>
      </w:pPr>
      <w:bookmarkStart w:id="20" w:name="_Toc102664114"/>
      <w:r>
        <w:t>Controls</w:t>
      </w:r>
      <w:bookmarkEnd w:id="20"/>
    </w:p>
    <w:p w14:paraId="2FE742A9" w14:textId="77777777" w:rsidR="006601F9" w:rsidRDefault="006601F9" w:rsidP="006E7BBC">
      <w:pPr>
        <w:rPr>
          <w:u w:val="single"/>
        </w:rPr>
      </w:pPr>
      <w:r>
        <w:rPr>
          <w:u w:val="single"/>
        </w:rPr>
        <w:t>Parents’ Education</w:t>
      </w:r>
    </w:p>
    <w:p w14:paraId="55F51F71" w14:textId="77777777" w:rsidR="006601F9" w:rsidRPr="00467736" w:rsidRDefault="006601F9" w:rsidP="006E7BBC">
      <w:r w:rsidRPr="00467736">
        <w:tab/>
        <w:t>Serving as a proxy for the respondents’ socioeconomic status, t</w:t>
      </w:r>
      <w:r w:rsidRPr="00111FF9">
        <w:t xml:space="preserve">he control measures for each parent’s education </w:t>
      </w:r>
      <w:r w:rsidRPr="009B4CEC">
        <w:t>(mother</w:t>
      </w:r>
      <w:r w:rsidRPr="008A4594">
        <w:t>s’</w:t>
      </w:r>
      <w:r w:rsidRPr="00531C41">
        <w:t xml:space="preserve"> and fathers’) are two sep</w:t>
      </w:r>
      <w:r w:rsidRPr="00986A14">
        <w:t xml:space="preserve">arate categorical variables. Each variable </w:t>
      </w:r>
      <w:r w:rsidRPr="00C60D77">
        <w:t>is coded into five categories:</w:t>
      </w:r>
      <w:r w:rsidRPr="002D3064">
        <w:t xml:space="preserve"> “Less Than High School,” “High School,” “Some College,” “College,” and “Graduate/Professional Degree,” with less than high school serving as the reference category for each.</w:t>
      </w:r>
    </w:p>
    <w:p w14:paraId="37C407EB" w14:textId="77777777" w:rsidR="006601F9" w:rsidRDefault="006601F9" w:rsidP="006E7BBC">
      <w:pPr>
        <w:rPr>
          <w:u w:val="single"/>
        </w:rPr>
      </w:pPr>
      <w:r>
        <w:rPr>
          <w:u w:val="single"/>
        </w:rPr>
        <w:t>Race</w:t>
      </w:r>
    </w:p>
    <w:p w14:paraId="7670A25A" w14:textId="4A431CB1" w:rsidR="006601F9" w:rsidRPr="00467736" w:rsidRDefault="006601F9" w:rsidP="006E7BBC">
      <w:r w:rsidRPr="00467736">
        <w:lastRenderedPageBreak/>
        <w:tab/>
        <w:t xml:space="preserve">I control for race using an adapted version of the MTF’s race variable. Prior to 2005, the MTF creators removed any respondents from the public use data who identified as anything other than non-Hispanic white or non-Hispanic Black. In 2005, the MTF creators changed the coding of the publicly available dataset to include Hispanic respondents. </w:t>
      </w:r>
      <w:proofErr w:type="gramStart"/>
      <w:r w:rsidRPr="00467736">
        <w:t>In order to</w:t>
      </w:r>
      <w:proofErr w:type="gramEnd"/>
      <w:r w:rsidRPr="00467736">
        <w:t xml:space="preserve"> accurately examine trends across several decades, I create a race variable that only includes </w:t>
      </w:r>
      <w:r w:rsidR="004C742F">
        <w:t>W</w:t>
      </w:r>
      <w:r w:rsidR="004C742F" w:rsidRPr="00467736">
        <w:t xml:space="preserve">hite </w:t>
      </w:r>
      <w:r w:rsidRPr="00467736">
        <w:t xml:space="preserve">and Black respondents, excluding Hispanic respondents from the model. </w:t>
      </w:r>
    </w:p>
    <w:p w14:paraId="5A114AAF" w14:textId="77777777" w:rsidR="006601F9" w:rsidRDefault="006601F9" w:rsidP="006E7BBC">
      <w:pPr>
        <w:rPr>
          <w:u w:val="single"/>
        </w:rPr>
      </w:pPr>
      <w:r>
        <w:rPr>
          <w:u w:val="single"/>
        </w:rPr>
        <w:t>Time</w:t>
      </w:r>
    </w:p>
    <w:p w14:paraId="024ED8A7" w14:textId="646AFC4E" w:rsidR="00655801" w:rsidRDefault="006601F9" w:rsidP="006E7BBC">
      <w:r w:rsidRPr="00467736">
        <w:tab/>
        <w:t>I control for time by year, using the year in which the survey was administered.</w:t>
      </w:r>
    </w:p>
    <w:p w14:paraId="280D28B6" w14:textId="77777777" w:rsidR="003035B0" w:rsidRDefault="003035B0" w:rsidP="00EF36D7">
      <w:pPr>
        <w:pStyle w:val="Heading2"/>
      </w:pPr>
      <w:bookmarkStart w:id="21" w:name="_Toc102664115"/>
      <w:r>
        <w:t>Analytical Strategy</w:t>
      </w:r>
      <w:bookmarkEnd w:id="21"/>
    </w:p>
    <w:p w14:paraId="3BE13F39" w14:textId="4450612A" w:rsidR="00274401" w:rsidRDefault="003035B0" w:rsidP="006E7BBC">
      <w:r>
        <w:tab/>
        <w:t>As I have four</w:t>
      </w:r>
      <w:r w:rsidR="004B2A97">
        <w:t xml:space="preserve"> </w:t>
      </w:r>
      <w:r w:rsidR="00B75C13">
        <w:t xml:space="preserve">subgroups </w:t>
      </w:r>
      <w:r>
        <w:t xml:space="preserve">with four separate dependent variables, I perform each of my models described below four times, once for each </w:t>
      </w:r>
      <w:r w:rsidR="00B75C13">
        <w:t>subgroup</w:t>
      </w:r>
      <w:r>
        <w:t xml:space="preserve">. For the </w:t>
      </w:r>
      <w:r w:rsidR="008123EF">
        <w:t>analyses</w:t>
      </w:r>
      <w:r>
        <w:t xml:space="preserve"> focusing on marijuana, cocaine, and narcotics, I use logistic regression models.</w:t>
      </w:r>
      <w:r w:rsidR="00EF59EE">
        <w:t xml:space="preserve"> Table 1 displays the descriptive statistics for each </w:t>
      </w:r>
      <w:r w:rsidR="00B75C13">
        <w:t>subgroup</w:t>
      </w:r>
      <w:r w:rsidR="00EF59EE">
        <w:t>.</w:t>
      </w:r>
      <w:r>
        <w:t xml:space="preserve"> </w:t>
      </w:r>
      <w:r w:rsidR="003416D0">
        <w:t>P</w:t>
      </w:r>
      <w:r w:rsidRPr="00F4112C">
        <w:t>reliminary data analysis revealed that about 1 percent of the sample report using heroin</w:t>
      </w:r>
      <w:r w:rsidR="00DF6446">
        <w:t xml:space="preserve">. </w:t>
      </w:r>
      <w:r w:rsidR="00DF6446" w:rsidRPr="00F4112C">
        <w:t>Since this is a rare outcome in these data</w:t>
      </w:r>
      <w:r w:rsidR="00DF6446">
        <w:t xml:space="preserve">, </w:t>
      </w:r>
      <w:r w:rsidR="005D28C4">
        <w:t xml:space="preserve">I performed both a rare outcomes logistic model and a standard logistic regression. Differences between the models were minimal and </w:t>
      </w:r>
      <w:r w:rsidR="00DF40B4">
        <w:t>non-substantive</w:t>
      </w:r>
      <w:r w:rsidR="00DF6446">
        <w:t xml:space="preserve">. The analyses display the standard logistic regression model, and the rare outcomes model is included in the appendix. </w:t>
      </w:r>
      <w:r w:rsidR="00F4112C">
        <w:t xml:space="preserve">Model 1 </w:t>
      </w:r>
      <w:r w:rsidR="0072533B">
        <w:t>is</w:t>
      </w:r>
      <w:r w:rsidR="00F4112C">
        <w:t xml:space="preserve"> a regression of substance use on gender, controlling for family structure, attitudes towards patriarchal norms, parent education, race, and time. Model 2 introduce</w:t>
      </w:r>
      <w:r w:rsidR="0072533B">
        <w:t>s</w:t>
      </w:r>
      <w:r w:rsidR="00F4112C">
        <w:t xml:space="preserve"> an interaction between gender and </w:t>
      </w:r>
      <w:r w:rsidR="00E96BB9">
        <w:t>patriarchal</w:t>
      </w:r>
      <w:r w:rsidR="00F4112C">
        <w:t xml:space="preserve"> family structure, and Model 3 include</w:t>
      </w:r>
      <w:r w:rsidR="0072533B">
        <w:t>s</w:t>
      </w:r>
      <w:r w:rsidR="00F4112C">
        <w:t xml:space="preserve"> an interaction between gender and attitudes towards patriarchal norms.</w:t>
      </w:r>
      <w:r w:rsidR="00664F7D">
        <w:t xml:space="preserve"> </w:t>
      </w:r>
    </w:p>
    <w:p w14:paraId="6E4CB428" w14:textId="77777777" w:rsidR="001B56F3" w:rsidRDefault="001B56F3" w:rsidP="006E7BBC"/>
    <w:p w14:paraId="46E6DA64" w14:textId="77777777" w:rsidR="001B56F3" w:rsidRDefault="001B56F3" w:rsidP="006E7BBC"/>
    <w:p w14:paraId="3A42456C" w14:textId="3A15781C" w:rsidR="00D0373D" w:rsidRPr="00D0373D" w:rsidRDefault="00D0373D" w:rsidP="00F45AB6">
      <w:pPr>
        <w:spacing w:line="240" w:lineRule="auto"/>
        <w:rPr>
          <w:b/>
          <w:bCs/>
        </w:rPr>
      </w:pPr>
      <w:r>
        <w:rPr>
          <w:b/>
          <w:bCs/>
        </w:rPr>
        <w:lastRenderedPageBreak/>
        <w:t xml:space="preserve">Table 1. Descriptive Statistics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0"/>
        <w:gridCol w:w="900"/>
        <w:gridCol w:w="720"/>
        <w:gridCol w:w="810"/>
        <w:gridCol w:w="720"/>
        <w:gridCol w:w="810"/>
        <w:gridCol w:w="720"/>
        <w:gridCol w:w="810"/>
        <w:gridCol w:w="630"/>
      </w:tblGrid>
      <w:tr w:rsidR="00D733DC" w:rsidRPr="00D733DC" w14:paraId="61D32552" w14:textId="243C5EE1" w:rsidTr="000A404C">
        <w:tc>
          <w:tcPr>
            <w:tcW w:w="3150" w:type="dxa"/>
            <w:tcBorders>
              <w:top w:val="single" w:sz="4" w:space="0" w:color="auto"/>
            </w:tcBorders>
          </w:tcPr>
          <w:p w14:paraId="4C325A04" w14:textId="4F7DEBE5" w:rsidR="00B9660E" w:rsidRPr="00D733DC" w:rsidRDefault="00B9660E" w:rsidP="006E7BBC"/>
        </w:tc>
        <w:tc>
          <w:tcPr>
            <w:tcW w:w="1620" w:type="dxa"/>
            <w:gridSpan w:val="2"/>
            <w:tcBorders>
              <w:top w:val="single" w:sz="4" w:space="0" w:color="auto"/>
              <w:bottom w:val="single" w:sz="4" w:space="0" w:color="auto"/>
            </w:tcBorders>
          </w:tcPr>
          <w:p w14:paraId="1207D6F1" w14:textId="566026D0" w:rsidR="00B9660E" w:rsidRPr="00D733DC" w:rsidRDefault="00B9660E" w:rsidP="00CC07A3">
            <w:pPr>
              <w:jc w:val="center"/>
            </w:pPr>
            <w:r w:rsidRPr="00D733DC">
              <w:t xml:space="preserve">Marijuana </w:t>
            </w:r>
          </w:p>
        </w:tc>
        <w:tc>
          <w:tcPr>
            <w:tcW w:w="1530" w:type="dxa"/>
            <w:gridSpan w:val="2"/>
            <w:tcBorders>
              <w:top w:val="single" w:sz="4" w:space="0" w:color="auto"/>
              <w:bottom w:val="single" w:sz="4" w:space="0" w:color="auto"/>
            </w:tcBorders>
          </w:tcPr>
          <w:p w14:paraId="5695C9F9" w14:textId="41BDD56D" w:rsidR="00B9660E" w:rsidRPr="00D733DC" w:rsidRDefault="00B9660E" w:rsidP="00CC07A3">
            <w:pPr>
              <w:jc w:val="center"/>
            </w:pPr>
            <w:r w:rsidRPr="00D733DC">
              <w:t xml:space="preserve">Cocaine </w:t>
            </w:r>
          </w:p>
        </w:tc>
        <w:tc>
          <w:tcPr>
            <w:tcW w:w="1530" w:type="dxa"/>
            <w:gridSpan w:val="2"/>
            <w:tcBorders>
              <w:top w:val="single" w:sz="4" w:space="0" w:color="auto"/>
              <w:bottom w:val="single" w:sz="4" w:space="0" w:color="auto"/>
            </w:tcBorders>
          </w:tcPr>
          <w:p w14:paraId="76650A17" w14:textId="56FC4A16" w:rsidR="00B9660E" w:rsidRPr="00D733DC" w:rsidRDefault="00B9660E" w:rsidP="00CC07A3">
            <w:pPr>
              <w:jc w:val="center"/>
            </w:pPr>
            <w:r w:rsidRPr="00D733DC">
              <w:t>Heroine</w:t>
            </w:r>
          </w:p>
        </w:tc>
        <w:tc>
          <w:tcPr>
            <w:tcW w:w="1440" w:type="dxa"/>
            <w:gridSpan w:val="2"/>
            <w:tcBorders>
              <w:top w:val="single" w:sz="4" w:space="0" w:color="auto"/>
              <w:bottom w:val="single" w:sz="4" w:space="0" w:color="auto"/>
            </w:tcBorders>
          </w:tcPr>
          <w:p w14:paraId="3B10AC30" w14:textId="27B30DD4" w:rsidR="00B9660E" w:rsidRPr="00D733DC" w:rsidRDefault="00B9660E" w:rsidP="00CC07A3">
            <w:pPr>
              <w:jc w:val="center"/>
            </w:pPr>
            <w:r w:rsidRPr="00D733DC">
              <w:t xml:space="preserve">Narcotics </w:t>
            </w:r>
          </w:p>
        </w:tc>
      </w:tr>
      <w:tr w:rsidR="00387689" w:rsidRPr="00D733DC" w14:paraId="27F0E06E" w14:textId="5B29D2D8" w:rsidTr="000A404C">
        <w:tc>
          <w:tcPr>
            <w:tcW w:w="3150" w:type="dxa"/>
          </w:tcPr>
          <w:p w14:paraId="7C4B9872" w14:textId="77777777" w:rsidR="00CC07A3" w:rsidRPr="00D733DC" w:rsidRDefault="00CC07A3" w:rsidP="00CC07A3"/>
        </w:tc>
        <w:tc>
          <w:tcPr>
            <w:tcW w:w="900" w:type="dxa"/>
            <w:tcBorders>
              <w:top w:val="single" w:sz="4" w:space="0" w:color="auto"/>
            </w:tcBorders>
          </w:tcPr>
          <w:p w14:paraId="7B244F90" w14:textId="32CE214D" w:rsidR="00CC07A3" w:rsidRPr="00D733DC" w:rsidRDefault="00CC07A3" w:rsidP="00CC07A3">
            <w:pPr>
              <w:jc w:val="center"/>
            </w:pPr>
            <w:r w:rsidRPr="00D733DC">
              <w:t>Mean (%)</w:t>
            </w:r>
          </w:p>
        </w:tc>
        <w:tc>
          <w:tcPr>
            <w:tcW w:w="720" w:type="dxa"/>
            <w:tcBorders>
              <w:top w:val="single" w:sz="4" w:space="0" w:color="auto"/>
            </w:tcBorders>
          </w:tcPr>
          <w:p w14:paraId="3B0D34C9" w14:textId="63E0336D" w:rsidR="00CC07A3" w:rsidRPr="00D733DC" w:rsidRDefault="00CC07A3" w:rsidP="00CC07A3">
            <w:pPr>
              <w:jc w:val="center"/>
            </w:pPr>
            <w:r w:rsidRPr="00D733DC">
              <w:t>Std. Dev</w:t>
            </w:r>
          </w:p>
        </w:tc>
        <w:tc>
          <w:tcPr>
            <w:tcW w:w="810" w:type="dxa"/>
            <w:tcBorders>
              <w:top w:val="single" w:sz="4" w:space="0" w:color="auto"/>
            </w:tcBorders>
          </w:tcPr>
          <w:p w14:paraId="04AEC509" w14:textId="6BBC65B9" w:rsidR="00CC07A3" w:rsidRPr="00D733DC" w:rsidRDefault="00CC07A3" w:rsidP="00E77BF9">
            <w:pPr>
              <w:jc w:val="center"/>
            </w:pPr>
            <w:r w:rsidRPr="00D733DC">
              <w:t>Mean (%)</w:t>
            </w:r>
          </w:p>
        </w:tc>
        <w:tc>
          <w:tcPr>
            <w:tcW w:w="720" w:type="dxa"/>
            <w:tcBorders>
              <w:top w:val="single" w:sz="4" w:space="0" w:color="auto"/>
            </w:tcBorders>
          </w:tcPr>
          <w:p w14:paraId="3FC99EB8" w14:textId="3597598D" w:rsidR="00CC07A3" w:rsidRPr="00D733DC" w:rsidRDefault="00CC07A3" w:rsidP="00E77BF9">
            <w:pPr>
              <w:jc w:val="center"/>
            </w:pPr>
            <w:r w:rsidRPr="00D733DC">
              <w:t>Std. Dev</w:t>
            </w:r>
          </w:p>
        </w:tc>
        <w:tc>
          <w:tcPr>
            <w:tcW w:w="810" w:type="dxa"/>
            <w:tcBorders>
              <w:top w:val="single" w:sz="4" w:space="0" w:color="auto"/>
            </w:tcBorders>
          </w:tcPr>
          <w:p w14:paraId="34DAD861" w14:textId="0AA175AD" w:rsidR="00CC07A3" w:rsidRPr="00D733DC" w:rsidRDefault="00CC07A3" w:rsidP="00E77BF9">
            <w:pPr>
              <w:jc w:val="center"/>
            </w:pPr>
            <w:r w:rsidRPr="00D733DC">
              <w:t>Mean (%)</w:t>
            </w:r>
          </w:p>
        </w:tc>
        <w:tc>
          <w:tcPr>
            <w:tcW w:w="720" w:type="dxa"/>
            <w:tcBorders>
              <w:top w:val="single" w:sz="4" w:space="0" w:color="auto"/>
            </w:tcBorders>
          </w:tcPr>
          <w:p w14:paraId="4AABCB6B" w14:textId="6F2C1B7A" w:rsidR="00CC07A3" w:rsidRPr="00D733DC" w:rsidRDefault="00CC07A3" w:rsidP="00E77BF9">
            <w:pPr>
              <w:jc w:val="center"/>
            </w:pPr>
            <w:r w:rsidRPr="00D733DC">
              <w:t>Std. Dev</w:t>
            </w:r>
          </w:p>
        </w:tc>
        <w:tc>
          <w:tcPr>
            <w:tcW w:w="810" w:type="dxa"/>
            <w:tcBorders>
              <w:top w:val="single" w:sz="4" w:space="0" w:color="auto"/>
            </w:tcBorders>
          </w:tcPr>
          <w:p w14:paraId="3BA79AF8" w14:textId="110487F2" w:rsidR="00CC07A3" w:rsidRPr="00D733DC" w:rsidRDefault="00CC07A3" w:rsidP="00E77BF9">
            <w:pPr>
              <w:jc w:val="center"/>
            </w:pPr>
            <w:r w:rsidRPr="00D733DC">
              <w:t>Mean (%)</w:t>
            </w:r>
          </w:p>
        </w:tc>
        <w:tc>
          <w:tcPr>
            <w:tcW w:w="630" w:type="dxa"/>
            <w:tcBorders>
              <w:top w:val="single" w:sz="4" w:space="0" w:color="auto"/>
            </w:tcBorders>
          </w:tcPr>
          <w:p w14:paraId="6E8A9FD4" w14:textId="75DFF6B3" w:rsidR="00CC07A3" w:rsidRPr="00D733DC" w:rsidRDefault="00CC07A3" w:rsidP="00E77BF9">
            <w:pPr>
              <w:jc w:val="center"/>
            </w:pPr>
            <w:r w:rsidRPr="00D733DC">
              <w:t>Std. Dev</w:t>
            </w:r>
          </w:p>
        </w:tc>
      </w:tr>
      <w:tr w:rsidR="00A92253" w:rsidRPr="00D733DC" w14:paraId="03EE5C35" w14:textId="77777777" w:rsidTr="000A404C">
        <w:tc>
          <w:tcPr>
            <w:tcW w:w="3150" w:type="dxa"/>
          </w:tcPr>
          <w:p w14:paraId="6EDE6342" w14:textId="34DE2887" w:rsidR="00A92253" w:rsidRPr="00A92253" w:rsidRDefault="00A92253" w:rsidP="00CC07A3">
            <w:pPr>
              <w:rPr>
                <w:b/>
                <w:bCs/>
                <w:u w:val="single"/>
              </w:rPr>
            </w:pPr>
            <w:r>
              <w:rPr>
                <w:b/>
                <w:bCs/>
                <w:u w:val="single"/>
              </w:rPr>
              <w:t>Main Variables</w:t>
            </w:r>
          </w:p>
        </w:tc>
        <w:tc>
          <w:tcPr>
            <w:tcW w:w="900" w:type="dxa"/>
          </w:tcPr>
          <w:p w14:paraId="6492D063" w14:textId="77777777" w:rsidR="00A92253" w:rsidRPr="00D733DC" w:rsidRDefault="00A92253" w:rsidP="00E27DF3"/>
        </w:tc>
        <w:tc>
          <w:tcPr>
            <w:tcW w:w="720" w:type="dxa"/>
          </w:tcPr>
          <w:p w14:paraId="6F515814" w14:textId="77777777" w:rsidR="00A92253" w:rsidRPr="00D733DC" w:rsidRDefault="00A92253" w:rsidP="00E27DF3"/>
        </w:tc>
        <w:tc>
          <w:tcPr>
            <w:tcW w:w="810" w:type="dxa"/>
          </w:tcPr>
          <w:p w14:paraId="1EACE99C" w14:textId="77777777" w:rsidR="00A92253" w:rsidRPr="00D733DC" w:rsidRDefault="00A92253" w:rsidP="00E27DF3"/>
        </w:tc>
        <w:tc>
          <w:tcPr>
            <w:tcW w:w="720" w:type="dxa"/>
          </w:tcPr>
          <w:p w14:paraId="6A8AC057" w14:textId="77777777" w:rsidR="00A92253" w:rsidRPr="00D733DC" w:rsidRDefault="00A92253" w:rsidP="00E27DF3"/>
        </w:tc>
        <w:tc>
          <w:tcPr>
            <w:tcW w:w="810" w:type="dxa"/>
          </w:tcPr>
          <w:p w14:paraId="6801AC0F" w14:textId="77777777" w:rsidR="00A92253" w:rsidRPr="00D733DC" w:rsidRDefault="00A92253" w:rsidP="00E27DF3"/>
        </w:tc>
        <w:tc>
          <w:tcPr>
            <w:tcW w:w="720" w:type="dxa"/>
          </w:tcPr>
          <w:p w14:paraId="2332AF37" w14:textId="77777777" w:rsidR="00A92253" w:rsidRPr="00D733DC" w:rsidRDefault="00A92253" w:rsidP="00E27DF3"/>
        </w:tc>
        <w:tc>
          <w:tcPr>
            <w:tcW w:w="810" w:type="dxa"/>
          </w:tcPr>
          <w:p w14:paraId="6A789CCE" w14:textId="77777777" w:rsidR="00A92253" w:rsidRPr="00D733DC" w:rsidRDefault="00A92253" w:rsidP="00E27DF3"/>
        </w:tc>
        <w:tc>
          <w:tcPr>
            <w:tcW w:w="630" w:type="dxa"/>
          </w:tcPr>
          <w:p w14:paraId="30248425" w14:textId="77777777" w:rsidR="00A92253" w:rsidRPr="00D733DC" w:rsidRDefault="00A92253" w:rsidP="00E27DF3"/>
        </w:tc>
      </w:tr>
      <w:tr w:rsidR="00387689" w:rsidRPr="00D733DC" w14:paraId="2573E9B7" w14:textId="633FEF08" w:rsidTr="000A404C">
        <w:tc>
          <w:tcPr>
            <w:tcW w:w="3150" w:type="dxa"/>
          </w:tcPr>
          <w:p w14:paraId="5EDEA89C" w14:textId="0A55EC3A" w:rsidR="00CC07A3" w:rsidRPr="00D733DC" w:rsidRDefault="0062224D" w:rsidP="00CC07A3">
            <w:r w:rsidRPr="00D733DC">
              <w:t>Substance Use</w:t>
            </w:r>
          </w:p>
        </w:tc>
        <w:tc>
          <w:tcPr>
            <w:tcW w:w="900" w:type="dxa"/>
          </w:tcPr>
          <w:p w14:paraId="1EF761E8" w14:textId="0A71BE45" w:rsidR="00CC07A3" w:rsidRPr="00D733DC" w:rsidRDefault="00415254" w:rsidP="00EB3C72">
            <w:pPr>
              <w:tabs>
                <w:tab w:val="decimal" w:pos="255"/>
              </w:tabs>
            </w:pPr>
            <w:r>
              <w:t>47.41</w:t>
            </w:r>
          </w:p>
        </w:tc>
        <w:tc>
          <w:tcPr>
            <w:tcW w:w="720" w:type="dxa"/>
          </w:tcPr>
          <w:p w14:paraId="1373D714" w14:textId="24805DB5" w:rsidR="00CC07A3" w:rsidRPr="00D733DC" w:rsidRDefault="00415254" w:rsidP="00E27DF3">
            <w:r>
              <w:t>.50</w:t>
            </w:r>
          </w:p>
        </w:tc>
        <w:tc>
          <w:tcPr>
            <w:tcW w:w="810" w:type="dxa"/>
          </w:tcPr>
          <w:p w14:paraId="5E0ECCEA" w14:textId="0C51DF7D" w:rsidR="00CC07A3" w:rsidRPr="00D733DC" w:rsidRDefault="003A2DAC" w:rsidP="00EB3C72">
            <w:pPr>
              <w:tabs>
                <w:tab w:val="decimal" w:pos="255"/>
              </w:tabs>
            </w:pPr>
            <w:r>
              <w:t>8.83</w:t>
            </w:r>
          </w:p>
        </w:tc>
        <w:tc>
          <w:tcPr>
            <w:tcW w:w="720" w:type="dxa"/>
          </w:tcPr>
          <w:p w14:paraId="78D8251D" w14:textId="20F79DB3" w:rsidR="00CC07A3" w:rsidRPr="00D733DC" w:rsidRDefault="003A2DAC" w:rsidP="00E27DF3">
            <w:r>
              <w:t>.</w:t>
            </w:r>
            <w:r w:rsidR="00E27DF3">
              <w:t>28</w:t>
            </w:r>
          </w:p>
        </w:tc>
        <w:tc>
          <w:tcPr>
            <w:tcW w:w="810" w:type="dxa"/>
          </w:tcPr>
          <w:p w14:paraId="1714D042" w14:textId="33CC9B76" w:rsidR="00CC07A3" w:rsidRPr="00D733DC" w:rsidRDefault="00E21016" w:rsidP="00D0373D">
            <w:pPr>
              <w:tabs>
                <w:tab w:val="decimal" w:pos="255"/>
              </w:tabs>
            </w:pPr>
            <w:r>
              <w:t>0.93</w:t>
            </w:r>
          </w:p>
        </w:tc>
        <w:tc>
          <w:tcPr>
            <w:tcW w:w="720" w:type="dxa"/>
          </w:tcPr>
          <w:p w14:paraId="14863E3C" w14:textId="2F78E001" w:rsidR="00CC07A3" w:rsidRPr="00D733DC" w:rsidRDefault="001F5295" w:rsidP="00E27DF3">
            <w:r>
              <w:t>.09</w:t>
            </w:r>
          </w:p>
        </w:tc>
        <w:tc>
          <w:tcPr>
            <w:tcW w:w="810" w:type="dxa"/>
          </w:tcPr>
          <w:p w14:paraId="7D0E377E" w14:textId="11826EF7" w:rsidR="00CC07A3" w:rsidRPr="00D733DC" w:rsidRDefault="00983F21" w:rsidP="00D0373D">
            <w:pPr>
              <w:tabs>
                <w:tab w:val="decimal" w:pos="255"/>
              </w:tabs>
            </w:pPr>
            <w:r>
              <w:t>9.17</w:t>
            </w:r>
          </w:p>
        </w:tc>
        <w:tc>
          <w:tcPr>
            <w:tcW w:w="630" w:type="dxa"/>
          </w:tcPr>
          <w:p w14:paraId="26C1F194" w14:textId="3F8C2485" w:rsidR="00CC07A3" w:rsidRPr="00D733DC" w:rsidRDefault="00387689" w:rsidP="00E27DF3">
            <w:r>
              <w:t>.29</w:t>
            </w:r>
          </w:p>
        </w:tc>
      </w:tr>
      <w:tr w:rsidR="00387689" w:rsidRPr="00D733DC" w14:paraId="0F76705C" w14:textId="7E2362A9" w:rsidTr="000A404C">
        <w:tc>
          <w:tcPr>
            <w:tcW w:w="3150" w:type="dxa"/>
          </w:tcPr>
          <w:p w14:paraId="6AD9DE94" w14:textId="76237CAE" w:rsidR="00CC07A3" w:rsidRPr="00D733DC" w:rsidRDefault="0062224D" w:rsidP="00CC07A3">
            <w:r w:rsidRPr="00D733DC">
              <w:t>Gender (Young Men)</w:t>
            </w:r>
          </w:p>
        </w:tc>
        <w:tc>
          <w:tcPr>
            <w:tcW w:w="900" w:type="dxa"/>
          </w:tcPr>
          <w:p w14:paraId="433CD072" w14:textId="734C7EE8" w:rsidR="00CC07A3" w:rsidRPr="00D733DC" w:rsidRDefault="00415254" w:rsidP="00EB3C72">
            <w:pPr>
              <w:tabs>
                <w:tab w:val="decimal" w:pos="255"/>
              </w:tabs>
            </w:pPr>
            <w:r>
              <w:t>45.84</w:t>
            </w:r>
          </w:p>
        </w:tc>
        <w:tc>
          <w:tcPr>
            <w:tcW w:w="720" w:type="dxa"/>
          </w:tcPr>
          <w:p w14:paraId="0F1588D9" w14:textId="6B97BD32" w:rsidR="00CC07A3" w:rsidRPr="00D733DC" w:rsidRDefault="00415254" w:rsidP="00E27DF3">
            <w:r>
              <w:t>.50</w:t>
            </w:r>
          </w:p>
        </w:tc>
        <w:tc>
          <w:tcPr>
            <w:tcW w:w="810" w:type="dxa"/>
          </w:tcPr>
          <w:p w14:paraId="482FA1BB" w14:textId="70714EC7" w:rsidR="00CC07A3" w:rsidRPr="00D733DC" w:rsidRDefault="00972050" w:rsidP="00EB3C72">
            <w:pPr>
              <w:tabs>
                <w:tab w:val="decimal" w:pos="255"/>
              </w:tabs>
            </w:pPr>
            <w:r>
              <w:t>45.88</w:t>
            </w:r>
          </w:p>
        </w:tc>
        <w:tc>
          <w:tcPr>
            <w:tcW w:w="720" w:type="dxa"/>
          </w:tcPr>
          <w:p w14:paraId="665C65E9" w14:textId="1C37BA6D" w:rsidR="00CC07A3" w:rsidRPr="00D733DC" w:rsidRDefault="00972050" w:rsidP="00E27DF3">
            <w:r>
              <w:t>.50</w:t>
            </w:r>
          </w:p>
        </w:tc>
        <w:tc>
          <w:tcPr>
            <w:tcW w:w="810" w:type="dxa"/>
          </w:tcPr>
          <w:p w14:paraId="01BE99D4" w14:textId="43A993D4" w:rsidR="00CC07A3" w:rsidRPr="00D733DC" w:rsidRDefault="001F5295" w:rsidP="00D0373D">
            <w:pPr>
              <w:tabs>
                <w:tab w:val="decimal" w:pos="255"/>
              </w:tabs>
            </w:pPr>
            <w:r>
              <w:t>45.87</w:t>
            </w:r>
          </w:p>
        </w:tc>
        <w:tc>
          <w:tcPr>
            <w:tcW w:w="720" w:type="dxa"/>
          </w:tcPr>
          <w:p w14:paraId="08200900" w14:textId="5669950C" w:rsidR="00CC07A3" w:rsidRPr="00D733DC" w:rsidRDefault="001F5295" w:rsidP="00E27DF3">
            <w:r>
              <w:t>.50</w:t>
            </w:r>
          </w:p>
        </w:tc>
        <w:tc>
          <w:tcPr>
            <w:tcW w:w="810" w:type="dxa"/>
          </w:tcPr>
          <w:p w14:paraId="5005F435" w14:textId="2E219096" w:rsidR="00CC07A3" w:rsidRPr="00D733DC" w:rsidRDefault="00FB639D" w:rsidP="00D0373D">
            <w:pPr>
              <w:tabs>
                <w:tab w:val="decimal" w:pos="255"/>
              </w:tabs>
            </w:pPr>
            <w:r>
              <w:t>45.89</w:t>
            </w:r>
          </w:p>
        </w:tc>
        <w:tc>
          <w:tcPr>
            <w:tcW w:w="630" w:type="dxa"/>
          </w:tcPr>
          <w:p w14:paraId="2E8CEC53" w14:textId="75E7253A" w:rsidR="00CC07A3" w:rsidRPr="00D733DC" w:rsidRDefault="00FB639D" w:rsidP="00E27DF3">
            <w:r>
              <w:t>.50</w:t>
            </w:r>
          </w:p>
        </w:tc>
      </w:tr>
      <w:tr w:rsidR="00387689" w:rsidRPr="00D733DC" w14:paraId="00EB17BF" w14:textId="7E23E812" w:rsidTr="000A404C">
        <w:tc>
          <w:tcPr>
            <w:tcW w:w="3150" w:type="dxa"/>
          </w:tcPr>
          <w:p w14:paraId="4DC13F2E" w14:textId="596F5556" w:rsidR="00CC07A3" w:rsidRPr="00D733DC" w:rsidRDefault="00E77BF9" w:rsidP="00CC07A3">
            <w:r w:rsidRPr="00D733DC">
              <w:t xml:space="preserve">Patriarchal Family </w:t>
            </w:r>
          </w:p>
        </w:tc>
        <w:tc>
          <w:tcPr>
            <w:tcW w:w="900" w:type="dxa"/>
          </w:tcPr>
          <w:p w14:paraId="09A1A5AD" w14:textId="10F0B154" w:rsidR="00CC07A3" w:rsidRPr="00D733DC" w:rsidRDefault="009C7E05" w:rsidP="00EB3C72">
            <w:pPr>
              <w:tabs>
                <w:tab w:val="decimal" w:pos="255"/>
              </w:tabs>
            </w:pPr>
            <w:r>
              <w:t>24.78</w:t>
            </w:r>
          </w:p>
        </w:tc>
        <w:tc>
          <w:tcPr>
            <w:tcW w:w="720" w:type="dxa"/>
          </w:tcPr>
          <w:p w14:paraId="195D88C9" w14:textId="37421C34" w:rsidR="00CC07A3" w:rsidRPr="00D733DC" w:rsidRDefault="009C7E05" w:rsidP="00E27DF3">
            <w:r>
              <w:t>.43</w:t>
            </w:r>
          </w:p>
        </w:tc>
        <w:tc>
          <w:tcPr>
            <w:tcW w:w="810" w:type="dxa"/>
          </w:tcPr>
          <w:p w14:paraId="34553D92" w14:textId="1FECF07C" w:rsidR="00CC07A3" w:rsidRPr="00D733DC" w:rsidRDefault="00972050" w:rsidP="00EB3C72">
            <w:pPr>
              <w:tabs>
                <w:tab w:val="decimal" w:pos="255"/>
              </w:tabs>
            </w:pPr>
            <w:r>
              <w:t>24.76</w:t>
            </w:r>
          </w:p>
        </w:tc>
        <w:tc>
          <w:tcPr>
            <w:tcW w:w="720" w:type="dxa"/>
          </w:tcPr>
          <w:p w14:paraId="4527C682" w14:textId="1B761607" w:rsidR="00CC07A3" w:rsidRPr="00D733DC" w:rsidRDefault="00972050" w:rsidP="00E27DF3">
            <w:r>
              <w:t>.43</w:t>
            </w:r>
          </w:p>
        </w:tc>
        <w:tc>
          <w:tcPr>
            <w:tcW w:w="810" w:type="dxa"/>
          </w:tcPr>
          <w:p w14:paraId="21F7331C" w14:textId="2B83AC6D" w:rsidR="00CC07A3" w:rsidRPr="00D733DC" w:rsidRDefault="001F5295" w:rsidP="00D0373D">
            <w:pPr>
              <w:tabs>
                <w:tab w:val="decimal" w:pos="255"/>
              </w:tabs>
            </w:pPr>
            <w:r>
              <w:t>24.77</w:t>
            </w:r>
          </w:p>
        </w:tc>
        <w:tc>
          <w:tcPr>
            <w:tcW w:w="720" w:type="dxa"/>
          </w:tcPr>
          <w:p w14:paraId="23707065" w14:textId="2B87CFF7" w:rsidR="00CC07A3" w:rsidRPr="00D733DC" w:rsidRDefault="001F5295" w:rsidP="00E27DF3">
            <w:r>
              <w:t>.43</w:t>
            </w:r>
          </w:p>
        </w:tc>
        <w:tc>
          <w:tcPr>
            <w:tcW w:w="810" w:type="dxa"/>
          </w:tcPr>
          <w:p w14:paraId="2B94A783" w14:textId="6F0221B2" w:rsidR="00CC07A3" w:rsidRPr="00D733DC" w:rsidRDefault="00FB639D" w:rsidP="00D0373D">
            <w:pPr>
              <w:tabs>
                <w:tab w:val="decimal" w:pos="255"/>
              </w:tabs>
            </w:pPr>
            <w:r>
              <w:t>24.77</w:t>
            </w:r>
          </w:p>
        </w:tc>
        <w:tc>
          <w:tcPr>
            <w:tcW w:w="630" w:type="dxa"/>
          </w:tcPr>
          <w:p w14:paraId="428AEA7B" w14:textId="2CA94C76" w:rsidR="00CC07A3" w:rsidRPr="00D733DC" w:rsidRDefault="00FB639D" w:rsidP="00E27DF3">
            <w:r>
              <w:t>.43</w:t>
            </w:r>
          </w:p>
        </w:tc>
      </w:tr>
      <w:tr w:rsidR="00387689" w:rsidRPr="00D733DC" w14:paraId="2EA6869F" w14:textId="5A3F6917" w:rsidTr="000A404C">
        <w:tc>
          <w:tcPr>
            <w:tcW w:w="3150" w:type="dxa"/>
          </w:tcPr>
          <w:p w14:paraId="55FAB4FB" w14:textId="3F968F15" w:rsidR="00CC07A3" w:rsidRPr="00D733DC" w:rsidRDefault="00E77BF9" w:rsidP="00CC07A3">
            <w:r w:rsidRPr="00D733DC">
              <w:t>Agree with Patriarchal Norms</w:t>
            </w:r>
          </w:p>
        </w:tc>
        <w:tc>
          <w:tcPr>
            <w:tcW w:w="900" w:type="dxa"/>
          </w:tcPr>
          <w:p w14:paraId="0DFDDCAD" w14:textId="6D4CB711" w:rsidR="00CC07A3" w:rsidRPr="00D733DC" w:rsidRDefault="009C7E05" w:rsidP="00EB3C72">
            <w:pPr>
              <w:tabs>
                <w:tab w:val="decimal" w:pos="255"/>
              </w:tabs>
            </w:pPr>
            <w:r>
              <w:t>40.45</w:t>
            </w:r>
          </w:p>
        </w:tc>
        <w:tc>
          <w:tcPr>
            <w:tcW w:w="720" w:type="dxa"/>
          </w:tcPr>
          <w:p w14:paraId="5F078F78" w14:textId="7E40C63C" w:rsidR="00CC07A3" w:rsidRPr="00D733DC" w:rsidRDefault="009C7E05" w:rsidP="00E27DF3">
            <w:r>
              <w:t>.49</w:t>
            </w:r>
          </w:p>
        </w:tc>
        <w:tc>
          <w:tcPr>
            <w:tcW w:w="810" w:type="dxa"/>
          </w:tcPr>
          <w:p w14:paraId="4017D865" w14:textId="28984C2D" w:rsidR="00CC07A3" w:rsidRPr="00D733DC" w:rsidRDefault="00972050" w:rsidP="00EB3C72">
            <w:pPr>
              <w:tabs>
                <w:tab w:val="decimal" w:pos="255"/>
              </w:tabs>
            </w:pPr>
            <w:r>
              <w:t>40.84</w:t>
            </w:r>
          </w:p>
        </w:tc>
        <w:tc>
          <w:tcPr>
            <w:tcW w:w="720" w:type="dxa"/>
          </w:tcPr>
          <w:p w14:paraId="6DD56072" w14:textId="7AA4B30E" w:rsidR="00CC07A3" w:rsidRPr="00D733DC" w:rsidRDefault="008E3A85" w:rsidP="00E27DF3">
            <w:r>
              <w:t>.49</w:t>
            </w:r>
          </w:p>
        </w:tc>
        <w:tc>
          <w:tcPr>
            <w:tcW w:w="810" w:type="dxa"/>
          </w:tcPr>
          <w:p w14:paraId="2DE1F9BD" w14:textId="6752697D" w:rsidR="00CC07A3" w:rsidRPr="00D733DC" w:rsidRDefault="00B43A39" w:rsidP="00D0373D">
            <w:pPr>
              <w:tabs>
                <w:tab w:val="decimal" w:pos="255"/>
              </w:tabs>
            </w:pPr>
            <w:r>
              <w:t>40.84</w:t>
            </w:r>
          </w:p>
        </w:tc>
        <w:tc>
          <w:tcPr>
            <w:tcW w:w="720" w:type="dxa"/>
          </w:tcPr>
          <w:p w14:paraId="5136991B" w14:textId="14421212" w:rsidR="00CC07A3" w:rsidRPr="00D733DC" w:rsidRDefault="00B43A39" w:rsidP="00E27DF3">
            <w:r>
              <w:t>.49</w:t>
            </w:r>
          </w:p>
        </w:tc>
        <w:tc>
          <w:tcPr>
            <w:tcW w:w="810" w:type="dxa"/>
          </w:tcPr>
          <w:p w14:paraId="369C8BA8" w14:textId="75ABC969" w:rsidR="00CC07A3" w:rsidRPr="00D733DC" w:rsidRDefault="00FB639D" w:rsidP="00D0373D">
            <w:pPr>
              <w:tabs>
                <w:tab w:val="decimal" w:pos="255"/>
              </w:tabs>
            </w:pPr>
            <w:r>
              <w:t>40.84</w:t>
            </w:r>
          </w:p>
        </w:tc>
        <w:tc>
          <w:tcPr>
            <w:tcW w:w="630" w:type="dxa"/>
          </w:tcPr>
          <w:p w14:paraId="4DAF8726" w14:textId="236D2175" w:rsidR="00CC07A3" w:rsidRPr="00D733DC" w:rsidRDefault="00FB639D" w:rsidP="00E27DF3">
            <w:r>
              <w:t>.49</w:t>
            </w:r>
          </w:p>
        </w:tc>
      </w:tr>
      <w:tr w:rsidR="00A92253" w:rsidRPr="00D733DC" w14:paraId="114ED542" w14:textId="77777777" w:rsidTr="000A404C">
        <w:tc>
          <w:tcPr>
            <w:tcW w:w="3150" w:type="dxa"/>
          </w:tcPr>
          <w:p w14:paraId="376717BC" w14:textId="71F8E516" w:rsidR="00A92253" w:rsidRPr="00A92253" w:rsidRDefault="00A92253" w:rsidP="00CC07A3">
            <w:r>
              <w:rPr>
                <w:b/>
                <w:bCs/>
                <w:u w:val="single"/>
              </w:rPr>
              <w:t>Controls</w:t>
            </w:r>
          </w:p>
        </w:tc>
        <w:tc>
          <w:tcPr>
            <w:tcW w:w="900" w:type="dxa"/>
          </w:tcPr>
          <w:p w14:paraId="09064ABC" w14:textId="77777777" w:rsidR="00A92253" w:rsidRPr="00D733DC" w:rsidRDefault="00A92253" w:rsidP="00EB3C72">
            <w:pPr>
              <w:tabs>
                <w:tab w:val="decimal" w:pos="255"/>
              </w:tabs>
            </w:pPr>
          </w:p>
        </w:tc>
        <w:tc>
          <w:tcPr>
            <w:tcW w:w="720" w:type="dxa"/>
          </w:tcPr>
          <w:p w14:paraId="516DD40E" w14:textId="77777777" w:rsidR="00A92253" w:rsidRPr="00D733DC" w:rsidRDefault="00A92253" w:rsidP="00E27DF3"/>
        </w:tc>
        <w:tc>
          <w:tcPr>
            <w:tcW w:w="810" w:type="dxa"/>
          </w:tcPr>
          <w:p w14:paraId="7D6CFB0B" w14:textId="77777777" w:rsidR="00A92253" w:rsidRPr="00D733DC" w:rsidRDefault="00A92253" w:rsidP="00EB3C72">
            <w:pPr>
              <w:tabs>
                <w:tab w:val="decimal" w:pos="255"/>
              </w:tabs>
            </w:pPr>
          </w:p>
        </w:tc>
        <w:tc>
          <w:tcPr>
            <w:tcW w:w="720" w:type="dxa"/>
          </w:tcPr>
          <w:p w14:paraId="58E7CCA8" w14:textId="77777777" w:rsidR="00A92253" w:rsidRPr="00D733DC" w:rsidRDefault="00A92253" w:rsidP="00E27DF3"/>
        </w:tc>
        <w:tc>
          <w:tcPr>
            <w:tcW w:w="810" w:type="dxa"/>
          </w:tcPr>
          <w:p w14:paraId="4FA32604" w14:textId="77777777" w:rsidR="00A92253" w:rsidRPr="00D733DC" w:rsidRDefault="00A92253" w:rsidP="00D0373D">
            <w:pPr>
              <w:tabs>
                <w:tab w:val="decimal" w:pos="255"/>
              </w:tabs>
            </w:pPr>
          </w:p>
        </w:tc>
        <w:tc>
          <w:tcPr>
            <w:tcW w:w="720" w:type="dxa"/>
          </w:tcPr>
          <w:p w14:paraId="40F65141" w14:textId="77777777" w:rsidR="00A92253" w:rsidRPr="00D733DC" w:rsidRDefault="00A92253" w:rsidP="00E27DF3"/>
        </w:tc>
        <w:tc>
          <w:tcPr>
            <w:tcW w:w="810" w:type="dxa"/>
          </w:tcPr>
          <w:p w14:paraId="4497F05F" w14:textId="77777777" w:rsidR="00A92253" w:rsidRPr="00D733DC" w:rsidRDefault="00A92253" w:rsidP="00D0373D">
            <w:pPr>
              <w:tabs>
                <w:tab w:val="decimal" w:pos="255"/>
              </w:tabs>
            </w:pPr>
          </w:p>
        </w:tc>
        <w:tc>
          <w:tcPr>
            <w:tcW w:w="630" w:type="dxa"/>
          </w:tcPr>
          <w:p w14:paraId="13ED4A7A" w14:textId="77777777" w:rsidR="00A92253" w:rsidRPr="00D733DC" w:rsidRDefault="00A92253" w:rsidP="00E27DF3"/>
        </w:tc>
      </w:tr>
      <w:tr w:rsidR="00387689" w:rsidRPr="00D733DC" w14:paraId="1B219D22" w14:textId="0A66B800" w:rsidTr="000A404C">
        <w:tc>
          <w:tcPr>
            <w:tcW w:w="3150" w:type="dxa"/>
          </w:tcPr>
          <w:p w14:paraId="45874C64" w14:textId="4C6A450B" w:rsidR="00CC07A3" w:rsidRPr="00D733DC" w:rsidRDefault="00E77BF9" w:rsidP="00CC07A3">
            <w:pPr>
              <w:rPr>
                <w:i/>
                <w:iCs/>
              </w:rPr>
            </w:pPr>
            <w:r w:rsidRPr="00D733DC">
              <w:rPr>
                <w:i/>
                <w:iCs/>
              </w:rPr>
              <w:t>Mother’s Education</w:t>
            </w:r>
          </w:p>
        </w:tc>
        <w:tc>
          <w:tcPr>
            <w:tcW w:w="900" w:type="dxa"/>
          </w:tcPr>
          <w:p w14:paraId="728A6EDE" w14:textId="77777777" w:rsidR="00CC07A3" w:rsidRPr="00D733DC" w:rsidRDefault="00CC07A3" w:rsidP="00EB3C72">
            <w:pPr>
              <w:tabs>
                <w:tab w:val="decimal" w:pos="255"/>
              </w:tabs>
            </w:pPr>
          </w:p>
        </w:tc>
        <w:tc>
          <w:tcPr>
            <w:tcW w:w="720" w:type="dxa"/>
          </w:tcPr>
          <w:p w14:paraId="43CC32FC" w14:textId="77777777" w:rsidR="00CC07A3" w:rsidRPr="00D733DC" w:rsidRDefault="00CC07A3" w:rsidP="00E27DF3"/>
        </w:tc>
        <w:tc>
          <w:tcPr>
            <w:tcW w:w="810" w:type="dxa"/>
          </w:tcPr>
          <w:p w14:paraId="0BCCBC9A" w14:textId="77777777" w:rsidR="00CC07A3" w:rsidRPr="00D733DC" w:rsidRDefault="00CC07A3" w:rsidP="00EB3C72">
            <w:pPr>
              <w:tabs>
                <w:tab w:val="decimal" w:pos="255"/>
              </w:tabs>
            </w:pPr>
          </w:p>
        </w:tc>
        <w:tc>
          <w:tcPr>
            <w:tcW w:w="720" w:type="dxa"/>
          </w:tcPr>
          <w:p w14:paraId="486C0542" w14:textId="77777777" w:rsidR="00CC07A3" w:rsidRPr="00D733DC" w:rsidRDefault="00CC07A3" w:rsidP="00E27DF3"/>
        </w:tc>
        <w:tc>
          <w:tcPr>
            <w:tcW w:w="810" w:type="dxa"/>
          </w:tcPr>
          <w:p w14:paraId="7312A059" w14:textId="77777777" w:rsidR="00CC07A3" w:rsidRPr="00D733DC" w:rsidRDefault="00CC07A3" w:rsidP="00D0373D">
            <w:pPr>
              <w:tabs>
                <w:tab w:val="decimal" w:pos="255"/>
              </w:tabs>
            </w:pPr>
          </w:p>
        </w:tc>
        <w:tc>
          <w:tcPr>
            <w:tcW w:w="720" w:type="dxa"/>
          </w:tcPr>
          <w:p w14:paraId="2C9E5B56" w14:textId="77777777" w:rsidR="00CC07A3" w:rsidRPr="00D733DC" w:rsidRDefault="00CC07A3" w:rsidP="00E27DF3"/>
        </w:tc>
        <w:tc>
          <w:tcPr>
            <w:tcW w:w="810" w:type="dxa"/>
          </w:tcPr>
          <w:p w14:paraId="5222C663" w14:textId="77777777" w:rsidR="00CC07A3" w:rsidRPr="00D733DC" w:rsidRDefault="00CC07A3" w:rsidP="00D0373D">
            <w:pPr>
              <w:tabs>
                <w:tab w:val="decimal" w:pos="255"/>
              </w:tabs>
            </w:pPr>
          </w:p>
        </w:tc>
        <w:tc>
          <w:tcPr>
            <w:tcW w:w="630" w:type="dxa"/>
          </w:tcPr>
          <w:p w14:paraId="21AD7C92" w14:textId="77777777" w:rsidR="00CC07A3" w:rsidRPr="00D733DC" w:rsidRDefault="00CC07A3" w:rsidP="00E27DF3"/>
        </w:tc>
      </w:tr>
      <w:tr w:rsidR="00387689" w:rsidRPr="00D733DC" w14:paraId="5F513E28" w14:textId="616C77D0" w:rsidTr="000A404C">
        <w:tc>
          <w:tcPr>
            <w:tcW w:w="3150" w:type="dxa"/>
          </w:tcPr>
          <w:p w14:paraId="7395DAAB" w14:textId="1133F3F0" w:rsidR="00CC07A3" w:rsidRPr="00D733DC" w:rsidRDefault="00E77BF9" w:rsidP="00781A64">
            <w:pPr>
              <w:ind w:left="75"/>
            </w:pPr>
            <w:r w:rsidRPr="00D733DC">
              <w:t>Less than High school</w:t>
            </w:r>
          </w:p>
        </w:tc>
        <w:tc>
          <w:tcPr>
            <w:tcW w:w="900" w:type="dxa"/>
          </w:tcPr>
          <w:p w14:paraId="56F2D099" w14:textId="3C373E20" w:rsidR="00CC07A3" w:rsidRPr="00D733DC" w:rsidRDefault="00EB678C" w:rsidP="00EB3C72">
            <w:pPr>
              <w:tabs>
                <w:tab w:val="decimal" w:pos="255"/>
              </w:tabs>
            </w:pPr>
            <w:r>
              <w:t>9.31</w:t>
            </w:r>
          </w:p>
        </w:tc>
        <w:tc>
          <w:tcPr>
            <w:tcW w:w="720" w:type="dxa"/>
          </w:tcPr>
          <w:p w14:paraId="3C396ECD" w14:textId="1601F9B7" w:rsidR="00CC07A3" w:rsidRPr="00D733DC" w:rsidRDefault="00EB678C" w:rsidP="00E27DF3">
            <w:r>
              <w:t>.29</w:t>
            </w:r>
          </w:p>
        </w:tc>
        <w:tc>
          <w:tcPr>
            <w:tcW w:w="810" w:type="dxa"/>
          </w:tcPr>
          <w:p w14:paraId="025C7390" w14:textId="4D3E79F9" w:rsidR="00CC07A3" w:rsidRPr="00D733DC" w:rsidRDefault="008E3A85" w:rsidP="00EB3C72">
            <w:pPr>
              <w:tabs>
                <w:tab w:val="decimal" w:pos="255"/>
              </w:tabs>
            </w:pPr>
            <w:r>
              <w:t>9.38</w:t>
            </w:r>
          </w:p>
        </w:tc>
        <w:tc>
          <w:tcPr>
            <w:tcW w:w="720" w:type="dxa"/>
          </w:tcPr>
          <w:p w14:paraId="2FC9FA8F" w14:textId="4C79E074" w:rsidR="00CC07A3" w:rsidRPr="00D733DC" w:rsidRDefault="008E3A85" w:rsidP="00E27DF3">
            <w:r>
              <w:t>.29</w:t>
            </w:r>
          </w:p>
        </w:tc>
        <w:tc>
          <w:tcPr>
            <w:tcW w:w="810" w:type="dxa"/>
          </w:tcPr>
          <w:p w14:paraId="729E0FF9" w14:textId="3D79E71C" w:rsidR="00CC07A3" w:rsidRPr="00D733DC" w:rsidRDefault="00B43A39" w:rsidP="00D0373D">
            <w:pPr>
              <w:tabs>
                <w:tab w:val="decimal" w:pos="255"/>
              </w:tabs>
            </w:pPr>
            <w:r>
              <w:t>9.40</w:t>
            </w:r>
          </w:p>
        </w:tc>
        <w:tc>
          <w:tcPr>
            <w:tcW w:w="720" w:type="dxa"/>
          </w:tcPr>
          <w:p w14:paraId="34D7B400" w14:textId="45BC0020" w:rsidR="00CC07A3" w:rsidRPr="00D733DC" w:rsidRDefault="00B43A39" w:rsidP="00E27DF3">
            <w:r>
              <w:t>.29</w:t>
            </w:r>
          </w:p>
        </w:tc>
        <w:tc>
          <w:tcPr>
            <w:tcW w:w="810" w:type="dxa"/>
          </w:tcPr>
          <w:p w14:paraId="5221373F" w14:textId="1E285057" w:rsidR="00CC07A3" w:rsidRPr="00D733DC" w:rsidRDefault="001534E9" w:rsidP="00D0373D">
            <w:pPr>
              <w:tabs>
                <w:tab w:val="decimal" w:pos="255"/>
              </w:tabs>
            </w:pPr>
            <w:r>
              <w:t>9.40</w:t>
            </w:r>
          </w:p>
        </w:tc>
        <w:tc>
          <w:tcPr>
            <w:tcW w:w="630" w:type="dxa"/>
          </w:tcPr>
          <w:p w14:paraId="193D4A55" w14:textId="74A97151" w:rsidR="00CC07A3" w:rsidRPr="00D733DC" w:rsidRDefault="001534E9" w:rsidP="00E27DF3">
            <w:r>
              <w:t>.29</w:t>
            </w:r>
          </w:p>
        </w:tc>
      </w:tr>
      <w:tr w:rsidR="00387689" w:rsidRPr="00D733DC" w14:paraId="71D20BA4" w14:textId="77777777" w:rsidTr="000A404C">
        <w:tc>
          <w:tcPr>
            <w:tcW w:w="3150" w:type="dxa"/>
          </w:tcPr>
          <w:p w14:paraId="0892B649" w14:textId="0BD79130" w:rsidR="00CC07A3" w:rsidRPr="00D733DC" w:rsidRDefault="00E77BF9" w:rsidP="00781A64">
            <w:pPr>
              <w:ind w:left="75"/>
            </w:pPr>
            <w:r w:rsidRPr="00D733DC">
              <w:t>High school</w:t>
            </w:r>
          </w:p>
        </w:tc>
        <w:tc>
          <w:tcPr>
            <w:tcW w:w="900" w:type="dxa"/>
          </w:tcPr>
          <w:p w14:paraId="7F67B5C7" w14:textId="1CD34007" w:rsidR="00CC07A3" w:rsidRPr="00D733DC" w:rsidRDefault="00EB678C" w:rsidP="00EB3C72">
            <w:pPr>
              <w:tabs>
                <w:tab w:val="decimal" w:pos="255"/>
              </w:tabs>
            </w:pPr>
            <w:r>
              <w:t>34.71</w:t>
            </w:r>
          </w:p>
        </w:tc>
        <w:tc>
          <w:tcPr>
            <w:tcW w:w="720" w:type="dxa"/>
          </w:tcPr>
          <w:p w14:paraId="48B59A63" w14:textId="64D59627" w:rsidR="00CC07A3" w:rsidRPr="00D733DC" w:rsidRDefault="00EB678C" w:rsidP="00E27DF3">
            <w:r>
              <w:t>.48</w:t>
            </w:r>
          </w:p>
        </w:tc>
        <w:tc>
          <w:tcPr>
            <w:tcW w:w="810" w:type="dxa"/>
          </w:tcPr>
          <w:p w14:paraId="79F0B4FB" w14:textId="544241EE" w:rsidR="00CC07A3" w:rsidRPr="00D733DC" w:rsidRDefault="008E3A85" w:rsidP="00EB3C72">
            <w:pPr>
              <w:tabs>
                <w:tab w:val="decimal" w:pos="255"/>
              </w:tabs>
            </w:pPr>
            <w:r>
              <w:t>34.75</w:t>
            </w:r>
          </w:p>
        </w:tc>
        <w:tc>
          <w:tcPr>
            <w:tcW w:w="720" w:type="dxa"/>
          </w:tcPr>
          <w:p w14:paraId="225C0C67" w14:textId="6A5B5286" w:rsidR="00CC07A3" w:rsidRPr="00D733DC" w:rsidRDefault="008E3A85" w:rsidP="00E27DF3">
            <w:r>
              <w:t>.48</w:t>
            </w:r>
          </w:p>
        </w:tc>
        <w:tc>
          <w:tcPr>
            <w:tcW w:w="810" w:type="dxa"/>
          </w:tcPr>
          <w:p w14:paraId="405491C7" w14:textId="61626208" w:rsidR="00CC07A3" w:rsidRPr="00D733DC" w:rsidRDefault="00B43A39" w:rsidP="00D0373D">
            <w:pPr>
              <w:tabs>
                <w:tab w:val="decimal" w:pos="255"/>
              </w:tabs>
            </w:pPr>
            <w:r>
              <w:t>34.</w:t>
            </w:r>
            <w:r w:rsidR="00097BEE">
              <w:t>77</w:t>
            </w:r>
          </w:p>
        </w:tc>
        <w:tc>
          <w:tcPr>
            <w:tcW w:w="720" w:type="dxa"/>
          </w:tcPr>
          <w:p w14:paraId="07694847" w14:textId="585D9F52" w:rsidR="00CC07A3" w:rsidRPr="00D733DC" w:rsidRDefault="00097BEE" w:rsidP="00E27DF3">
            <w:r>
              <w:t>.48</w:t>
            </w:r>
          </w:p>
        </w:tc>
        <w:tc>
          <w:tcPr>
            <w:tcW w:w="810" w:type="dxa"/>
          </w:tcPr>
          <w:p w14:paraId="6D067C1F" w14:textId="78826A96" w:rsidR="00CC07A3" w:rsidRPr="00D733DC" w:rsidRDefault="001534E9" w:rsidP="00D0373D">
            <w:pPr>
              <w:tabs>
                <w:tab w:val="decimal" w:pos="255"/>
              </w:tabs>
            </w:pPr>
            <w:r>
              <w:t>34.75</w:t>
            </w:r>
          </w:p>
        </w:tc>
        <w:tc>
          <w:tcPr>
            <w:tcW w:w="630" w:type="dxa"/>
          </w:tcPr>
          <w:p w14:paraId="2CD4912C" w14:textId="0845B124" w:rsidR="00CC07A3" w:rsidRPr="00D733DC" w:rsidRDefault="001534E9" w:rsidP="00E27DF3">
            <w:r>
              <w:t>.47</w:t>
            </w:r>
          </w:p>
        </w:tc>
      </w:tr>
      <w:tr w:rsidR="00387689" w:rsidRPr="00D733DC" w14:paraId="1EBD0268" w14:textId="77777777" w:rsidTr="000A404C">
        <w:tc>
          <w:tcPr>
            <w:tcW w:w="3150" w:type="dxa"/>
          </w:tcPr>
          <w:p w14:paraId="2215776F" w14:textId="3A8C8E93" w:rsidR="00E943EF" w:rsidRPr="00D733DC" w:rsidRDefault="00E943EF" w:rsidP="00781A64">
            <w:pPr>
              <w:ind w:left="75"/>
            </w:pPr>
            <w:r w:rsidRPr="00D733DC">
              <w:t>Some College</w:t>
            </w:r>
          </w:p>
        </w:tc>
        <w:tc>
          <w:tcPr>
            <w:tcW w:w="900" w:type="dxa"/>
          </w:tcPr>
          <w:p w14:paraId="2C93A3AF" w14:textId="14211501" w:rsidR="00CC07A3" w:rsidRPr="00D733DC" w:rsidRDefault="00EB678C" w:rsidP="00EB3C72">
            <w:pPr>
              <w:tabs>
                <w:tab w:val="decimal" w:pos="255"/>
              </w:tabs>
            </w:pPr>
            <w:r>
              <w:t>19.79</w:t>
            </w:r>
          </w:p>
        </w:tc>
        <w:tc>
          <w:tcPr>
            <w:tcW w:w="720" w:type="dxa"/>
          </w:tcPr>
          <w:p w14:paraId="36FB398E" w14:textId="70EE4A9B" w:rsidR="00CC07A3" w:rsidRPr="00D733DC" w:rsidRDefault="00EB678C" w:rsidP="00E27DF3">
            <w:r>
              <w:t>.40</w:t>
            </w:r>
          </w:p>
        </w:tc>
        <w:tc>
          <w:tcPr>
            <w:tcW w:w="810" w:type="dxa"/>
          </w:tcPr>
          <w:p w14:paraId="5EDBD347" w14:textId="7CE59214" w:rsidR="00CC07A3" w:rsidRPr="00D733DC" w:rsidRDefault="008842B6" w:rsidP="00EB3C72">
            <w:pPr>
              <w:tabs>
                <w:tab w:val="decimal" w:pos="255"/>
              </w:tabs>
            </w:pPr>
            <w:r>
              <w:t>19.77</w:t>
            </w:r>
          </w:p>
        </w:tc>
        <w:tc>
          <w:tcPr>
            <w:tcW w:w="720" w:type="dxa"/>
          </w:tcPr>
          <w:p w14:paraId="32452AB4" w14:textId="2245C9CC" w:rsidR="00CC07A3" w:rsidRPr="00D733DC" w:rsidRDefault="008842B6" w:rsidP="00E27DF3">
            <w:r>
              <w:t>.40</w:t>
            </w:r>
          </w:p>
        </w:tc>
        <w:tc>
          <w:tcPr>
            <w:tcW w:w="810" w:type="dxa"/>
          </w:tcPr>
          <w:p w14:paraId="2284020D" w14:textId="13D3A0AF" w:rsidR="00CC07A3" w:rsidRPr="00D733DC" w:rsidRDefault="00097BEE" w:rsidP="00D0373D">
            <w:pPr>
              <w:tabs>
                <w:tab w:val="decimal" w:pos="255"/>
              </w:tabs>
            </w:pPr>
            <w:r>
              <w:t>19.76</w:t>
            </w:r>
          </w:p>
        </w:tc>
        <w:tc>
          <w:tcPr>
            <w:tcW w:w="720" w:type="dxa"/>
          </w:tcPr>
          <w:p w14:paraId="3D4F6B37" w14:textId="1AB5E282" w:rsidR="00CC07A3" w:rsidRPr="00D733DC" w:rsidRDefault="00097BEE" w:rsidP="00E27DF3">
            <w:r>
              <w:t>.40</w:t>
            </w:r>
          </w:p>
        </w:tc>
        <w:tc>
          <w:tcPr>
            <w:tcW w:w="810" w:type="dxa"/>
          </w:tcPr>
          <w:p w14:paraId="2AD0E331" w14:textId="569A2437" w:rsidR="00CC07A3" w:rsidRPr="00D733DC" w:rsidRDefault="001534E9" w:rsidP="00D0373D">
            <w:pPr>
              <w:tabs>
                <w:tab w:val="decimal" w:pos="255"/>
              </w:tabs>
            </w:pPr>
            <w:r>
              <w:t>19.77</w:t>
            </w:r>
          </w:p>
        </w:tc>
        <w:tc>
          <w:tcPr>
            <w:tcW w:w="630" w:type="dxa"/>
          </w:tcPr>
          <w:p w14:paraId="2AA889D9" w14:textId="00A3000D" w:rsidR="00CC07A3" w:rsidRPr="00D733DC" w:rsidRDefault="001534E9" w:rsidP="00E27DF3">
            <w:r>
              <w:t>.39</w:t>
            </w:r>
          </w:p>
        </w:tc>
      </w:tr>
      <w:tr w:rsidR="00387689" w:rsidRPr="00D733DC" w14:paraId="5CD17E74" w14:textId="77777777" w:rsidTr="000A404C">
        <w:tc>
          <w:tcPr>
            <w:tcW w:w="3150" w:type="dxa"/>
          </w:tcPr>
          <w:p w14:paraId="54120893" w14:textId="4327F534" w:rsidR="00CC07A3" w:rsidRPr="00D733DC" w:rsidRDefault="00E943EF" w:rsidP="00781A64">
            <w:pPr>
              <w:ind w:left="75"/>
            </w:pPr>
            <w:r w:rsidRPr="00D733DC">
              <w:t>College</w:t>
            </w:r>
          </w:p>
        </w:tc>
        <w:tc>
          <w:tcPr>
            <w:tcW w:w="900" w:type="dxa"/>
          </w:tcPr>
          <w:p w14:paraId="52DFE377" w14:textId="6434BC3E" w:rsidR="00CC07A3" w:rsidRPr="00D733DC" w:rsidRDefault="00EB678C" w:rsidP="00EB3C72">
            <w:pPr>
              <w:tabs>
                <w:tab w:val="decimal" w:pos="255"/>
              </w:tabs>
            </w:pPr>
            <w:r>
              <w:t>54.55</w:t>
            </w:r>
          </w:p>
        </w:tc>
        <w:tc>
          <w:tcPr>
            <w:tcW w:w="720" w:type="dxa"/>
          </w:tcPr>
          <w:p w14:paraId="722633EE" w14:textId="00B1007E" w:rsidR="00CC07A3" w:rsidRPr="00D733DC" w:rsidRDefault="00EB678C" w:rsidP="00E27DF3">
            <w:r>
              <w:t>.43</w:t>
            </w:r>
          </w:p>
        </w:tc>
        <w:tc>
          <w:tcPr>
            <w:tcW w:w="810" w:type="dxa"/>
          </w:tcPr>
          <w:p w14:paraId="3EA31A49" w14:textId="6659A139" w:rsidR="00CC07A3" w:rsidRPr="00D733DC" w:rsidRDefault="008842B6" w:rsidP="00EB3C72">
            <w:pPr>
              <w:tabs>
                <w:tab w:val="decimal" w:pos="255"/>
              </w:tabs>
            </w:pPr>
            <w:r>
              <w:t>24.50</w:t>
            </w:r>
          </w:p>
        </w:tc>
        <w:tc>
          <w:tcPr>
            <w:tcW w:w="720" w:type="dxa"/>
          </w:tcPr>
          <w:p w14:paraId="123440DB" w14:textId="1A50A139" w:rsidR="00CC07A3" w:rsidRPr="00D733DC" w:rsidRDefault="008842B6" w:rsidP="00E27DF3">
            <w:r>
              <w:t>.43</w:t>
            </w:r>
          </w:p>
        </w:tc>
        <w:tc>
          <w:tcPr>
            <w:tcW w:w="810" w:type="dxa"/>
          </w:tcPr>
          <w:p w14:paraId="79A8DF55" w14:textId="2B0D6AF7" w:rsidR="00CC07A3" w:rsidRPr="00D733DC" w:rsidRDefault="00B407F8" w:rsidP="00D0373D">
            <w:pPr>
              <w:tabs>
                <w:tab w:val="decimal" w:pos="255"/>
              </w:tabs>
            </w:pPr>
            <w:r>
              <w:t>24.48</w:t>
            </w:r>
          </w:p>
        </w:tc>
        <w:tc>
          <w:tcPr>
            <w:tcW w:w="720" w:type="dxa"/>
          </w:tcPr>
          <w:p w14:paraId="5E8CAE8C" w14:textId="4EBF6746" w:rsidR="00CC07A3" w:rsidRPr="00D733DC" w:rsidRDefault="00B407F8" w:rsidP="00E27DF3">
            <w:r>
              <w:t>.43</w:t>
            </w:r>
          </w:p>
        </w:tc>
        <w:tc>
          <w:tcPr>
            <w:tcW w:w="810" w:type="dxa"/>
          </w:tcPr>
          <w:p w14:paraId="561115A3" w14:textId="1DC5ECF4" w:rsidR="00CC07A3" w:rsidRPr="00D733DC" w:rsidRDefault="001534E9" w:rsidP="00D0373D">
            <w:pPr>
              <w:tabs>
                <w:tab w:val="decimal" w:pos="255"/>
              </w:tabs>
            </w:pPr>
            <w:r>
              <w:t>24.46</w:t>
            </w:r>
          </w:p>
        </w:tc>
        <w:tc>
          <w:tcPr>
            <w:tcW w:w="630" w:type="dxa"/>
          </w:tcPr>
          <w:p w14:paraId="6877F3D1" w14:textId="7EE05ED5" w:rsidR="00CC07A3" w:rsidRPr="00D733DC" w:rsidRDefault="001534E9" w:rsidP="00E27DF3">
            <w:r>
              <w:t>.43</w:t>
            </w:r>
          </w:p>
        </w:tc>
      </w:tr>
      <w:tr w:rsidR="00387689" w:rsidRPr="00D733DC" w14:paraId="2B966378" w14:textId="77777777" w:rsidTr="000A404C">
        <w:tc>
          <w:tcPr>
            <w:tcW w:w="3150" w:type="dxa"/>
          </w:tcPr>
          <w:p w14:paraId="6BED06B3" w14:textId="142E3269" w:rsidR="00CC07A3" w:rsidRPr="00D733DC" w:rsidRDefault="00E943EF" w:rsidP="00781A64">
            <w:pPr>
              <w:ind w:left="75"/>
            </w:pPr>
            <w:r w:rsidRPr="00D733DC">
              <w:t>Graduate Degree</w:t>
            </w:r>
          </w:p>
        </w:tc>
        <w:tc>
          <w:tcPr>
            <w:tcW w:w="900" w:type="dxa"/>
          </w:tcPr>
          <w:p w14:paraId="7F26E3B4" w14:textId="4FEFAA1A" w:rsidR="00CC07A3" w:rsidRPr="00D733DC" w:rsidRDefault="00EB678C" w:rsidP="00EB3C72">
            <w:pPr>
              <w:tabs>
                <w:tab w:val="decimal" w:pos="255"/>
              </w:tabs>
            </w:pPr>
            <w:r>
              <w:t>11.6</w:t>
            </w:r>
            <w:r w:rsidR="00D0373D">
              <w:t>3</w:t>
            </w:r>
          </w:p>
        </w:tc>
        <w:tc>
          <w:tcPr>
            <w:tcW w:w="720" w:type="dxa"/>
          </w:tcPr>
          <w:p w14:paraId="11FA7923" w14:textId="216C8FB5" w:rsidR="00CC07A3" w:rsidRPr="00D733DC" w:rsidRDefault="00EB678C" w:rsidP="00E27DF3">
            <w:r>
              <w:t>.32</w:t>
            </w:r>
          </w:p>
        </w:tc>
        <w:tc>
          <w:tcPr>
            <w:tcW w:w="810" w:type="dxa"/>
          </w:tcPr>
          <w:p w14:paraId="5105FA39" w14:textId="385D74C6" w:rsidR="00CC07A3" w:rsidRPr="00D733DC" w:rsidRDefault="008842B6" w:rsidP="00EB3C72">
            <w:pPr>
              <w:tabs>
                <w:tab w:val="decimal" w:pos="255"/>
              </w:tabs>
            </w:pPr>
            <w:r>
              <w:t>11.6</w:t>
            </w:r>
            <w:r w:rsidR="00D0373D">
              <w:t>0</w:t>
            </w:r>
          </w:p>
        </w:tc>
        <w:tc>
          <w:tcPr>
            <w:tcW w:w="720" w:type="dxa"/>
          </w:tcPr>
          <w:p w14:paraId="6D5D339F" w14:textId="400BA89F" w:rsidR="00CC07A3" w:rsidRPr="00D733DC" w:rsidRDefault="00DC65A6" w:rsidP="00E27DF3">
            <w:r>
              <w:t>.32</w:t>
            </w:r>
          </w:p>
        </w:tc>
        <w:tc>
          <w:tcPr>
            <w:tcW w:w="810" w:type="dxa"/>
          </w:tcPr>
          <w:p w14:paraId="2B924F94" w14:textId="16C488EF" w:rsidR="00CC07A3" w:rsidRPr="00D733DC" w:rsidRDefault="00B407F8" w:rsidP="00D0373D">
            <w:pPr>
              <w:tabs>
                <w:tab w:val="decimal" w:pos="255"/>
              </w:tabs>
            </w:pPr>
            <w:r>
              <w:t>11.58</w:t>
            </w:r>
          </w:p>
        </w:tc>
        <w:tc>
          <w:tcPr>
            <w:tcW w:w="720" w:type="dxa"/>
          </w:tcPr>
          <w:p w14:paraId="27039B23" w14:textId="1FE9BE4D" w:rsidR="00CC07A3" w:rsidRPr="00D733DC" w:rsidRDefault="00B407F8" w:rsidP="00E27DF3">
            <w:r>
              <w:t>.32</w:t>
            </w:r>
          </w:p>
        </w:tc>
        <w:tc>
          <w:tcPr>
            <w:tcW w:w="810" w:type="dxa"/>
          </w:tcPr>
          <w:p w14:paraId="5063544C" w14:textId="66F40019" w:rsidR="00CC07A3" w:rsidRPr="00D733DC" w:rsidRDefault="001534E9" w:rsidP="00D0373D">
            <w:pPr>
              <w:tabs>
                <w:tab w:val="decimal" w:pos="255"/>
              </w:tabs>
            </w:pPr>
            <w:r>
              <w:t>11.61</w:t>
            </w:r>
          </w:p>
        </w:tc>
        <w:tc>
          <w:tcPr>
            <w:tcW w:w="630" w:type="dxa"/>
          </w:tcPr>
          <w:p w14:paraId="0DA5C57F" w14:textId="08E2C65C" w:rsidR="00CC07A3" w:rsidRPr="00D733DC" w:rsidRDefault="001534E9" w:rsidP="00E27DF3">
            <w:r>
              <w:t>.32</w:t>
            </w:r>
          </w:p>
        </w:tc>
      </w:tr>
      <w:tr w:rsidR="00E27DF3" w:rsidRPr="00D733DC" w14:paraId="639B675E" w14:textId="77777777" w:rsidTr="000A404C">
        <w:tc>
          <w:tcPr>
            <w:tcW w:w="3150" w:type="dxa"/>
          </w:tcPr>
          <w:p w14:paraId="16007074" w14:textId="12DA6311" w:rsidR="00E943EF" w:rsidRPr="00D733DC" w:rsidRDefault="00E943EF" w:rsidP="00CC07A3">
            <w:pPr>
              <w:rPr>
                <w:i/>
                <w:iCs/>
              </w:rPr>
            </w:pPr>
            <w:r w:rsidRPr="00D733DC">
              <w:rPr>
                <w:i/>
                <w:iCs/>
              </w:rPr>
              <w:t>Father’s Education</w:t>
            </w:r>
          </w:p>
        </w:tc>
        <w:tc>
          <w:tcPr>
            <w:tcW w:w="900" w:type="dxa"/>
          </w:tcPr>
          <w:p w14:paraId="29E6D43B" w14:textId="77777777" w:rsidR="00E943EF" w:rsidRPr="00D733DC" w:rsidRDefault="00E943EF" w:rsidP="00EB3C72">
            <w:pPr>
              <w:tabs>
                <w:tab w:val="decimal" w:pos="255"/>
              </w:tabs>
            </w:pPr>
          </w:p>
        </w:tc>
        <w:tc>
          <w:tcPr>
            <w:tcW w:w="720" w:type="dxa"/>
          </w:tcPr>
          <w:p w14:paraId="176896DB" w14:textId="77777777" w:rsidR="00E943EF" w:rsidRPr="00D733DC" w:rsidRDefault="00E943EF" w:rsidP="00E27DF3"/>
        </w:tc>
        <w:tc>
          <w:tcPr>
            <w:tcW w:w="810" w:type="dxa"/>
          </w:tcPr>
          <w:p w14:paraId="2270049C" w14:textId="77777777" w:rsidR="00E943EF" w:rsidRPr="00D733DC" w:rsidRDefault="00E943EF" w:rsidP="00EB3C72">
            <w:pPr>
              <w:tabs>
                <w:tab w:val="decimal" w:pos="255"/>
              </w:tabs>
            </w:pPr>
          </w:p>
        </w:tc>
        <w:tc>
          <w:tcPr>
            <w:tcW w:w="720" w:type="dxa"/>
          </w:tcPr>
          <w:p w14:paraId="3E6D9F3A" w14:textId="77777777" w:rsidR="00E943EF" w:rsidRPr="00D733DC" w:rsidRDefault="00E943EF" w:rsidP="00E27DF3"/>
        </w:tc>
        <w:tc>
          <w:tcPr>
            <w:tcW w:w="810" w:type="dxa"/>
          </w:tcPr>
          <w:p w14:paraId="0E8243A6" w14:textId="77777777" w:rsidR="00E943EF" w:rsidRPr="00D733DC" w:rsidRDefault="00E943EF" w:rsidP="00D0373D">
            <w:pPr>
              <w:tabs>
                <w:tab w:val="decimal" w:pos="255"/>
              </w:tabs>
            </w:pPr>
          </w:p>
        </w:tc>
        <w:tc>
          <w:tcPr>
            <w:tcW w:w="720" w:type="dxa"/>
          </w:tcPr>
          <w:p w14:paraId="3669E709" w14:textId="77777777" w:rsidR="00E943EF" w:rsidRPr="00D733DC" w:rsidRDefault="00E943EF" w:rsidP="00E27DF3"/>
        </w:tc>
        <w:tc>
          <w:tcPr>
            <w:tcW w:w="810" w:type="dxa"/>
          </w:tcPr>
          <w:p w14:paraId="17D112CC" w14:textId="77777777" w:rsidR="00E943EF" w:rsidRPr="00D733DC" w:rsidRDefault="00E943EF" w:rsidP="00D0373D">
            <w:pPr>
              <w:tabs>
                <w:tab w:val="decimal" w:pos="255"/>
              </w:tabs>
            </w:pPr>
          </w:p>
        </w:tc>
        <w:tc>
          <w:tcPr>
            <w:tcW w:w="630" w:type="dxa"/>
          </w:tcPr>
          <w:p w14:paraId="4ACADD5F" w14:textId="77777777" w:rsidR="00E943EF" w:rsidRPr="00D733DC" w:rsidRDefault="00E943EF" w:rsidP="00E27DF3"/>
        </w:tc>
      </w:tr>
      <w:tr w:rsidR="00E27DF3" w:rsidRPr="00D733DC" w14:paraId="08CBC827" w14:textId="77777777" w:rsidTr="000A404C">
        <w:tc>
          <w:tcPr>
            <w:tcW w:w="3150" w:type="dxa"/>
          </w:tcPr>
          <w:p w14:paraId="5BD96387" w14:textId="4242F223" w:rsidR="00E943EF" w:rsidRPr="00D733DC" w:rsidRDefault="00E943EF" w:rsidP="00781A64">
            <w:pPr>
              <w:ind w:left="75"/>
            </w:pPr>
            <w:r w:rsidRPr="00D733DC">
              <w:t>Less than High school</w:t>
            </w:r>
          </w:p>
        </w:tc>
        <w:tc>
          <w:tcPr>
            <w:tcW w:w="900" w:type="dxa"/>
          </w:tcPr>
          <w:p w14:paraId="3DCC1ED7" w14:textId="1E359619" w:rsidR="00E943EF" w:rsidRPr="00D733DC" w:rsidRDefault="00243D83" w:rsidP="00EB3C72">
            <w:pPr>
              <w:tabs>
                <w:tab w:val="decimal" w:pos="255"/>
              </w:tabs>
            </w:pPr>
            <w:r>
              <w:t>12.95</w:t>
            </w:r>
          </w:p>
        </w:tc>
        <w:tc>
          <w:tcPr>
            <w:tcW w:w="720" w:type="dxa"/>
          </w:tcPr>
          <w:p w14:paraId="5AC7EE0D" w14:textId="5CD1D37E" w:rsidR="00E943EF" w:rsidRPr="00D733DC" w:rsidRDefault="00243D83" w:rsidP="00E27DF3">
            <w:r>
              <w:t>.34</w:t>
            </w:r>
          </w:p>
        </w:tc>
        <w:tc>
          <w:tcPr>
            <w:tcW w:w="810" w:type="dxa"/>
          </w:tcPr>
          <w:p w14:paraId="430461A8" w14:textId="01AB9BB5" w:rsidR="00E943EF" w:rsidRPr="00D733DC" w:rsidRDefault="00DC65A6" w:rsidP="00EB3C72">
            <w:pPr>
              <w:tabs>
                <w:tab w:val="decimal" w:pos="255"/>
              </w:tabs>
            </w:pPr>
            <w:r>
              <w:t>13.02</w:t>
            </w:r>
          </w:p>
        </w:tc>
        <w:tc>
          <w:tcPr>
            <w:tcW w:w="720" w:type="dxa"/>
          </w:tcPr>
          <w:p w14:paraId="1A234A51" w14:textId="6F48344F" w:rsidR="00E943EF" w:rsidRPr="00D733DC" w:rsidRDefault="00DC65A6" w:rsidP="00E27DF3">
            <w:r>
              <w:t>.34</w:t>
            </w:r>
          </w:p>
        </w:tc>
        <w:tc>
          <w:tcPr>
            <w:tcW w:w="810" w:type="dxa"/>
          </w:tcPr>
          <w:p w14:paraId="56E6C88F" w14:textId="077C28EF" w:rsidR="00E943EF" w:rsidRPr="00D733DC" w:rsidRDefault="00B407F8" w:rsidP="00D0373D">
            <w:pPr>
              <w:tabs>
                <w:tab w:val="decimal" w:pos="255"/>
              </w:tabs>
            </w:pPr>
            <w:r>
              <w:t>13.05</w:t>
            </w:r>
          </w:p>
        </w:tc>
        <w:tc>
          <w:tcPr>
            <w:tcW w:w="720" w:type="dxa"/>
          </w:tcPr>
          <w:p w14:paraId="6EA90C8F" w14:textId="65364997" w:rsidR="00E943EF" w:rsidRPr="00D733DC" w:rsidRDefault="00B407F8" w:rsidP="00E27DF3">
            <w:r>
              <w:t>.34</w:t>
            </w:r>
          </w:p>
        </w:tc>
        <w:tc>
          <w:tcPr>
            <w:tcW w:w="810" w:type="dxa"/>
          </w:tcPr>
          <w:p w14:paraId="6653B864" w14:textId="144AC572" w:rsidR="00E943EF" w:rsidRPr="00D733DC" w:rsidRDefault="001E564C" w:rsidP="00D0373D">
            <w:pPr>
              <w:tabs>
                <w:tab w:val="decimal" w:pos="255"/>
              </w:tabs>
            </w:pPr>
            <w:r>
              <w:t>13.05</w:t>
            </w:r>
          </w:p>
        </w:tc>
        <w:tc>
          <w:tcPr>
            <w:tcW w:w="630" w:type="dxa"/>
          </w:tcPr>
          <w:p w14:paraId="34D5CAA4" w14:textId="52685DC9" w:rsidR="00E943EF" w:rsidRPr="00D733DC" w:rsidRDefault="001E564C" w:rsidP="00E27DF3">
            <w:r>
              <w:t>.34</w:t>
            </w:r>
          </w:p>
        </w:tc>
      </w:tr>
      <w:tr w:rsidR="00E27DF3" w:rsidRPr="00D733DC" w14:paraId="4F9E924F" w14:textId="77777777" w:rsidTr="000A404C">
        <w:tc>
          <w:tcPr>
            <w:tcW w:w="3150" w:type="dxa"/>
          </w:tcPr>
          <w:p w14:paraId="0CCA3A17" w14:textId="1D500F4B" w:rsidR="00E943EF" w:rsidRPr="00D733DC" w:rsidRDefault="00E943EF" w:rsidP="00781A64">
            <w:pPr>
              <w:ind w:left="75"/>
            </w:pPr>
            <w:r w:rsidRPr="00D733DC">
              <w:t>High school</w:t>
            </w:r>
          </w:p>
        </w:tc>
        <w:tc>
          <w:tcPr>
            <w:tcW w:w="900" w:type="dxa"/>
          </w:tcPr>
          <w:p w14:paraId="4523477E" w14:textId="42A4019F" w:rsidR="00E943EF" w:rsidRPr="00D733DC" w:rsidRDefault="00243D83" w:rsidP="00EB3C72">
            <w:pPr>
              <w:tabs>
                <w:tab w:val="decimal" w:pos="255"/>
              </w:tabs>
            </w:pPr>
            <w:r>
              <w:t>28.54</w:t>
            </w:r>
          </w:p>
        </w:tc>
        <w:tc>
          <w:tcPr>
            <w:tcW w:w="720" w:type="dxa"/>
          </w:tcPr>
          <w:p w14:paraId="757A7D05" w14:textId="78AB6BB7" w:rsidR="00E943EF" w:rsidRPr="00D733DC" w:rsidRDefault="00243D83" w:rsidP="00E27DF3">
            <w:r>
              <w:t>.45</w:t>
            </w:r>
          </w:p>
        </w:tc>
        <w:tc>
          <w:tcPr>
            <w:tcW w:w="810" w:type="dxa"/>
          </w:tcPr>
          <w:p w14:paraId="771B1742" w14:textId="01807AAD" w:rsidR="00E943EF" w:rsidRPr="00D733DC" w:rsidRDefault="00DC65A6" w:rsidP="00EB3C72">
            <w:pPr>
              <w:tabs>
                <w:tab w:val="decimal" w:pos="255"/>
              </w:tabs>
            </w:pPr>
            <w:r>
              <w:t>28.63</w:t>
            </w:r>
          </w:p>
        </w:tc>
        <w:tc>
          <w:tcPr>
            <w:tcW w:w="720" w:type="dxa"/>
          </w:tcPr>
          <w:p w14:paraId="65583549" w14:textId="6AF90BD7" w:rsidR="00E943EF" w:rsidRPr="00D733DC" w:rsidRDefault="00DC65A6" w:rsidP="00E27DF3">
            <w:r>
              <w:t>.45</w:t>
            </w:r>
          </w:p>
        </w:tc>
        <w:tc>
          <w:tcPr>
            <w:tcW w:w="810" w:type="dxa"/>
          </w:tcPr>
          <w:p w14:paraId="04012A88" w14:textId="647A7B0D" w:rsidR="00E943EF" w:rsidRPr="00D733DC" w:rsidRDefault="00E32013" w:rsidP="00D0373D">
            <w:pPr>
              <w:tabs>
                <w:tab w:val="decimal" w:pos="255"/>
              </w:tabs>
            </w:pPr>
            <w:r>
              <w:t>28.61</w:t>
            </w:r>
          </w:p>
        </w:tc>
        <w:tc>
          <w:tcPr>
            <w:tcW w:w="720" w:type="dxa"/>
          </w:tcPr>
          <w:p w14:paraId="3BC9644B" w14:textId="6EB219D8" w:rsidR="00E943EF" w:rsidRPr="00D733DC" w:rsidRDefault="00E32013" w:rsidP="00E27DF3">
            <w:r>
              <w:t>.45</w:t>
            </w:r>
          </w:p>
        </w:tc>
        <w:tc>
          <w:tcPr>
            <w:tcW w:w="810" w:type="dxa"/>
          </w:tcPr>
          <w:p w14:paraId="381976A0" w14:textId="7359EA1B" w:rsidR="00E943EF" w:rsidRPr="00D733DC" w:rsidRDefault="001E564C" w:rsidP="00D0373D">
            <w:pPr>
              <w:tabs>
                <w:tab w:val="decimal" w:pos="255"/>
              </w:tabs>
            </w:pPr>
            <w:r>
              <w:t>28.61</w:t>
            </w:r>
          </w:p>
        </w:tc>
        <w:tc>
          <w:tcPr>
            <w:tcW w:w="630" w:type="dxa"/>
          </w:tcPr>
          <w:p w14:paraId="43E8A8BF" w14:textId="7CB54D6E" w:rsidR="00E943EF" w:rsidRPr="00D733DC" w:rsidRDefault="001E564C" w:rsidP="00E27DF3">
            <w:r>
              <w:t>.45</w:t>
            </w:r>
          </w:p>
        </w:tc>
      </w:tr>
      <w:tr w:rsidR="00E27DF3" w:rsidRPr="00D733DC" w14:paraId="455F1073" w14:textId="77777777" w:rsidTr="000A404C">
        <w:tc>
          <w:tcPr>
            <w:tcW w:w="3150" w:type="dxa"/>
          </w:tcPr>
          <w:p w14:paraId="115FC242" w14:textId="23677D46" w:rsidR="00E943EF" w:rsidRPr="00D733DC" w:rsidRDefault="00E943EF" w:rsidP="00781A64">
            <w:pPr>
              <w:ind w:left="75"/>
            </w:pPr>
            <w:r w:rsidRPr="00D733DC">
              <w:t>Some College</w:t>
            </w:r>
          </w:p>
        </w:tc>
        <w:tc>
          <w:tcPr>
            <w:tcW w:w="900" w:type="dxa"/>
          </w:tcPr>
          <w:p w14:paraId="21AC247C" w14:textId="47B9EE54" w:rsidR="00E943EF" w:rsidRPr="00D733DC" w:rsidRDefault="00243D83" w:rsidP="00EB3C72">
            <w:pPr>
              <w:tabs>
                <w:tab w:val="decimal" w:pos="255"/>
              </w:tabs>
            </w:pPr>
            <w:r>
              <w:t>17.86</w:t>
            </w:r>
          </w:p>
        </w:tc>
        <w:tc>
          <w:tcPr>
            <w:tcW w:w="720" w:type="dxa"/>
          </w:tcPr>
          <w:p w14:paraId="64007FF6" w14:textId="63503308" w:rsidR="00E943EF" w:rsidRPr="00D733DC" w:rsidRDefault="00243D83" w:rsidP="00E27DF3">
            <w:r>
              <w:t>.38</w:t>
            </w:r>
          </w:p>
        </w:tc>
        <w:tc>
          <w:tcPr>
            <w:tcW w:w="810" w:type="dxa"/>
          </w:tcPr>
          <w:p w14:paraId="0239F52F" w14:textId="05F74A62" w:rsidR="00E943EF" w:rsidRPr="00D733DC" w:rsidRDefault="00DC65A6" w:rsidP="00EB3C72">
            <w:pPr>
              <w:tabs>
                <w:tab w:val="decimal" w:pos="255"/>
              </w:tabs>
            </w:pPr>
            <w:r>
              <w:t>17.83</w:t>
            </w:r>
          </w:p>
        </w:tc>
        <w:tc>
          <w:tcPr>
            <w:tcW w:w="720" w:type="dxa"/>
          </w:tcPr>
          <w:p w14:paraId="047FC65F" w14:textId="2465A85F" w:rsidR="00E943EF" w:rsidRPr="00D733DC" w:rsidRDefault="00DC65A6" w:rsidP="00E27DF3">
            <w:r>
              <w:t>.38</w:t>
            </w:r>
          </w:p>
        </w:tc>
        <w:tc>
          <w:tcPr>
            <w:tcW w:w="810" w:type="dxa"/>
          </w:tcPr>
          <w:p w14:paraId="34E9EA21" w14:textId="22F84054" w:rsidR="00E943EF" w:rsidRPr="00D733DC" w:rsidRDefault="00E32013" w:rsidP="00D0373D">
            <w:pPr>
              <w:tabs>
                <w:tab w:val="decimal" w:pos="255"/>
              </w:tabs>
            </w:pPr>
            <w:r>
              <w:t>17.85</w:t>
            </w:r>
          </w:p>
        </w:tc>
        <w:tc>
          <w:tcPr>
            <w:tcW w:w="720" w:type="dxa"/>
          </w:tcPr>
          <w:p w14:paraId="0CC7C6A1" w14:textId="41965434" w:rsidR="00E943EF" w:rsidRPr="00D733DC" w:rsidRDefault="00E32013" w:rsidP="00E27DF3">
            <w:r>
              <w:t>.38</w:t>
            </w:r>
          </w:p>
        </w:tc>
        <w:tc>
          <w:tcPr>
            <w:tcW w:w="810" w:type="dxa"/>
          </w:tcPr>
          <w:p w14:paraId="671BC020" w14:textId="0E448BC1" w:rsidR="00E943EF" w:rsidRPr="00D733DC" w:rsidRDefault="001E564C" w:rsidP="00D0373D">
            <w:pPr>
              <w:tabs>
                <w:tab w:val="decimal" w:pos="255"/>
              </w:tabs>
            </w:pPr>
            <w:r>
              <w:t>17.85</w:t>
            </w:r>
          </w:p>
        </w:tc>
        <w:tc>
          <w:tcPr>
            <w:tcW w:w="630" w:type="dxa"/>
          </w:tcPr>
          <w:p w14:paraId="2EA68592" w14:textId="6056CAF7" w:rsidR="00E943EF" w:rsidRPr="00D733DC" w:rsidRDefault="001E564C" w:rsidP="00E27DF3">
            <w:r>
              <w:t>.38</w:t>
            </w:r>
          </w:p>
        </w:tc>
      </w:tr>
      <w:tr w:rsidR="00E27DF3" w:rsidRPr="00D733DC" w14:paraId="2F34C4CF" w14:textId="77777777" w:rsidTr="000A404C">
        <w:tc>
          <w:tcPr>
            <w:tcW w:w="3150" w:type="dxa"/>
          </w:tcPr>
          <w:p w14:paraId="6B06E085" w14:textId="543DB5C7" w:rsidR="00E943EF" w:rsidRPr="00D733DC" w:rsidRDefault="00E943EF" w:rsidP="00781A64">
            <w:pPr>
              <w:ind w:left="75"/>
            </w:pPr>
            <w:r w:rsidRPr="00D733DC">
              <w:t>College</w:t>
            </w:r>
          </w:p>
        </w:tc>
        <w:tc>
          <w:tcPr>
            <w:tcW w:w="900" w:type="dxa"/>
          </w:tcPr>
          <w:p w14:paraId="01E038DE" w14:textId="25434250" w:rsidR="00E943EF" w:rsidRPr="00D733DC" w:rsidRDefault="005D5815" w:rsidP="00EB3C72">
            <w:pPr>
              <w:tabs>
                <w:tab w:val="decimal" w:pos="255"/>
              </w:tabs>
            </w:pPr>
            <w:r>
              <w:t>24.31</w:t>
            </w:r>
          </w:p>
        </w:tc>
        <w:tc>
          <w:tcPr>
            <w:tcW w:w="720" w:type="dxa"/>
          </w:tcPr>
          <w:p w14:paraId="11F25B84" w14:textId="16C294F2" w:rsidR="00E943EF" w:rsidRPr="00D733DC" w:rsidRDefault="005D5815" w:rsidP="00E27DF3">
            <w:r>
              <w:t>.43</w:t>
            </w:r>
          </w:p>
        </w:tc>
        <w:tc>
          <w:tcPr>
            <w:tcW w:w="810" w:type="dxa"/>
          </w:tcPr>
          <w:p w14:paraId="19AD99A5" w14:textId="15A996AA" w:rsidR="00E943EF" w:rsidRPr="00D733DC" w:rsidRDefault="00EB067B" w:rsidP="00EB3C72">
            <w:pPr>
              <w:tabs>
                <w:tab w:val="decimal" w:pos="255"/>
              </w:tabs>
            </w:pPr>
            <w:r>
              <w:t>24.23</w:t>
            </w:r>
          </w:p>
        </w:tc>
        <w:tc>
          <w:tcPr>
            <w:tcW w:w="720" w:type="dxa"/>
          </w:tcPr>
          <w:p w14:paraId="33EC0C62" w14:textId="45352F55" w:rsidR="00E943EF" w:rsidRPr="00D733DC" w:rsidRDefault="00EB067B" w:rsidP="00E27DF3">
            <w:r>
              <w:t>.43</w:t>
            </w:r>
          </w:p>
        </w:tc>
        <w:tc>
          <w:tcPr>
            <w:tcW w:w="810" w:type="dxa"/>
          </w:tcPr>
          <w:p w14:paraId="01A3E359" w14:textId="649727DD" w:rsidR="00E943EF" w:rsidRPr="00D733DC" w:rsidRDefault="00E32013" w:rsidP="00D0373D">
            <w:pPr>
              <w:tabs>
                <w:tab w:val="decimal" w:pos="255"/>
              </w:tabs>
            </w:pPr>
            <w:r>
              <w:t>24.24</w:t>
            </w:r>
          </w:p>
        </w:tc>
        <w:tc>
          <w:tcPr>
            <w:tcW w:w="720" w:type="dxa"/>
          </w:tcPr>
          <w:p w14:paraId="07557559" w14:textId="3F29158C" w:rsidR="00E943EF" w:rsidRPr="00D733DC" w:rsidRDefault="00E32013" w:rsidP="00E27DF3">
            <w:r>
              <w:t>.43</w:t>
            </w:r>
          </w:p>
        </w:tc>
        <w:tc>
          <w:tcPr>
            <w:tcW w:w="810" w:type="dxa"/>
          </w:tcPr>
          <w:p w14:paraId="74838AA8" w14:textId="270A3379" w:rsidR="00E943EF" w:rsidRPr="00D733DC" w:rsidRDefault="001E564C" w:rsidP="00D0373D">
            <w:pPr>
              <w:tabs>
                <w:tab w:val="decimal" w:pos="255"/>
              </w:tabs>
            </w:pPr>
            <w:r>
              <w:t>24.23</w:t>
            </w:r>
          </w:p>
        </w:tc>
        <w:tc>
          <w:tcPr>
            <w:tcW w:w="630" w:type="dxa"/>
          </w:tcPr>
          <w:p w14:paraId="756B44A1" w14:textId="54371613" w:rsidR="00E943EF" w:rsidRPr="00D733DC" w:rsidRDefault="00EB3C72" w:rsidP="00E27DF3">
            <w:r>
              <w:t>.42</w:t>
            </w:r>
          </w:p>
        </w:tc>
      </w:tr>
      <w:tr w:rsidR="00E27DF3" w:rsidRPr="00D733DC" w14:paraId="668DC92D" w14:textId="77777777" w:rsidTr="000E58DE">
        <w:tc>
          <w:tcPr>
            <w:tcW w:w="3150" w:type="dxa"/>
          </w:tcPr>
          <w:p w14:paraId="166EF778" w14:textId="5E737AD8" w:rsidR="00E943EF" w:rsidRPr="00D733DC" w:rsidRDefault="00E943EF" w:rsidP="00781A64">
            <w:pPr>
              <w:ind w:left="75"/>
            </w:pPr>
            <w:r w:rsidRPr="00D733DC">
              <w:t>Graduate Degree</w:t>
            </w:r>
          </w:p>
        </w:tc>
        <w:tc>
          <w:tcPr>
            <w:tcW w:w="900" w:type="dxa"/>
          </w:tcPr>
          <w:p w14:paraId="3A1867E6" w14:textId="79398F25" w:rsidR="00E943EF" w:rsidRPr="00D733DC" w:rsidRDefault="005D5815" w:rsidP="00EB3C72">
            <w:pPr>
              <w:tabs>
                <w:tab w:val="decimal" w:pos="255"/>
              </w:tabs>
            </w:pPr>
            <w:r>
              <w:t>16.33</w:t>
            </w:r>
          </w:p>
        </w:tc>
        <w:tc>
          <w:tcPr>
            <w:tcW w:w="720" w:type="dxa"/>
          </w:tcPr>
          <w:p w14:paraId="5556A9F6" w14:textId="41D8D5FD" w:rsidR="00E943EF" w:rsidRPr="00D733DC" w:rsidRDefault="005D5815" w:rsidP="00E27DF3">
            <w:r>
              <w:t>.37</w:t>
            </w:r>
          </w:p>
        </w:tc>
        <w:tc>
          <w:tcPr>
            <w:tcW w:w="810" w:type="dxa"/>
          </w:tcPr>
          <w:p w14:paraId="78C3202D" w14:textId="2BD01194" w:rsidR="00E943EF" w:rsidRPr="00D733DC" w:rsidRDefault="00EB067B" w:rsidP="00EB3C72">
            <w:pPr>
              <w:tabs>
                <w:tab w:val="decimal" w:pos="255"/>
              </w:tabs>
            </w:pPr>
            <w:r>
              <w:t>16.28</w:t>
            </w:r>
          </w:p>
        </w:tc>
        <w:tc>
          <w:tcPr>
            <w:tcW w:w="720" w:type="dxa"/>
          </w:tcPr>
          <w:p w14:paraId="70B64812" w14:textId="280E3C8A" w:rsidR="00E943EF" w:rsidRPr="00D733DC" w:rsidRDefault="00EB067B" w:rsidP="00E27DF3">
            <w:r>
              <w:t>.47</w:t>
            </w:r>
          </w:p>
        </w:tc>
        <w:tc>
          <w:tcPr>
            <w:tcW w:w="810" w:type="dxa"/>
          </w:tcPr>
          <w:p w14:paraId="1BF7BFC5" w14:textId="02520FD3" w:rsidR="00E943EF" w:rsidRPr="00D733DC" w:rsidRDefault="00E32013" w:rsidP="00D0373D">
            <w:pPr>
              <w:tabs>
                <w:tab w:val="decimal" w:pos="255"/>
              </w:tabs>
            </w:pPr>
            <w:r>
              <w:t>16.25</w:t>
            </w:r>
          </w:p>
        </w:tc>
        <w:tc>
          <w:tcPr>
            <w:tcW w:w="720" w:type="dxa"/>
          </w:tcPr>
          <w:p w14:paraId="0A84AB55" w14:textId="262C80B7" w:rsidR="00E943EF" w:rsidRPr="00D733DC" w:rsidRDefault="0058582F" w:rsidP="00E27DF3">
            <w:r>
              <w:t>.37</w:t>
            </w:r>
          </w:p>
        </w:tc>
        <w:tc>
          <w:tcPr>
            <w:tcW w:w="810" w:type="dxa"/>
          </w:tcPr>
          <w:p w14:paraId="1EAD894A" w14:textId="36AD6E84" w:rsidR="00E943EF" w:rsidRPr="00D733DC" w:rsidRDefault="00EB3C72" w:rsidP="00D0373D">
            <w:pPr>
              <w:tabs>
                <w:tab w:val="decimal" w:pos="255"/>
              </w:tabs>
            </w:pPr>
            <w:r>
              <w:t>16.26</w:t>
            </w:r>
          </w:p>
        </w:tc>
        <w:tc>
          <w:tcPr>
            <w:tcW w:w="630" w:type="dxa"/>
          </w:tcPr>
          <w:p w14:paraId="02789236" w14:textId="1C5A6DE8" w:rsidR="00E943EF" w:rsidRPr="00D733DC" w:rsidRDefault="00EB3C72" w:rsidP="00E27DF3">
            <w:r>
              <w:t>.37</w:t>
            </w:r>
          </w:p>
        </w:tc>
      </w:tr>
      <w:tr w:rsidR="00387689" w:rsidRPr="00D733DC" w14:paraId="5466C91A" w14:textId="77777777" w:rsidTr="000E58DE">
        <w:tc>
          <w:tcPr>
            <w:tcW w:w="3150" w:type="dxa"/>
            <w:tcBorders>
              <w:bottom w:val="single" w:sz="4" w:space="0" w:color="auto"/>
            </w:tcBorders>
          </w:tcPr>
          <w:p w14:paraId="4372AD43" w14:textId="060A10D5" w:rsidR="00E943EF" w:rsidRPr="00D733DC" w:rsidRDefault="00D733DC" w:rsidP="00E943EF">
            <w:r w:rsidRPr="00D733DC">
              <w:t>Race (Black)</w:t>
            </w:r>
          </w:p>
        </w:tc>
        <w:tc>
          <w:tcPr>
            <w:tcW w:w="900" w:type="dxa"/>
            <w:tcBorders>
              <w:bottom w:val="single" w:sz="4" w:space="0" w:color="auto"/>
            </w:tcBorders>
          </w:tcPr>
          <w:p w14:paraId="216DC5CC" w14:textId="5B7FCB1B" w:rsidR="00E943EF" w:rsidRPr="00D733DC" w:rsidRDefault="005D5815" w:rsidP="00EB3C72">
            <w:pPr>
              <w:tabs>
                <w:tab w:val="decimal" w:pos="255"/>
              </w:tabs>
            </w:pPr>
            <w:r>
              <w:t>8.92</w:t>
            </w:r>
          </w:p>
        </w:tc>
        <w:tc>
          <w:tcPr>
            <w:tcW w:w="720" w:type="dxa"/>
            <w:tcBorders>
              <w:bottom w:val="single" w:sz="4" w:space="0" w:color="auto"/>
            </w:tcBorders>
          </w:tcPr>
          <w:p w14:paraId="0B49F084" w14:textId="36962F17" w:rsidR="00E943EF" w:rsidRPr="00D733DC" w:rsidRDefault="005D5815" w:rsidP="00E27DF3">
            <w:r>
              <w:t>.28</w:t>
            </w:r>
          </w:p>
        </w:tc>
        <w:tc>
          <w:tcPr>
            <w:tcW w:w="810" w:type="dxa"/>
            <w:tcBorders>
              <w:bottom w:val="single" w:sz="4" w:space="0" w:color="auto"/>
            </w:tcBorders>
          </w:tcPr>
          <w:p w14:paraId="2E9C9D6B" w14:textId="14D07281" w:rsidR="00E943EF" w:rsidRPr="00D733DC" w:rsidRDefault="00EB067B" w:rsidP="00EB3C72">
            <w:pPr>
              <w:tabs>
                <w:tab w:val="decimal" w:pos="255"/>
              </w:tabs>
            </w:pPr>
            <w:r>
              <w:t>9.05</w:t>
            </w:r>
          </w:p>
        </w:tc>
        <w:tc>
          <w:tcPr>
            <w:tcW w:w="720" w:type="dxa"/>
            <w:tcBorders>
              <w:bottom w:val="single" w:sz="4" w:space="0" w:color="auto"/>
            </w:tcBorders>
          </w:tcPr>
          <w:p w14:paraId="494FE4D1" w14:textId="3A995993" w:rsidR="00E943EF" w:rsidRPr="00D733DC" w:rsidRDefault="00EB067B" w:rsidP="00E27DF3">
            <w:r>
              <w:t>.27</w:t>
            </w:r>
          </w:p>
        </w:tc>
        <w:tc>
          <w:tcPr>
            <w:tcW w:w="810" w:type="dxa"/>
            <w:tcBorders>
              <w:bottom w:val="single" w:sz="4" w:space="0" w:color="auto"/>
            </w:tcBorders>
          </w:tcPr>
          <w:p w14:paraId="190A02B1" w14:textId="760CA9D2" w:rsidR="00E943EF" w:rsidRPr="00D733DC" w:rsidRDefault="0058582F" w:rsidP="00D0373D">
            <w:pPr>
              <w:tabs>
                <w:tab w:val="decimal" w:pos="255"/>
              </w:tabs>
            </w:pPr>
            <w:r>
              <w:t>9.06</w:t>
            </w:r>
          </w:p>
        </w:tc>
        <w:tc>
          <w:tcPr>
            <w:tcW w:w="720" w:type="dxa"/>
            <w:tcBorders>
              <w:bottom w:val="single" w:sz="4" w:space="0" w:color="auto"/>
            </w:tcBorders>
          </w:tcPr>
          <w:p w14:paraId="3015EED5" w14:textId="1452B2B1" w:rsidR="00E943EF" w:rsidRPr="00D733DC" w:rsidRDefault="0058582F" w:rsidP="00E27DF3">
            <w:r>
              <w:t>.29</w:t>
            </w:r>
          </w:p>
        </w:tc>
        <w:tc>
          <w:tcPr>
            <w:tcW w:w="810" w:type="dxa"/>
            <w:tcBorders>
              <w:bottom w:val="single" w:sz="4" w:space="0" w:color="auto"/>
            </w:tcBorders>
          </w:tcPr>
          <w:p w14:paraId="54783380" w14:textId="3762C3F8" w:rsidR="00E943EF" w:rsidRPr="00D733DC" w:rsidRDefault="00EB3C72" w:rsidP="00D0373D">
            <w:pPr>
              <w:tabs>
                <w:tab w:val="decimal" w:pos="255"/>
              </w:tabs>
            </w:pPr>
            <w:r>
              <w:t>9.07</w:t>
            </w:r>
          </w:p>
        </w:tc>
        <w:tc>
          <w:tcPr>
            <w:tcW w:w="630" w:type="dxa"/>
            <w:tcBorders>
              <w:bottom w:val="single" w:sz="4" w:space="0" w:color="auto"/>
            </w:tcBorders>
          </w:tcPr>
          <w:p w14:paraId="225C9257" w14:textId="439DEB58" w:rsidR="00E943EF" w:rsidRPr="00D733DC" w:rsidRDefault="00EB3C72" w:rsidP="00E27DF3">
            <w:r>
              <w:t>.28</w:t>
            </w:r>
          </w:p>
        </w:tc>
      </w:tr>
      <w:tr w:rsidR="003A2DAC" w:rsidRPr="00D733DC" w14:paraId="6A471C22" w14:textId="77777777" w:rsidTr="000E58DE">
        <w:tc>
          <w:tcPr>
            <w:tcW w:w="3150" w:type="dxa"/>
            <w:tcBorders>
              <w:top w:val="single" w:sz="4" w:space="0" w:color="auto"/>
              <w:bottom w:val="single" w:sz="4" w:space="0" w:color="auto"/>
            </w:tcBorders>
          </w:tcPr>
          <w:p w14:paraId="063DDED0" w14:textId="36F02416" w:rsidR="003A2DAC" w:rsidRPr="00D733DC" w:rsidRDefault="003A2DAC" w:rsidP="00E943EF">
            <w:r w:rsidRPr="00D733DC">
              <w:t>Observations:</w:t>
            </w:r>
          </w:p>
        </w:tc>
        <w:tc>
          <w:tcPr>
            <w:tcW w:w="1620" w:type="dxa"/>
            <w:gridSpan w:val="2"/>
            <w:tcBorders>
              <w:top w:val="single" w:sz="4" w:space="0" w:color="auto"/>
              <w:bottom w:val="single" w:sz="4" w:space="0" w:color="auto"/>
            </w:tcBorders>
          </w:tcPr>
          <w:p w14:paraId="3312FC7C" w14:textId="05612B85" w:rsidR="003A2DAC" w:rsidRPr="00D733DC" w:rsidRDefault="006C27FE" w:rsidP="000B6184">
            <w:pPr>
              <w:jc w:val="center"/>
            </w:pPr>
            <w:r>
              <w:t>48,589</w:t>
            </w:r>
          </w:p>
        </w:tc>
        <w:tc>
          <w:tcPr>
            <w:tcW w:w="1530" w:type="dxa"/>
            <w:gridSpan w:val="2"/>
            <w:tcBorders>
              <w:top w:val="single" w:sz="4" w:space="0" w:color="auto"/>
              <w:bottom w:val="single" w:sz="4" w:space="0" w:color="auto"/>
            </w:tcBorders>
          </w:tcPr>
          <w:p w14:paraId="42C4BDEC" w14:textId="7C29E794" w:rsidR="003A2DAC" w:rsidRPr="00D733DC" w:rsidRDefault="000B6184" w:rsidP="000B6184">
            <w:pPr>
              <w:jc w:val="center"/>
            </w:pPr>
            <w:r>
              <w:t>49,029</w:t>
            </w:r>
          </w:p>
        </w:tc>
        <w:tc>
          <w:tcPr>
            <w:tcW w:w="1530" w:type="dxa"/>
            <w:gridSpan w:val="2"/>
            <w:tcBorders>
              <w:top w:val="single" w:sz="4" w:space="0" w:color="auto"/>
              <w:bottom w:val="single" w:sz="4" w:space="0" w:color="auto"/>
            </w:tcBorders>
          </w:tcPr>
          <w:p w14:paraId="4FF819EC" w14:textId="64CA1E62" w:rsidR="003A2DAC" w:rsidRPr="00D733DC" w:rsidRDefault="0058582F" w:rsidP="000B6184">
            <w:pPr>
              <w:jc w:val="center"/>
            </w:pPr>
            <w:r>
              <w:t>49,103</w:t>
            </w:r>
          </w:p>
        </w:tc>
        <w:tc>
          <w:tcPr>
            <w:tcW w:w="1440" w:type="dxa"/>
            <w:gridSpan w:val="2"/>
            <w:tcBorders>
              <w:top w:val="single" w:sz="4" w:space="0" w:color="auto"/>
              <w:bottom w:val="single" w:sz="4" w:space="0" w:color="auto"/>
            </w:tcBorders>
          </w:tcPr>
          <w:p w14:paraId="40A3E2F8" w14:textId="09A314C6" w:rsidR="003A2DAC" w:rsidRPr="00D733DC" w:rsidRDefault="00EB3C72" w:rsidP="000B6184">
            <w:pPr>
              <w:jc w:val="center"/>
            </w:pPr>
            <w:r>
              <w:t>49,094</w:t>
            </w:r>
          </w:p>
        </w:tc>
      </w:tr>
    </w:tbl>
    <w:p w14:paraId="09DF6B6F" w14:textId="77777777" w:rsidR="00CF111C" w:rsidRDefault="00CF111C" w:rsidP="006E7BBC"/>
    <w:p w14:paraId="4C4F8C48" w14:textId="4E824D6D" w:rsidR="004660BA" w:rsidRPr="00655801" w:rsidRDefault="00664F7D" w:rsidP="006E7BBC">
      <w:pPr>
        <w:ind w:firstLine="720"/>
      </w:pPr>
      <w:r>
        <w:rPr>
          <w:color w:val="000000"/>
        </w:rPr>
        <w:t>Due to the number of interactions performed with categorical variables in these analyses, it is important to note that I will not be relying on coefficients alone in my interpretations. I also examin</w:t>
      </w:r>
      <w:r w:rsidR="0072533B">
        <w:rPr>
          <w:color w:val="000000"/>
        </w:rPr>
        <w:t>e</w:t>
      </w:r>
      <w:r>
        <w:rPr>
          <w:color w:val="000000"/>
        </w:rPr>
        <w:t xml:space="preserve"> differences in predicted probabilities, referred to as first-order differences, for </w:t>
      </w:r>
      <w:r w:rsidR="00E85530">
        <w:rPr>
          <w:color w:val="000000"/>
        </w:rPr>
        <w:t>the</w:t>
      </w:r>
      <w:r>
        <w:rPr>
          <w:color w:val="000000"/>
        </w:rPr>
        <w:t xml:space="preserve"> Model 2 and Model 3 interactions in order to determine significan</w:t>
      </w:r>
      <w:r w:rsidR="00E85530">
        <w:rPr>
          <w:color w:val="000000"/>
        </w:rPr>
        <w:t>t</w:t>
      </w:r>
      <w:r w:rsidR="00770361">
        <w:rPr>
          <w:color w:val="000000"/>
        </w:rPr>
        <w:t xml:space="preserve"> gender differences in illicit substance use</w:t>
      </w:r>
      <w:r>
        <w:rPr>
          <w:color w:val="000000"/>
        </w:rPr>
        <w:t xml:space="preserve"> </w:t>
      </w:r>
      <w:r>
        <w:rPr>
          <w:color w:val="000000"/>
        </w:rPr>
        <w:fldChar w:fldCharType="begin"/>
      </w:r>
      <w:r w:rsidR="00AB7823">
        <w:rPr>
          <w:color w:val="000000"/>
        </w:rPr>
        <w:instrText xml:space="preserve"> ADDIN ZOTERO_ITEM CSL_CITATION {"citationID":"Pf6BC51w","properties":{"formattedCitation":"(Long and Mustillo 2021)","plainCitation":"(Long and Mustillo 2021)","noteIndex":0},"citationItems":[{"id":126,"uris":["http://zotero.org/users/9138993/items/8P62GLSL"],"itemData":{"id":126,"type":"article-journal","abstract":"Methods for group comparisons using predicted probabilities and marginal effects on probabilities are developed for regression models for binary outcomes. Unlike approaches based on the comparison of regression coefficients across groups, the methods we propose are unaffected by the scalar identification of the coefficients and are expressed in the natural metric of the outcome probability. While we develop our approach using binary logit with two groups, we consider how our interpretive framework can be used with a broad class of regression models and can be extended to any number of groups.","container-title":"Sociological Methods &amp; Research","DOI":"10.1177/0049124118799374","ISSN":"0049-1241","issue":"3","journalAbbreviation":"Sociological Methods &amp; Research","language":"en","note":"publisher: SAGE Publications Inc","page":"1284-1320","source":"SAGE Journals","title":"Using Predictions and Marginal Effects to Compare Groups in Regression Models for Binary Outcomes","volume":"50","author":[{"family":"Long","given":"J. Scott"},{"family":"Mustillo","given":"Sarah A."}],"issued":{"date-parts":[["2021",8,1]]}}}],"schema":"https://github.com/citation-style-language/schema/raw/master/csl-citation.json"} </w:instrText>
      </w:r>
      <w:r>
        <w:rPr>
          <w:color w:val="000000"/>
        </w:rPr>
        <w:fldChar w:fldCharType="separate"/>
      </w:r>
      <w:r w:rsidRPr="00670E58">
        <w:t>(Long and Mustillo 2021)</w:t>
      </w:r>
      <w:r>
        <w:rPr>
          <w:color w:val="000000"/>
        </w:rPr>
        <w:fldChar w:fldCharType="end"/>
      </w:r>
      <w:r>
        <w:rPr>
          <w:color w:val="000000"/>
        </w:rPr>
        <w:t xml:space="preserve">. I also compare </w:t>
      </w:r>
      <w:r w:rsidR="00770361">
        <w:rPr>
          <w:color w:val="000000"/>
        </w:rPr>
        <w:t>the gender differences across</w:t>
      </w:r>
      <w:r w:rsidR="003A7AD6">
        <w:rPr>
          <w:color w:val="000000"/>
        </w:rPr>
        <w:t xml:space="preserve"> the family structure and attitudes toward patriarchal norms variable</w:t>
      </w:r>
      <w:r w:rsidR="007E11C8">
        <w:rPr>
          <w:color w:val="000000"/>
        </w:rPr>
        <w:t>s</w:t>
      </w:r>
      <w:r w:rsidR="00975BE4">
        <w:rPr>
          <w:color w:val="000000"/>
        </w:rPr>
        <w:t xml:space="preserve"> using linear combination tests to determine if the change in gender differences between categories </w:t>
      </w:r>
      <w:r w:rsidR="000D7A02">
        <w:rPr>
          <w:color w:val="000000"/>
        </w:rPr>
        <w:t xml:space="preserve">is significantly variant. In other words, I </w:t>
      </w:r>
      <w:r>
        <w:rPr>
          <w:color w:val="000000"/>
        </w:rPr>
        <w:t>examine both the first-order differences and the differences of differences in predicted probabilities (or: the difference between two first-order differences), which are referred to as second-order differences.</w:t>
      </w:r>
      <w:r w:rsidR="004660BA">
        <w:rPr>
          <w:color w:val="000000"/>
        </w:rPr>
        <w:t xml:space="preserve"> By examining the differences in the predicted probabilities, I can </w:t>
      </w:r>
      <w:r w:rsidR="004660BA">
        <w:rPr>
          <w:color w:val="000000"/>
        </w:rPr>
        <w:lastRenderedPageBreak/>
        <w:t>determine if observed probabilities are significantly different across the gender</w:t>
      </w:r>
      <w:r w:rsidR="00734DF8">
        <w:rPr>
          <w:color w:val="000000"/>
        </w:rPr>
        <w:t xml:space="preserve">, family, and </w:t>
      </w:r>
      <w:r w:rsidR="006764F1">
        <w:rPr>
          <w:color w:val="000000"/>
        </w:rPr>
        <w:t>patriarchal norm variables</w:t>
      </w:r>
      <w:r w:rsidR="004660BA">
        <w:rPr>
          <w:color w:val="000000"/>
        </w:rPr>
        <w:t xml:space="preserve"> represented in these data, </w:t>
      </w:r>
      <w:proofErr w:type="gramStart"/>
      <w:r w:rsidR="004660BA">
        <w:rPr>
          <w:color w:val="000000"/>
        </w:rPr>
        <w:t>and also</w:t>
      </w:r>
      <w:proofErr w:type="gramEnd"/>
      <w:r w:rsidR="004660BA">
        <w:rPr>
          <w:color w:val="000000"/>
        </w:rPr>
        <w:t xml:space="preserve"> whether the differences between those differences are significant. For example, after testing the second-order gender differences between </w:t>
      </w:r>
      <w:r w:rsidR="00734DF8">
        <w:rPr>
          <w:color w:val="000000"/>
        </w:rPr>
        <w:t>respondents with positive attit</w:t>
      </w:r>
      <w:r w:rsidR="00D02906">
        <w:rPr>
          <w:color w:val="000000"/>
        </w:rPr>
        <w:t>udes toward patriarchal norms and respondents with negative attitudes toward patriarchal norms,</w:t>
      </w:r>
      <w:r w:rsidR="004660BA">
        <w:rPr>
          <w:color w:val="000000"/>
        </w:rPr>
        <w:t xml:space="preserve"> </w:t>
      </w:r>
      <w:r w:rsidR="006764F1">
        <w:rPr>
          <w:color w:val="000000"/>
        </w:rPr>
        <w:t>I</w:t>
      </w:r>
      <w:r w:rsidR="004660BA">
        <w:rPr>
          <w:color w:val="000000"/>
        </w:rPr>
        <w:t xml:space="preserve"> find </w:t>
      </w:r>
      <w:r w:rsidR="00E702A8">
        <w:rPr>
          <w:color w:val="000000"/>
        </w:rPr>
        <w:t xml:space="preserve">that the gender difference in predicted cocaine use among youth who disagree with patriarchal norms is significantly smaller than the gender difference </w:t>
      </w:r>
      <w:r w:rsidR="00A85E09">
        <w:rPr>
          <w:color w:val="000000"/>
        </w:rPr>
        <w:t xml:space="preserve">in predicted cocaine </w:t>
      </w:r>
      <w:proofErr w:type="gramStart"/>
      <w:r w:rsidR="00A85E09">
        <w:rPr>
          <w:color w:val="000000"/>
        </w:rPr>
        <w:t>use</w:t>
      </w:r>
      <w:proofErr w:type="gramEnd"/>
      <w:r w:rsidR="00A85E09">
        <w:rPr>
          <w:color w:val="000000"/>
        </w:rPr>
        <w:t xml:space="preserve"> among youth who agree with such norms.</w:t>
      </w:r>
    </w:p>
    <w:p w14:paraId="19DB1D4B" w14:textId="309955E1" w:rsidR="00CF2155" w:rsidRDefault="00CF2155" w:rsidP="00EF36D7">
      <w:pPr>
        <w:pStyle w:val="Heading1"/>
      </w:pPr>
      <w:bookmarkStart w:id="22" w:name="_Toc102664116"/>
      <w:r>
        <w:t>RESULTS</w:t>
      </w:r>
      <w:bookmarkEnd w:id="22"/>
    </w:p>
    <w:p w14:paraId="277F4662" w14:textId="1176BBCC" w:rsidR="00672530" w:rsidRDefault="00672530" w:rsidP="006E7BBC">
      <w:r>
        <w:tab/>
      </w:r>
      <w:r w:rsidR="00815508">
        <w:t xml:space="preserve">The results are organized </w:t>
      </w:r>
      <w:r w:rsidR="006E6720">
        <w:t xml:space="preserve">by type of substance analyzed. I first </w:t>
      </w:r>
      <w:r w:rsidR="00920D40">
        <w:t>explain the findings regarding marijuana use, followed by cocaine, heroin, and narcotics.</w:t>
      </w:r>
      <w:r w:rsidR="00802C16">
        <w:t xml:space="preserve"> </w:t>
      </w:r>
      <w:r w:rsidR="000417A0">
        <w:t xml:space="preserve">In each section below, I discuss whether the findings support each hypothesis described above. </w:t>
      </w:r>
    </w:p>
    <w:p w14:paraId="0D24CF85" w14:textId="77777777" w:rsidR="00F437F1" w:rsidRDefault="001709E6" w:rsidP="00EF36D7">
      <w:pPr>
        <w:pStyle w:val="Heading2"/>
      </w:pPr>
      <w:bookmarkStart w:id="23" w:name="_Toc102664117"/>
      <w:r>
        <w:t>Marijuana</w:t>
      </w:r>
      <w:bookmarkEnd w:id="23"/>
    </w:p>
    <w:p w14:paraId="400C65BE" w14:textId="3BDD2363" w:rsidR="00F437F1" w:rsidRDefault="00E96BB9" w:rsidP="006E7BBC">
      <w:r>
        <w:tab/>
        <w:t xml:space="preserve">Table </w:t>
      </w:r>
      <w:r w:rsidR="000D010A">
        <w:t xml:space="preserve">2 </w:t>
      </w:r>
      <w:r>
        <w:t xml:space="preserve">below displays the results for all three models </w:t>
      </w:r>
      <w:r w:rsidR="00FB4423">
        <w:t xml:space="preserve">in the marijuana </w:t>
      </w:r>
      <w:r w:rsidR="00B700A7">
        <w:t>subgroup</w:t>
      </w:r>
      <w:r w:rsidR="00E00DFA">
        <w:t>, presented in log odds</w:t>
      </w:r>
      <w:r w:rsidR="00FB4423">
        <w:t xml:space="preserve">. Looking at </w:t>
      </w:r>
      <w:r w:rsidR="0084328E">
        <w:t>M</w:t>
      </w:r>
      <w:r w:rsidR="00FB4423">
        <w:t xml:space="preserve">odel 1, I find that </w:t>
      </w:r>
      <w:r w:rsidR="006859EB">
        <w:t xml:space="preserve">young </w:t>
      </w:r>
      <w:r w:rsidR="00E00BFC">
        <w:t>men have 0.29 higher log</w:t>
      </w:r>
      <w:r w:rsidR="00C56D7D">
        <w:t>-</w:t>
      </w:r>
      <w:r w:rsidR="00E00BFC">
        <w:t>odds</w:t>
      </w:r>
      <w:r w:rsidR="00FB3418">
        <w:t xml:space="preserve"> </w:t>
      </w:r>
      <w:r w:rsidR="00C00590">
        <w:t xml:space="preserve">of using marijuana when compared to </w:t>
      </w:r>
      <w:r w:rsidR="006859EB">
        <w:t xml:space="preserve">young </w:t>
      </w:r>
      <w:r w:rsidR="00C00590">
        <w:t xml:space="preserve">women, holding other factors constant. In simpler terms, </w:t>
      </w:r>
      <w:r w:rsidR="007843DF">
        <w:t xml:space="preserve">young men have a </w:t>
      </w:r>
      <w:r w:rsidR="006027DB">
        <w:t>51.2 percent predicted probability of trying marijuana, while young women have a 44.2 percent predicted probability.</w:t>
      </w:r>
      <w:r w:rsidR="00526AF8">
        <w:t xml:space="preserve"> </w:t>
      </w:r>
      <w:r w:rsidR="00E00DFA">
        <w:t xml:space="preserve">This </w:t>
      </w:r>
      <w:r w:rsidR="00F63E3B">
        <w:t>difference</w:t>
      </w:r>
      <w:r w:rsidR="00E00DFA">
        <w:t xml:space="preserve"> in predicted probabilities is displayed in Figure 1</w:t>
      </w:r>
      <w:r w:rsidR="00A1719D">
        <w:t xml:space="preserve">. </w:t>
      </w:r>
      <w:r w:rsidR="00D42728">
        <w:t>Th</w:t>
      </w:r>
      <w:r w:rsidR="00A1719D">
        <w:t>ese</w:t>
      </w:r>
      <w:r w:rsidR="00D42728">
        <w:t xml:space="preserve"> result</w:t>
      </w:r>
      <w:r w:rsidR="00A1719D">
        <w:t>s</w:t>
      </w:r>
      <w:r w:rsidR="00D42728">
        <w:t xml:space="preserve"> do not support </w:t>
      </w:r>
      <w:r w:rsidR="00D42728" w:rsidRPr="001563C8">
        <w:rPr>
          <w:i/>
          <w:iCs/>
        </w:rPr>
        <w:t>Hypothesis 1b</w:t>
      </w:r>
      <w:r w:rsidR="00D42728">
        <w:t xml:space="preserve">, which posits that there is no significant gender difference </w:t>
      </w:r>
      <w:r w:rsidR="006859EB">
        <w:t xml:space="preserve">in predicted marijuana use. </w:t>
      </w:r>
      <w:r w:rsidR="00FC501C">
        <w:t xml:space="preserve">Instead, there is a significant a positive relationship between gender and marijuana use that suggests that young men are significantly more likely to try marijuana than young women. </w:t>
      </w:r>
    </w:p>
    <w:p w14:paraId="551BD752" w14:textId="77777777" w:rsidR="001B56F3" w:rsidRDefault="001B56F3" w:rsidP="006E7BBC"/>
    <w:p w14:paraId="29057153" w14:textId="23B04EFF" w:rsidR="00276DC0" w:rsidRPr="001563C8" w:rsidRDefault="00F437F1" w:rsidP="006E7BBC">
      <w:pPr>
        <w:keepNext/>
        <w:widowControl w:val="0"/>
        <w:autoSpaceDE w:val="0"/>
        <w:autoSpaceDN w:val="0"/>
        <w:adjustRightInd w:val="0"/>
        <w:spacing w:line="240" w:lineRule="auto"/>
        <w:rPr>
          <w:b/>
          <w:bCs/>
        </w:rPr>
      </w:pPr>
      <w:r w:rsidRPr="001563C8">
        <w:rPr>
          <w:b/>
          <w:bCs/>
        </w:rPr>
        <w:lastRenderedPageBreak/>
        <w:t xml:space="preserve">Table </w:t>
      </w:r>
      <w:r w:rsidR="000D010A">
        <w:rPr>
          <w:b/>
          <w:bCs/>
        </w:rPr>
        <w:t>2</w:t>
      </w:r>
      <w:r w:rsidRPr="001563C8">
        <w:rPr>
          <w:b/>
          <w:bCs/>
        </w:rPr>
        <w:t>. Ordinal Logistic Regression of Lifetime Marijuana use on Independent Variables</w:t>
      </w:r>
    </w:p>
    <w:tbl>
      <w:tblPr>
        <w:tblW w:w="0" w:type="auto"/>
        <w:tblLayout w:type="fixed"/>
        <w:tblLook w:val="0000" w:firstRow="0" w:lastRow="0" w:firstColumn="0" w:lastColumn="0" w:noHBand="0" w:noVBand="0"/>
      </w:tblPr>
      <w:tblGrid>
        <w:gridCol w:w="3258"/>
        <w:gridCol w:w="1080"/>
        <w:gridCol w:w="720"/>
        <w:gridCol w:w="1170"/>
        <w:gridCol w:w="810"/>
        <w:gridCol w:w="1080"/>
        <w:gridCol w:w="900"/>
      </w:tblGrid>
      <w:tr w:rsidR="00F437F1" w14:paraId="026F7148" w14:textId="77777777" w:rsidTr="00484854">
        <w:tc>
          <w:tcPr>
            <w:tcW w:w="3258" w:type="dxa"/>
            <w:tcBorders>
              <w:top w:val="single" w:sz="4" w:space="0" w:color="auto"/>
              <w:left w:val="nil"/>
              <w:bottom w:val="nil"/>
              <w:right w:val="nil"/>
            </w:tcBorders>
          </w:tcPr>
          <w:p w14:paraId="35A0F6EB" w14:textId="77777777" w:rsidR="00F437F1" w:rsidRDefault="00F437F1" w:rsidP="006E7BBC">
            <w:pPr>
              <w:widowControl w:val="0"/>
              <w:autoSpaceDE w:val="0"/>
              <w:autoSpaceDN w:val="0"/>
              <w:adjustRightInd w:val="0"/>
              <w:spacing w:line="240" w:lineRule="auto"/>
            </w:pPr>
          </w:p>
        </w:tc>
        <w:tc>
          <w:tcPr>
            <w:tcW w:w="1800" w:type="dxa"/>
            <w:gridSpan w:val="2"/>
            <w:tcBorders>
              <w:top w:val="single" w:sz="4" w:space="0" w:color="auto"/>
              <w:left w:val="nil"/>
              <w:bottom w:val="nil"/>
              <w:right w:val="nil"/>
            </w:tcBorders>
          </w:tcPr>
          <w:p w14:paraId="7B2D611F" w14:textId="77777777" w:rsidR="00F437F1" w:rsidRDefault="00F437F1" w:rsidP="006E7BBC">
            <w:pPr>
              <w:widowControl w:val="0"/>
              <w:autoSpaceDE w:val="0"/>
              <w:autoSpaceDN w:val="0"/>
              <w:adjustRightInd w:val="0"/>
              <w:spacing w:line="240" w:lineRule="auto"/>
              <w:jc w:val="center"/>
            </w:pPr>
            <w:r>
              <w:t>Model 1</w:t>
            </w:r>
          </w:p>
        </w:tc>
        <w:tc>
          <w:tcPr>
            <w:tcW w:w="1980" w:type="dxa"/>
            <w:gridSpan w:val="2"/>
            <w:tcBorders>
              <w:top w:val="single" w:sz="4" w:space="0" w:color="auto"/>
              <w:left w:val="nil"/>
              <w:bottom w:val="nil"/>
              <w:right w:val="nil"/>
            </w:tcBorders>
          </w:tcPr>
          <w:p w14:paraId="16F3D49B" w14:textId="77777777" w:rsidR="00F437F1" w:rsidRDefault="00F437F1" w:rsidP="006E7BBC">
            <w:pPr>
              <w:widowControl w:val="0"/>
              <w:autoSpaceDE w:val="0"/>
              <w:autoSpaceDN w:val="0"/>
              <w:adjustRightInd w:val="0"/>
              <w:spacing w:line="240" w:lineRule="auto"/>
              <w:jc w:val="center"/>
            </w:pPr>
            <w:r>
              <w:t>Model 2</w:t>
            </w:r>
          </w:p>
        </w:tc>
        <w:tc>
          <w:tcPr>
            <w:tcW w:w="1980" w:type="dxa"/>
            <w:gridSpan w:val="2"/>
            <w:tcBorders>
              <w:top w:val="single" w:sz="4" w:space="0" w:color="auto"/>
              <w:left w:val="nil"/>
              <w:bottom w:val="nil"/>
              <w:right w:val="nil"/>
            </w:tcBorders>
          </w:tcPr>
          <w:p w14:paraId="232FF8FB" w14:textId="77777777" w:rsidR="00F437F1" w:rsidRDefault="00F437F1" w:rsidP="006E7BBC">
            <w:pPr>
              <w:widowControl w:val="0"/>
              <w:autoSpaceDE w:val="0"/>
              <w:autoSpaceDN w:val="0"/>
              <w:adjustRightInd w:val="0"/>
              <w:spacing w:line="240" w:lineRule="auto"/>
              <w:jc w:val="center"/>
            </w:pPr>
            <w:r>
              <w:t>Model 3</w:t>
            </w:r>
          </w:p>
        </w:tc>
      </w:tr>
      <w:tr w:rsidR="00600AB2" w14:paraId="56413B59" w14:textId="77777777" w:rsidTr="00484854">
        <w:tc>
          <w:tcPr>
            <w:tcW w:w="3258" w:type="dxa"/>
            <w:tcBorders>
              <w:top w:val="single" w:sz="4" w:space="0" w:color="auto"/>
              <w:left w:val="nil"/>
              <w:bottom w:val="nil"/>
              <w:right w:val="nil"/>
            </w:tcBorders>
          </w:tcPr>
          <w:p w14:paraId="08597E33" w14:textId="77777777" w:rsidR="00600AB2" w:rsidRPr="00DD64C8" w:rsidRDefault="00600AB2" w:rsidP="00600AB2">
            <w:pPr>
              <w:widowControl w:val="0"/>
              <w:autoSpaceDE w:val="0"/>
              <w:autoSpaceDN w:val="0"/>
              <w:adjustRightInd w:val="0"/>
              <w:spacing w:line="240" w:lineRule="auto"/>
              <w:rPr>
                <w:b/>
                <w:bCs/>
                <w:u w:val="single"/>
              </w:rPr>
            </w:pPr>
          </w:p>
        </w:tc>
        <w:tc>
          <w:tcPr>
            <w:tcW w:w="1080" w:type="dxa"/>
            <w:tcBorders>
              <w:top w:val="single" w:sz="4" w:space="0" w:color="auto"/>
              <w:left w:val="nil"/>
              <w:bottom w:val="nil"/>
              <w:right w:val="nil"/>
            </w:tcBorders>
          </w:tcPr>
          <w:p w14:paraId="6C4B0FFE" w14:textId="05D511B8" w:rsidR="00600AB2" w:rsidRPr="004121FB" w:rsidRDefault="00600AB2" w:rsidP="00600AB2">
            <w:pPr>
              <w:widowControl w:val="0"/>
              <w:autoSpaceDE w:val="0"/>
              <w:autoSpaceDN w:val="0"/>
              <w:adjustRightInd w:val="0"/>
              <w:spacing w:line="240" w:lineRule="auto"/>
              <w:jc w:val="center"/>
              <w:rPr>
                <w:i/>
                <w:iCs/>
              </w:rPr>
            </w:pPr>
            <w:r w:rsidRPr="004121FB">
              <w:rPr>
                <w:i/>
                <w:iCs/>
              </w:rPr>
              <w:t>β</w:t>
            </w:r>
          </w:p>
        </w:tc>
        <w:tc>
          <w:tcPr>
            <w:tcW w:w="720" w:type="dxa"/>
            <w:tcBorders>
              <w:top w:val="single" w:sz="4" w:space="0" w:color="auto"/>
              <w:left w:val="nil"/>
              <w:bottom w:val="nil"/>
              <w:right w:val="nil"/>
            </w:tcBorders>
          </w:tcPr>
          <w:p w14:paraId="16B16D37" w14:textId="51DBF787" w:rsidR="00600AB2" w:rsidRPr="004121FB" w:rsidRDefault="00600AB2" w:rsidP="00600AB2">
            <w:pPr>
              <w:widowControl w:val="0"/>
              <w:autoSpaceDE w:val="0"/>
              <w:autoSpaceDN w:val="0"/>
              <w:adjustRightInd w:val="0"/>
              <w:spacing w:line="240" w:lineRule="auto"/>
              <w:jc w:val="center"/>
              <w:rPr>
                <w:i/>
                <w:iCs/>
              </w:rPr>
            </w:pPr>
            <w:r w:rsidRPr="004121FB">
              <w:rPr>
                <w:i/>
                <w:iCs/>
              </w:rPr>
              <w:t>SE</w:t>
            </w:r>
          </w:p>
        </w:tc>
        <w:tc>
          <w:tcPr>
            <w:tcW w:w="1170" w:type="dxa"/>
            <w:tcBorders>
              <w:top w:val="single" w:sz="4" w:space="0" w:color="auto"/>
              <w:left w:val="nil"/>
              <w:bottom w:val="nil"/>
              <w:right w:val="nil"/>
            </w:tcBorders>
          </w:tcPr>
          <w:p w14:paraId="2FB79B8B" w14:textId="0902929A" w:rsidR="00600AB2" w:rsidRDefault="00600AB2" w:rsidP="00600AB2">
            <w:pPr>
              <w:widowControl w:val="0"/>
              <w:autoSpaceDE w:val="0"/>
              <w:autoSpaceDN w:val="0"/>
              <w:adjustRightInd w:val="0"/>
              <w:spacing w:line="240" w:lineRule="auto"/>
              <w:jc w:val="center"/>
            </w:pPr>
            <w:r w:rsidRPr="00915136">
              <w:rPr>
                <w:i/>
                <w:iCs/>
              </w:rPr>
              <w:t>β</w:t>
            </w:r>
          </w:p>
        </w:tc>
        <w:tc>
          <w:tcPr>
            <w:tcW w:w="810" w:type="dxa"/>
            <w:tcBorders>
              <w:top w:val="single" w:sz="4" w:space="0" w:color="auto"/>
              <w:left w:val="nil"/>
              <w:bottom w:val="nil"/>
              <w:right w:val="nil"/>
            </w:tcBorders>
          </w:tcPr>
          <w:p w14:paraId="31D6DEB1" w14:textId="42BEC92E" w:rsidR="00600AB2" w:rsidRDefault="00600AB2" w:rsidP="00600AB2">
            <w:pPr>
              <w:widowControl w:val="0"/>
              <w:autoSpaceDE w:val="0"/>
              <w:autoSpaceDN w:val="0"/>
              <w:adjustRightInd w:val="0"/>
              <w:spacing w:line="240" w:lineRule="auto"/>
              <w:jc w:val="center"/>
            </w:pPr>
            <w:r w:rsidRPr="00915136">
              <w:rPr>
                <w:i/>
                <w:iCs/>
              </w:rPr>
              <w:t>SE</w:t>
            </w:r>
          </w:p>
        </w:tc>
        <w:tc>
          <w:tcPr>
            <w:tcW w:w="1080" w:type="dxa"/>
            <w:tcBorders>
              <w:top w:val="single" w:sz="4" w:space="0" w:color="auto"/>
              <w:left w:val="nil"/>
              <w:bottom w:val="nil"/>
              <w:right w:val="nil"/>
            </w:tcBorders>
          </w:tcPr>
          <w:p w14:paraId="1B29F2D0" w14:textId="4D0DE4F6" w:rsidR="00600AB2" w:rsidRDefault="00600AB2" w:rsidP="00600AB2">
            <w:pPr>
              <w:widowControl w:val="0"/>
              <w:autoSpaceDE w:val="0"/>
              <w:autoSpaceDN w:val="0"/>
              <w:adjustRightInd w:val="0"/>
              <w:spacing w:line="240" w:lineRule="auto"/>
              <w:jc w:val="center"/>
            </w:pPr>
            <w:r w:rsidRPr="00915136">
              <w:rPr>
                <w:i/>
                <w:iCs/>
              </w:rPr>
              <w:t>β</w:t>
            </w:r>
          </w:p>
        </w:tc>
        <w:tc>
          <w:tcPr>
            <w:tcW w:w="900" w:type="dxa"/>
            <w:tcBorders>
              <w:top w:val="single" w:sz="4" w:space="0" w:color="auto"/>
              <w:left w:val="nil"/>
              <w:bottom w:val="nil"/>
              <w:right w:val="nil"/>
            </w:tcBorders>
          </w:tcPr>
          <w:p w14:paraId="3354C61E" w14:textId="291593C0" w:rsidR="00600AB2" w:rsidRDefault="00600AB2" w:rsidP="00600AB2">
            <w:pPr>
              <w:widowControl w:val="0"/>
              <w:autoSpaceDE w:val="0"/>
              <w:autoSpaceDN w:val="0"/>
              <w:adjustRightInd w:val="0"/>
              <w:spacing w:line="240" w:lineRule="auto"/>
              <w:jc w:val="center"/>
            </w:pPr>
            <w:r w:rsidRPr="00915136">
              <w:rPr>
                <w:i/>
                <w:iCs/>
              </w:rPr>
              <w:t>SE</w:t>
            </w:r>
          </w:p>
        </w:tc>
      </w:tr>
      <w:tr w:rsidR="00600AB2" w14:paraId="44544805" w14:textId="77777777" w:rsidTr="00484854">
        <w:tc>
          <w:tcPr>
            <w:tcW w:w="3258" w:type="dxa"/>
            <w:tcBorders>
              <w:top w:val="nil"/>
              <w:left w:val="nil"/>
              <w:bottom w:val="nil"/>
              <w:right w:val="nil"/>
            </w:tcBorders>
          </w:tcPr>
          <w:p w14:paraId="1F8EA5FE" w14:textId="77777777" w:rsidR="00600AB2" w:rsidRPr="00DD64C8" w:rsidRDefault="00600AB2" w:rsidP="00600AB2">
            <w:pPr>
              <w:widowControl w:val="0"/>
              <w:autoSpaceDE w:val="0"/>
              <w:autoSpaceDN w:val="0"/>
              <w:adjustRightInd w:val="0"/>
              <w:spacing w:line="240" w:lineRule="auto"/>
              <w:rPr>
                <w:b/>
                <w:bCs/>
                <w:u w:val="single"/>
              </w:rPr>
            </w:pPr>
            <w:r>
              <w:rPr>
                <w:b/>
                <w:bCs/>
                <w:u w:val="single"/>
              </w:rPr>
              <w:t>Main Effects</w:t>
            </w:r>
          </w:p>
        </w:tc>
        <w:tc>
          <w:tcPr>
            <w:tcW w:w="1080" w:type="dxa"/>
            <w:tcBorders>
              <w:top w:val="nil"/>
              <w:left w:val="nil"/>
              <w:bottom w:val="nil"/>
              <w:right w:val="nil"/>
            </w:tcBorders>
          </w:tcPr>
          <w:p w14:paraId="3E82C0E3" w14:textId="77777777" w:rsidR="00600AB2" w:rsidRDefault="00600AB2" w:rsidP="00600AB2">
            <w:pPr>
              <w:widowControl w:val="0"/>
              <w:tabs>
                <w:tab w:val="decimal" w:pos="345"/>
              </w:tabs>
              <w:autoSpaceDE w:val="0"/>
              <w:autoSpaceDN w:val="0"/>
              <w:adjustRightInd w:val="0"/>
              <w:spacing w:line="240" w:lineRule="auto"/>
            </w:pPr>
          </w:p>
        </w:tc>
        <w:tc>
          <w:tcPr>
            <w:tcW w:w="720" w:type="dxa"/>
            <w:tcBorders>
              <w:top w:val="nil"/>
              <w:left w:val="nil"/>
              <w:bottom w:val="nil"/>
              <w:right w:val="nil"/>
            </w:tcBorders>
          </w:tcPr>
          <w:p w14:paraId="392EA679" w14:textId="77777777" w:rsidR="00600AB2" w:rsidRDefault="00600AB2" w:rsidP="00600AB2">
            <w:pPr>
              <w:widowControl w:val="0"/>
              <w:autoSpaceDE w:val="0"/>
              <w:autoSpaceDN w:val="0"/>
              <w:adjustRightInd w:val="0"/>
              <w:spacing w:line="240" w:lineRule="auto"/>
              <w:jc w:val="center"/>
            </w:pPr>
          </w:p>
        </w:tc>
        <w:tc>
          <w:tcPr>
            <w:tcW w:w="1170" w:type="dxa"/>
            <w:tcBorders>
              <w:top w:val="nil"/>
              <w:left w:val="nil"/>
              <w:bottom w:val="nil"/>
              <w:right w:val="nil"/>
            </w:tcBorders>
          </w:tcPr>
          <w:p w14:paraId="4DB539E9" w14:textId="77777777" w:rsidR="00600AB2" w:rsidRDefault="00600AB2" w:rsidP="00600AB2">
            <w:pPr>
              <w:widowControl w:val="0"/>
              <w:autoSpaceDE w:val="0"/>
              <w:autoSpaceDN w:val="0"/>
              <w:adjustRightInd w:val="0"/>
              <w:spacing w:line="240" w:lineRule="auto"/>
              <w:jc w:val="center"/>
            </w:pPr>
          </w:p>
        </w:tc>
        <w:tc>
          <w:tcPr>
            <w:tcW w:w="810" w:type="dxa"/>
            <w:tcBorders>
              <w:top w:val="nil"/>
              <w:left w:val="nil"/>
              <w:bottom w:val="nil"/>
              <w:right w:val="nil"/>
            </w:tcBorders>
          </w:tcPr>
          <w:p w14:paraId="3C7B8433" w14:textId="77777777" w:rsidR="00600AB2" w:rsidRDefault="00600AB2" w:rsidP="00600AB2">
            <w:pPr>
              <w:widowControl w:val="0"/>
              <w:autoSpaceDE w:val="0"/>
              <w:autoSpaceDN w:val="0"/>
              <w:adjustRightInd w:val="0"/>
              <w:spacing w:line="240" w:lineRule="auto"/>
              <w:jc w:val="center"/>
            </w:pPr>
          </w:p>
        </w:tc>
        <w:tc>
          <w:tcPr>
            <w:tcW w:w="1080" w:type="dxa"/>
            <w:tcBorders>
              <w:top w:val="nil"/>
              <w:left w:val="nil"/>
              <w:bottom w:val="nil"/>
              <w:right w:val="nil"/>
            </w:tcBorders>
          </w:tcPr>
          <w:p w14:paraId="698B6939" w14:textId="77777777" w:rsidR="00600AB2" w:rsidRDefault="00600AB2" w:rsidP="00600AB2">
            <w:pPr>
              <w:widowControl w:val="0"/>
              <w:autoSpaceDE w:val="0"/>
              <w:autoSpaceDN w:val="0"/>
              <w:adjustRightInd w:val="0"/>
              <w:spacing w:line="240" w:lineRule="auto"/>
              <w:jc w:val="center"/>
            </w:pPr>
          </w:p>
        </w:tc>
        <w:tc>
          <w:tcPr>
            <w:tcW w:w="900" w:type="dxa"/>
            <w:tcBorders>
              <w:top w:val="nil"/>
              <w:left w:val="nil"/>
              <w:bottom w:val="nil"/>
              <w:right w:val="nil"/>
            </w:tcBorders>
          </w:tcPr>
          <w:p w14:paraId="2450A19A" w14:textId="77777777" w:rsidR="00600AB2" w:rsidRDefault="00600AB2" w:rsidP="00600AB2">
            <w:pPr>
              <w:widowControl w:val="0"/>
              <w:autoSpaceDE w:val="0"/>
              <w:autoSpaceDN w:val="0"/>
              <w:adjustRightInd w:val="0"/>
              <w:spacing w:line="240" w:lineRule="auto"/>
            </w:pPr>
          </w:p>
        </w:tc>
      </w:tr>
      <w:tr w:rsidR="00600AB2" w14:paraId="266B8F50" w14:textId="77777777" w:rsidTr="00484854">
        <w:tc>
          <w:tcPr>
            <w:tcW w:w="3258" w:type="dxa"/>
            <w:tcBorders>
              <w:top w:val="nil"/>
              <w:left w:val="nil"/>
              <w:bottom w:val="nil"/>
              <w:right w:val="nil"/>
            </w:tcBorders>
          </w:tcPr>
          <w:p w14:paraId="705BAEB2" w14:textId="04F733F8" w:rsidR="00600AB2" w:rsidRDefault="00600AB2" w:rsidP="00600AB2">
            <w:pPr>
              <w:widowControl w:val="0"/>
              <w:autoSpaceDE w:val="0"/>
              <w:autoSpaceDN w:val="0"/>
              <w:adjustRightInd w:val="0"/>
              <w:spacing w:line="240" w:lineRule="auto"/>
            </w:pPr>
            <w:r>
              <w:t>Men</w:t>
            </w:r>
          </w:p>
        </w:tc>
        <w:tc>
          <w:tcPr>
            <w:tcW w:w="1080" w:type="dxa"/>
            <w:tcBorders>
              <w:top w:val="nil"/>
              <w:left w:val="nil"/>
              <w:bottom w:val="nil"/>
              <w:right w:val="nil"/>
            </w:tcBorders>
          </w:tcPr>
          <w:p w14:paraId="0849DC6D" w14:textId="126AF87A" w:rsidR="00600AB2" w:rsidRDefault="00600AB2" w:rsidP="00600AB2">
            <w:pPr>
              <w:widowControl w:val="0"/>
              <w:tabs>
                <w:tab w:val="decimal" w:pos="345"/>
              </w:tabs>
              <w:autoSpaceDE w:val="0"/>
              <w:autoSpaceDN w:val="0"/>
              <w:adjustRightInd w:val="0"/>
              <w:spacing w:line="240" w:lineRule="auto"/>
            </w:pPr>
            <w:r>
              <w:t>0.29</w:t>
            </w:r>
            <w:r>
              <w:rPr>
                <w:vertAlign w:val="superscript"/>
              </w:rPr>
              <w:t>***</w:t>
            </w:r>
          </w:p>
        </w:tc>
        <w:tc>
          <w:tcPr>
            <w:tcW w:w="720" w:type="dxa"/>
            <w:tcBorders>
              <w:top w:val="nil"/>
              <w:left w:val="nil"/>
              <w:bottom w:val="nil"/>
              <w:right w:val="nil"/>
            </w:tcBorders>
          </w:tcPr>
          <w:p w14:paraId="1499FB85" w14:textId="77777777" w:rsidR="00600AB2" w:rsidRDefault="00600AB2" w:rsidP="00600AB2">
            <w:pPr>
              <w:widowControl w:val="0"/>
              <w:autoSpaceDE w:val="0"/>
              <w:autoSpaceDN w:val="0"/>
              <w:adjustRightInd w:val="0"/>
              <w:spacing w:line="240" w:lineRule="auto"/>
            </w:pPr>
            <w:r>
              <w:t>(.02)</w:t>
            </w:r>
          </w:p>
        </w:tc>
        <w:tc>
          <w:tcPr>
            <w:tcW w:w="1170" w:type="dxa"/>
            <w:tcBorders>
              <w:top w:val="nil"/>
              <w:left w:val="nil"/>
              <w:bottom w:val="nil"/>
              <w:right w:val="nil"/>
            </w:tcBorders>
          </w:tcPr>
          <w:p w14:paraId="7252E073" w14:textId="11C50342" w:rsidR="00600AB2" w:rsidRDefault="00600AB2" w:rsidP="00600AB2">
            <w:pPr>
              <w:widowControl w:val="0"/>
              <w:tabs>
                <w:tab w:val="decimal" w:pos="345"/>
              </w:tabs>
              <w:autoSpaceDE w:val="0"/>
              <w:autoSpaceDN w:val="0"/>
              <w:adjustRightInd w:val="0"/>
              <w:spacing w:line="240" w:lineRule="auto"/>
            </w:pPr>
            <w:r>
              <w:t>0.29</w:t>
            </w:r>
            <w:r>
              <w:rPr>
                <w:vertAlign w:val="superscript"/>
              </w:rPr>
              <w:t>***</w:t>
            </w:r>
          </w:p>
        </w:tc>
        <w:tc>
          <w:tcPr>
            <w:tcW w:w="810" w:type="dxa"/>
            <w:tcBorders>
              <w:top w:val="nil"/>
              <w:left w:val="nil"/>
              <w:bottom w:val="nil"/>
              <w:right w:val="nil"/>
            </w:tcBorders>
          </w:tcPr>
          <w:p w14:paraId="70799263" w14:textId="72C8711C" w:rsidR="00600AB2" w:rsidRDefault="00600AB2" w:rsidP="00600AB2">
            <w:pPr>
              <w:widowControl w:val="0"/>
              <w:autoSpaceDE w:val="0"/>
              <w:autoSpaceDN w:val="0"/>
              <w:adjustRightInd w:val="0"/>
              <w:spacing w:line="240" w:lineRule="auto"/>
              <w:jc w:val="center"/>
            </w:pPr>
            <w:r>
              <w:t>(.02)</w:t>
            </w:r>
          </w:p>
        </w:tc>
        <w:tc>
          <w:tcPr>
            <w:tcW w:w="1080" w:type="dxa"/>
            <w:tcBorders>
              <w:top w:val="nil"/>
              <w:left w:val="nil"/>
              <w:bottom w:val="nil"/>
              <w:right w:val="nil"/>
            </w:tcBorders>
          </w:tcPr>
          <w:p w14:paraId="02F1CE7D" w14:textId="0EA82B12" w:rsidR="00600AB2" w:rsidRDefault="00600AB2" w:rsidP="00600AB2">
            <w:pPr>
              <w:widowControl w:val="0"/>
              <w:tabs>
                <w:tab w:val="decimal" w:pos="345"/>
              </w:tabs>
              <w:autoSpaceDE w:val="0"/>
              <w:autoSpaceDN w:val="0"/>
              <w:adjustRightInd w:val="0"/>
              <w:spacing w:line="240" w:lineRule="auto"/>
            </w:pPr>
            <w:r>
              <w:t>0.19</w:t>
            </w:r>
            <w:r>
              <w:rPr>
                <w:vertAlign w:val="superscript"/>
              </w:rPr>
              <w:t>***</w:t>
            </w:r>
          </w:p>
        </w:tc>
        <w:tc>
          <w:tcPr>
            <w:tcW w:w="900" w:type="dxa"/>
            <w:tcBorders>
              <w:top w:val="nil"/>
              <w:left w:val="nil"/>
              <w:bottom w:val="nil"/>
              <w:right w:val="nil"/>
            </w:tcBorders>
          </w:tcPr>
          <w:p w14:paraId="118B41E4" w14:textId="77777777" w:rsidR="00600AB2" w:rsidRDefault="00600AB2" w:rsidP="00600AB2">
            <w:pPr>
              <w:widowControl w:val="0"/>
              <w:autoSpaceDE w:val="0"/>
              <w:autoSpaceDN w:val="0"/>
              <w:adjustRightInd w:val="0"/>
              <w:spacing w:line="240" w:lineRule="auto"/>
            </w:pPr>
            <w:r>
              <w:t>(.03)</w:t>
            </w:r>
          </w:p>
        </w:tc>
      </w:tr>
      <w:tr w:rsidR="00600AB2" w14:paraId="047E0BC4" w14:textId="77777777" w:rsidTr="00484854">
        <w:tc>
          <w:tcPr>
            <w:tcW w:w="3258" w:type="dxa"/>
            <w:tcBorders>
              <w:top w:val="nil"/>
              <w:left w:val="nil"/>
              <w:bottom w:val="nil"/>
              <w:right w:val="nil"/>
            </w:tcBorders>
          </w:tcPr>
          <w:p w14:paraId="0765C57C" w14:textId="48BFFA1A" w:rsidR="00600AB2" w:rsidRDefault="00600AB2" w:rsidP="00600AB2">
            <w:pPr>
              <w:widowControl w:val="0"/>
              <w:autoSpaceDE w:val="0"/>
              <w:autoSpaceDN w:val="0"/>
              <w:adjustRightInd w:val="0"/>
              <w:spacing w:line="240" w:lineRule="auto"/>
            </w:pPr>
            <w:r>
              <w:t>Patriarchal Family</w:t>
            </w:r>
          </w:p>
        </w:tc>
        <w:tc>
          <w:tcPr>
            <w:tcW w:w="1080" w:type="dxa"/>
            <w:tcBorders>
              <w:top w:val="nil"/>
              <w:left w:val="nil"/>
              <w:bottom w:val="nil"/>
              <w:right w:val="nil"/>
            </w:tcBorders>
          </w:tcPr>
          <w:p w14:paraId="6655DC38" w14:textId="07EA812E" w:rsidR="00600AB2" w:rsidRDefault="00600AB2" w:rsidP="00600AB2">
            <w:pPr>
              <w:widowControl w:val="0"/>
              <w:tabs>
                <w:tab w:val="decimal" w:pos="345"/>
              </w:tabs>
              <w:autoSpaceDE w:val="0"/>
              <w:autoSpaceDN w:val="0"/>
              <w:adjustRightInd w:val="0"/>
              <w:spacing w:line="240" w:lineRule="auto"/>
            </w:pPr>
            <w:r>
              <w:t>-0.16</w:t>
            </w:r>
            <w:r>
              <w:rPr>
                <w:vertAlign w:val="superscript"/>
              </w:rPr>
              <w:t>***</w:t>
            </w:r>
          </w:p>
        </w:tc>
        <w:tc>
          <w:tcPr>
            <w:tcW w:w="720" w:type="dxa"/>
            <w:tcBorders>
              <w:top w:val="nil"/>
              <w:left w:val="nil"/>
              <w:bottom w:val="nil"/>
              <w:right w:val="nil"/>
            </w:tcBorders>
          </w:tcPr>
          <w:p w14:paraId="06EE36B3" w14:textId="77777777" w:rsidR="00600AB2" w:rsidRDefault="00600AB2" w:rsidP="00600AB2">
            <w:pPr>
              <w:widowControl w:val="0"/>
              <w:autoSpaceDE w:val="0"/>
              <w:autoSpaceDN w:val="0"/>
              <w:adjustRightInd w:val="0"/>
              <w:spacing w:line="240" w:lineRule="auto"/>
            </w:pPr>
            <w:r>
              <w:t>(.02)</w:t>
            </w:r>
          </w:p>
        </w:tc>
        <w:tc>
          <w:tcPr>
            <w:tcW w:w="1170" w:type="dxa"/>
            <w:tcBorders>
              <w:top w:val="nil"/>
              <w:left w:val="nil"/>
              <w:bottom w:val="nil"/>
              <w:right w:val="nil"/>
            </w:tcBorders>
          </w:tcPr>
          <w:p w14:paraId="7BB52925" w14:textId="2556BE6F" w:rsidR="00600AB2" w:rsidRDefault="00600AB2" w:rsidP="00600AB2">
            <w:pPr>
              <w:widowControl w:val="0"/>
              <w:tabs>
                <w:tab w:val="decimal" w:pos="345"/>
              </w:tabs>
              <w:autoSpaceDE w:val="0"/>
              <w:autoSpaceDN w:val="0"/>
              <w:adjustRightInd w:val="0"/>
              <w:spacing w:line="240" w:lineRule="auto"/>
            </w:pPr>
            <w:r>
              <w:t>-0.15</w:t>
            </w:r>
            <w:r>
              <w:rPr>
                <w:vertAlign w:val="superscript"/>
              </w:rPr>
              <w:t>***</w:t>
            </w:r>
          </w:p>
        </w:tc>
        <w:tc>
          <w:tcPr>
            <w:tcW w:w="810" w:type="dxa"/>
            <w:tcBorders>
              <w:top w:val="nil"/>
              <w:left w:val="nil"/>
              <w:bottom w:val="nil"/>
              <w:right w:val="nil"/>
            </w:tcBorders>
          </w:tcPr>
          <w:p w14:paraId="6FF87284" w14:textId="77777777" w:rsidR="00600AB2" w:rsidRDefault="00600AB2" w:rsidP="00600AB2">
            <w:pPr>
              <w:widowControl w:val="0"/>
              <w:autoSpaceDE w:val="0"/>
              <w:autoSpaceDN w:val="0"/>
              <w:adjustRightInd w:val="0"/>
              <w:spacing w:line="240" w:lineRule="auto"/>
              <w:jc w:val="center"/>
            </w:pPr>
            <w:r>
              <w:t>(.03)</w:t>
            </w:r>
          </w:p>
        </w:tc>
        <w:tc>
          <w:tcPr>
            <w:tcW w:w="1080" w:type="dxa"/>
            <w:tcBorders>
              <w:top w:val="nil"/>
              <w:left w:val="nil"/>
              <w:bottom w:val="nil"/>
              <w:right w:val="nil"/>
            </w:tcBorders>
          </w:tcPr>
          <w:p w14:paraId="294E1862" w14:textId="0BD46A0A" w:rsidR="00600AB2" w:rsidRDefault="00600AB2" w:rsidP="00600AB2">
            <w:pPr>
              <w:widowControl w:val="0"/>
              <w:tabs>
                <w:tab w:val="decimal" w:pos="345"/>
              </w:tabs>
              <w:autoSpaceDE w:val="0"/>
              <w:autoSpaceDN w:val="0"/>
              <w:adjustRightInd w:val="0"/>
              <w:spacing w:line="240" w:lineRule="auto"/>
            </w:pPr>
            <w:r>
              <w:t>-0.16</w:t>
            </w:r>
            <w:r>
              <w:rPr>
                <w:vertAlign w:val="superscript"/>
              </w:rPr>
              <w:t>***</w:t>
            </w:r>
          </w:p>
        </w:tc>
        <w:tc>
          <w:tcPr>
            <w:tcW w:w="900" w:type="dxa"/>
            <w:tcBorders>
              <w:top w:val="nil"/>
              <w:left w:val="nil"/>
              <w:bottom w:val="nil"/>
              <w:right w:val="nil"/>
            </w:tcBorders>
          </w:tcPr>
          <w:p w14:paraId="340A26C4" w14:textId="77777777" w:rsidR="00600AB2" w:rsidRDefault="00600AB2" w:rsidP="00600AB2">
            <w:pPr>
              <w:widowControl w:val="0"/>
              <w:autoSpaceDE w:val="0"/>
              <w:autoSpaceDN w:val="0"/>
              <w:adjustRightInd w:val="0"/>
              <w:spacing w:line="240" w:lineRule="auto"/>
            </w:pPr>
            <w:r>
              <w:t>(.02)</w:t>
            </w:r>
          </w:p>
        </w:tc>
      </w:tr>
      <w:tr w:rsidR="00600AB2" w14:paraId="5DEE079B" w14:textId="77777777" w:rsidTr="00484854">
        <w:tc>
          <w:tcPr>
            <w:tcW w:w="3258" w:type="dxa"/>
            <w:tcBorders>
              <w:top w:val="nil"/>
              <w:left w:val="nil"/>
              <w:bottom w:val="nil"/>
              <w:right w:val="nil"/>
            </w:tcBorders>
          </w:tcPr>
          <w:p w14:paraId="72961A85" w14:textId="77777777" w:rsidR="00600AB2" w:rsidRDefault="00600AB2" w:rsidP="00600AB2">
            <w:pPr>
              <w:widowControl w:val="0"/>
              <w:autoSpaceDE w:val="0"/>
              <w:autoSpaceDN w:val="0"/>
              <w:adjustRightInd w:val="0"/>
              <w:spacing w:line="240" w:lineRule="auto"/>
            </w:pPr>
            <w:r>
              <w:t>Patriarchal Norms</w:t>
            </w:r>
          </w:p>
        </w:tc>
        <w:tc>
          <w:tcPr>
            <w:tcW w:w="1080" w:type="dxa"/>
            <w:tcBorders>
              <w:top w:val="nil"/>
              <w:left w:val="nil"/>
              <w:bottom w:val="nil"/>
              <w:right w:val="nil"/>
            </w:tcBorders>
          </w:tcPr>
          <w:p w14:paraId="038442A0" w14:textId="77777777" w:rsidR="00600AB2" w:rsidRDefault="00600AB2" w:rsidP="00600AB2">
            <w:pPr>
              <w:widowControl w:val="0"/>
              <w:tabs>
                <w:tab w:val="decimal" w:pos="345"/>
              </w:tabs>
              <w:autoSpaceDE w:val="0"/>
              <w:autoSpaceDN w:val="0"/>
              <w:adjustRightInd w:val="0"/>
              <w:spacing w:line="240" w:lineRule="auto"/>
            </w:pPr>
            <w:r>
              <w:t>-0.05</w:t>
            </w:r>
            <w:r>
              <w:rPr>
                <w:vertAlign w:val="superscript"/>
              </w:rPr>
              <w:t>**</w:t>
            </w:r>
          </w:p>
        </w:tc>
        <w:tc>
          <w:tcPr>
            <w:tcW w:w="720" w:type="dxa"/>
            <w:tcBorders>
              <w:top w:val="nil"/>
              <w:left w:val="nil"/>
              <w:bottom w:val="nil"/>
              <w:right w:val="nil"/>
            </w:tcBorders>
          </w:tcPr>
          <w:p w14:paraId="03FCB398" w14:textId="77777777" w:rsidR="00600AB2" w:rsidRDefault="00600AB2" w:rsidP="00600AB2">
            <w:pPr>
              <w:widowControl w:val="0"/>
              <w:autoSpaceDE w:val="0"/>
              <w:autoSpaceDN w:val="0"/>
              <w:adjustRightInd w:val="0"/>
              <w:spacing w:line="240" w:lineRule="auto"/>
            </w:pPr>
            <w:r>
              <w:t>(.02)</w:t>
            </w:r>
          </w:p>
        </w:tc>
        <w:tc>
          <w:tcPr>
            <w:tcW w:w="1170" w:type="dxa"/>
            <w:tcBorders>
              <w:top w:val="nil"/>
              <w:left w:val="nil"/>
              <w:bottom w:val="nil"/>
              <w:right w:val="nil"/>
            </w:tcBorders>
          </w:tcPr>
          <w:p w14:paraId="10827BEE" w14:textId="77777777" w:rsidR="00600AB2" w:rsidRDefault="00600AB2" w:rsidP="00600AB2">
            <w:pPr>
              <w:widowControl w:val="0"/>
              <w:tabs>
                <w:tab w:val="decimal" w:pos="345"/>
              </w:tabs>
              <w:autoSpaceDE w:val="0"/>
              <w:autoSpaceDN w:val="0"/>
              <w:adjustRightInd w:val="0"/>
              <w:spacing w:line="240" w:lineRule="auto"/>
            </w:pPr>
            <w:r>
              <w:t>-0.05</w:t>
            </w:r>
            <w:r>
              <w:rPr>
                <w:vertAlign w:val="superscript"/>
              </w:rPr>
              <w:t>**</w:t>
            </w:r>
          </w:p>
        </w:tc>
        <w:tc>
          <w:tcPr>
            <w:tcW w:w="810" w:type="dxa"/>
            <w:tcBorders>
              <w:top w:val="nil"/>
              <w:left w:val="nil"/>
              <w:bottom w:val="nil"/>
              <w:right w:val="nil"/>
            </w:tcBorders>
          </w:tcPr>
          <w:p w14:paraId="78D9054A" w14:textId="77777777" w:rsidR="00600AB2" w:rsidRDefault="00600AB2" w:rsidP="00600AB2">
            <w:pPr>
              <w:widowControl w:val="0"/>
              <w:autoSpaceDE w:val="0"/>
              <w:autoSpaceDN w:val="0"/>
              <w:adjustRightInd w:val="0"/>
              <w:spacing w:line="240" w:lineRule="auto"/>
              <w:jc w:val="center"/>
            </w:pPr>
            <w:r>
              <w:t>(.02)</w:t>
            </w:r>
          </w:p>
        </w:tc>
        <w:tc>
          <w:tcPr>
            <w:tcW w:w="1080" w:type="dxa"/>
            <w:tcBorders>
              <w:top w:val="nil"/>
              <w:left w:val="nil"/>
              <w:bottom w:val="nil"/>
              <w:right w:val="nil"/>
            </w:tcBorders>
          </w:tcPr>
          <w:p w14:paraId="38ACF20D" w14:textId="4A8611C7" w:rsidR="00600AB2" w:rsidRDefault="00600AB2" w:rsidP="00600AB2">
            <w:pPr>
              <w:widowControl w:val="0"/>
              <w:tabs>
                <w:tab w:val="decimal" w:pos="345"/>
              </w:tabs>
              <w:autoSpaceDE w:val="0"/>
              <w:autoSpaceDN w:val="0"/>
              <w:adjustRightInd w:val="0"/>
              <w:spacing w:line="240" w:lineRule="auto"/>
            </w:pPr>
            <w:r>
              <w:t>-0.18</w:t>
            </w:r>
            <w:r>
              <w:rPr>
                <w:vertAlign w:val="superscript"/>
              </w:rPr>
              <w:t>*</w:t>
            </w:r>
          </w:p>
        </w:tc>
        <w:tc>
          <w:tcPr>
            <w:tcW w:w="900" w:type="dxa"/>
            <w:tcBorders>
              <w:top w:val="nil"/>
              <w:left w:val="nil"/>
              <w:bottom w:val="nil"/>
              <w:right w:val="nil"/>
            </w:tcBorders>
          </w:tcPr>
          <w:p w14:paraId="5DCEB476" w14:textId="77777777" w:rsidR="00600AB2" w:rsidRDefault="00600AB2" w:rsidP="00600AB2">
            <w:pPr>
              <w:widowControl w:val="0"/>
              <w:autoSpaceDE w:val="0"/>
              <w:autoSpaceDN w:val="0"/>
              <w:adjustRightInd w:val="0"/>
              <w:spacing w:line="240" w:lineRule="auto"/>
            </w:pPr>
            <w:r>
              <w:t>(.03)</w:t>
            </w:r>
          </w:p>
        </w:tc>
      </w:tr>
      <w:tr w:rsidR="00600AB2" w14:paraId="20989BC1" w14:textId="77777777" w:rsidTr="00484854">
        <w:tc>
          <w:tcPr>
            <w:tcW w:w="3258" w:type="dxa"/>
            <w:tcBorders>
              <w:top w:val="nil"/>
              <w:left w:val="nil"/>
              <w:bottom w:val="nil"/>
              <w:right w:val="nil"/>
            </w:tcBorders>
          </w:tcPr>
          <w:p w14:paraId="0FA69F00" w14:textId="77777777" w:rsidR="00600AB2" w:rsidRPr="00DD64C8" w:rsidRDefault="00600AB2" w:rsidP="00600AB2">
            <w:pPr>
              <w:widowControl w:val="0"/>
              <w:autoSpaceDE w:val="0"/>
              <w:autoSpaceDN w:val="0"/>
              <w:adjustRightInd w:val="0"/>
              <w:spacing w:line="240" w:lineRule="auto"/>
              <w:rPr>
                <w:b/>
                <w:bCs/>
                <w:u w:val="single"/>
              </w:rPr>
            </w:pPr>
            <w:r>
              <w:rPr>
                <w:b/>
                <w:bCs/>
                <w:u w:val="single"/>
              </w:rPr>
              <w:t>Interactions</w:t>
            </w:r>
          </w:p>
        </w:tc>
        <w:tc>
          <w:tcPr>
            <w:tcW w:w="1080" w:type="dxa"/>
            <w:tcBorders>
              <w:top w:val="nil"/>
              <w:left w:val="nil"/>
              <w:bottom w:val="nil"/>
              <w:right w:val="nil"/>
            </w:tcBorders>
          </w:tcPr>
          <w:p w14:paraId="062E86BD" w14:textId="77777777" w:rsidR="00600AB2" w:rsidRDefault="00600AB2" w:rsidP="00600AB2">
            <w:pPr>
              <w:widowControl w:val="0"/>
              <w:tabs>
                <w:tab w:val="decimal" w:pos="345"/>
              </w:tabs>
              <w:autoSpaceDE w:val="0"/>
              <w:autoSpaceDN w:val="0"/>
              <w:adjustRightInd w:val="0"/>
              <w:spacing w:line="240" w:lineRule="auto"/>
            </w:pPr>
          </w:p>
        </w:tc>
        <w:tc>
          <w:tcPr>
            <w:tcW w:w="720" w:type="dxa"/>
            <w:tcBorders>
              <w:top w:val="nil"/>
              <w:left w:val="nil"/>
              <w:bottom w:val="nil"/>
              <w:right w:val="nil"/>
            </w:tcBorders>
          </w:tcPr>
          <w:p w14:paraId="41F3BBEE" w14:textId="77777777" w:rsidR="00600AB2" w:rsidRDefault="00600AB2" w:rsidP="00600AB2">
            <w:pPr>
              <w:widowControl w:val="0"/>
              <w:autoSpaceDE w:val="0"/>
              <w:autoSpaceDN w:val="0"/>
              <w:adjustRightInd w:val="0"/>
              <w:spacing w:line="240" w:lineRule="auto"/>
            </w:pPr>
          </w:p>
        </w:tc>
        <w:tc>
          <w:tcPr>
            <w:tcW w:w="1170" w:type="dxa"/>
            <w:tcBorders>
              <w:top w:val="nil"/>
              <w:left w:val="nil"/>
              <w:bottom w:val="nil"/>
              <w:right w:val="nil"/>
            </w:tcBorders>
          </w:tcPr>
          <w:p w14:paraId="3E7D66F0" w14:textId="77777777" w:rsidR="00600AB2" w:rsidRDefault="00600AB2" w:rsidP="00600AB2">
            <w:pPr>
              <w:widowControl w:val="0"/>
              <w:tabs>
                <w:tab w:val="decimal" w:pos="345"/>
              </w:tabs>
              <w:autoSpaceDE w:val="0"/>
              <w:autoSpaceDN w:val="0"/>
              <w:adjustRightInd w:val="0"/>
              <w:spacing w:line="240" w:lineRule="auto"/>
            </w:pPr>
          </w:p>
        </w:tc>
        <w:tc>
          <w:tcPr>
            <w:tcW w:w="810" w:type="dxa"/>
            <w:tcBorders>
              <w:top w:val="nil"/>
              <w:left w:val="nil"/>
              <w:bottom w:val="nil"/>
              <w:right w:val="nil"/>
            </w:tcBorders>
          </w:tcPr>
          <w:p w14:paraId="6BE2D7FB" w14:textId="77777777" w:rsidR="00600AB2" w:rsidRDefault="00600AB2" w:rsidP="00600AB2">
            <w:pPr>
              <w:widowControl w:val="0"/>
              <w:autoSpaceDE w:val="0"/>
              <w:autoSpaceDN w:val="0"/>
              <w:adjustRightInd w:val="0"/>
              <w:spacing w:line="240" w:lineRule="auto"/>
              <w:jc w:val="center"/>
            </w:pPr>
          </w:p>
        </w:tc>
        <w:tc>
          <w:tcPr>
            <w:tcW w:w="1080" w:type="dxa"/>
            <w:tcBorders>
              <w:top w:val="nil"/>
              <w:left w:val="nil"/>
              <w:bottom w:val="nil"/>
              <w:right w:val="nil"/>
            </w:tcBorders>
          </w:tcPr>
          <w:p w14:paraId="7884AD5E" w14:textId="77777777" w:rsidR="00600AB2" w:rsidRDefault="00600AB2" w:rsidP="00600AB2">
            <w:pPr>
              <w:widowControl w:val="0"/>
              <w:tabs>
                <w:tab w:val="decimal" w:pos="345"/>
              </w:tabs>
              <w:autoSpaceDE w:val="0"/>
              <w:autoSpaceDN w:val="0"/>
              <w:adjustRightInd w:val="0"/>
              <w:spacing w:line="240" w:lineRule="auto"/>
            </w:pPr>
          </w:p>
        </w:tc>
        <w:tc>
          <w:tcPr>
            <w:tcW w:w="900" w:type="dxa"/>
            <w:tcBorders>
              <w:top w:val="nil"/>
              <w:left w:val="nil"/>
              <w:bottom w:val="nil"/>
              <w:right w:val="nil"/>
            </w:tcBorders>
          </w:tcPr>
          <w:p w14:paraId="14FBF2A7" w14:textId="77777777" w:rsidR="00600AB2" w:rsidRDefault="00600AB2" w:rsidP="00600AB2">
            <w:pPr>
              <w:widowControl w:val="0"/>
              <w:autoSpaceDE w:val="0"/>
              <w:autoSpaceDN w:val="0"/>
              <w:adjustRightInd w:val="0"/>
              <w:spacing w:line="240" w:lineRule="auto"/>
            </w:pPr>
          </w:p>
        </w:tc>
      </w:tr>
      <w:tr w:rsidR="00600AB2" w14:paraId="1BC48E36" w14:textId="77777777" w:rsidTr="00484854">
        <w:tc>
          <w:tcPr>
            <w:tcW w:w="3258" w:type="dxa"/>
            <w:tcBorders>
              <w:top w:val="nil"/>
              <w:left w:val="nil"/>
              <w:bottom w:val="nil"/>
              <w:right w:val="nil"/>
            </w:tcBorders>
          </w:tcPr>
          <w:p w14:paraId="199BFF9A" w14:textId="377EE085" w:rsidR="00600AB2" w:rsidRPr="00DD64C8" w:rsidRDefault="00600AB2" w:rsidP="00600AB2">
            <w:pPr>
              <w:widowControl w:val="0"/>
              <w:autoSpaceDE w:val="0"/>
              <w:autoSpaceDN w:val="0"/>
              <w:adjustRightInd w:val="0"/>
              <w:spacing w:line="240" w:lineRule="auto"/>
            </w:pPr>
            <w:r>
              <w:t>Men x Patriarchal Family</w:t>
            </w:r>
          </w:p>
        </w:tc>
        <w:tc>
          <w:tcPr>
            <w:tcW w:w="1080" w:type="dxa"/>
            <w:tcBorders>
              <w:top w:val="nil"/>
              <w:left w:val="nil"/>
              <w:bottom w:val="nil"/>
              <w:right w:val="nil"/>
            </w:tcBorders>
          </w:tcPr>
          <w:p w14:paraId="10A96B2C" w14:textId="77777777" w:rsidR="00600AB2" w:rsidRDefault="00600AB2" w:rsidP="00600AB2">
            <w:pPr>
              <w:widowControl w:val="0"/>
              <w:tabs>
                <w:tab w:val="decimal" w:pos="345"/>
              </w:tabs>
              <w:autoSpaceDE w:val="0"/>
              <w:autoSpaceDN w:val="0"/>
              <w:adjustRightInd w:val="0"/>
              <w:spacing w:line="240" w:lineRule="auto"/>
            </w:pPr>
          </w:p>
        </w:tc>
        <w:tc>
          <w:tcPr>
            <w:tcW w:w="720" w:type="dxa"/>
            <w:tcBorders>
              <w:top w:val="nil"/>
              <w:left w:val="nil"/>
              <w:bottom w:val="nil"/>
              <w:right w:val="nil"/>
            </w:tcBorders>
          </w:tcPr>
          <w:p w14:paraId="4E81419D" w14:textId="77777777" w:rsidR="00600AB2" w:rsidRDefault="00600AB2" w:rsidP="00600AB2">
            <w:pPr>
              <w:widowControl w:val="0"/>
              <w:autoSpaceDE w:val="0"/>
              <w:autoSpaceDN w:val="0"/>
              <w:adjustRightInd w:val="0"/>
              <w:spacing w:line="240" w:lineRule="auto"/>
            </w:pPr>
          </w:p>
        </w:tc>
        <w:tc>
          <w:tcPr>
            <w:tcW w:w="1170" w:type="dxa"/>
            <w:tcBorders>
              <w:top w:val="nil"/>
              <w:left w:val="nil"/>
              <w:bottom w:val="nil"/>
              <w:right w:val="nil"/>
            </w:tcBorders>
          </w:tcPr>
          <w:p w14:paraId="4FBEFA94" w14:textId="77777777" w:rsidR="00600AB2" w:rsidRDefault="00600AB2" w:rsidP="00600AB2">
            <w:pPr>
              <w:widowControl w:val="0"/>
              <w:tabs>
                <w:tab w:val="decimal" w:pos="345"/>
              </w:tabs>
              <w:autoSpaceDE w:val="0"/>
              <w:autoSpaceDN w:val="0"/>
              <w:adjustRightInd w:val="0"/>
              <w:spacing w:line="240" w:lineRule="auto"/>
            </w:pPr>
            <w:r>
              <w:t>-0.01</w:t>
            </w:r>
          </w:p>
        </w:tc>
        <w:tc>
          <w:tcPr>
            <w:tcW w:w="810" w:type="dxa"/>
            <w:tcBorders>
              <w:top w:val="nil"/>
              <w:left w:val="nil"/>
              <w:bottom w:val="nil"/>
              <w:right w:val="nil"/>
            </w:tcBorders>
          </w:tcPr>
          <w:p w14:paraId="6C9FD1BC" w14:textId="77777777" w:rsidR="00600AB2" w:rsidRDefault="00600AB2" w:rsidP="00600AB2">
            <w:pPr>
              <w:widowControl w:val="0"/>
              <w:autoSpaceDE w:val="0"/>
              <w:autoSpaceDN w:val="0"/>
              <w:adjustRightInd w:val="0"/>
              <w:spacing w:line="240" w:lineRule="auto"/>
              <w:jc w:val="center"/>
            </w:pPr>
            <w:r>
              <w:t>(.04)</w:t>
            </w:r>
          </w:p>
        </w:tc>
        <w:tc>
          <w:tcPr>
            <w:tcW w:w="1080" w:type="dxa"/>
            <w:tcBorders>
              <w:top w:val="nil"/>
              <w:left w:val="nil"/>
              <w:bottom w:val="nil"/>
              <w:right w:val="nil"/>
            </w:tcBorders>
          </w:tcPr>
          <w:p w14:paraId="4A3E0E8F" w14:textId="77777777" w:rsidR="00600AB2" w:rsidRDefault="00600AB2" w:rsidP="00600AB2">
            <w:pPr>
              <w:widowControl w:val="0"/>
              <w:tabs>
                <w:tab w:val="decimal" w:pos="345"/>
              </w:tabs>
              <w:autoSpaceDE w:val="0"/>
              <w:autoSpaceDN w:val="0"/>
              <w:adjustRightInd w:val="0"/>
              <w:spacing w:line="240" w:lineRule="auto"/>
            </w:pPr>
          </w:p>
        </w:tc>
        <w:tc>
          <w:tcPr>
            <w:tcW w:w="900" w:type="dxa"/>
            <w:tcBorders>
              <w:top w:val="nil"/>
              <w:left w:val="nil"/>
              <w:bottom w:val="nil"/>
              <w:right w:val="nil"/>
            </w:tcBorders>
          </w:tcPr>
          <w:p w14:paraId="49C16821" w14:textId="77777777" w:rsidR="00600AB2" w:rsidRDefault="00600AB2" w:rsidP="00600AB2">
            <w:pPr>
              <w:widowControl w:val="0"/>
              <w:autoSpaceDE w:val="0"/>
              <w:autoSpaceDN w:val="0"/>
              <w:adjustRightInd w:val="0"/>
              <w:spacing w:line="240" w:lineRule="auto"/>
            </w:pPr>
          </w:p>
        </w:tc>
      </w:tr>
      <w:tr w:rsidR="00600AB2" w14:paraId="2EE349EB" w14:textId="77777777" w:rsidTr="00484854">
        <w:tc>
          <w:tcPr>
            <w:tcW w:w="3258" w:type="dxa"/>
            <w:tcBorders>
              <w:top w:val="nil"/>
              <w:left w:val="nil"/>
              <w:bottom w:val="nil"/>
              <w:right w:val="nil"/>
            </w:tcBorders>
          </w:tcPr>
          <w:p w14:paraId="5E906763" w14:textId="4312CE14" w:rsidR="00600AB2" w:rsidRDefault="00600AB2" w:rsidP="00600AB2">
            <w:pPr>
              <w:widowControl w:val="0"/>
              <w:autoSpaceDE w:val="0"/>
              <w:autoSpaceDN w:val="0"/>
              <w:adjustRightInd w:val="0"/>
              <w:spacing w:line="240" w:lineRule="auto"/>
            </w:pPr>
            <w:r>
              <w:t>Men x Patriarchal Norms</w:t>
            </w:r>
          </w:p>
        </w:tc>
        <w:tc>
          <w:tcPr>
            <w:tcW w:w="1080" w:type="dxa"/>
            <w:tcBorders>
              <w:top w:val="nil"/>
              <w:left w:val="nil"/>
              <w:bottom w:val="nil"/>
              <w:right w:val="nil"/>
            </w:tcBorders>
          </w:tcPr>
          <w:p w14:paraId="64DB1C86" w14:textId="77777777" w:rsidR="00600AB2" w:rsidRDefault="00600AB2" w:rsidP="00600AB2">
            <w:pPr>
              <w:widowControl w:val="0"/>
              <w:tabs>
                <w:tab w:val="decimal" w:pos="345"/>
              </w:tabs>
              <w:autoSpaceDE w:val="0"/>
              <w:autoSpaceDN w:val="0"/>
              <w:adjustRightInd w:val="0"/>
              <w:spacing w:line="240" w:lineRule="auto"/>
            </w:pPr>
          </w:p>
        </w:tc>
        <w:tc>
          <w:tcPr>
            <w:tcW w:w="720" w:type="dxa"/>
            <w:tcBorders>
              <w:top w:val="nil"/>
              <w:left w:val="nil"/>
              <w:bottom w:val="nil"/>
              <w:right w:val="nil"/>
            </w:tcBorders>
          </w:tcPr>
          <w:p w14:paraId="44E23F89" w14:textId="77777777" w:rsidR="00600AB2" w:rsidRDefault="00600AB2" w:rsidP="00600AB2">
            <w:pPr>
              <w:widowControl w:val="0"/>
              <w:autoSpaceDE w:val="0"/>
              <w:autoSpaceDN w:val="0"/>
              <w:adjustRightInd w:val="0"/>
              <w:spacing w:line="240" w:lineRule="auto"/>
            </w:pPr>
          </w:p>
        </w:tc>
        <w:tc>
          <w:tcPr>
            <w:tcW w:w="1170" w:type="dxa"/>
            <w:tcBorders>
              <w:top w:val="nil"/>
              <w:left w:val="nil"/>
              <w:bottom w:val="nil"/>
              <w:right w:val="nil"/>
            </w:tcBorders>
          </w:tcPr>
          <w:p w14:paraId="36AC321A" w14:textId="77777777" w:rsidR="00600AB2" w:rsidRDefault="00600AB2" w:rsidP="00600AB2">
            <w:pPr>
              <w:widowControl w:val="0"/>
              <w:tabs>
                <w:tab w:val="decimal" w:pos="345"/>
              </w:tabs>
              <w:autoSpaceDE w:val="0"/>
              <w:autoSpaceDN w:val="0"/>
              <w:adjustRightInd w:val="0"/>
              <w:spacing w:line="240" w:lineRule="auto"/>
            </w:pPr>
          </w:p>
        </w:tc>
        <w:tc>
          <w:tcPr>
            <w:tcW w:w="810" w:type="dxa"/>
            <w:tcBorders>
              <w:top w:val="nil"/>
              <w:left w:val="nil"/>
              <w:bottom w:val="nil"/>
              <w:right w:val="nil"/>
            </w:tcBorders>
          </w:tcPr>
          <w:p w14:paraId="070AE64A" w14:textId="77777777" w:rsidR="00600AB2" w:rsidRDefault="00600AB2" w:rsidP="00600AB2">
            <w:pPr>
              <w:widowControl w:val="0"/>
              <w:autoSpaceDE w:val="0"/>
              <w:autoSpaceDN w:val="0"/>
              <w:adjustRightInd w:val="0"/>
              <w:spacing w:line="240" w:lineRule="auto"/>
              <w:jc w:val="center"/>
            </w:pPr>
          </w:p>
        </w:tc>
        <w:tc>
          <w:tcPr>
            <w:tcW w:w="1080" w:type="dxa"/>
            <w:tcBorders>
              <w:top w:val="nil"/>
              <w:left w:val="nil"/>
              <w:bottom w:val="nil"/>
              <w:right w:val="nil"/>
            </w:tcBorders>
          </w:tcPr>
          <w:p w14:paraId="48316C5D" w14:textId="28EF2969" w:rsidR="00600AB2" w:rsidRDefault="00600AB2" w:rsidP="00600AB2">
            <w:pPr>
              <w:widowControl w:val="0"/>
              <w:tabs>
                <w:tab w:val="decimal" w:pos="345"/>
              </w:tabs>
              <w:autoSpaceDE w:val="0"/>
              <w:autoSpaceDN w:val="0"/>
              <w:adjustRightInd w:val="0"/>
              <w:spacing w:line="240" w:lineRule="auto"/>
            </w:pPr>
            <w:r>
              <w:t>0.24</w:t>
            </w:r>
            <w:r>
              <w:rPr>
                <w:vertAlign w:val="superscript"/>
              </w:rPr>
              <w:t>***</w:t>
            </w:r>
          </w:p>
        </w:tc>
        <w:tc>
          <w:tcPr>
            <w:tcW w:w="900" w:type="dxa"/>
            <w:tcBorders>
              <w:top w:val="nil"/>
              <w:left w:val="nil"/>
              <w:bottom w:val="nil"/>
              <w:right w:val="nil"/>
            </w:tcBorders>
          </w:tcPr>
          <w:p w14:paraId="2B171091" w14:textId="77777777" w:rsidR="00600AB2" w:rsidRDefault="00600AB2" w:rsidP="00600AB2">
            <w:pPr>
              <w:widowControl w:val="0"/>
              <w:autoSpaceDE w:val="0"/>
              <w:autoSpaceDN w:val="0"/>
              <w:adjustRightInd w:val="0"/>
              <w:spacing w:line="240" w:lineRule="auto"/>
            </w:pPr>
            <w:r>
              <w:t>(.04)</w:t>
            </w:r>
          </w:p>
        </w:tc>
      </w:tr>
      <w:tr w:rsidR="00600AB2" w14:paraId="6CEDB135" w14:textId="77777777" w:rsidTr="00484854">
        <w:tc>
          <w:tcPr>
            <w:tcW w:w="3258" w:type="dxa"/>
            <w:tcBorders>
              <w:top w:val="nil"/>
              <w:left w:val="nil"/>
              <w:bottom w:val="nil"/>
              <w:right w:val="nil"/>
            </w:tcBorders>
          </w:tcPr>
          <w:p w14:paraId="60977B89" w14:textId="77777777" w:rsidR="00600AB2" w:rsidRPr="00DD64C8" w:rsidRDefault="00600AB2" w:rsidP="00600AB2">
            <w:pPr>
              <w:widowControl w:val="0"/>
              <w:autoSpaceDE w:val="0"/>
              <w:autoSpaceDN w:val="0"/>
              <w:adjustRightInd w:val="0"/>
              <w:spacing w:line="240" w:lineRule="auto"/>
              <w:rPr>
                <w:b/>
                <w:bCs/>
                <w:u w:val="single"/>
              </w:rPr>
            </w:pPr>
            <w:r>
              <w:rPr>
                <w:b/>
                <w:bCs/>
                <w:u w:val="single"/>
              </w:rPr>
              <w:t>Controls</w:t>
            </w:r>
          </w:p>
        </w:tc>
        <w:tc>
          <w:tcPr>
            <w:tcW w:w="1080" w:type="dxa"/>
            <w:tcBorders>
              <w:top w:val="nil"/>
              <w:left w:val="nil"/>
              <w:bottom w:val="nil"/>
              <w:right w:val="nil"/>
            </w:tcBorders>
          </w:tcPr>
          <w:p w14:paraId="2E6B1555" w14:textId="77777777" w:rsidR="00600AB2" w:rsidRDefault="00600AB2" w:rsidP="00600AB2">
            <w:pPr>
              <w:widowControl w:val="0"/>
              <w:tabs>
                <w:tab w:val="decimal" w:pos="345"/>
              </w:tabs>
              <w:autoSpaceDE w:val="0"/>
              <w:autoSpaceDN w:val="0"/>
              <w:adjustRightInd w:val="0"/>
              <w:spacing w:line="240" w:lineRule="auto"/>
            </w:pPr>
          </w:p>
        </w:tc>
        <w:tc>
          <w:tcPr>
            <w:tcW w:w="720" w:type="dxa"/>
            <w:tcBorders>
              <w:top w:val="nil"/>
              <w:left w:val="nil"/>
              <w:bottom w:val="nil"/>
              <w:right w:val="nil"/>
            </w:tcBorders>
          </w:tcPr>
          <w:p w14:paraId="5D1E1A32" w14:textId="77777777" w:rsidR="00600AB2" w:rsidRDefault="00600AB2" w:rsidP="00600AB2">
            <w:pPr>
              <w:widowControl w:val="0"/>
              <w:autoSpaceDE w:val="0"/>
              <w:autoSpaceDN w:val="0"/>
              <w:adjustRightInd w:val="0"/>
              <w:spacing w:line="240" w:lineRule="auto"/>
            </w:pPr>
          </w:p>
        </w:tc>
        <w:tc>
          <w:tcPr>
            <w:tcW w:w="1170" w:type="dxa"/>
            <w:tcBorders>
              <w:top w:val="nil"/>
              <w:left w:val="nil"/>
              <w:bottom w:val="nil"/>
              <w:right w:val="nil"/>
            </w:tcBorders>
          </w:tcPr>
          <w:p w14:paraId="66DFD278" w14:textId="77777777" w:rsidR="00600AB2" w:rsidRDefault="00600AB2" w:rsidP="00600AB2">
            <w:pPr>
              <w:widowControl w:val="0"/>
              <w:tabs>
                <w:tab w:val="decimal" w:pos="345"/>
              </w:tabs>
              <w:autoSpaceDE w:val="0"/>
              <w:autoSpaceDN w:val="0"/>
              <w:adjustRightInd w:val="0"/>
              <w:spacing w:line="240" w:lineRule="auto"/>
            </w:pPr>
          </w:p>
        </w:tc>
        <w:tc>
          <w:tcPr>
            <w:tcW w:w="810" w:type="dxa"/>
            <w:tcBorders>
              <w:top w:val="nil"/>
              <w:left w:val="nil"/>
              <w:bottom w:val="nil"/>
              <w:right w:val="nil"/>
            </w:tcBorders>
          </w:tcPr>
          <w:p w14:paraId="339A2B6C" w14:textId="77777777" w:rsidR="00600AB2" w:rsidRDefault="00600AB2" w:rsidP="00600AB2">
            <w:pPr>
              <w:widowControl w:val="0"/>
              <w:autoSpaceDE w:val="0"/>
              <w:autoSpaceDN w:val="0"/>
              <w:adjustRightInd w:val="0"/>
              <w:spacing w:line="240" w:lineRule="auto"/>
              <w:jc w:val="center"/>
            </w:pPr>
          </w:p>
        </w:tc>
        <w:tc>
          <w:tcPr>
            <w:tcW w:w="1080" w:type="dxa"/>
            <w:tcBorders>
              <w:top w:val="nil"/>
              <w:left w:val="nil"/>
              <w:bottom w:val="nil"/>
              <w:right w:val="nil"/>
            </w:tcBorders>
          </w:tcPr>
          <w:p w14:paraId="3C80A24E" w14:textId="77777777" w:rsidR="00600AB2" w:rsidRDefault="00600AB2" w:rsidP="00600AB2">
            <w:pPr>
              <w:widowControl w:val="0"/>
              <w:tabs>
                <w:tab w:val="decimal" w:pos="345"/>
              </w:tabs>
              <w:autoSpaceDE w:val="0"/>
              <w:autoSpaceDN w:val="0"/>
              <w:adjustRightInd w:val="0"/>
              <w:spacing w:line="240" w:lineRule="auto"/>
            </w:pPr>
          </w:p>
        </w:tc>
        <w:tc>
          <w:tcPr>
            <w:tcW w:w="900" w:type="dxa"/>
            <w:tcBorders>
              <w:top w:val="nil"/>
              <w:left w:val="nil"/>
              <w:bottom w:val="nil"/>
              <w:right w:val="nil"/>
            </w:tcBorders>
          </w:tcPr>
          <w:p w14:paraId="2DDF5C89" w14:textId="77777777" w:rsidR="00600AB2" w:rsidRDefault="00600AB2" w:rsidP="00600AB2">
            <w:pPr>
              <w:widowControl w:val="0"/>
              <w:autoSpaceDE w:val="0"/>
              <w:autoSpaceDN w:val="0"/>
              <w:adjustRightInd w:val="0"/>
              <w:spacing w:line="240" w:lineRule="auto"/>
            </w:pPr>
          </w:p>
        </w:tc>
      </w:tr>
      <w:tr w:rsidR="00600AB2" w14:paraId="148CCB0F" w14:textId="77777777" w:rsidTr="00484854">
        <w:tc>
          <w:tcPr>
            <w:tcW w:w="3258" w:type="dxa"/>
            <w:tcBorders>
              <w:top w:val="nil"/>
              <w:left w:val="nil"/>
              <w:bottom w:val="nil"/>
              <w:right w:val="nil"/>
            </w:tcBorders>
          </w:tcPr>
          <w:p w14:paraId="75B43C5B" w14:textId="77777777" w:rsidR="00600AB2" w:rsidRPr="00DD64C8" w:rsidRDefault="00600AB2" w:rsidP="00600AB2">
            <w:pPr>
              <w:widowControl w:val="0"/>
              <w:autoSpaceDE w:val="0"/>
              <w:autoSpaceDN w:val="0"/>
              <w:adjustRightInd w:val="0"/>
              <w:spacing w:line="240" w:lineRule="auto"/>
              <w:rPr>
                <w:i/>
                <w:iCs/>
              </w:rPr>
            </w:pPr>
            <w:r>
              <w:rPr>
                <w:i/>
                <w:iCs/>
              </w:rPr>
              <w:t>Mother’s Education</w:t>
            </w:r>
          </w:p>
        </w:tc>
        <w:tc>
          <w:tcPr>
            <w:tcW w:w="1080" w:type="dxa"/>
            <w:tcBorders>
              <w:top w:val="nil"/>
              <w:left w:val="nil"/>
              <w:bottom w:val="nil"/>
              <w:right w:val="nil"/>
            </w:tcBorders>
          </w:tcPr>
          <w:p w14:paraId="1E7C63E0" w14:textId="77777777" w:rsidR="00600AB2" w:rsidRDefault="00600AB2" w:rsidP="00600AB2">
            <w:pPr>
              <w:widowControl w:val="0"/>
              <w:tabs>
                <w:tab w:val="decimal" w:pos="345"/>
              </w:tabs>
              <w:autoSpaceDE w:val="0"/>
              <w:autoSpaceDN w:val="0"/>
              <w:adjustRightInd w:val="0"/>
              <w:spacing w:line="240" w:lineRule="auto"/>
            </w:pPr>
          </w:p>
        </w:tc>
        <w:tc>
          <w:tcPr>
            <w:tcW w:w="720" w:type="dxa"/>
            <w:tcBorders>
              <w:top w:val="nil"/>
              <w:left w:val="nil"/>
              <w:bottom w:val="nil"/>
              <w:right w:val="nil"/>
            </w:tcBorders>
          </w:tcPr>
          <w:p w14:paraId="251042BF" w14:textId="77777777" w:rsidR="00600AB2" w:rsidRDefault="00600AB2" w:rsidP="00600AB2">
            <w:pPr>
              <w:widowControl w:val="0"/>
              <w:autoSpaceDE w:val="0"/>
              <w:autoSpaceDN w:val="0"/>
              <w:adjustRightInd w:val="0"/>
              <w:spacing w:line="240" w:lineRule="auto"/>
            </w:pPr>
          </w:p>
        </w:tc>
        <w:tc>
          <w:tcPr>
            <w:tcW w:w="1170" w:type="dxa"/>
            <w:tcBorders>
              <w:top w:val="nil"/>
              <w:left w:val="nil"/>
              <w:bottom w:val="nil"/>
              <w:right w:val="nil"/>
            </w:tcBorders>
          </w:tcPr>
          <w:p w14:paraId="7BDD5FF7" w14:textId="77777777" w:rsidR="00600AB2" w:rsidRDefault="00600AB2" w:rsidP="00600AB2">
            <w:pPr>
              <w:widowControl w:val="0"/>
              <w:tabs>
                <w:tab w:val="decimal" w:pos="345"/>
              </w:tabs>
              <w:autoSpaceDE w:val="0"/>
              <w:autoSpaceDN w:val="0"/>
              <w:adjustRightInd w:val="0"/>
              <w:spacing w:line="240" w:lineRule="auto"/>
            </w:pPr>
          </w:p>
        </w:tc>
        <w:tc>
          <w:tcPr>
            <w:tcW w:w="810" w:type="dxa"/>
            <w:tcBorders>
              <w:top w:val="nil"/>
              <w:left w:val="nil"/>
              <w:bottom w:val="nil"/>
              <w:right w:val="nil"/>
            </w:tcBorders>
          </w:tcPr>
          <w:p w14:paraId="76B78AFA" w14:textId="77777777" w:rsidR="00600AB2" w:rsidRDefault="00600AB2" w:rsidP="00600AB2">
            <w:pPr>
              <w:widowControl w:val="0"/>
              <w:autoSpaceDE w:val="0"/>
              <w:autoSpaceDN w:val="0"/>
              <w:adjustRightInd w:val="0"/>
              <w:spacing w:line="240" w:lineRule="auto"/>
              <w:jc w:val="center"/>
            </w:pPr>
          </w:p>
        </w:tc>
        <w:tc>
          <w:tcPr>
            <w:tcW w:w="1080" w:type="dxa"/>
            <w:tcBorders>
              <w:top w:val="nil"/>
              <w:left w:val="nil"/>
              <w:bottom w:val="nil"/>
              <w:right w:val="nil"/>
            </w:tcBorders>
          </w:tcPr>
          <w:p w14:paraId="7A5B8996" w14:textId="77777777" w:rsidR="00600AB2" w:rsidRDefault="00600AB2" w:rsidP="00600AB2">
            <w:pPr>
              <w:widowControl w:val="0"/>
              <w:tabs>
                <w:tab w:val="decimal" w:pos="345"/>
              </w:tabs>
              <w:autoSpaceDE w:val="0"/>
              <w:autoSpaceDN w:val="0"/>
              <w:adjustRightInd w:val="0"/>
              <w:spacing w:line="240" w:lineRule="auto"/>
            </w:pPr>
          </w:p>
        </w:tc>
        <w:tc>
          <w:tcPr>
            <w:tcW w:w="900" w:type="dxa"/>
            <w:tcBorders>
              <w:top w:val="nil"/>
              <w:left w:val="nil"/>
              <w:bottom w:val="nil"/>
              <w:right w:val="nil"/>
            </w:tcBorders>
          </w:tcPr>
          <w:p w14:paraId="24BA2792" w14:textId="77777777" w:rsidR="00600AB2" w:rsidRDefault="00600AB2" w:rsidP="00600AB2">
            <w:pPr>
              <w:widowControl w:val="0"/>
              <w:autoSpaceDE w:val="0"/>
              <w:autoSpaceDN w:val="0"/>
              <w:adjustRightInd w:val="0"/>
              <w:spacing w:line="240" w:lineRule="auto"/>
            </w:pPr>
          </w:p>
        </w:tc>
      </w:tr>
      <w:tr w:rsidR="00600AB2" w14:paraId="1D531637" w14:textId="77777777" w:rsidTr="00484854">
        <w:tc>
          <w:tcPr>
            <w:tcW w:w="3258" w:type="dxa"/>
            <w:tcBorders>
              <w:top w:val="nil"/>
              <w:left w:val="nil"/>
              <w:bottom w:val="nil"/>
              <w:right w:val="nil"/>
            </w:tcBorders>
          </w:tcPr>
          <w:p w14:paraId="7856A8B5" w14:textId="77777777" w:rsidR="00600AB2" w:rsidRDefault="00600AB2" w:rsidP="00600AB2">
            <w:pPr>
              <w:widowControl w:val="0"/>
              <w:autoSpaceDE w:val="0"/>
              <w:autoSpaceDN w:val="0"/>
              <w:adjustRightInd w:val="0"/>
              <w:spacing w:line="240" w:lineRule="auto"/>
              <w:ind w:left="90"/>
            </w:pPr>
            <w:r>
              <w:t>High School</w:t>
            </w:r>
          </w:p>
        </w:tc>
        <w:tc>
          <w:tcPr>
            <w:tcW w:w="1080" w:type="dxa"/>
            <w:tcBorders>
              <w:top w:val="nil"/>
              <w:left w:val="nil"/>
              <w:bottom w:val="nil"/>
              <w:right w:val="nil"/>
            </w:tcBorders>
          </w:tcPr>
          <w:p w14:paraId="2F9312AE" w14:textId="77777777" w:rsidR="00600AB2" w:rsidRDefault="00600AB2" w:rsidP="00600AB2">
            <w:pPr>
              <w:widowControl w:val="0"/>
              <w:tabs>
                <w:tab w:val="decimal" w:pos="345"/>
              </w:tabs>
              <w:autoSpaceDE w:val="0"/>
              <w:autoSpaceDN w:val="0"/>
              <w:adjustRightInd w:val="0"/>
              <w:spacing w:line="240" w:lineRule="auto"/>
            </w:pPr>
            <w:r>
              <w:t>-0.08</w:t>
            </w:r>
            <w:r>
              <w:rPr>
                <w:vertAlign w:val="superscript"/>
              </w:rPr>
              <w:t>*</w:t>
            </w:r>
          </w:p>
        </w:tc>
        <w:tc>
          <w:tcPr>
            <w:tcW w:w="720" w:type="dxa"/>
            <w:tcBorders>
              <w:top w:val="nil"/>
              <w:left w:val="nil"/>
              <w:bottom w:val="nil"/>
              <w:right w:val="nil"/>
            </w:tcBorders>
          </w:tcPr>
          <w:p w14:paraId="3840587B" w14:textId="77777777" w:rsidR="00600AB2" w:rsidRDefault="00600AB2" w:rsidP="00600AB2">
            <w:pPr>
              <w:widowControl w:val="0"/>
              <w:autoSpaceDE w:val="0"/>
              <w:autoSpaceDN w:val="0"/>
              <w:adjustRightInd w:val="0"/>
              <w:spacing w:line="240" w:lineRule="auto"/>
            </w:pPr>
            <w:r>
              <w:t>(.04)</w:t>
            </w:r>
          </w:p>
        </w:tc>
        <w:tc>
          <w:tcPr>
            <w:tcW w:w="1170" w:type="dxa"/>
            <w:tcBorders>
              <w:top w:val="nil"/>
              <w:left w:val="nil"/>
              <w:bottom w:val="nil"/>
              <w:right w:val="nil"/>
            </w:tcBorders>
          </w:tcPr>
          <w:p w14:paraId="178F342A" w14:textId="77777777" w:rsidR="00600AB2" w:rsidRDefault="00600AB2" w:rsidP="00600AB2">
            <w:pPr>
              <w:widowControl w:val="0"/>
              <w:tabs>
                <w:tab w:val="decimal" w:pos="345"/>
              </w:tabs>
              <w:autoSpaceDE w:val="0"/>
              <w:autoSpaceDN w:val="0"/>
              <w:adjustRightInd w:val="0"/>
              <w:spacing w:line="240" w:lineRule="auto"/>
            </w:pPr>
            <w:r>
              <w:t>-0.07</w:t>
            </w:r>
            <w:r>
              <w:rPr>
                <w:vertAlign w:val="superscript"/>
              </w:rPr>
              <w:t>*</w:t>
            </w:r>
          </w:p>
        </w:tc>
        <w:tc>
          <w:tcPr>
            <w:tcW w:w="810" w:type="dxa"/>
            <w:tcBorders>
              <w:top w:val="nil"/>
              <w:left w:val="nil"/>
              <w:bottom w:val="nil"/>
              <w:right w:val="nil"/>
            </w:tcBorders>
          </w:tcPr>
          <w:p w14:paraId="6BD0DBB0" w14:textId="77777777" w:rsidR="00600AB2" w:rsidRDefault="00600AB2" w:rsidP="00600AB2">
            <w:pPr>
              <w:widowControl w:val="0"/>
              <w:autoSpaceDE w:val="0"/>
              <w:autoSpaceDN w:val="0"/>
              <w:adjustRightInd w:val="0"/>
              <w:spacing w:line="240" w:lineRule="auto"/>
              <w:jc w:val="center"/>
            </w:pPr>
            <w:r>
              <w:t>(.04)</w:t>
            </w:r>
          </w:p>
        </w:tc>
        <w:tc>
          <w:tcPr>
            <w:tcW w:w="1080" w:type="dxa"/>
            <w:tcBorders>
              <w:top w:val="nil"/>
              <w:left w:val="nil"/>
              <w:bottom w:val="nil"/>
              <w:right w:val="nil"/>
            </w:tcBorders>
          </w:tcPr>
          <w:p w14:paraId="4688E420" w14:textId="77777777" w:rsidR="00600AB2" w:rsidRDefault="00600AB2" w:rsidP="00600AB2">
            <w:pPr>
              <w:widowControl w:val="0"/>
              <w:tabs>
                <w:tab w:val="decimal" w:pos="345"/>
              </w:tabs>
              <w:autoSpaceDE w:val="0"/>
              <w:autoSpaceDN w:val="0"/>
              <w:adjustRightInd w:val="0"/>
              <w:spacing w:line="240" w:lineRule="auto"/>
            </w:pPr>
            <w:r>
              <w:t>-0.08</w:t>
            </w:r>
            <w:r>
              <w:rPr>
                <w:vertAlign w:val="superscript"/>
              </w:rPr>
              <w:t>*</w:t>
            </w:r>
          </w:p>
        </w:tc>
        <w:tc>
          <w:tcPr>
            <w:tcW w:w="900" w:type="dxa"/>
            <w:tcBorders>
              <w:top w:val="nil"/>
              <w:left w:val="nil"/>
              <w:bottom w:val="nil"/>
              <w:right w:val="nil"/>
            </w:tcBorders>
          </w:tcPr>
          <w:p w14:paraId="0CA47CC4" w14:textId="77777777" w:rsidR="00600AB2" w:rsidRDefault="00600AB2" w:rsidP="00600AB2">
            <w:pPr>
              <w:widowControl w:val="0"/>
              <w:autoSpaceDE w:val="0"/>
              <w:autoSpaceDN w:val="0"/>
              <w:adjustRightInd w:val="0"/>
              <w:spacing w:line="240" w:lineRule="auto"/>
            </w:pPr>
            <w:r>
              <w:t>(.04)</w:t>
            </w:r>
          </w:p>
        </w:tc>
      </w:tr>
      <w:tr w:rsidR="00600AB2" w14:paraId="7CB070B2" w14:textId="77777777" w:rsidTr="00484854">
        <w:tc>
          <w:tcPr>
            <w:tcW w:w="3258" w:type="dxa"/>
            <w:tcBorders>
              <w:top w:val="nil"/>
              <w:left w:val="nil"/>
              <w:bottom w:val="nil"/>
              <w:right w:val="nil"/>
            </w:tcBorders>
          </w:tcPr>
          <w:p w14:paraId="1787F980" w14:textId="77777777" w:rsidR="00600AB2" w:rsidRDefault="00600AB2" w:rsidP="00600AB2">
            <w:pPr>
              <w:widowControl w:val="0"/>
              <w:autoSpaceDE w:val="0"/>
              <w:autoSpaceDN w:val="0"/>
              <w:adjustRightInd w:val="0"/>
              <w:spacing w:line="240" w:lineRule="auto"/>
              <w:ind w:left="90"/>
            </w:pPr>
            <w:r>
              <w:t>Some College</w:t>
            </w:r>
          </w:p>
        </w:tc>
        <w:tc>
          <w:tcPr>
            <w:tcW w:w="1080" w:type="dxa"/>
            <w:tcBorders>
              <w:top w:val="nil"/>
              <w:left w:val="nil"/>
              <w:bottom w:val="nil"/>
              <w:right w:val="nil"/>
            </w:tcBorders>
          </w:tcPr>
          <w:p w14:paraId="567B5BD8" w14:textId="77777777" w:rsidR="00600AB2" w:rsidRDefault="00600AB2" w:rsidP="00600AB2">
            <w:pPr>
              <w:widowControl w:val="0"/>
              <w:tabs>
                <w:tab w:val="decimal" w:pos="345"/>
              </w:tabs>
              <w:autoSpaceDE w:val="0"/>
              <w:autoSpaceDN w:val="0"/>
              <w:adjustRightInd w:val="0"/>
              <w:spacing w:line="240" w:lineRule="auto"/>
            </w:pPr>
            <w:r>
              <w:t>-0.11</w:t>
            </w:r>
            <w:r>
              <w:rPr>
                <w:vertAlign w:val="superscript"/>
              </w:rPr>
              <w:t>**</w:t>
            </w:r>
          </w:p>
        </w:tc>
        <w:tc>
          <w:tcPr>
            <w:tcW w:w="720" w:type="dxa"/>
            <w:tcBorders>
              <w:top w:val="nil"/>
              <w:left w:val="nil"/>
              <w:bottom w:val="nil"/>
              <w:right w:val="nil"/>
            </w:tcBorders>
          </w:tcPr>
          <w:p w14:paraId="557F5E16" w14:textId="77777777" w:rsidR="00600AB2" w:rsidRDefault="00600AB2" w:rsidP="00600AB2">
            <w:pPr>
              <w:widowControl w:val="0"/>
              <w:autoSpaceDE w:val="0"/>
              <w:autoSpaceDN w:val="0"/>
              <w:adjustRightInd w:val="0"/>
              <w:spacing w:line="240" w:lineRule="auto"/>
            </w:pPr>
            <w:r>
              <w:t>(.04)</w:t>
            </w:r>
          </w:p>
        </w:tc>
        <w:tc>
          <w:tcPr>
            <w:tcW w:w="1170" w:type="dxa"/>
            <w:tcBorders>
              <w:top w:val="nil"/>
              <w:left w:val="nil"/>
              <w:bottom w:val="nil"/>
              <w:right w:val="nil"/>
            </w:tcBorders>
          </w:tcPr>
          <w:p w14:paraId="12494C0F" w14:textId="77777777" w:rsidR="00600AB2" w:rsidRDefault="00600AB2" w:rsidP="00600AB2">
            <w:pPr>
              <w:widowControl w:val="0"/>
              <w:tabs>
                <w:tab w:val="decimal" w:pos="345"/>
              </w:tabs>
              <w:autoSpaceDE w:val="0"/>
              <w:autoSpaceDN w:val="0"/>
              <w:adjustRightInd w:val="0"/>
              <w:spacing w:line="240" w:lineRule="auto"/>
            </w:pPr>
            <w:r>
              <w:t>-0.11</w:t>
            </w:r>
            <w:r>
              <w:rPr>
                <w:vertAlign w:val="superscript"/>
              </w:rPr>
              <w:t>**</w:t>
            </w:r>
          </w:p>
        </w:tc>
        <w:tc>
          <w:tcPr>
            <w:tcW w:w="810" w:type="dxa"/>
            <w:tcBorders>
              <w:top w:val="nil"/>
              <w:left w:val="nil"/>
              <w:bottom w:val="nil"/>
              <w:right w:val="nil"/>
            </w:tcBorders>
          </w:tcPr>
          <w:p w14:paraId="20F79BAA" w14:textId="77777777" w:rsidR="00600AB2" w:rsidRDefault="00600AB2" w:rsidP="00600AB2">
            <w:pPr>
              <w:widowControl w:val="0"/>
              <w:autoSpaceDE w:val="0"/>
              <w:autoSpaceDN w:val="0"/>
              <w:adjustRightInd w:val="0"/>
              <w:spacing w:line="240" w:lineRule="auto"/>
              <w:jc w:val="center"/>
            </w:pPr>
            <w:r>
              <w:t>(.04)</w:t>
            </w:r>
          </w:p>
        </w:tc>
        <w:tc>
          <w:tcPr>
            <w:tcW w:w="1080" w:type="dxa"/>
            <w:tcBorders>
              <w:top w:val="nil"/>
              <w:left w:val="nil"/>
              <w:bottom w:val="nil"/>
              <w:right w:val="nil"/>
            </w:tcBorders>
          </w:tcPr>
          <w:p w14:paraId="561B95C8" w14:textId="77777777" w:rsidR="00600AB2" w:rsidRDefault="00600AB2" w:rsidP="00600AB2">
            <w:pPr>
              <w:widowControl w:val="0"/>
              <w:tabs>
                <w:tab w:val="decimal" w:pos="345"/>
              </w:tabs>
              <w:autoSpaceDE w:val="0"/>
              <w:autoSpaceDN w:val="0"/>
              <w:adjustRightInd w:val="0"/>
              <w:spacing w:line="240" w:lineRule="auto"/>
            </w:pPr>
            <w:r>
              <w:t>-0.11</w:t>
            </w:r>
            <w:r>
              <w:rPr>
                <w:vertAlign w:val="superscript"/>
              </w:rPr>
              <w:t>**</w:t>
            </w:r>
          </w:p>
        </w:tc>
        <w:tc>
          <w:tcPr>
            <w:tcW w:w="900" w:type="dxa"/>
            <w:tcBorders>
              <w:top w:val="nil"/>
              <w:left w:val="nil"/>
              <w:bottom w:val="nil"/>
              <w:right w:val="nil"/>
            </w:tcBorders>
          </w:tcPr>
          <w:p w14:paraId="7B4E0F5E" w14:textId="77777777" w:rsidR="00600AB2" w:rsidRDefault="00600AB2" w:rsidP="00600AB2">
            <w:pPr>
              <w:widowControl w:val="0"/>
              <w:autoSpaceDE w:val="0"/>
              <w:autoSpaceDN w:val="0"/>
              <w:adjustRightInd w:val="0"/>
              <w:spacing w:line="240" w:lineRule="auto"/>
            </w:pPr>
            <w:r>
              <w:t>(.04)</w:t>
            </w:r>
          </w:p>
        </w:tc>
      </w:tr>
      <w:tr w:rsidR="00600AB2" w14:paraId="350FDC8B" w14:textId="77777777" w:rsidTr="00484854">
        <w:tc>
          <w:tcPr>
            <w:tcW w:w="3258" w:type="dxa"/>
            <w:tcBorders>
              <w:top w:val="nil"/>
              <w:left w:val="nil"/>
              <w:bottom w:val="nil"/>
              <w:right w:val="nil"/>
            </w:tcBorders>
          </w:tcPr>
          <w:p w14:paraId="17E05E11" w14:textId="77777777" w:rsidR="00600AB2" w:rsidRDefault="00600AB2" w:rsidP="00600AB2">
            <w:pPr>
              <w:widowControl w:val="0"/>
              <w:autoSpaceDE w:val="0"/>
              <w:autoSpaceDN w:val="0"/>
              <w:adjustRightInd w:val="0"/>
              <w:spacing w:line="240" w:lineRule="auto"/>
              <w:ind w:left="90"/>
            </w:pPr>
            <w:r>
              <w:t>College</w:t>
            </w:r>
          </w:p>
        </w:tc>
        <w:tc>
          <w:tcPr>
            <w:tcW w:w="1080" w:type="dxa"/>
            <w:tcBorders>
              <w:top w:val="nil"/>
              <w:left w:val="nil"/>
              <w:bottom w:val="nil"/>
              <w:right w:val="nil"/>
            </w:tcBorders>
          </w:tcPr>
          <w:p w14:paraId="15858054" w14:textId="77777777" w:rsidR="00600AB2" w:rsidRDefault="00600AB2" w:rsidP="00600AB2">
            <w:pPr>
              <w:widowControl w:val="0"/>
              <w:tabs>
                <w:tab w:val="decimal" w:pos="345"/>
              </w:tabs>
              <w:autoSpaceDE w:val="0"/>
              <w:autoSpaceDN w:val="0"/>
              <w:adjustRightInd w:val="0"/>
              <w:spacing w:line="240" w:lineRule="auto"/>
            </w:pPr>
            <w:r>
              <w:t>-0.13</w:t>
            </w:r>
            <w:r>
              <w:rPr>
                <w:vertAlign w:val="superscript"/>
              </w:rPr>
              <w:t>**</w:t>
            </w:r>
          </w:p>
        </w:tc>
        <w:tc>
          <w:tcPr>
            <w:tcW w:w="720" w:type="dxa"/>
            <w:tcBorders>
              <w:top w:val="nil"/>
              <w:left w:val="nil"/>
              <w:bottom w:val="nil"/>
              <w:right w:val="nil"/>
            </w:tcBorders>
          </w:tcPr>
          <w:p w14:paraId="3D98DB4D" w14:textId="77777777" w:rsidR="00600AB2" w:rsidRDefault="00600AB2" w:rsidP="00600AB2">
            <w:pPr>
              <w:widowControl w:val="0"/>
              <w:autoSpaceDE w:val="0"/>
              <w:autoSpaceDN w:val="0"/>
              <w:adjustRightInd w:val="0"/>
              <w:spacing w:line="240" w:lineRule="auto"/>
            </w:pPr>
            <w:r>
              <w:t>(.04)</w:t>
            </w:r>
          </w:p>
        </w:tc>
        <w:tc>
          <w:tcPr>
            <w:tcW w:w="1170" w:type="dxa"/>
            <w:tcBorders>
              <w:top w:val="nil"/>
              <w:left w:val="nil"/>
              <w:bottom w:val="nil"/>
              <w:right w:val="nil"/>
            </w:tcBorders>
          </w:tcPr>
          <w:p w14:paraId="2C21E913" w14:textId="77777777" w:rsidR="00600AB2" w:rsidRDefault="00600AB2" w:rsidP="00600AB2">
            <w:pPr>
              <w:widowControl w:val="0"/>
              <w:tabs>
                <w:tab w:val="decimal" w:pos="345"/>
              </w:tabs>
              <w:autoSpaceDE w:val="0"/>
              <w:autoSpaceDN w:val="0"/>
              <w:adjustRightInd w:val="0"/>
              <w:spacing w:line="240" w:lineRule="auto"/>
            </w:pPr>
            <w:r>
              <w:t>-0.13</w:t>
            </w:r>
            <w:r>
              <w:rPr>
                <w:vertAlign w:val="superscript"/>
              </w:rPr>
              <w:t>**</w:t>
            </w:r>
          </w:p>
        </w:tc>
        <w:tc>
          <w:tcPr>
            <w:tcW w:w="810" w:type="dxa"/>
            <w:tcBorders>
              <w:top w:val="nil"/>
              <w:left w:val="nil"/>
              <w:bottom w:val="nil"/>
              <w:right w:val="nil"/>
            </w:tcBorders>
          </w:tcPr>
          <w:p w14:paraId="2BF7380C" w14:textId="77777777" w:rsidR="00600AB2" w:rsidRDefault="00600AB2" w:rsidP="00600AB2">
            <w:pPr>
              <w:widowControl w:val="0"/>
              <w:autoSpaceDE w:val="0"/>
              <w:autoSpaceDN w:val="0"/>
              <w:adjustRightInd w:val="0"/>
              <w:spacing w:line="240" w:lineRule="auto"/>
              <w:jc w:val="center"/>
            </w:pPr>
            <w:r>
              <w:t>(.04)</w:t>
            </w:r>
          </w:p>
        </w:tc>
        <w:tc>
          <w:tcPr>
            <w:tcW w:w="1080" w:type="dxa"/>
            <w:tcBorders>
              <w:top w:val="nil"/>
              <w:left w:val="nil"/>
              <w:bottom w:val="nil"/>
              <w:right w:val="nil"/>
            </w:tcBorders>
          </w:tcPr>
          <w:p w14:paraId="462DFC66" w14:textId="77777777" w:rsidR="00600AB2" w:rsidRDefault="00600AB2" w:rsidP="00600AB2">
            <w:pPr>
              <w:widowControl w:val="0"/>
              <w:tabs>
                <w:tab w:val="decimal" w:pos="345"/>
              </w:tabs>
              <w:autoSpaceDE w:val="0"/>
              <w:autoSpaceDN w:val="0"/>
              <w:adjustRightInd w:val="0"/>
              <w:spacing w:line="240" w:lineRule="auto"/>
            </w:pPr>
            <w:r>
              <w:t>-0.13</w:t>
            </w:r>
            <w:r>
              <w:rPr>
                <w:vertAlign w:val="superscript"/>
              </w:rPr>
              <w:t>**</w:t>
            </w:r>
          </w:p>
        </w:tc>
        <w:tc>
          <w:tcPr>
            <w:tcW w:w="900" w:type="dxa"/>
            <w:tcBorders>
              <w:top w:val="nil"/>
              <w:left w:val="nil"/>
              <w:bottom w:val="nil"/>
              <w:right w:val="nil"/>
            </w:tcBorders>
          </w:tcPr>
          <w:p w14:paraId="6D38BF4D" w14:textId="77777777" w:rsidR="00600AB2" w:rsidRDefault="00600AB2" w:rsidP="00600AB2">
            <w:pPr>
              <w:widowControl w:val="0"/>
              <w:autoSpaceDE w:val="0"/>
              <w:autoSpaceDN w:val="0"/>
              <w:adjustRightInd w:val="0"/>
              <w:spacing w:line="240" w:lineRule="auto"/>
            </w:pPr>
            <w:r>
              <w:t>(.04)</w:t>
            </w:r>
          </w:p>
        </w:tc>
      </w:tr>
      <w:tr w:rsidR="00600AB2" w14:paraId="593F731A" w14:textId="77777777" w:rsidTr="00484854">
        <w:tc>
          <w:tcPr>
            <w:tcW w:w="3258" w:type="dxa"/>
            <w:tcBorders>
              <w:top w:val="nil"/>
              <w:left w:val="nil"/>
              <w:bottom w:val="nil"/>
              <w:right w:val="nil"/>
            </w:tcBorders>
          </w:tcPr>
          <w:p w14:paraId="3C8C85CE" w14:textId="77777777" w:rsidR="00600AB2" w:rsidRDefault="00600AB2" w:rsidP="00600AB2">
            <w:pPr>
              <w:widowControl w:val="0"/>
              <w:autoSpaceDE w:val="0"/>
              <w:autoSpaceDN w:val="0"/>
              <w:adjustRightInd w:val="0"/>
              <w:spacing w:line="240" w:lineRule="auto"/>
              <w:ind w:left="90"/>
            </w:pPr>
            <w:r>
              <w:t>Graduate/Prof degree</w:t>
            </w:r>
          </w:p>
        </w:tc>
        <w:tc>
          <w:tcPr>
            <w:tcW w:w="1080" w:type="dxa"/>
            <w:tcBorders>
              <w:top w:val="nil"/>
              <w:left w:val="nil"/>
              <w:bottom w:val="nil"/>
              <w:right w:val="nil"/>
            </w:tcBorders>
          </w:tcPr>
          <w:p w14:paraId="75F60A59" w14:textId="77777777" w:rsidR="00600AB2" w:rsidRDefault="00600AB2" w:rsidP="00600AB2">
            <w:pPr>
              <w:widowControl w:val="0"/>
              <w:tabs>
                <w:tab w:val="decimal" w:pos="345"/>
              </w:tabs>
              <w:autoSpaceDE w:val="0"/>
              <w:autoSpaceDN w:val="0"/>
              <w:adjustRightInd w:val="0"/>
              <w:spacing w:line="240" w:lineRule="auto"/>
            </w:pPr>
            <w:r>
              <w:t>-0.13</w:t>
            </w:r>
            <w:r>
              <w:rPr>
                <w:vertAlign w:val="superscript"/>
              </w:rPr>
              <w:t>**</w:t>
            </w:r>
          </w:p>
        </w:tc>
        <w:tc>
          <w:tcPr>
            <w:tcW w:w="720" w:type="dxa"/>
            <w:tcBorders>
              <w:top w:val="nil"/>
              <w:left w:val="nil"/>
              <w:bottom w:val="nil"/>
              <w:right w:val="nil"/>
            </w:tcBorders>
          </w:tcPr>
          <w:p w14:paraId="7AF7E25A" w14:textId="77777777" w:rsidR="00600AB2" w:rsidRDefault="00600AB2" w:rsidP="00600AB2">
            <w:pPr>
              <w:widowControl w:val="0"/>
              <w:autoSpaceDE w:val="0"/>
              <w:autoSpaceDN w:val="0"/>
              <w:adjustRightInd w:val="0"/>
              <w:spacing w:line="240" w:lineRule="auto"/>
            </w:pPr>
            <w:r>
              <w:t>(.05)</w:t>
            </w:r>
          </w:p>
        </w:tc>
        <w:tc>
          <w:tcPr>
            <w:tcW w:w="1170" w:type="dxa"/>
            <w:tcBorders>
              <w:top w:val="nil"/>
              <w:left w:val="nil"/>
              <w:bottom w:val="nil"/>
              <w:right w:val="nil"/>
            </w:tcBorders>
          </w:tcPr>
          <w:p w14:paraId="12B397CD" w14:textId="77777777" w:rsidR="00600AB2" w:rsidRDefault="00600AB2" w:rsidP="00600AB2">
            <w:pPr>
              <w:widowControl w:val="0"/>
              <w:tabs>
                <w:tab w:val="decimal" w:pos="345"/>
              </w:tabs>
              <w:autoSpaceDE w:val="0"/>
              <w:autoSpaceDN w:val="0"/>
              <w:adjustRightInd w:val="0"/>
              <w:spacing w:line="240" w:lineRule="auto"/>
            </w:pPr>
            <w:r>
              <w:t>-0.13</w:t>
            </w:r>
            <w:r>
              <w:rPr>
                <w:vertAlign w:val="superscript"/>
              </w:rPr>
              <w:t>**</w:t>
            </w:r>
          </w:p>
        </w:tc>
        <w:tc>
          <w:tcPr>
            <w:tcW w:w="810" w:type="dxa"/>
            <w:tcBorders>
              <w:top w:val="nil"/>
              <w:left w:val="nil"/>
              <w:bottom w:val="nil"/>
              <w:right w:val="nil"/>
            </w:tcBorders>
          </w:tcPr>
          <w:p w14:paraId="0ED345C1" w14:textId="77777777" w:rsidR="00600AB2" w:rsidRDefault="00600AB2" w:rsidP="00600AB2">
            <w:pPr>
              <w:widowControl w:val="0"/>
              <w:autoSpaceDE w:val="0"/>
              <w:autoSpaceDN w:val="0"/>
              <w:adjustRightInd w:val="0"/>
              <w:spacing w:line="240" w:lineRule="auto"/>
              <w:jc w:val="center"/>
            </w:pPr>
            <w:r>
              <w:t>(.05)</w:t>
            </w:r>
          </w:p>
        </w:tc>
        <w:tc>
          <w:tcPr>
            <w:tcW w:w="1080" w:type="dxa"/>
            <w:tcBorders>
              <w:top w:val="nil"/>
              <w:left w:val="nil"/>
              <w:bottom w:val="nil"/>
              <w:right w:val="nil"/>
            </w:tcBorders>
          </w:tcPr>
          <w:p w14:paraId="5A27AC04" w14:textId="77777777" w:rsidR="00600AB2" w:rsidRDefault="00600AB2" w:rsidP="00600AB2">
            <w:pPr>
              <w:widowControl w:val="0"/>
              <w:tabs>
                <w:tab w:val="decimal" w:pos="345"/>
              </w:tabs>
              <w:autoSpaceDE w:val="0"/>
              <w:autoSpaceDN w:val="0"/>
              <w:adjustRightInd w:val="0"/>
              <w:spacing w:line="240" w:lineRule="auto"/>
            </w:pPr>
            <w:r>
              <w:t>-0.13</w:t>
            </w:r>
            <w:r>
              <w:rPr>
                <w:vertAlign w:val="superscript"/>
              </w:rPr>
              <w:t>**</w:t>
            </w:r>
          </w:p>
        </w:tc>
        <w:tc>
          <w:tcPr>
            <w:tcW w:w="900" w:type="dxa"/>
            <w:tcBorders>
              <w:top w:val="nil"/>
              <w:left w:val="nil"/>
              <w:bottom w:val="nil"/>
              <w:right w:val="nil"/>
            </w:tcBorders>
          </w:tcPr>
          <w:p w14:paraId="3EFF0A6B" w14:textId="77777777" w:rsidR="00600AB2" w:rsidRDefault="00600AB2" w:rsidP="00600AB2">
            <w:pPr>
              <w:widowControl w:val="0"/>
              <w:autoSpaceDE w:val="0"/>
              <w:autoSpaceDN w:val="0"/>
              <w:adjustRightInd w:val="0"/>
              <w:spacing w:line="240" w:lineRule="auto"/>
            </w:pPr>
            <w:r>
              <w:t>(.05)</w:t>
            </w:r>
          </w:p>
        </w:tc>
      </w:tr>
      <w:tr w:rsidR="00600AB2" w14:paraId="760BA7F7" w14:textId="77777777" w:rsidTr="00484854">
        <w:tc>
          <w:tcPr>
            <w:tcW w:w="3258" w:type="dxa"/>
            <w:tcBorders>
              <w:top w:val="nil"/>
              <w:left w:val="nil"/>
              <w:bottom w:val="nil"/>
              <w:right w:val="nil"/>
            </w:tcBorders>
          </w:tcPr>
          <w:p w14:paraId="722F8A2E" w14:textId="77777777" w:rsidR="00600AB2" w:rsidRPr="00DD64C8" w:rsidRDefault="00600AB2" w:rsidP="00600AB2">
            <w:pPr>
              <w:widowControl w:val="0"/>
              <w:autoSpaceDE w:val="0"/>
              <w:autoSpaceDN w:val="0"/>
              <w:adjustRightInd w:val="0"/>
              <w:spacing w:line="240" w:lineRule="auto"/>
              <w:rPr>
                <w:i/>
                <w:iCs/>
              </w:rPr>
            </w:pPr>
            <w:r>
              <w:rPr>
                <w:i/>
                <w:iCs/>
              </w:rPr>
              <w:t>Father’s Education</w:t>
            </w:r>
          </w:p>
        </w:tc>
        <w:tc>
          <w:tcPr>
            <w:tcW w:w="1080" w:type="dxa"/>
            <w:tcBorders>
              <w:top w:val="nil"/>
              <w:left w:val="nil"/>
              <w:bottom w:val="nil"/>
              <w:right w:val="nil"/>
            </w:tcBorders>
          </w:tcPr>
          <w:p w14:paraId="24D4E978" w14:textId="77777777" w:rsidR="00600AB2" w:rsidRDefault="00600AB2" w:rsidP="00600AB2">
            <w:pPr>
              <w:widowControl w:val="0"/>
              <w:tabs>
                <w:tab w:val="decimal" w:pos="345"/>
              </w:tabs>
              <w:autoSpaceDE w:val="0"/>
              <w:autoSpaceDN w:val="0"/>
              <w:adjustRightInd w:val="0"/>
              <w:spacing w:line="240" w:lineRule="auto"/>
            </w:pPr>
          </w:p>
        </w:tc>
        <w:tc>
          <w:tcPr>
            <w:tcW w:w="720" w:type="dxa"/>
            <w:tcBorders>
              <w:top w:val="nil"/>
              <w:left w:val="nil"/>
              <w:bottom w:val="nil"/>
              <w:right w:val="nil"/>
            </w:tcBorders>
          </w:tcPr>
          <w:p w14:paraId="170D63A8" w14:textId="77777777" w:rsidR="00600AB2" w:rsidRDefault="00600AB2" w:rsidP="00600AB2">
            <w:pPr>
              <w:widowControl w:val="0"/>
              <w:autoSpaceDE w:val="0"/>
              <w:autoSpaceDN w:val="0"/>
              <w:adjustRightInd w:val="0"/>
              <w:spacing w:line="240" w:lineRule="auto"/>
            </w:pPr>
          </w:p>
        </w:tc>
        <w:tc>
          <w:tcPr>
            <w:tcW w:w="1170" w:type="dxa"/>
            <w:tcBorders>
              <w:top w:val="nil"/>
              <w:left w:val="nil"/>
              <w:bottom w:val="nil"/>
              <w:right w:val="nil"/>
            </w:tcBorders>
          </w:tcPr>
          <w:p w14:paraId="77B4ED4F" w14:textId="77777777" w:rsidR="00600AB2" w:rsidRDefault="00600AB2" w:rsidP="00600AB2">
            <w:pPr>
              <w:widowControl w:val="0"/>
              <w:tabs>
                <w:tab w:val="decimal" w:pos="345"/>
              </w:tabs>
              <w:autoSpaceDE w:val="0"/>
              <w:autoSpaceDN w:val="0"/>
              <w:adjustRightInd w:val="0"/>
              <w:spacing w:line="240" w:lineRule="auto"/>
            </w:pPr>
          </w:p>
        </w:tc>
        <w:tc>
          <w:tcPr>
            <w:tcW w:w="810" w:type="dxa"/>
            <w:tcBorders>
              <w:top w:val="nil"/>
              <w:left w:val="nil"/>
              <w:bottom w:val="nil"/>
              <w:right w:val="nil"/>
            </w:tcBorders>
          </w:tcPr>
          <w:p w14:paraId="7300E243" w14:textId="77777777" w:rsidR="00600AB2" w:rsidRDefault="00600AB2" w:rsidP="00600AB2">
            <w:pPr>
              <w:widowControl w:val="0"/>
              <w:autoSpaceDE w:val="0"/>
              <w:autoSpaceDN w:val="0"/>
              <w:adjustRightInd w:val="0"/>
              <w:spacing w:line="240" w:lineRule="auto"/>
              <w:jc w:val="center"/>
            </w:pPr>
          </w:p>
        </w:tc>
        <w:tc>
          <w:tcPr>
            <w:tcW w:w="1080" w:type="dxa"/>
            <w:tcBorders>
              <w:top w:val="nil"/>
              <w:left w:val="nil"/>
              <w:bottom w:val="nil"/>
              <w:right w:val="nil"/>
            </w:tcBorders>
          </w:tcPr>
          <w:p w14:paraId="03F51A35" w14:textId="77777777" w:rsidR="00600AB2" w:rsidRDefault="00600AB2" w:rsidP="00600AB2">
            <w:pPr>
              <w:widowControl w:val="0"/>
              <w:tabs>
                <w:tab w:val="decimal" w:pos="345"/>
              </w:tabs>
              <w:autoSpaceDE w:val="0"/>
              <w:autoSpaceDN w:val="0"/>
              <w:adjustRightInd w:val="0"/>
              <w:spacing w:line="240" w:lineRule="auto"/>
            </w:pPr>
          </w:p>
        </w:tc>
        <w:tc>
          <w:tcPr>
            <w:tcW w:w="900" w:type="dxa"/>
            <w:tcBorders>
              <w:top w:val="nil"/>
              <w:left w:val="nil"/>
              <w:bottom w:val="nil"/>
              <w:right w:val="nil"/>
            </w:tcBorders>
          </w:tcPr>
          <w:p w14:paraId="6CFB0C16" w14:textId="77777777" w:rsidR="00600AB2" w:rsidRDefault="00600AB2" w:rsidP="00600AB2">
            <w:pPr>
              <w:widowControl w:val="0"/>
              <w:autoSpaceDE w:val="0"/>
              <w:autoSpaceDN w:val="0"/>
              <w:adjustRightInd w:val="0"/>
              <w:spacing w:line="240" w:lineRule="auto"/>
            </w:pPr>
          </w:p>
        </w:tc>
      </w:tr>
      <w:tr w:rsidR="00600AB2" w14:paraId="3AA9CAC8" w14:textId="77777777" w:rsidTr="00484854">
        <w:tc>
          <w:tcPr>
            <w:tcW w:w="3258" w:type="dxa"/>
            <w:tcBorders>
              <w:top w:val="nil"/>
              <w:left w:val="nil"/>
              <w:bottom w:val="nil"/>
              <w:right w:val="nil"/>
            </w:tcBorders>
          </w:tcPr>
          <w:p w14:paraId="3837B83A" w14:textId="77777777" w:rsidR="00600AB2" w:rsidRDefault="00600AB2" w:rsidP="00600AB2">
            <w:pPr>
              <w:widowControl w:val="0"/>
              <w:autoSpaceDE w:val="0"/>
              <w:autoSpaceDN w:val="0"/>
              <w:adjustRightInd w:val="0"/>
              <w:spacing w:line="240" w:lineRule="auto"/>
              <w:ind w:left="90"/>
            </w:pPr>
            <w:r>
              <w:t>High School</w:t>
            </w:r>
          </w:p>
        </w:tc>
        <w:tc>
          <w:tcPr>
            <w:tcW w:w="1080" w:type="dxa"/>
            <w:tcBorders>
              <w:top w:val="nil"/>
              <w:left w:val="nil"/>
              <w:bottom w:val="nil"/>
              <w:right w:val="nil"/>
            </w:tcBorders>
          </w:tcPr>
          <w:p w14:paraId="4CA34889" w14:textId="77777777" w:rsidR="00600AB2" w:rsidRDefault="00600AB2" w:rsidP="00600AB2">
            <w:pPr>
              <w:widowControl w:val="0"/>
              <w:tabs>
                <w:tab w:val="decimal" w:pos="345"/>
              </w:tabs>
              <w:autoSpaceDE w:val="0"/>
              <w:autoSpaceDN w:val="0"/>
              <w:adjustRightInd w:val="0"/>
              <w:spacing w:line="240" w:lineRule="auto"/>
            </w:pPr>
            <w:r>
              <w:t>-0.11</w:t>
            </w:r>
            <w:r>
              <w:rPr>
                <w:vertAlign w:val="superscript"/>
              </w:rPr>
              <w:t>***</w:t>
            </w:r>
          </w:p>
        </w:tc>
        <w:tc>
          <w:tcPr>
            <w:tcW w:w="720" w:type="dxa"/>
            <w:tcBorders>
              <w:top w:val="nil"/>
              <w:left w:val="nil"/>
              <w:bottom w:val="nil"/>
              <w:right w:val="nil"/>
            </w:tcBorders>
          </w:tcPr>
          <w:p w14:paraId="2F2283D7" w14:textId="77777777" w:rsidR="00600AB2" w:rsidRDefault="00600AB2" w:rsidP="00600AB2">
            <w:pPr>
              <w:widowControl w:val="0"/>
              <w:autoSpaceDE w:val="0"/>
              <w:autoSpaceDN w:val="0"/>
              <w:adjustRightInd w:val="0"/>
              <w:spacing w:line="240" w:lineRule="auto"/>
            </w:pPr>
            <w:r>
              <w:t>(.03)</w:t>
            </w:r>
          </w:p>
        </w:tc>
        <w:tc>
          <w:tcPr>
            <w:tcW w:w="1170" w:type="dxa"/>
            <w:tcBorders>
              <w:top w:val="nil"/>
              <w:left w:val="nil"/>
              <w:bottom w:val="nil"/>
              <w:right w:val="nil"/>
            </w:tcBorders>
          </w:tcPr>
          <w:p w14:paraId="5A28A14D" w14:textId="77777777" w:rsidR="00600AB2" w:rsidRDefault="00600AB2" w:rsidP="00600AB2">
            <w:pPr>
              <w:widowControl w:val="0"/>
              <w:tabs>
                <w:tab w:val="decimal" w:pos="345"/>
              </w:tabs>
              <w:autoSpaceDE w:val="0"/>
              <w:autoSpaceDN w:val="0"/>
              <w:adjustRightInd w:val="0"/>
              <w:spacing w:line="240" w:lineRule="auto"/>
            </w:pPr>
            <w:r>
              <w:t>-0.11</w:t>
            </w:r>
            <w:r>
              <w:rPr>
                <w:vertAlign w:val="superscript"/>
              </w:rPr>
              <w:t>***</w:t>
            </w:r>
          </w:p>
        </w:tc>
        <w:tc>
          <w:tcPr>
            <w:tcW w:w="810" w:type="dxa"/>
            <w:tcBorders>
              <w:top w:val="nil"/>
              <w:left w:val="nil"/>
              <w:bottom w:val="nil"/>
              <w:right w:val="nil"/>
            </w:tcBorders>
          </w:tcPr>
          <w:p w14:paraId="63C0EAC6" w14:textId="77777777" w:rsidR="00600AB2" w:rsidRDefault="00600AB2" w:rsidP="00600AB2">
            <w:pPr>
              <w:widowControl w:val="0"/>
              <w:autoSpaceDE w:val="0"/>
              <w:autoSpaceDN w:val="0"/>
              <w:adjustRightInd w:val="0"/>
              <w:spacing w:line="240" w:lineRule="auto"/>
              <w:jc w:val="center"/>
            </w:pPr>
            <w:r>
              <w:t>(.03)</w:t>
            </w:r>
          </w:p>
        </w:tc>
        <w:tc>
          <w:tcPr>
            <w:tcW w:w="1080" w:type="dxa"/>
            <w:tcBorders>
              <w:top w:val="nil"/>
              <w:left w:val="nil"/>
              <w:bottom w:val="nil"/>
              <w:right w:val="nil"/>
            </w:tcBorders>
          </w:tcPr>
          <w:p w14:paraId="7AFBAC08" w14:textId="77777777" w:rsidR="00600AB2" w:rsidRDefault="00600AB2" w:rsidP="00600AB2">
            <w:pPr>
              <w:widowControl w:val="0"/>
              <w:tabs>
                <w:tab w:val="decimal" w:pos="345"/>
              </w:tabs>
              <w:autoSpaceDE w:val="0"/>
              <w:autoSpaceDN w:val="0"/>
              <w:adjustRightInd w:val="0"/>
              <w:spacing w:line="240" w:lineRule="auto"/>
            </w:pPr>
            <w:r>
              <w:t>-0.12</w:t>
            </w:r>
            <w:r>
              <w:rPr>
                <w:vertAlign w:val="superscript"/>
              </w:rPr>
              <w:t>***</w:t>
            </w:r>
          </w:p>
        </w:tc>
        <w:tc>
          <w:tcPr>
            <w:tcW w:w="900" w:type="dxa"/>
            <w:tcBorders>
              <w:top w:val="nil"/>
              <w:left w:val="nil"/>
              <w:bottom w:val="nil"/>
              <w:right w:val="nil"/>
            </w:tcBorders>
          </w:tcPr>
          <w:p w14:paraId="2403A3A6" w14:textId="77777777" w:rsidR="00600AB2" w:rsidRDefault="00600AB2" w:rsidP="00600AB2">
            <w:pPr>
              <w:widowControl w:val="0"/>
              <w:autoSpaceDE w:val="0"/>
              <w:autoSpaceDN w:val="0"/>
              <w:adjustRightInd w:val="0"/>
              <w:spacing w:line="240" w:lineRule="auto"/>
            </w:pPr>
            <w:r>
              <w:t>(.03)</w:t>
            </w:r>
          </w:p>
        </w:tc>
      </w:tr>
      <w:tr w:rsidR="00600AB2" w14:paraId="4D76EC13" w14:textId="77777777" w:rsidTr="00484854">
        <w:tc>
          <w:tcPr>
            <w:tcW w:w="3258" w:type="dxa"/>
            <w:tcBorders>
              <w:top w:val="nil"/>
              <w:left w:val="nil"/>
              <w:bottom w:val="nil"/>
              <w:right w:val="nil"/>
            </w:tcBorders>
          </w:tcPr>
          <w:p w14:paraId="1ED52C55" w14:textId="77777777" w:rsidR="00600AB2" w:rsidRDefault="00600AB2" w:rsidP="00600AB2">
            <w:pPr>
              <w:widowControl w:val="0"/>
              <w:autoSpaceDE w:val="0"/>
              <w:autoSpaceDN w:val="0"/>
              <w:adjustRightInd w:val="0"/>
              <w:spacing w:line="240" w:lineRule="auto"/>
              <w:ind w:left="90"/>
            </w:pPr>
            <w:r>
              <w:t>Some College</w:t>
            </w:r>
          </w:p>
        </w:tc>
        <w:tc>
          <w:tcPr>
            <w:tcW w:w="1080" w:type="dxa"/>
            <w:tcBorders>
              <w:top w:val="nil"/>
              <w:left w:val="nil"/>
              <w:bottom w:val="nil"/>
              <w:right w:val="nil"/>
            </w:tcBorders>
          </w:tcPr>
          <w:p w14:paraId="73126BE7" w14:textId="77777777" w:rsidR="00600AB2" w:rsidRDefault="00600AB2" w:rsidP="00600AB2">
            <w:pPr>
              <w:widowControl w:val="0"/>
              <w:tabs>
                <w:tab w:val="decimal" w:pos="345"/>
              </w:tabs>
              <w:autoSpaceDE w:val="0"/>
              <w:autoSpaceDN w:val="0"/>
              <w:adjustRightInd w:val="0"/>
              <w:spacing w:line="240" w:lineRule="auto"/>
            </w:pPr>
            <w:r>
              <w:t>-0.17</w:t>
            </w:r>
            <w:r>
              <w:rPr>
                <w:vertAlign w:val="superscript"/>
              </w:rPr>
              <w:t>***</w:t>
            </w:r>
          </w:p>
        </w:tc>
        <w:tc>
          <w:tcPr>
            <w:tcW w:w="720" w:type="dxa"/>
            <w:tcBorders>
              <w:top w:val="nil"/>
              <w:left w:val="nil"/>
              <w:bottom w:val="nil"/>
              <w:right w:val="nil"/>
            </w:tcBorders>
          </w:tcPr>
          <w:p w14:paraId="24C27182" w14:textId="77777777" w:rsidR="00600AB2" w:rsidRDefault="00600AB2" w:rsidP="00600AB2">
            <w:pPr>
              <w:widowControl w:val="0"/>
              <w:autoSpaceDE w:val="0"/>
              <w:autoSpaceDN w:val="0"/>
              <w:adjustRightInd w:val="0"/>
              <w:spacing w:line="240" w:lineRule="auto"/>
            </w:pPr>
            <w:r>
              <w:t>(.04)</w:t>
            </w:r>
          </w:p>
        </w:tc>
        <w:tc>
          <w:tcPr>
            <w:tcW w:w="1170" w:type="dxa"/>
            <w:tcBorders>
              <w:top w:val="nil"/>
              <w:left w:val="nil"/>
              <w:bottom w:val="nil"/>
              <w:right w:val="nil"/>
            </w:tcBorders>
          </w:tcPr>
          <w:p w14:paraId="528953FA" w14:textId="77777777" w:rsidR="00600AB2" w:rsidRDefault="00600AB2" w:rsidP="00600AB2">
            <w:pPr>
              <w:widowControl w:val="0"/>
              <w:tabs>
                <w:tab w:val="decimal" w:pos="345"/>
              </w:tabs>
              <w:autoSpaceDE w:val="0"/>
              <w:autoSpaceDN w:val="0"/>
              <w:adjustRightInd w:val="0"/>
              <w:spacing w:line="240" w:lineRule="auto"/>
            </w:pPr>
            <w:r>
              <w:t>-0.17</w:t>
            </w:r>
            <w:r>
              <w:rPr>
                <w:vertAlign w:val="superscript"/>
              </w:rPr>
              <w:t>***</w:t>
            </w:r>
          </w:p>
        </w:tc>
        <w:tc>
          <w:tcPr>
            <w:tcW w:w="810" w:type="dxa"/>
            <w:tcBorders>
              <w:top w:val="nil"/>
              <w:left w:val="nil"/>
              <w:bottom w:val="nil"/>
              <w:right w:val="nil"/>
            </w:tcBorders>
          </w:tcPr>
          <w:p w14:paraId="79679028" w14:textId="77777777" w:rsidR="00600AB2" w:rsidRDefault="00600AB2" w:rsidP="00600AB2">
            <w:pPr>
              <w:widowControl w:val="0"/>
              <w:autoSpaceDE w:val="0"/>
              <w:autoSpaceDN w:val="0"/>
              <w:adjustRightInd w:val="0"/>
              <w:spacing w:line="240" w:lineRule="auto"/>
              <w:jc w:val="center"/>
            </w:pPr>
            <w:r>
              <w:t>(.04)</w:t>
            </w:r>
          </w:p>
        </w:tc>
        <w:tc>
          <w:tcPr>
            <w:tcW w:w="1080" w:type="dxa"/>
            <w:tcBorders>
              <w:top w:val="nil"/>
              <w:left w:val="nil"/>
              <w:bottom w:val="nil"/>
              <w:right w:val="nil"/>
            </w:tcBorders>
          </w:tcPr>
          <w:p w14:paraId="151255C8" w14:textId="77777777" w:rsidR="00600AB2" w:rsidRDefault="00600AB2" w:rsidP="00600AB2">
            <w:pPr>
              <w:widowControl w:val="0"/>
              <w:tabs>
                <w:tab w:val="decimal" w:pos="345"/>
              </w:tabs>
              <w:autoSpaceDE w:val="0"/>
              <w:autoSpaceDN w:val="0"/>
              <w:adjustRightInd w:val="0"/>
              <w:spacing w:line="240" w:lineRule="auto"/>
            </w:pPr>
            <w:r>
              <w:t>-0.17</w:t>
            </w:r>
            <w:r>
              <w:rPr>
                <w:vertAlign w:val="superscript"/>
              </w:rPr>
              <w:t>***</w:t>
            </w:r>
          </w:p>
        </w:tc>
        <w:tc>
          <w:tcPr>
            <w:tcW w:w="900" w:type="dxa"/>
            <w:tcBorders>
              <w:top w:val="nil"/>
              <w:left w:val="nil"/>
              <w:bottom w:val="nil"/>
              <w:right w:val="nil"/>
            </w:tcBorders>
          </w:tcPr>
          <w:p w14:paraId="7B7187E2" w14:textId="77777777" w:rsidR="00600AB2" w:rsidRDefault="00600AB2" w:rsidP="00600AB2">
            <w:pPr>
              <w:widowControl w:val="0"/>
              <w:autoSpaceDE w:val="0"/>
              <w:autoSpaceDN w:val="0"/>
              <w:adjustRightInd w:val="0"/>
              <w:spacing w:line="240" w:lineRule="auto"/>
            </w:pPr>
            <w:r>
              <w:t>(.04)</w:t>
            </w:r>
          </w:p>
        </w:tc>
      </w:tr>
      <w:tr w:rsidR="00600AB2" w14:paraId="14D95C85" w14:textId="77777777" w:rsidTr="00484854">
        <w:tc>
          <w:tcPr>
            <w:tcW w:w="3258" w:type="dxa"/>
            <w:tcBorders>
              <w:top w:val="nil"/>
              <w:left w:val="nil"/>
              <w:bottom w:val="nil"/>
              <w:right w:val="nil"/>
            </w:tcBorders>
          </w:tcPr>
          <w:p w14:paraId="664B8239" w14:textId="77777777" w:rsidR="00600AB2" w:rsidRDefault="00600AB2" w:rsidP="00600AB2">
            <w:pPr>
              <w:widowControl w:val="0"/>
              <w:autoSpaceDE w:val="0"/>
              <w:autoSpaceDN w:val="0"/>
              <w:adjustRightInd w:val="0"/>
              <w:spacing w:line="240" w:lineRule="auto"/>
              <w:ind w:left="90"/>
            </w:pPr>
            <w:r>
              <w:t>College</w:t>
            </w:r>
          </w:p>
        </w:tc>
        <w:tc>
          <w:tcPr>
            <w:tcW w:w="1080" w:type="dxa"/>
            <w:tcBorders>
              <w:top w:val="nil"/>
              <w:left w:val="nil"/>
              <w:bottom w:val="nil"/>
              <w:right w:val="nil"/>
            </w:tcBorders>
          </w:tcPr>
          <w:p w14:paraId="79CF9F11" w14:textId="77777777" w:rsidR="00600AB2" w:rsidRDefault="00600AB2" w:rsidP="00600AB2">
            <w:pPr>
              <w:widowControl w:val="0"/>
              <w:tabs>
                <w:tab w:val="decimal" w:pos="345"/>
              </w:tabs>
              <w:autoSpaceDE w:val="0"/>
              <w:autoSpaceDN w:val="0"/>
              <w:adjustRightInd w:val="0"/>
              <w:spacing w:line="240" w:lineRule="auto"/>
            </w:pPr>
            <w:r>
              <w:t>-0.17</w:t>
            </w:r>
            <w:r>
              <w:rPr>
                <w:vertAlign w:val="superscript"/>
              </w:rPr>
              <w:t>***</w:t>
            </w:r>
          </w:p>
        </w:tc>
        <w:tc>
          <w:tcPr>
            <w:tcW w:w="720" w:type="dxa"/>
            <w:tcBorders>
              <w:top w:val="nil"/>
              <w:left w:val="nil"/>
              <w:bottom w:val="nil"/>
              <w:right w:val="nil"/>
            </w:tcBorders>
          </w:tcPr>
          <w:p w14:paraId="2D1651A1" w14:textId="77777777" w:rsidR="00600AB2" w:rsidRDefault="00600AB2" w:rsidP="00600AB2">
            <w:pPr>
              <w:widowControl w:val="0"/>
              <w:autoSpaceDE w:val="0"/>
              <w:autoSpaceDN w:val="0"/>
              <w:adjustRightInd w:val="0"/>
              <w:spacing w:line="240" w:lineRule="auto"/>
            </w:pPr>
            <w:r>
              <w:t>(.04)</w:t>
            </w:r>
          </w:p>
        </w:tc>
        <w:tc>
          <w:tcPr>
            <w:tcW w:w="1170" w:type="dxa"/>
            <w:tcBorders>
              <w:top w:val="nil"/>
              <w:left w:val="nil"/>
              <w:bottom w:val="nil"/>
              <w:right w:val="nil"/>
            </w:tcBorders>
          </w:tcPr>
          <w:p w14:paraId="4C464A1B" w14:textId="77777777" w:rsidR="00600AB2" w:rsidRDefault="00600AB2" w:rsidP="00600AB2">
            <w:pPr>
              <w:widowControl w:val="0"/>
              <w:tabs>
                <w:tab w:val="decimal" w:pos="345"/>
              </w:tabs>
              <w:autoSpaceDE w:val="0"/>
              <w:autoSpaceDN w:val="0"/>
              <w:adjustRightInd w:val="0"/>
              <w:spacing w:line="240" w:lineRule="auto"/>
            </w:pPr>
            <w:r>
              <w:t>-0.17</w:t>
            </w:r>
            <w:r>
              <w:rPr>
                <w:vertAlign w:val="superscript"/>
              </w:rPr>
              <w:t>***</w:t>
            </w:r>
          </w:p>
        </w:tc>
        <w:tc>
          <w:tcPr>
            <w:tcW w:w="810" w:type="dxa"/>
            <w:tcBorders>
              <w:top w:val="nil"/>
              <w:left w:val="nil"/>
              <w:bottom w:val="nil"/>
              <w:right w:val="nil"/>
            </w:tcBorders>
          </w:tcPr>
          <w:p w14:paraId="3F95C5A0" w14:textId="77777777" w:rsidR="00600AB2" w:rsidRDefault="00600AB2" w:rsidP="00600AB2">
            <w:pPr>
              <w:widowControl w:val="0"/>
              <w:autoSpaceDE w:val="0"/>
              <w:autoSpaceDN w:val="0"/>
              <w:adjustRightInd w:val="0"/>
              <w:spacing w:line="240" w:lineRule="auto"/>
              <w:jc w:val="center"/>
            </w:pPr>
            <w:r>
              <w:t>(.04)</w:t>
            </w:r>
          </w:p>
        </w:tc>
        <w:tc>
          <w:tcPr>
            <w:tcW w:w="1080" w:type="dxa"/>
            <w:tcBorders>
              <w:top w:val="nil"/>
              <w:left w:val="nil"/>
              <w:bottom w:val="nil"/>
              <w:right w:val="nil"/>
            </w:tcBorders>
          </w:tcPr>
          <w:p w14:paraId="6FCB6077" w14:textId="77777777" w:rsidR="00600AB2" w:rsidRDefault="00600AB2" w:rsidP="00600AB2">
            <w:pPr>
              <w:widowControl w:val="0"/>
              <w:tabs>
                <w:tab w:val="decimal" w:pos="345"/>
              </w:tabs>
              <w:autoSpaceDE w:val="0"/>
              <w:autoSpaceDN w:val="0"/>
              <w:adjustRightInd w:val="0"/>
              <w:spacing w:line="240" w:lineRule="auto"/>
            </w:pPr>
            <w:r>
              <w:t>-0.17</w:t>
            </w:r>
            <w:r>
              <w:rPr>
                <w:vertAlign w:val="superscript"/>
              </w:rPr>
              <w:t>***</w:t>
            </w:r>
          </w:p>
        </w:tc>
        <w:tc>
          <w:tcPr>
            <w:tcW w:w="900" w:type="dxa"/>
            <w:tcBorders>
              <w:top w:val="nil"/>
              <w:left w:val="nil"/>
              <w:bottom w:val="nil"/>
              <w:right w:val="nil"/>
            </w:tcBorders>
          </w:tcPr>
          <w:p w14:paraId="6840B129" w14:textId="77777777" w:rsidR="00600AB2" w:rsidRDefault="00600AB2" w:rsidP="00600AB2">
            <w:pPr>
              <w:widowControl w:val="0"/>
              <w:autoSpaceDE w:val="0"/>
              <w:autoSpaceDN w:val="0"/>
              <w:adjustRightInd w:val="0"/>
              <w:spacing w:line="240" w:lineRule="auto"/>
            </w:pPr>
            <w:r>
              <w:t>(.04)</w:t>
            </w:r>
          </w:p>
        </w:tc>
      </w:tr>
      <w:tr w:rsidR="00600AB2" w14:paraId="14A55B48" w14:textId="77777777" w:rsidTr="00484854">
        <w:tc>
          <w:tcPr>
            <w:tcW w:w="3258" w:type="dxa"/>
            <w:tcBorders>
              <w:top w:val="nil"/>
              <w:left w:val="nil"/>
              <w:bottom w:val="nil"/>
              <w:right w:val="nil"/>
            </w:tcBorders>
          </w:tcPr>
          <w:p w14:paraId="71BF1FFF" w14:textId="77777777" w:rsidR="00600AB2" w:rsidRDefault="00600AB2" w:rsidP="00600AB2">
            <w:pPr>
              <w:widowControl w:val="0"/>
              <w:autoSpaceDE w:val="0"/>
              <w:autoSpaceDN w:val="0"/>
              <w:adjustRightInd w:val="0"/>
              <w:spacing w:line="240" w:lineRule="auto"/>
              <w:ind w:left="90"/>
            </w:pPr>
            <w:r>
              <w:t>Graduate/Prof degree</w:t>
            </w:r>
          </w:p>
        </w:tc>
        <w:tc>
          <w:tcPr>
            <w:tcW w:w="1080" w:type="dxa"/>
            <w:tcBorders>
              <w:top w:val="nil"/>
              <w:left w:val="nil"/>
              <w:bottom w:val="nil"/>
              <w:right w:val="nil"/>
            </w:tcBorders>
          </w:tcPr>
          <w:p w14:paraId="4C3B76FE" w14:textId="77777777" w:rsidR="00600AB2" w:rsidRDefault="00600AB2" w:rsidP="00600AB2">
            <w:pPr>
              <w:widowControl w:val="0"/>
              <w:tabs>
                <w:tab w:val="decimal" w:pos="345"/>
              </w:tabs>
              <w:autoSpaceDE w:val="0"/>
              <w:autoSpaceDN w:val="0"/>
              <w:adjustRightInd w:val="0"/>
              <w:spacing w:line="240" w:lineRule="auto"/>
            </w:pPr>
            <w:r>
              <w:t>-0.15</w:t>
            </w:r>
            <w:r>
              <w:rPr>
                <w:vertAlign w:val="superscript"/>
              </w:rPr>
              <w:t>***</w:t>
            </w:r>
          </w:p>
        </w:tc>
        <w:tc>
          <w:tcPr>
            <w:tcW w:w="720" w:type="dxa"/>
            <w:tcBorders>
              <w:top w:val="nil"/>
              <w:left w:val="nil"/>
              <w:bottom w:val="nil"/>
              <w:right w:val="nil"/>
            </w:tcBorders>
          </w:tcPr>
          <w:p w14:paraId="2050C3C5" w14:textId="77777777" w:rsidR="00600AB2" w:rsidRDefault="00600AB2" w:rsidP="00600AB2">
            <w:pPr>
              <w:widowControl w:val="0"/>
              <w:autoSpaceDE w:val="0"/>
              <w:autoSpaceDN w:val="0"/>
              <w:adjustRightInd w:val="0"/>
              <w:spacing w:line="240" w:lineRule="auto"/>
            </w:pPr>
            <w:r>
              <w:t>(.04)</w:t>
            </w:r>
          </w:p>
        </w:tc>
        <w:tc>
          <w:tcPr>
            <w:tcW w:w="1170" w:type="dxa"/>
            <w:tcBorders>
              <w:top w:val="nil"/>
              <w:left w:val="nil"/>
              <w:bottom w:val="nil"/>
              <w:right w:val="nil"/>
            </w:tcBorders>
          </w:tcPr>
          <w:p w14:paraId="557319B5" w14:textId="77777777" w:rsidR="00600AB2" w:rsidRDefault="00600AB2" w:rsidP="00600AB2">
            <w:pPr>
              <w:widowControl w:val="0"/>
              <w:tabs>
                <w:tab w:val="decimal" w:pos="345"/>
              </w:tabs>
              <w:autoSpaceDE w:val="0"/>
              <w:autoSpaceDN w:val="0"/>
              <w:adjustRightInd w:val="0"/>
              <w:spacing w:line="240" w:lineRule="auto"/>
            </w:pPr>
            <w:r>
              <w:t>-0.15</w:t>
            </w:r>
            <w:r>
              <w:rPr>
                <w:vertAlign w:val="superscript"/>
              </w:rPr>
              <w:t>***</w:t>
            </w:r>
          </w:p>
        </w:tc>
        <w:tc>
          <w:tcPr>
            <w:tcW w:w="810" w:type="dxa"/>
            <w:tcBorders>
              <w:top w:val="nil"/>
              <w:left w:val="nil"/>
              <w:bottom w:val="nil"/>
              <w:right w:val="nil"/>
            </w:tcBorders>
          </w:tcPr>
          <w:p w14:paraId="3BAE16FC" w14:textId="77777777" w:rsidR="00600AB2" w:rsidRDefault="00600AB2" w:rsidP="00600AB2">
            <w:pPr>
              <w:widowControl w:val="0"/>
              <w:autoSpaceDE w:val="0"/>
              <w:autoSpaceDN w:val="0"/>
              <w:adjustRightInd w:val="0"/>
              <w:spacing w:line="240" w:lineRule="auto"/>
              <w:jc w:val="center"/>
            </w:pPr>
            <w:r>
              <w:t>(.04)</w:t>
            </w:r>
          </w:p>
        </w:tc>
        <w:tc>
          <w:tcPr>
            <w:tcW w:w="1080" w:type="dxa"/>
            <w:tcBorders>
              <w:top w:val="nil"/>
              <w:left w:val="nil"/>
              <w:bottom w:val="nil"/>
              <w:right w:val="nil"/>
            </w:tcBorders>
          </w:tcPr>
          <w:p w14:paraId="20B4A069" w14:textId="77777777" w:rsidR="00600AB2" w:rsidRDefault="00600AB2" w:rsidP="00600AB2">
            <w:pPr>
              <w:widowControl w:val="0"/>
              <w:tabs>
                <w:tab w:val="decimal" w:pos="345"/>
              </w:tabs>
              <w:autoSpaceDE w:val="0"/>
              <w:autoSpaceDN w:val="0"/>
              <w:adjustRightInd w:val="0"/>
              <w:spacing w:line="240" w:lineRule="auto"/>
            </w:pPr>
            <w:r>
              <w:t>-0.15</w:t>
            </w:r>
            <w:r>
              <w:rPr>
                <w:vertAlign w:val="superscript"/>
              </w:rPr>
              <w:t>***</w:t>
            </w:r>
          </w:p>
        </w:tc>
        <w:tc>
          <w:tcPr>
            <w:tcW w:w="900" w:type="dxa"/>
            <w:tcBorders>
              <w:top w:val="nil"/>
              <w:left w:val="nil"/>
              <w:bottom w:val="nil"/>
              <w:right w:val="nil"/>
            </w:tcBorders>
          </w:tcPr>
          <w:p w14:paraId="4C7A8DF9" w14:textId="77777777" w:rsidR="00600AB2" w:rsidRDefault="00600AB2" w:rsidP="00600AB2">
            <w:pPr>
              <w:widowControl w:val="0"/>
              <w:autoSpaceDE w:val="0"/>
              <w:autoSpaceDN w:val="0"/>
              <w:adjustRightInd w:val="0"/>
              <w:spacing w:line="240" w:lineRule="auto"/>
            </w:pPr>
            <w:r>
              <w:t>(.04)</w:t>
            </w:r>
          </w:p>
        </w:tc>
      </w:tr>
      <w:tr w:rsidR="00600AB2" w14:paraId="6EB7949D" w14:textId="77777777" w:rsidTr="00484854">
        <w:tc>
          <w:tcPr>
            <w:tcW w:w="3258" w:type="dxa"/>
            <w:tcBorders>
              <w:top w:val="nil"/>
              <w:left w:val="nil"/>
              <w:bottom w:val="nil"/>
              <w:right w:val="nil"/>
            </w:tcBorders>
          </w:tcPr>
          <w:p w14:paraId="26AB9A1F" w14:textId="77777777" w:rsidR="00600AB2" w:rsidRDefault="00600AB2" w:rsidP="00600AB2">
            <w:pPr>
              <w:widowControl w:val="0"/>
              <w:autoSpaceDE w:val="0"/>
              <w:autoSpaceDN w:val="0"/>
              <w:adjustRightInd w:val="0"/>
              <w:spacing w:line="240" w:lineRule="auto"/>
            </w:pPr>
            <w:r>
              <w:t>Race (Black)</w:t>
            </w:r>
          </w:p>
        </w:tc>
        <w:tc>
          <w:tcPr>
            <w:tcW w:w="1080" w:type="dxa"/>
            <w:tcBorders>
              <w:top w:val="nil"/>
              <w:left w:val="nil"/>
              <w:bottom w:val="nil"/>
              <w:right w:val="nil"/>
            </w:tcBorders>
          </w:tcPr>
          <w:p w14:paraId="20445D3F" w14:textId="77777777" w:rsidR="00600AB2" w:rsidRDefault="00600AB2" w:rsidP="00600AB2">
            <w:pPr>
              <w:widowControl w:val="0"/>
              <w:tabs>
                <w:tab w:val="decimal" w:pos="345"/>
              </w:tabs>
              <w:autoSpaceDE w:val="0"/>
              <w:autoSpaceDN w:val="0"/>
              <w:adjustRightInd w:val="0"/>
              <w:spacing w:line="240" w:lineRule="auto"/>
            </w:pPr>
            <w:r>
              <w:t>-0.41</w:t>
            </w:r>
            <w:r>
              <w:rPr>
                <w:vertAlign w:val="superscript"/>
              </w:rPr>
              <w:t>***</w:t>
            </w:r>
          </w:p>
        </w:tc>
        <w:tc>
          <w:tcPr>
            <w:tcW w:w="720" w:type="dxa"/>
            <w:tcBorders>
              <w:top w:val="nil"/>
              <w:left w:val="nil"/>
              <w:bottom w:val="nil"/>
              <w:right w:val="nil"/>
            </w:tcBorders>
          </w:tcPr>
          <w:p w14:paraId="79BA0663" w14:textId="77777777" w:rsidR="00600AB2" w:rsidRDefault="00600AB2" w:rsidP="00600AB2">
            <w:pPr>
              <w:widowControl w:val="0"/>
              <w:autoSpaceDE w:val="0"/>
              <w:autoSpaceDN w:val="0"/>
              <w:adjustRightInd w:val="0"/>
              <w:spacing w:line="240" w:lineRule="auto"/>
            </w:pPr>
            <w:r>
              <w:t>(.03)</w:t>
            </w:r>
          </w:p>
        </w:tc>
        <w:tc>
          <w:tcPr>
            <w:tcW w:w="1170" w:type="dxa"/>
            <w:tcBorders>
              <w:top w:val="nil"/>
              <w:left w:val="nil"/>
              <w:bottom w:val="nil"/>
              <w:right w:val="nil"/>
            </w:tcBorders>
          </w:tcPr>
          <w:p w14:paraId="7093EF42" w14:textId="77777777" w:rsidR="00600AB2" w:rsidRDefault="00600AB2" w:rsidP="00600AB2">
            <w:pPr>
              <w:widowControl w:val="0"/>
              <w:tabs>
                <w:tab w:val="decimal" w:pos="345"/>
              </w:tabs>
              <w:autoSpaceDE w:val="0"/>
              <w:autoSpaceDN w:val="0"/>
              <w:adjustRightInd w:val="0"/>
              <w:spacing w:line="240" w:lineRule="auto"/>
            </w:pPr>
            <w:r>
              <w:t>-0.41</w:t>
            </w:r>
            <w:r>
              <w:rPr>
                <w:vertAlign w:val="superscript"/>
              </w:rPr>
              <w:t>***</w:t>
            </w:r>
          </w:p>
        </w:tc>
        <w:tc>
          <w:tcPr>
            <w:tcW w:w="810" w:type="dxa"/>
            <w:tcBorders>
              <w:top w:val="nil"/>
              <w:left w:val="nil"/>
              <w:bottom w:val="nil"/>
              <w:right w:val="nil"/>
            </w:tcBorders>
          </w:tcPr>
          <w:p w14:paraId="764EBB5F" w14:textId="77777777" w:rsidR="00600AB2" w:rsidRDefault="00600AB2" w:rsidP="00600AB2">
            <w:pPr>
              <w:widowControl w:val="0"/>
              <w:autoSpaceDE w:val="0"/>
              <w:autoSpaceDN w:val="0"/>
              <w:adjustRightInd w:val="0"/>
              <w:spacing w:line="240" w:lineRule="auto"/>
              <w:jc w:val="center"/>
            </w:pPr>
            <w:r>
              <w:t>(.03)</w:t>
            </w:r>
          </w:p>
        </w:tc>
        <w:tc>
          <w:tcPr>
            <w:tcW w:w="1080" w:type="dxa"/>
            <w:tcBorders>
              <w:top w:val="nil"/>
              <w:left w:val="nil"/>
              <w:bottom w:val="nil"/>
              <w:right w:val="nil"/>
            </w:tcBorders>
          </w:tcPr>
          <w:p w14:paraId="45772A37" w14:textId="77777777" w:rsidR="00600AB2" w:rsidRDefault="00600AB2" w:rsidP="00600AB2">
            <w:pPr>
              <w:widowControl w:val="0"/>
              <w:tabs>
                <w:tab w:val="decimal" w:pos="345"/>
              </w:tabs>
              <w:autoSpaceDE w:val="0"/>
              <w:autoSpaceDN w:val="0"/>
              <w:adjustRightInd w:val="0"/>
              <w:spacing w:line="240" w:lineRule="auto"/>
            </w:pPr>
            <w:r>
              <w:t>-0.40</w:t>
            </w:r>
            <w:r>
              <w:rPr>
                <w:vertAlign w:val="superscript"/>
              </w:rPr>
              <w:t>***</w:t>
            </w:r>
          </w:p>
        </w:tc>
        <w:tc>
          <w:tcPr>
            <w:tcW w:w="900" w:type="dxa"/>
            <w:tcBorders>
              <w:top w:val="nil"/>
              <w:left w:val="nil"/>
              <w:bottom w:val="nil"/>
              <w:right w:val="nil"/>
            </w:tcBorders>
          </w:tcPr>
          <w:p w14:paraId="079B5FD1" w14:textId="77777777" w:rsidR="00600AB2" w:rsidRDefault="00600AB2" w:rsidP="00600AB2">
            <w:pPr>
              <w:widowControl w:val="0"/>
              <w:autoSpaceDE w:val="0"/>
              <w:autoSpaceDN w:val="0"/>
              <w:adjustRightInd w:val="0"/>
              <w:spacing w:line="240" w:lineRule="auto"/>
            </w:pPr>
            <w:r>
              <w:t>(.03)</w:t>
            </w:r>
          </w:p>
        </w:tc>
      </w:tr>
      <w:tr w:rsidR="00600AB2" w14:paraId="2A255A56" w14:textId="77777777" w:rsidTr="00266A2C">
        <w:tc>
          <w:tcPr>
            <w:tcW w:w="3258" w:type="dxa"/>
            <w:tcBorders>
              <w:top w:val="nil"/>
              <w:left w:val="nil"/>
              <w:bottom w:val="single" w:sz="4" w:space="0" w:color="auto"/>
              <w:right w:val="nil"/>
            </w:tcBorders>
          </w:tcPr>
          <w:p w14:paraId="13CD3403" w14:textId="77777777" w:rsidR="00600AB2" w:rsidRDefault="00600AB2" w:rsidP="00600AB2">
            <w:pPr>
              <w:widowControl w:val="0"/>
              <w:autoSpaceDE w:val="0"/>
              <w:autoSpaceDN w:val="0"/>
              <w:adjustRightInd w:val="0"/>
              <w:spacing w:line="240" w:lineRule="auto"/>
            </w:pPr>
            <w:r>
              <w:t>Years</w:t>
            </w:r>
          </w:p>
        </w:tc>
        <w:tc>
          <w:tcPr>
            <w:tcW w:w="1080" w:type="dxa"/>
            <w:tcBorders>
              <w:top w:val="nil"/>
              <w:left w:val="nil"/>
              <w:bottom w:val="single" w:sz="4" w:space="0" w:color="auto"/>
              <w:right w:val="nil"/>
            </w:tcBorders>
          </w:tcPr>
          <w:p w14:paraId="42511D00" w14:textId="77777777" w:rsidR="00600AB2" w:rsidRDefault="00600AB2" w:rsidP="00600AB2">
            <w:pPr>
              <w:widowControl w:val="0"/>
              <w:tabs>
                <w:tab w:val="decimal" w:pos="345"/>
              </w:tabs>
              <w:autoSpaceDE w:val="0"/>
              <w:autoSpaceDN w:val="0"/>
              <w:adjustRightInd w:val="0"/>
              <w:spacing w:line="240" w:lineRule="auto"/>
            </w:pPr>
            <w:r>
              <w:t>-0.01</w:t>
            </w:r>
            <w:r>
              <w:rPr>
                <w:vertAlign w:val="superscript"/>
              </w:rPr>
              <w:t>***</w:t>
            </w:r>
          </w:p>
        </w:tc>
        <w:tc>
          <w:tcPr>
            <w:tcW w:w="720" w:type="dxa"/>
            <w:tcBorders>
              <w:top w:val="nil"/>
              <w:left w:val="nil"/>
              <w:bottom w:val="single" w:sz="4" w:space="0" w:color="auto"/>
              <w:right w:val="nil"/>
            </w:tcBorders>
          </w:tcPr>
          <w:p w14:paraId="3CD24E89" w14:textId="77777777" w:rsidR="00600AB2" w:rsidRDefault="00600AB2" w:rsidP="00600AB2">
            <w:pPr>
              <w:widowControl w:val="0"/>
              <w:autoSpaceDE w:val="0"/>
              <w:autoSpaceDN w:val="0"/>
              <w:adjustRightInd w:val="0"/>
              <w:spacing w:line="240" w:lineRule="auto"/>
            </w:pPr>
            <w:r>
              <w:t>(.00)</w:t>
            </w:r>
          </w:p>
        </w:tc>
        <w:tc>
          <w:tcPr>
            <w:tcW w:w="1170" w:type="dxa"/>
            <w:tcBorders>
              <w:top w:val="nil"/>
              <w:left w:val="nil"/>
              <w:bottom w:val="single" w:sz="4" w:space="0" w:color="auto"/>
              <w:right w:val="nil"/>
            </w:tcBorders>
          </w:tcPr>
          <w:p w14:paraId="6B1BA6D3" w14:textId="77777777" w:rsidR="00600AB2" w:rsidRDefault="00600AB2" w:rsidP="00600AB2">
            <w:pPr>
              <w:widowControl w:val="0"/>
              <w:tabs>
                <w:tab w:val="decimal" w:pos="345"/>
              </w:tabs>
              <w:autoSpaceDE w:val="0"/>
              <w:autoSpaceDN w:val="0"/>
              <w:adjustRightInd w:val="0"/>
              <w:spacing w:line="240" w:lineRule="auto"/>
            </w:pPr>
            <w:r>
              <w:t>-0.01</w:t>
            </w:r>
            <w:r>
              <w:rPr>
                <w:vertAlign w:val="superscript"/>
              </w:rPr>
              <w:t>***</w:t>
            </w:r>
          </w:p>
        </w:tc>
        <w:tc>
          <w:tcPr>
            <w:tcW w:w="810" w:type="dxa"/>
            <w:tcBorders>
              <w:top w:val="nil"/>
              <w:left w:val="nil"/>
              <w:bottom w:val="single" w:sz="4" w:space="0" w:color="auto"/>
              <w:right w:val="nil"/>
            </w:tcBorders>
          </w:tcPr>
          <w:p w14:paraId="1EDBCA51" w14:textId="77777777" w:rsidR="00600AB2" w:rsidRDefault="00600AB2" w:rsidP="00600AB2">
            <w:pPr>
              <w:widowControl w:val="0"/>
              <w:autoSpaceDE w:val="0"/>
              <w:autoSpaceDN w:val="0"/>
              <w:adjustRightInd w:val="0"/>
              <w:spacing w:line="240" w:lineRule="auto"/>
              <w:jc w:val="center"/>
            </w:pPr>
            <w:r>
              <w:t>(.00)</w:t>
            </w:r>
          </w:p>
        </w:tc>
        <w:tc>
          <w:tcPr>
            <w:tcW w:w="1080" w:type="dxa"/>
            <w:tcBorders>
              <w:top w:val="nil"/>
              <w:left w:val="nil"/>
              <w:bottom w:val="single" w:sz="4" w:space="0" w:color="auto"/>
              <w:right w:val="nil"/>
            </w:tcBorders>
          </w:tcPr>
          <w:p w14:paraId="70ED3AFF" w14:textId="77777777" w:rsidR="00600AB2" w:rsidRDefault="00600AB2" w:rsidP="00600AB2">
            <w:pPr>
              <w:widowControl w:val="0"/>
              <w:tabs>
                <w:tab w:val="decimal" w:pos="345"/>
              </w:tabs>
              <w:autoSpaceDE w:val="0"/>
              <w:autoSpaceDN w:val="0"/>
              <w:adjustRightInd w:val="0"/>
              <w:spacing w:line="240" w:lineRule="auto"/>
            </w:pPr>
            <w:r>
              <w:t>-0.01</w:t>
            </w:r>
            <w:r>
              <w:rPr>
                <w:vertAlign w:val="superscript"/>
              </w:rPr>
              <w:t>***</w:t>
            </w:r>
          </w:p>
        </w:tc>
        <w:tc>
          <w:tcPr>
            <w:tcW w:w="900" w:type="dxa"/>
            <w:tcBorders>
              <w:top w:val="nil"/>
              <w:left w:val="nil"/>
              <w:bottom w:val="single" w:sz="4" w:space="0" w:color="auto"/>
              <w:right w:val="nil"/>
            </w:tcBorders>
          </w:tcPr>
          <w:p w14:paraId="57FD43F8" w14:textId="77777777" w:rsidR="00600AB2" w:rsidRDefault="00600AB2" w:rsidP="00600AB2">
            <w:pPr>
              <w:widowControl w:val="0"/>
              <w:autoSpaceDE w:val="0"/>
              <w:autoSpaceDN w:val="0"/>
              <w:adjustRightInd w:val="0"/>
              <w:spacing w:line="240" w:lineRule="auto"/>
            </w:pPr>
            <w:r>
              <w:t>(.00)</w:t>
            </w:r>
          </w:p>
        </w:tc>
      </w:tr>
      <w:tr w:rsidR="00600AB2" w14:paraId="648D38B8" w14:textId="77777777" w:rsidTr="00266A2C">
        <w:tc>
          <w:tcPr>
            <w:tcW w:w="3258" w:type="dxa"/>
            <w:tcBorders>
              <w:top w:val="single" w:sz="4" w:space="0" w:color="auto"/>
              <w:left w:val="nil"/>
              <w:bottom w:val="single" w:sz="4" w:space="0" w:color="auto"/>
              <w:right w:val="nil"/>
            </w:tcBorders>
          </w:tcPr>
          <w:p w14:paraId="76075587" w14:textId="77777777" w:rsidR="00600AB2" w:rsidRDefault="00600AB2" w:rsidP="00600AB2">
            <w:pPr>
              <w:widowControl w:val="0"/>
              <w:autoSpaceDE w:val="0"/>
              <w:autoSpaceDN w:val="0"/>
              <w:adjustRightInd w:val="0"/>
              <w:spacing w:line="240" w:lineRule="auto"/>
            </w:pPr>
            <w:r>
              <w:t>Observations</w:t>
            </w:r>
          </w:p>
        </w:tc>
        <w:tc>
          <w:tcPr>
            <w:tcW w:w="5760" w:type="dxa"/>
            <w:gridSpan w:val="6"/>
            <w:tcBorders>
              <w:top w:val="single" w:sz="4" w:space="0" w:color="auto"/>
              <w:left w:val="nil"/>
              <w:bottom w:val="single" w:sz="4" w:space="0" w:color="auto"/>
              <w:right w:val="nil"/>
            </w:tcBorders>
          </w:tcPr>
          <w:p w14:paraId="12691667" w14:textId="72FBB8B6" w:rsidR="00600AB2" w:rsidRDefault="00600AB2" w:rsidP="00600AB2">
            <w:pPr>
              <w:widowControl w:val="0"/>
              <w:autoSpaceDE w:val="0"/>
              <w:autoSpaceDN w:val="0"/>
              <w:adjustRightInd w:val="0"/>
              <w:spacing w:line="240" w:lineRule="auto"/>
              <w:jc w:val="center"/>
            </w:pPr>
            <w:r>
              <w:t>48,589</w:t>
            </w:r>
          </w:p>
        </w:tc>
      </w:tr>
      <w:tr w:rsidR="00600AB2" w14:paraId="07DE7101" w14:textId="77777777" w:rsidTr="00266A2C">
        <w:tc>
          <w:tcPr>
            <w:tcW w:w="3258" w:type="dxa"/>
            <w:tcBorders>
              <w:top w:val="single" w:sz="4" w:space="0" w:color="auto"/>
              <w:left w:val="nil"/>
              <w:bottom w:val="nil"/>
              <w:right w:val="nil"/>
            </w:tcBorders>
          </w:tcPr>
          <w:p w14:paraId="18C5D9BE" w14:textId="77777777" w:rsidR="00600AB2" w:rsidRDefault="00600AB2" w:rsidP="00600AB2">
            <w:pPr>
              <w:widowControl w:val="0"/>
              <w:autoSpaceDE w:val="0"/>
              <w:autoSpaceDN w:val="0"/>
              <w:adjustRightInd w:val="0"/>
              <w:spacing w:line="240" w:lineRule="auto"/>
            </w:pPr>
            <w:r>
              <w:t>AIC</w:t>
            </w:r>
          </w:p>
        </w:tc>
        <w:tc>
          <w:tcPr>
            <w:tcW w:w="1800" w:type="dxa"/>
            <w:gridSpan w:val="2"/>
            <w:tcBorders>
              <w:top w:val="single" w:sz="4" w:space="0" w:color="auto"/>
              <w:left w:val="nil"/>
              <w:bottom w:val="nil"/>
              <w:right w:val="nil"/>
            </w:tcBorders>
          </w:tcPr>
          <w:p w14:paraId="793EFAE7" w14:textId="77777777" w:rsidR="00600AB2" w:rsidRDefault="00600AB2" w:rsidP="00600AB2">
            <w:pPr>
              <w:widowControl w:val="0"/>
              <w:autoSpaceDE w:val="0"/>
              <w:autoSpaceDN w:val="0"/>
              <w:adjustRightInd w:val="0"/>
              <w:spacing w:line="240" w:lineRule="auto"/>
              <w:jc w:val="center"/>
            </w:pPr>
            <w:r>
              <w:t>66423.37</w:t>
            </w:r>
          </w:p>
        </w:tc>
        <w:tc>
          <w:tcPr>
            <w:tcW w:w="1980" w:type="dxa"/>
            <w:gridSpan w:val="2"/>
            <w:tcBorders>
              <w:top w:val="single" w:sz="4" w:space="0" w:color="auto"/>
              <w:left w:val="nil"/>
              <w:bottom w:val="nil"/>
              <w:right w:val="nil"/>
            </w:tcBorders>
          </w:tcPr>
          <w:p w14:paraId="002C688F" w14:textId="77777777" w:rsidR="00600AB2" w:rsidRDefault="00600AB2" w:rsidP="00600AB2">
            <w:pPr>
              <w:widowControl w:val="0"/>
              <w:autoSpaceDE w:val="0"/>
              <w:autoSpaceDN w:val="0"/>
              <w:adjustRightInd w:val="0"/>
              <w:spacing w:line="240" w:lineRule="auto"/>
              <w:jc w:val="center"/>
            </w:pPr>
            <w:r>
              <w:t>66425.30</w:t>
            </w:r>
          </w:p>
        </w:tc>
        <w:tc>
          <w:tcPr>
            <w:tcW w:w="1980" w:type="dxa"/>
            <w:gridSpan w:val="2"/>
            <w:tcBorders>
              <w:top w:val="single" w:sz="4" w:space="0" w:color="auto"/>
              <w:left w:val="nil"/>
              <w:bottom w:val="nil"/>
              <w:right w:val="nil"/>
            </w:tcBorders>
          </w:tcPr>
          <w:p w14:paraId="42B3D425" w14:textId="77777777" w:rsidR="00600AB2" w:rsidRDefault="00600AB2" w:rsidP="00600AB2">
            <w:pPr>
              <w:widowControl w:val="0"/>
              <w:autoSpaceDE w:val="0"/>
              <w:autoSpaceDN w:val="0"/>
              <w:adjustRightInd w:val="0"/>
              <w:spacing w:line="240" w:lineRule="auto"/>
              <w:jc w:val="center"/>
            </w:pPr>
            <w:r>
              <w:t>66388.48</w:t>
            </w:r>
          </w:p>
        </w:tc>
      </w:tr>
      <w:tr w:rsidR="00600AB2" w14:paraId="6C4ABF05" w14:textId="77777777" w:rsidTr="00484854">
        <w:tc>
          <w:tcPr>
            <w:tcW w:w="3258" w:type="dxa"/>
            <w:tcBorders>
              <w:top w:val="nil"/>
              <w:left w:val="nil"/>
              <w:bottom w:val="single" w:sz="4" w:space="0" w:color="auto"/>
              <w:right w:val="nil"/>
            </w:tcBorders>
          </w:tcPr>
          <w:p w14:paraId="7BA1E1E4" w14:textId="77777777" w:rsidR="00600AB2" w:rsidRDefault="00600AB2" w:rsidP="00600AB2">
            <w:pPr>
              <w:widowControl w:val="0"/>
              <w:autoSpaceDE w:val="0"/>
              <w:autoSpaceDN w:val="0"/>
              <w:adjustRightInd w:val="0"/>
              <w:spacing w:line="240" w:lineRule="auto"/>
            </w:pPr>
            <w:r>
              <w:t>BIC</w:t>
            </w:r>
          </w:p>
        </w:tc>
        <w:tc>
          <w:tcPr>
            <w:tcW w:w="1800" w:type="dxa"/>
            <w:gridSpan w:val="2"/>
            <w:tcBorders>
              <w:top w:val="nil"/>
              <w:left w:val="nil"/>
              <w:bottom w:val="single" w:sz="4" w:space="0" w:color="auto"/>
              <w:right w:val="nil"/>
            </w:tcBorders>
          </w:tcPr>
          <w:p w14:paraId="0C63E051" w14:textId="77777777" w:rsidR="00600AB2" w:rsidRDefault="00600AB2" w:rsidP="00600AB2">
            <w:pPr>
              <w:widowControl w:val="0"/>
              <w:autoSpaceDE w:val="0"/>
              <w:autoSpaceDN w:val="0"/>
              <w:adjustRightInd w:val="0"/>
              <w:spacing w:line="240" w:lineRule="auto"/>
              <w:jc w:val="center"/>
            </w:pPr>
            <w:r>
              <w:t>66546.45</w:t>
            </w:r>
          </w:p>
        </w:tc>
        <w:tc>
          <w:tcPr>
            <w:tcW w:w="1980" w:type="dxa"/>
            <w:gridSpan w:val="2"/>
            <w:tcBorders>
              <w:top w:val="nil"/>
              <w:left w:val="nil"/>
              <w:bottom w:val="single" w:sz="4" w:space="0" w:color="auto"/>
              <w:right w:val="nil"/>
            </w:tcBorders>
          </w:tcPr>
          <w:p w14:paraId="6EA139E5" w14:textId="77777777" w:rsidR="00600AB2" w:rsidRDefault="00600AB2" w:rsidP="00600AB2">
            <w:pPr>
              <w:widowControl w:val="0"/>
              <w:autoSpaceDE w:val="0"/>
              <w:autoSpaceDN w:val="0"/>
              <w:adjustRightInd w:val="0"/>
              <w:spacing w:line="240" w:lineRule="auto"/>
              <w:jc w:val="center"/>
            </w:pPr>
            <w:r>
              <w:t>66557.16</w:t>
            </w:r>
          </w:p>
        </w:tc>
        <w:tc>
          <w:tcPr>
            <w:tcW w:w="1980" w:type="dxa"/>
            <w:gridSpan w:val="2"/>
            <w:tcBorders>
              <w:top w:val="nil"/>
              <w:left w:val="nil"/>
              <w:bottom w:val="single" w:sz="4" w:space="0" w:color="auto"/>
              <w:right w:val="nil"/>
            </w:tcBorders>
          </w:tcPr>
          <w:p w14:paraId="3A37086B" w14:textId="77777777" w:rsidR="00600AB2" w:rsidRDefault="00600AB2" w:rsidP="00600AB2">
            <w:pPr>
              <w:widowControl w:val="0"/>
              <w:autoSpaceDE w:val="0"/>
              <w:autoSpaceDN w:val="0"/>
              <w:adjustRightInd w:val="0"/>
              <w:spacing w:line="240" w:lineRule="auto"/>
              <w:jc w:val="center"/>
            </w:pPr>
            <w:r>
              <w:t>66520.35</w:t>
            </w:r>
          </w:p>
        </w:tc>
      </w:tr>
    </w:tbl>
    <w:p w14:paraId="0A8F0DF8" w14:textId="77777777" w:rsidR="00F437F1" w:rsidRDefault="00F437F1" w:rsidP="00B9660E">
      <w:pPr>
        <w:widowControl w:val="0"/>
        <w:autoSpaceDE w:val="0"/>
        <w:autoSpaceDN w:val="0"/>
        <w:adjustRightInd w:val="0"/>
        <w:spacing w:line="240" w:lineRule="auto"/>
        <w:rPr>
          <w:sz w:val="20"/>
          <w:szCs w:val="20"/>
        </w:rPr>
      </w:pPr>
      <w:r>
        <w:rPr>
          <w:sz w:val="20"/>
          <w:szCs w:val="20"/>
        </w:rPr>
        <w:t>Standard errors in parentheses</w:t>
      </w:r>
    </w:p>
    <w:p w14:paraId="2D178CFB" w14:textId="77777777" w:rsidR="00F437F1" w:rsidRDefault="00F437F1" w:rsidP="00B9660E">
      <w:pPr>
        <w:widowControl w:val="0"/>
        <w:autoSpaceDE w:val="0"/>
        <w:autoSpaceDN w:val="0"/>
        <w:adjustRightInd w:val="0"/>
        <w:spacing w:line="240" w:lineRule="auto"/>
        <w:rPr>
          <w:sz w:val="20"/>
          <w:szCs w:val="20"/>
        </w:rPr>
      </w:pPr>
      <w:r>
        <w:rPr>
          <w:sz w:val="20"/>
          <w:szCs w:val="20"/>
        </w:rPr>
        <w:t>Source: Monitoring the Future (1976-2019)</w:t>
      </w:r>
    </w:p>
    <w:p w14:paraId="7B884143" w14:textId="77777777" w:rsidR="00F437F1" w:rsidRDefault="00F437F1" w:rsidP="00B9660E">
      <w:pPr>
        <w:widowControl w:val="0"/>
        <w:autoSpaceDE w:val="0"/>
        <w:autoSpaceDN w:val="0"/>
        <w:adjustRightInd w:val="0"/>
        <w:spacing w:line="240" w:lineRule="auto"/>
        <w:rPr>
          <w:sz w:val="20"/>
          <w:szCs w:val="20"/>
        </w:rPr>
      </w:pP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p>
    <w:p w14:paraId="353C9D81" w14:textId="77777777" w:rsidR="00F437F1" w:rsidRDefault="00F437F1" w:rsidP="006E7BBC">
      <w:pPr>
        <w:widowControl w:val="0"/>
        <w:autoSpaceDE w:val="0"/>
        <w:autoSpaceDN w:val="0"/>
        <w:adjustRightInd w:val="0"/>
      </w:pPr>
    </w:p>
    <w:p w14:paraId="3AC1C5A2" w14:textId="7BC9FE50" w:rsidR="00D02777" w:rsidRDefault="003B4EAD" w:rsidP="006E7BBC">
      <w:r>
        <w:rPr>
          <w:noProof/>
        </w:rPr>
        <w:lastRenderedPageBreak/>
        <w:drawing>
          <wp:inline distT="0" distB="0" distL="0" distR="0" wp14:anchorId="0F2E2E5D" wp14:editId="434E0F33">
            <wp:extent cx="5943600" cy="3958590"/>
            <wp:effectExtent l="0" t="0" r="0" b="381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43600" cy="3958590"/>
                    </a:xfrm>
                    <a:prstGeom prst="rect">
                      <a:avLst/>
                    </a:prstGeom>
                  </pic:spPr>
                </pic:pic>
              </a:graphicData>
            </a:graphic>
          </wp:inline>
        </w:drawing>
      </w:r>
    </w:p>
    <w:p w14:paraId="5732E769" w14:textId="233D2052" w:rsidR="001C5526" w:rsidRPr="00E96BB9" w:rsidRDefault="001C5526" w:rsidP="006E7BBC">
      <w:r>
        <w:tab/>
        <w:t xml:space="preserve">Model 1 in Table </w:t>
      </w:r>
      <w:r w:rsidR="000D010A">
        <w:t>2</w:t>
      </w:r>
      <w:r>
        <w:t xml:space="preserve"> also reveals that having a patriarchal family structure and having positive attitudes towards patriarchal norms have strong, negative relationships with the probability of using marijuana. </w:t>
      </w:r>
      <w:r w:rsidR="000D010A">
        <w:t>Specifically, y</w:t>
      </w:r>
      <w:r>
        <w:t>outh</w:t>
      </w:r>
      <w:r w:rsidR="000D010A">
        <w:t xml:space="preserve"> </w:t>
      </w:r>
      <w:r>
        <w:t xml:space="preserve">from patriarchal families have 0.16 lower log odds of trying marijuana than youth from egalitarian homes. Youth with positive attitudes towards patriarchal norms have 0.05 lower log odds of trying marijuana compared to youth with negative attitudes toward patriarchal norms. Put more simply, youth from patriarchal families have a 44.5 percent predicted probability of trying marijuana while youth from egalitarian homes have a 48.4 percent predicted probability. Youth with positive attitudes toward patriarchal norms have a 46.7 percent predicted probability of trying marijuana and youth with negative attitudes towards such norms have a 47.9 percent predicted probability. </w:t>
      </w:r>
    </w:p>
    <w:p w14:paraId="0FB3D915" w14:textId="2F422E6C" w:rsidR="00DB686C" w:rsidRDefault="001C5526" w:rsidP="00DB686C">
      <w:pPr>
        <w:ind w:firstLine="720"/>
      </w:pPr>
      <w:r>
        <w:t xml:space="preserve">Model 2 in Table </w:t>
      </w:r>
      <w:r w:rsidR="00413F7A">
        <w:t>2</w:t>
      </w:r>
      <w:r>
        <w:t xml:space="preserve"> displays the results of the interaction between gender and family structure, presented in log odds. </w:t>
      </w:r>
      <w:r w:rsidR="00C96715">
        <w:t xml:space="preserve">Here we see that young men from patriarchal families </w:t>
      </w:r>
      <w:r w:rsidR="00BF1A51">
        <w:t xml:space="preserve">have 0.01 </w:t>
      </w:r>
      <w:r w:rsidR="00BF1A51">
        <w:lastRenderedPageBreak/>
        <w:t xml:space="preserve">lower log odds of trying marijuana when compared to young men from egalitarian homes. While this does not appear to be </w:t>
      </w:r>
      <w:r w:rsidR="00413F7A">
        <w:t xml:space="preserve">statistically </w:t>
      </w:r>
      <w:r w:rsidR="00BF1A51">
        <w:t xml:space="preserve">significant, I turn to the predicted probabilities displayed in </w:t>
      </w:r>
      <w:r w:rsidR="00661DA4">
        <w:t>F</w:t>
      </w:r>
      <w:r w:rsidR="00BF1A51">
        <w:t xml:space="preserve">igure 2 to examine this relationship further. In </w:t>
      </w:r>
      <w:r w:rsidR="00661DA4">
        <w:t>Figure 2</w:t>
      </w:r>
      <w:r w:rsidR="00BF1A51">
        <w:t>, we see th</w:t>
      </w:r>
      <w:r w:rsidR="00C65A34">
        <w:t xml:space="preserve">at young men from egalitarian families have a 52.2 percent predicted probability of trying marijuana, while young men from patriarchal families have a </w:t>
      </w:r>
      <w:r w:rsidR="00370192">
        <w:t xml:space="preserve">48.2 percent predicted probability. </w:t>
      </w:r>
      <w:r w:rsidR="001453F8">
        <w:t>Testing th</w:t>
      </w:r>
      <w:r w:rsidR="00F6524F">
        <w:t xml:space="preserve">is 4 percent </w:t>
      </w:r>
      <w:r w:rsidR="00661DA4">
        <w:t xml:space="preserve">first-order </w:t>
      </w:r>
      <w:r w:rsidR="001453F8">
        <w:t xml:space="preserve">difference </w:t>
      </w:r>
      <w:r w:rsidR="00F6524F">
        <w:t>in</w:t>
      </w:r>
      <w:r w:rsidR="001453F8">
        <w:t xml:space="preserve"> predicted probabilities </w:t>
      </w:r>
      <w:r w:rsidR="00A01E3D">
        <w:t xml:space="preserve">using a </w:t>
      </w:r>
      <w:r w:rsidR="0008500E">
        <w:t xml:space="preserve">linear combination test reveals that this </w:t>
      </w:r>
      <w:r w:rsidR="00660776">
        <w:t xml:space="preserve">first-order </w:t>
      </w:r>
      <w:r w:rsidR="0008500E">
        <w:t xml:space="preserve">difference in predicted probabilities is </w:t>
      </w:r>
      <w:r w:rsidR="00413F7A">
        <w:t xml:space="preserve">statistically </w:t>
      </w:r>
      <w:r w:rsidR="0008500E">
        <w:t xml:space="preserve">significant. </w:t>
      </w:r>
      <w:r w:rsidR="007D26F0">
        <w:t>For young women, those from egalitarian families have a 45.1 percent predicted probability of trying marijuana and those from patriarchal families have a</w:t>
      </w:r>
      <w:r w:rsidR="00487223">
        <w:t xml:space="preserve"> 41.5 percent predicted probability. This </w:t>
      </w:r>
      <w:r w:rsidR="00556068">
        <w:t>3.6 percent</w:t>
      </w:r>
      <w:r w:rsidR="008A4106">
        <w:t xml:space="preserve"> first-order</w:t>
      </w:r>
      <w:r w:rsidR="00556068">
        <w:t xml:space="preserve"> difference between predicted probabilities is also </w:t>
      </w:r>
      <w:r w:rsidR="00413F7A">
        <w:t xml:space="preserve">statistically </w:t>
      </w:r>
      <w:r w:rsidR="00556068">
        <w:t xml:space="preserve">significant. </w:t>
      </w:r>
      <w:r w:rsidR="001224AD">
        <w:t>From Fig</w:t>
      </w:r>
      <w:r w:rsidR="00141B34">
        <w:t>u</w:t>
      </w:r>
      <w:r w:rsidR="001224AD">
        <w:t xml:space="preserve">re 2, we see that coming from an egalitarian family increases the </w:t>
      </w:r>
      <w:r w:rsidR="00451813">
        <w:t xml:space="preserve">predicted </w:t>
      </w:r>
      <w:r w:rsidR="00A652B6">
        <w:t>probabilities</w:t>
      </w:r>
      <w:r w:rsidR="00451813">
        <w:t xml:space="preserve"> </w:t>
      </w:r>
      <w:r w:rsidR="001224AD">
        <w:t xml:space="preserve">of marijuana use for both young men and young women. </w:t>
      </w:r>
    </w:p>
    <w:p w14:paraId="4A6CBC18" w14:textId="60C164A9" w:rsidR="00406623" w:rsidRDefault="002F7E52" w:rsidP="006E7BBC">
      <w:pPr>
        <w:ind w:firstLine="720"/>
      </w:pPr>
      <w:r>
        <w:rPr>
          <w:noProof/>
        </w:rPr>
        <w:lastRenderedPageBreak/>
        <w:drawing>
          <wp:anchor distT="0" distB="0" distL="114300" distR="114300" simplePos="0" relativeHeight="251671552" behindDoc="1" locked="0" layoutInCell="1" allowOverlap="1" wp14:anchorId="4F24C26C" wp14:editId="1BB1337B">
            <wp:simplePos x="0" y="0"/>
            <wp:positionH relativeFrom="margin">
              <wp:align>right</wp:align>
            </wp:positionH>
            <wp:positionV relativeFrom="paragraph">
              <wp:posOffset>0</wp:posOffset>
            </wp:positionV>
            <wp:extent cx="5943600" cy="3958590"/>
            <wp:effectExtent l="0" t="0" r="0" b="3810"/>
            <wp:wrapTight wrapText="bothSides">
              <wp:wrapPolygon edited="0">
                <wp:start x="0" y="0"/>
                <wp:lineTo x="0" y="21517"/>
                <wp:lineTo x="21531" y="21517"/>
                <wp:lineTo x="21531" y="0"/>
                <wp:lineTo x="0" y="0"/>
              </wp:wrapPolygon>
            </wp:wrapTight>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3958590"/>
                    </a:xfrm>
                    <a:prstGeom prst="rect">
                      <a:avLst/>
                    </a:prstGeom>
                  </pic:spPr>
                </pic:pic>
              </a:graphicData>
            </a:graphic>
          </wp:anchor>
        </w:drawing>
      </w:r>
    </w:p>
    <w:p w14:paraId="56E49B22" w14:textId="61F72132" w:rsidR="001C5526" w:rsidRDefault="003057F5" w:rsidP="006E7BBC">
      <w:pPr>
        <w:ind w:firstLine="720"/>
      </w:pPr>
      <w:r>
        <w:t xml:space="preserve">I now turn to the second-order differences </w:t>
      </w:r>
      <w:r w:rsidR="00BD30A6">
        <w:t>to</w:t>
      </w:r>
      <w:r>
        <w:t xml:space="preserve"> determine if </w:t>
      </w:r>
      <w:r>
        <w:rPr>
          <w:i/>
          <w:iCs/>
        </w:rPr>
        <w:t xml:space="preserve">Hypothesis 2 </w:t>
      </w:r>
      <w:r>
        <w:t xml:space="preserve">is supported by these findings. </w:t>
      </w:r>
      <w:r w:rsidR="008E459A">
        <w:t>Looking first at the first-order gender difference among youth from egalitarian families, I find that there is a</w:t>
      </w:r>
      <w:r w:rsidR="00BD30A6">
        <w:t xml:space="preserve"> first-order</w:t>
      </w:r>
      <w:r w:rsidR="008E459A">
        <w:t xml:space="preserve"> gender difference</w:t>
      </w:r>
      <w:r w:rsidR="00BB3C66">
        <w:t xml:space="preserve"> in predicted marijuana use</w:t>
      </w:r>
      <w:r w:rsidR="008E459A">
        <w:t xml:space="preserve"> of 7.1 percent</w:t>
      </w:r>
      <w:r w:rsidR="00BB3C66">
        <w:t xml:space="preserve">. For youth from </w:t>
      </w:r>
      <w:r w:rsidR="00E2720D">
        <w:t>patriarchal families, there is a</w:t>
      </w:r>
      <w:r w:rsidR="00BD30A6">
        <w:t xml:space="preserve"> first-order</w:t>
      </w:r>
      <w:r w:rsidR="00E2720D">
        <w:t xml:space="preserve"> gender difference of 6.7 percent. </w:t>
      </w:r>
      <w:r w:rsidR="001112CB">
        <w:t xml:space="preserve">The difference between these two gender differences </w:t>
      </w:r>
      <w:r w:rsidR="00BD30A6">
        <w:t xml:space="preserve">(the second-order difference) </w:t>
      </w:r>
      <w:r w:rsidR="001112CB">
        <w:t xml:space="preserve">is 0.4 percent and is </w:t>
      </w:r>
      <w:r w:rsidR="0092335D">
        <w:t xml:space="preserve">non-statistically significant. Thus, this finding does not support </w:t>
      </w:r>
      <w:r w:rsidR="0092335D">
        <w:rPr>
          <w:i/>
          <w:iCs/>
        </w:rPr>
        <w:t>Hypothesis 2,</w:t>
      </w:r>
      <w:r w:rsidR="0092335D">
        <w:t xml:space="preserve"> as the gender differences among youth from patriarchal families are not </w:t>
      </w:r>
      <w:r w:rsidR="008E28B4">
        <w:t>significantly</w:t>
      </w:r>
      <w:r w:rsidR="00AF03D9">
        <w:t xml:space="preserve"> larger than</w:t>
      </w:r>
      <w:r w:rsidR="008E28B4">
        <w:t xml:space="preserve"> the gender difference among youth from egalitarian families.</w:t>
      </w:r>
      <w:r w:rsidR="00BB3C66">
        <w:t xml:space="preserve"> </w:t>
      </w:r>
    </w:p>
    <w:p w14:paraId="046D7207" w14:textId="7B73BED1" w:rsidR="00D02777" w:rsidRPr="00C3670D" w:rsidRDefault="00704E94" w:rsidP="006E7BBC">
      <w:r>
        <w:tab/>
        <w:t xml:space="preserve">Model 3 in Table </w:t>
      </w:r>
      <w:r w:rsidR="00D22EE5">
        <w:t>2</w:t>
      </w:r>
      <w:r>
        <w:t xml:space="preserve"> displays the results of the interaction between gender and attitudes towards patriarchal norms. </w:t>
      </w:r>
      <w:r w:rsidR="00B124D4">
        <w:t>Here we see that men who agree with patriarchal norms have 0.24 higher log odds of trying marijuana when compared to men w</w:t>
      </w:r>
      <w:r w:rsidR="00C72C8D">
        <w:t xml:space="preserve">ho disagree with patriarchal norms. </w:t>
      </w:r>
      <w:r w:rsidR="00C72C8D">
        <w:lastRenderedPageBreak/>
        <w:t xml:space="preserve">Turning to Figure 3, we see these results presented in predicted probabilities, along with the results for young women. </w:t>
      </w:r>
      <w:r w:rsidR="00C66B60">
        <w:t>Here we see that young men who agree with patriarchal norms have a 51.6</w:t>
      </w:r>
      <w:r w:rsidR="00A51E51">
        <w:t xml:space="preserve"> percent predicted probability of trying marijuana, while young men who disagree with such norms have a predicted probability of 50.1 percent, resulting in a significant difference of </w:t>
      </w:r>
      <w:r w:rsidR="005359AE">
        <w:t xml:space="preserve">1.5 percent. Young women also see a significant difference in predicted probabilities, though </w:t>
      </w:r>
      <w:r w:rsidR="00673A02">
        <w:t xml:space="preserve">the direction is </w:t>
      </w:r>
      <w:r w:rsidR="002D3A38">
        <w:t xml:space="preserve">opposite </w:t>
      </w:r>
      <w:r w:rsidR="00CB5969">
        <w:t>from</w:t>
      </w:r>
      <w:r w:rsidR="005A46F1">
        <w:t xml:space="preserve"> what is seen for young men. Wh</w:t>
      </w:r>
      <w:r w:rsidR="00C3670D">
        <w:t xml:space="preserve">ile the predicted probabilities increase for young men when they agree with patriarchal norms, the predicted probabilities for young women significantly </w:t>
      </w:r>
      <w:r w:rsidR="00C3670D">
        <w:rPr>
          <w:i/>
          <w:iCs/>
        </w:rPr>
        <w:t>decrease</w:t>
      </w:r>
      <w:r w:rsidR="007D1979">
        <w:t xml:space="preserve"> when they agree with patriarchal norms. </w:t>
      </w:r>
      <w:r w:rsidR="002040E1">
        <w:t xml:space="preserve">Looking at the </w:t>
      </w:r>
      <w:r w:rsidR="003F7832">
        <w:t>first-order difference</w:t>
      </w:r>
      <w:r w:rsidR="003F29CE">
        <w:t xml:space="preserve"> in predicted probabilities</w:t>
      </w:r>
      <w:r w:rsidR="002040E1">
        <w:t xml:space="preserve"> for those who agree with patriarchal norms, there is a large, significant gap of </w:t>
      </w:r>
      <w:r w:rsidR="003F29CE">
        <w:t xml:space="preserve">10.4 percent. </w:t>
      </w:r>
      <w:r w:rsidR="00160EF5">
        <w:t xml:space="preserve">For those who disagree with patriarchal norms, there is </w:t>
      </w:r>
      <w:r w:rsidR="00953355">
        <w:t>also a significant</w:t>
      </w:r>
      <w:r w:rsidR="001467D8">
        <w:t xml:space="preserve"> first-order</w:t>
      </w:r>
      <w:r w:rsidR="00953355">
        <w:t xml:space="preserve"> difference of </w:t>
      </w:r>
      <w:r w:rsidR="008F396C">
        <w:t xml:space="preserve">4.6 percent. </w:t>
      </w:r>
      <w:r w:rsidR="00733D3E">
        <w:t>Furthermore,</w:t>
      </w:r>
      <w:r w:rsidR="001467D8">
        <w:t xml:space="preserve"> t</w:t>
      </w:r>
      <w:r w:rsidR="008F396C">
        <w:t xml:space="preserve">his </w:t>
      </w:r>
      <w:r w:rsidR="001653BE">
        <w:t>5.8 percent</w:t>
      </w:r>
      <w:r w:rsidR="001467D8">
        <w:t xml:space="preserve"> second-order difference</w:t>
      </w:r>
      <w:r w:rsidR="008F396C">
        <w:t xml:space="preserve"> </w:t>
      </w:r>
      <w:r w:rsidR="00DE7AE5">
        <w:t xml:space="preserve">in the gender differences seen among those who agree and disagree with patriarchal norms </w:t>
      </w:r>
      <w:r w:rsidR="008F396C">
        <w:t>is statistically significant</w:t>
      </w:r>
      <w:r w:rsidR="00517DD8">
        <w:t xml:space="preserve">. </w:t>
      </w:r>
      <w:r w:rsidR="001653BE">
        <w:t xml:space="preserve">This finding supports </w:t>
      </w:r>
      <w:r w:rsidR="001653BE" w:rsidRPr="001563C8">
        <w:rPr>
          <w:i/>
          <w:iCs/>
        </w:rPr>
        <w:t>Hypothesis 3</w:t>
      </w:r>
      <w:r w:rsidR="001653BE">
        <w:t xml:space="preserve">, which </w:t>
      </w:r>
      <w:r w:rsidR="007D7901">
        <w:t xml:space="preserve">posits that agreement with patriarchal norms will result in a larger gender gap when compared to those who disagree with such norms. </w:t>
      </w:r>
      <w:r w:rsidR="00733D3E">
        <w:t xml:space="preserve">In other words, </w:t>
      </w:r>
      <w:r w:rsidR="00327805">
        <w:t xml:space="preserve">the gender difference amongst young men and women who agree with patriarchal norms is significantly </w:t>
      </w:r>
      <w:r w:rsidR="004013BC">
        <w:t xml:space="preserve">larger when compared to the gender difference seen amongst young men and women who disagree with patriarchal norms. </w:t>
      </w:r>
    </w:p>
    <w:p w14:paraId="1C07937A" w14:textId="6A31D4C3" w:rsidR="00D02777" w:rsidRDefault="00B35617" w:rsidP="006E7BBC">
      <w:r>
        <w:rPr>
          <w:noProof/>
        </w:rPr>
        <w:lastRenderedPageBreak/>
        <w:drawing>
          <wp:anchor distT="0" distB="0" distL="114300" distR="114300" simplePos="0" relativeHeight="251659264" behindDoc="0" locked="0" layoutInCell="1" allowOverlap="1" wp14:anchorId="14BC2A63" wp14:editId="0DDB629B">
            <wp:simplePos x="0" y="0"/>
            <wp:positionH relativeFrom="margin">
              <wp:align>right</wp:align>
            </wp:positionH>
            <wp:positionV relativeFrom="paragraph">
              <wp:posOffset>0</wp:posOffset>
            </wp:positionV>
            <wp:extent cx="5934710" cy="3956050"/>
            <wp:effectExtent l="0" t="0" r="8890" b="6350"/>
            <wp:wrapTopAndBottom/>
            <wp:docPr id="14" name="Picture 1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ar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34710" cy="3956050"/>
                    </a:xfrm>
                    <a:prstGeom prst="rect">
                      <a:avLst/>
                    </a:prstGeom>
                  </pic:spPr>
                </pic:pic>
              </a:graphicData>
            </a:graphic>
            <wp14:sizeRelH relativeFrom="margin">
              <wp14:pctWidth>0</wp14:pctWidth>
            </wp14:sizeRelH>
            <wp14:sizeRelV relativeFrom="margin">
              <wp14:pctHeight>0</wp14:pctHeight>
            </wp14:sizeRelV>
          </wp:anchor>
        </w:drawing>
      </w:r>
    </w:p>
    <w:p w14:paraId="6537B962" w14:textId="36A803DD" w:rsidR="001709E6" w:rsidRDefault="001709E6" w:rsidP="00EF36D7">
      <w:pPr>
        <w:pStyle w:val="Heading2"/>
      </w:pPr>
      <w:bookmarkStart w:id="24" w:name="_Toc102664118"/>
      <w:r>
        <w:t>Cocaine</w:t>
      </w:r>
      <w:bookmarkEnd w:id="24"/>
    </w:p>
    <w:p w14:paraId="3FBA7DE7" w14:textId="457F18CC" w:rsidR="00C842A5" w:rsidRPr="00677659" w:rsidRDefault="00677659" w:rsidP="006E7BBC">
      <w:r>
        <w:tab/>
        <w:t xml:space="preserve">Table </w:t>
      </w:r>
      <w:r w:rsidR="00E5320D">
        <w:t>3</w:t>
      </w:r>
      <w:r>
        <w:t xml:space="preserve"> displays the results of all three models for the </w:t>
      </w:r>
      <w:r w:rsidR="00B700A7">
        <w:t xml:space="preserve">subgroup </w:t>
      </w:r>
      <w:r w:rsidR="00F24DA9">
        <w:t>containing observations focused on cocaine use</w:t>
      </w:r>
      <w:r w:rsidR="00000A44">
        <w:t>, presented in log odds</w:t>
      </w:r>
      <w:r w:rsidR="00F24DA9">
        <w:t xml:space="preserve">. Looking at </w:t>
      </w:r>
      <w:r w:rsidR="00000A44">
        <w:t>M</w:t>
      </w:r>
      <w:r w:rsidR="00F24DA9">
        <w:t>odel 1, we see that</w:t>
      </w:r>
      <w:r w:rsidR="00EF5AD2">
        <w:t xml:space="preserve"> there is a strong, positive relationship between gender and trying cocaine, in that young men have 0.38 higher log odds of trying cocaine when compared to young women. This relationship is also displayed in Figure 4 below</w:t>
      </w:r>
      <w:r w:rsidR="00000A44">
        <w:t>, presented in predicted probabilities</w:t>
      </w:r>
      <w:r w:rsidR="00EF5AD2">
        <w:t>.</w:t>
      </w:r>
      <w:r w:rsidR="00001AE0">
        <w:t xml:space="preserve"> From Figure 4, we see that young men have a 10.5 percent predicted probability of trying cocaine, while young women have a 7.4 percent predicted probability, holding other factors constant. This supports </w:t>
      </w:r>
      <w:r w:rsidR="00001AE0" w:rsidRPr="001563C8">
        <w:rPr>
          <w:i/>
          <w:iCs/>
        </w:rPr>
        <w:t>Hypothesis 1a</w:t>
      </w:r>
      <w:r w:rsidR="00001AE0">
        <w:t xml:space="preserve">, which asserts that young men will be significantly more likely to try cocaine than young women. Model 1 in Table </w:t>
      </w:r>
      <w:r w:rsidR="00E5320D">
        <w:t>3</w:t>
      </w:r>
      <w:r w:rsidR="00001AE0">
        <w:t xml:space="preserve"> also reveals that youth from patriarchal families have significantly lower log odds of </w:t>
      </w:r>
      <w:r w:rsidR="00001AE0">
        <w:lastRenderedPageBreak/>
        <w:t xml:space="preserve">using cocaine, with youth from patriarchal families having an 8.1 percent predicted probability of using cocaine and youth from egalitarian families having a 9.1 percent predicted probability. </w:t>
      </w:r>
    </w:p>
    <w:p w14:paraId="2310280A" w14:textId="17309CDE" w:rsidR="00C842A5" w:rsidRPr="001563C8" w:rsidRDefault="00C842A5" w:rsidP="006E7BBC">
      <w:pPr>
        <w:keepNext/>
        <w:widowControl w:val="0"/>
        <w:autoSpaceDE w:val="0"/>
        <w:autoSpaceDN w:val="0"/>
        <w:adjustRightInd w:val="0"/>
        <w:spacing w:line="240" w:lineRule="auto"/>
        <w:rPr>
          <w:b/>
          <w:bCs/>
        </w:rPr>
      </w:pPr>
      <w:r w:rsidRPr="001563C8">
        <w:rPr>
          <w:b/>
          <w:bCs/>
        </w:rPr>
        <w:t xml:space="preserve">Table </w:t>
      </w:r>
      <w:r w:rsidR="00E5320D">
        <w:rPr>
          <w:b/>
          <w:bCs/>
        </w:rPr>
        <w:t>3</w:t>
      </w:r>
      <w:r w:rsidRPr="001563C8">
        <w:rPr>
          <w:b/>
          <w:bCs/>
        </w:rPr>
        <w:t>. Ordinal Logistic Regression of Lifetime Cocaine use on Independent Variables</w:t>
      </w:r>
    </w:p>
    <w:tbl>
      <w:tblPr>
        <w:tblW w:w="0" w:type="auto"/>
        <w:tblLayout w:type="fixed"/>
        <w:tblLook w:val="0000" w:firstRow="0" w:lastRow="0" w:firstColumn="0" w:lastColumn="0" w:noHBand="0" w:noVBand="0"/>
      </w:tblPr>
      <w:tblGrid>
        <w:gridCol w:w="3078"/>
        <w:gridCol w:w="1080"/>
        <w:gridCol w:w="720"/>
        <w:gridCol w:w="1080"/>
        <w:gridCol w:w="720"/>
        <w:gridCol w:w="1170"/>
        <w:gridCol w:w="810"/>
      </w:tblGrid>
      <w:tr w:rsidR="00C842A5" w14:paraId="2DE9925E" w14:textId="77777777" w:rsidTr="00484854">
        <w:tc>
          <w:tcPr>
            <w:tcW w:w="3078" w:type="dxa"/>
            <w:tcBorders>
              <w:top w:val="single" w:sz="4" w:space="0" w:color="auto"/>
              <w:left w:val="nil"/>
              <w:bottom w:val="nil"/>
              <w:right w:val="nil"/>
            </w:tcBorders>
          </w:tcPr>
          <w:p w14:paraId="3DDCCB85" w14:textId="77777777" w:rsidR="00C842A5" w:rsidRDefault="00C842A5" w:rsidP="006E7BBC">
            <w:pPr>
              <w:widowControl w:val="0"/>
              <w:autoSpaceDE w:val="0"/>
              <w:autoSpaceDN w:val="0"/>
              <w:adjustRightInd w:val="0"/>
              <w:spacing w:line="240" w:lineRule="auto"/>
            </w:pPr>
          </w:p>
        </w:tc>
        <w:tc>
          <w:tcPr>
            <w:tcW w:w="1800" w:type="dxa"/>
            <w:gridSpan w:val="2"/>
            <w:tcBorders>
              <w:top w:val="single" w:sz="4" w:space="0" w:color="auto"/>
              <w:left w:val="nil"/>
              <w:bottom w:val="nil"/>
              <w:right w:val="nil"/>
            </w:tcBorders>
          </w:tcPr>
          <w:p w14:paraId="5A787685" w14:textId="77777777" w:rsidR="00C842A5" w:rsidRDefault="00C842A5" w:rsidP="006E7BBC">
            <w:pPr>
              <w:widowControl w:val="0"/>
              <w:autoSpaceDE w:val="0"/>
              <w:autoSpaceDN w:val="0"/>
              <w:adjustRightInd w:val="0"/>
              <w:spacing w:line="240" w:lineRule="auto"/>
              <w:jc w:val="center"/>
            </w:pPr>
            <w:r>
              <w:t>Model 1</w:t>
            </w:r>
          </w:p>
        </w:tc>
        <w:tc>
          <w:tcPr>
            <w:tcW w:w="1800" w:type="dxa"/>
            <w:gridSpan w:val="2"/>
            <w:tcBorders>
              <w:top w:val="single" w:sz="4" w:space="0" w:color="auto"/>
              <w:left w:val="nil"/>
              <w:bottom w:val="nil"/>
              <w:right w:val="nil"/>
            </w:tcBorders>
          </w:tcPr>
          <w:p w14:paraId="5A67B7EA" w14:textId="77777777" w:rsidR="00C842A5" w:rsidRDefault="00C842A5" w:rsidP="006E7BBC">
            <w:pPr>
              <w:widowControl w:val="0"/>
              <w:autoSpaceDE w:val="0"/>
              <w:autoSpaceDN w:val="0"/>
              <w:adjustRightInd w:val="0"/>
              <w:spacing w:line="240" w:lineRule="auto"/>
              <w:jc w:val="center"/>
            </w:pPr>
            <w:r>
              <w:t>Model 2</w:t>
            </w:r>
          </w:p>
        </w:tc>
        <w:tc>
          <w:tcPr>
            <w:tcW w:w="1980" w:type="dxa"/>
            <w:gridSpan w:val="2"/>
            <w:tcBorders>
              <w:top w:val="single" w:sz="4" w:space="0" w:color="auto"/>
              <w:left w:val="nil"/>
              <w:bottom w:val="nil"/>
              <w:right w:val="nil"/>
            </w:tcBorders>
          </w:tcPr>
          <w:p w14:paraId="58075F8D" w14:textId="77777777" w:rsidR="00C842A5" w:rsidRDefault="00C842A5" w:rsidP="006E7BBC">
            <w:pPr>
              <w:widowControl w:val="0"/>
              <w:autoSpaceDE w:val="0"/>
              <w:autoSpaceDN w:val="0"/>
              <w:adjustRightInd w:val="0"/>
              <w:spacing w:line="240" w:lineRule="auto"/>
              <w:jc w:val="center"/>
            </w:pPr>
            <w:r>
              <w:t>Model 3</w:t>
            </w:r>
          </w:p>
        </w:tc>
      </w:tr>
      <w:tr w:rsidR="00C5624E" w14:paraId="5E27CFB2" w14:textId="77777777" w:rsidTr="00484854">
        <w:tc>
          <w:tcPr>
            <w:tcW w:w="3078" w:type="dxa"/>
            <w:tcBorders>
              <w:top w:val="single" w:sz="4" w:space="0" w:color="auto"/>
              <w:left w:val="nil"/>
              <w:bottom w:val="nil"/>
              <w:right w:val="nil"/>
            </w:tcBorders>
          </w:tcPr>
          <w:p w14:paraId="74A0FA6F" w14:textId="77777777" w:rsidR="00C5624E" w:rsidRDefault="00C5624E" w:rsidP="00C5624E">
            <w:pPr>
              <w:widowControl w:val="0"/>
              <w:autoSpaceDE w:val="0"/>
              <w:autoSpaceDN w:val="0"/>
              <w:adjustRightInd w:val="0"/>
              <w:spacing w:line="240" w:lineRule="auto"/>
            </w:pPr>
          </w:p>
        </w:tc>
        <w:tc>
          <w:tcPr>
            <w:tcW w:w="1080" w:type="dxa"/>
            <w:tcBorders>
              <w:top w:val="single" w:sz="4" w:space="0" w:color="auto"/>
              <w:left w:val="nil"/>
              <w:bottom w:val="nil"/>
              <w:right w:val="nil"/>
            </w:tcBorders>
          </w:tcPr>
          <w:p w14:paraId="5EB46FCE" w14:textId="3D4E13E1" w:rsidR="00C5624E" w:rsidRDefault="00C5624E" w:rsidP="00C5624E">
            <w:pPr>
              <w:widowControl w:val="0"/>
              <w:autoSpaceDE w:val="0"/>
              <w:autoSpaceDN w:val="0"/>
              <w:adjustRightInd w:val="0"/>
              <w:spacing w:line="240" w:lineRule="auto"/>
              <w:jc w:val="center"/>
            </w:pPr>
            <w:r w:rsidRPr="00915136">
              <w:rPr>
                <w:i/>
                <w:iCs/>
              </w:rPr>
              <w:t>β</w:t>
            </w:r>
          </w:p>
        </w:tc>
        <w:tc>
          <w:tcPr>
            <w:tcW w:w="720" w:type="dxa"/>
            <w:tcBorders>
              <w:top w:val="single" w:sz="4" w:space="0" w:color="auto"/>
              <w:left w:val="nil"/>
              <w:bottom w:val="nil"/>
              <w:right w:val="nil"/>
            </w:tcBorders>
          </w:tcPr>
          <w:p w14:paraId="4B3218DD" w14:textId="775D6E75" w:rsidR="00C5624E" w:rsidRDefault="00C5624E" w:rsidP="00C5624E">
            <w:pPr>
              <w:widowControl w:val="0"/>
              <w:autoSpaceDE w:val="0"/>
              <w:autoSpaceDN w:val="0"/>
              <w:adjustRightInd w:val="0"/>
              <w:spacing w:line="240" w:lineRule="auto"/>
              <w:jc w:val="center"/>
            </w:pPr>
            <w:r w:rsidRPr="00915136">
              <w:rPr>
                <w:i/>
                <w:iCs/>
              </w:rPr>
              <w:t>SE</w:t>
            </w:r>
          </w:p>
        </w:tc>
        <w:tc>
          <w:tcPr>
            <w:tcW w:w="1080" w:type="dxa"/>
            <w:tcBorders>
              <w:top w:val="single" w:sz="4" w:space="0" w:color="auto"/>
              <w:left w:val="nil"/>
              <w:bottom w:val="nil"/>
              <w:right w:val="nil"/>
            </w:tcBorders>
          </w:tcPr>
          <w:p w14:paraId="5BF0A6C2" w14:textId="012E9F00" w:rsidR="00C5624E" w:rsidRDefault="00C5624E" w:rsidP="00C5624E">
            <w:pPr>
              <w:widowControl w:val="0"/>
              <w:autoSpaceDE w:val="0"/>
              <w:autoSpaceDN w:val="0"/>
              <w:adjustRightInd w:val="0"/>
              <w:spacing w:line="240" w:lineRule="auto"/>
              <w:jc w:val="center"/>
            </w:pPr>
            <w:r w:rsidRPr="00915136">
              <w:rPr>
                <w:i/>
                <w:iCs/>
              </w:rPr>
              <w:t>β</w:t>
            </w:r>
          </w:p>
        </w:tc>
        <w:tc>
          <w:tcPr>
            <w:tcW w:w="720" w:type="dxa"/>
            <w:tcBorders>
              <w:top w:val="single" w:sz="4" w:space="0" w:color="auto"/>
              <w:left w:val="nil"/>
              <w:bottom w:val="nil"/>
              <w:right w:val="nil"/>
            </w:tcBorders>
          </w:tcPr>
          <w:p w14:paraId="3A3A3D77" w14:textId="74966EE8" w:rsidR="00C5624E" w:rsidRDefault="00C5624E" w:rsidP="00C5624E">
            <w:pPr>
              <w:widowControl w:val="0"/>
              <w:autoSpaceDE w:val="0"/>
              <w:autoSpaceDN w:val="0"/>
              <w:adjustRightInd w:val="0"/>
              <w:spacing w:line="240" w:lineRule="auto"/>
              <w:jc w:val="center"/>
            </w:pPr>
            <w:r w:rsidRPr="00915136">
              <w:rPr>
                <w:i/>
                <w:iCs/>
              </w:rPr>
              <w:t>SE</w:t>
            </w:r>
          </w:p>
        </w:tc>
        <w:tc>
          <w:tcPr>
            <w:tcW w:w="1170" w:type="dxa"/>
            <w:tcBorders>
              <w:top w:val="single" w:sz="4" w:space="0" w:color="auto"/>
              <w:left w:val="nil"/>
              <w:bottom w:val="nil"/>
              <w:right w:val="nil"/>
            </w:tcBorders>
          </w:tcPr>
          <w:p w14:paraId="6754C1AA" w14:textId="3822BE2F" w:rsidR="00C5624E" w:rsidRDefault="00C5624E" w:rsidP="00C5624E">
            <w:pPr>
              <w:widowControl w:val="0"/>
              <w:autoSpaceDE w:val="0"/>
              <w:autoSpaceDN w:val="0"/>
              <w:adjustRightInd w:val="0"/>
              <w:spacing w:line="240" w:lineRule="auto"/>
              <w:jc w:val="center"/>
            </w:pPr>
            <w:r w:rsidRPr="00915136">
              <w:rPr>
                <w:i/>
                <w:iCs/>
              </w:rPr>
              <w:t>β</w:t>
            </w:r>
          </w:p>
        </w:tc>
        <w:tc>
          <w:tcPr>
            <w:tcW w:w="810" w:type="dxa"/>
            <w:tcBorders>
              <w:top w:val="single" w:sz="4" w:space="0" w:color="auto"/>
              <w:left w:val="nil"/>
              <w:bottom w:val="nil"/>
              <w:right w:val="nil"/>
            </w:tcBorders>
          </w:tcPr>
          <w:p w14:paraId="399682E1" w14:textId="27E6D38A" w:rsidR="00C5624E" w:rsidRDefault="00C5624E" w:rsidP="00C5624E">
            <w:pPr>
              <w:widowControl w:val="0"/>
              <w:autoSpaceDE w:val="0"/>
              <w:autoSpaceDN w:val="0"/>
              <w:adjustRightInd w:val="0"/>
              <w:spacing w:line="240" w:lineRule="auto"/>
              <w:jc w:val="center"/>
            </w:pPr>
            <w:r w:rsidRPr="00915136">
              <w:rPr>
                <w:i/>
                <w:iCs/>
              </w:rPr>
              <w:t>SE</w:t>
            </w:r>
          </w:p>
        </w:tc>
      </w:tr>
      <w:tr w:rsidR="00C5624E" w14:paraId="27400B63" w14:textId="77777777" w:rsidTr="00484854">
        <w:tc>
          <w:tcPr>
            <w:tcW w:w="3078" w:type="dxa"/>
            <w:tcBorders>
              <w:top w:val="nil"/>
              <w:left w:val="nil"/>
              <w:bottom w:val="nil"/>
              <w:right w:val="nil"/>
            </w:tcBorders>
          </w:tcPr>
          <w:p w14:paraId="3857D753" w14:textId="77777777" w:rsidR="00C5624E" w:rsidRPr="004F5B81" w:rsidRDefault="00C5624E" w:rsidP="00C5624E">
            <w:pPr>
              <w:widowControl w:val="0"/>
              <w:autoSpaceDE w:val="0"/>
              <w:autoSpaceDN w:val="0"/>
              <w:adjustRightInd w:val="0"/>
              <w:spacing w:line="240" w:lineRule="auto"/>
            </w:pPr>
            <w:r>
              <w:rPr>
                <w:b/>
                <w:bCs/>
                <w:u w:val="single"/>
              </w:rPr>
              <w:t>Main Effects</w:t>
            </w:r>
          </w:p>
        </w:tc>
        <w:tc>
          <w:tcPr>
            <w:tcW w:w="1080" w:type="dxa"/>
            <w:tcBorders>
              <w:top w:val="nil"/>
              <w:left w:val="nil"/>
              <w:bottom w:val="nil"/>
              <w:right w:val="nil"/>
            </w:tcBorders>
          </w:tcPr>
          <w:p w14:paraId="1CEC6811" w14:textId="77777777" w:rsidR="00C5624E" w:rsidRDefault="00C5624E" w:rsidP="00C5624E">
            <w:pPr>
              <w:widowControl w:val="0"/>
              <w:autoSpaceDE w:val="0"/>
              <w:autoSpaceDN w:val="0"/>
              <w:adjustRightInd w:val="0"/>
              <w:spacing w:line="240" w:lineRule="auto"/>
              <w:jc w:val="center"/>
            </w:pPr>
          </w:p>
        </w:tc>
        <w:tc>
          <w:tcPr>
            <w:tcW w:w="720" w:type="dxa"/>
            <w:tcBorders>
              <w:top w:val="nil"/>
              <w:left w:val="nil"/>
              <w:bottom w:val="nil"/>
              <w:right w:val="nil"/>
            </w:tcBorders>
          </w:tcPr>
          <w:p w14:paraId="346110A5"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0AC853D3" w14:textId="77777777" w:rsidR="00C5624E" w:rsidRDefault="00C5624E" w:rsidP="00C5624E">
            <w:pPr>
              <w:widowControl w:val="0"/>
              <w:autoSpaceDE w:val="0"/>
              <w:autoSpaceDN w:val="0"/>
              <w:adjustRightInd w:val="0"/>
              <w:spacing w:line="240" w:lineRule="auto"/>
              <w:jc w:val="center"/>
            </w:pPr>
          </w:p>
        </w:tc>
        <w:tc>
          <w:tcPr>
            <w:tcW w:w="720" w:type="dxa"/>
            <w:tcBorders>
              <w:top w:val="nil"/>
              <w:left w:val="nil"/>
              <w:bottom w:val="nil"/>
              <w:right w:val="nil"/>
            </w:tcBorders>
          </w:tcPr>
          <w:p w14:paraId="42447CE0" w14:textId="77777777" w:rsidR="00C5624E" w:rsidRDefault="00C5624E" w:rsidP="00C5624E">
            <w:pPr>
              <w:widowControl w:val="0"/>
              <w:autoSpaceDE w:val="0"/>
              <w:autoSpaceDN w:val="0"/>
              <w:adjustRightInd w:val="0"/>
              <w:spacing w:line="240" w:lineRule="auto"/>
              <w:jc w:val="center"/>
            </w:pPr>
          </w:p>
        </w:tc>
        <w:tc>
          <w:tcPr>
            <w:tcW w:w="1170" w:type="dxa"/>
            <w:tcBorders>
              <w:top w:val="nil"/>
              <w:left w:val="nil"/>
              <w:bottom w:val="nil"/>
              <w:right w:val="nil"/>
            </w:tcBorders>
          </w:tcPr>
          <w:p w14:paraId="58777231" w14:textId="77777777" w:rsidR="00C5624E" w:rsidRDefault="00C5624E" w:rsidP="00C5624E">
            <w:pPr>
              <w:widowControl w:val="0"/>
              <w:autoSpaceDE w:val="0"/>
              <w:autoSpaceDN w:val="0"/>
              <w:adjustRightInd w:val="0"/>
              <w:spacing w:line="240" w:lineRule="auto"/>
              <w:jc w:val="center"/>
            </w:pPr>
          </w:p>
        </w:tc>
        <w:tc>
          <w:tcPr>
            <w:tcW w:w="810" w:type="dxa"/>
            <w:tcBorders>
              <w:top w:val="nil"/>
              <w:left w:val="nil"/>
              <w:bottom w:val="nil"/>
              <w:right w:val="nil"/>
            </w:tcBorders>
          </w:tcPr>
          <w:p w14:paraId="7964B350" w14:textId="77777777" w:rsidR="00C5624E" w:rsidRDefault="00C5624E" w:rsidP="00C5624E">
            <w:pPr>
              <w:widowControl w:val="0"/>
              <w:autoSpaceDE w:val="0"/>
              <w:autoSpaceDN w:val="0"/>
              <w:adjustRightInd w:val="0"/>
              <w:spacing w:line="240" w:lineRule="auto"/>
              <w:jc w:val="center"/>
            </w:pPr>
          </w:p>
        </w:tc>
      </w:tr>
      <w:tr w:rsidR="00C5624E" w14:paraId="6769DDB8" w14:textId="77777777" w:rsidTr="00484854">
        <w:tc>
          <w:tcPr>
            <w:tcW w:w="3078" w:type="dxa"/>
            <w:tcBorders>
              <w:top w:val="nil"/>
              <w:left w:val="nil"/>
              <w:bottom w:val="nil"/>
              <w:right w:val="nil"/>
            </w:tcBorders>
          </w:tcPr>
          <w:p w14:paraId="5F018A3D" w14:textId="3F0FC08A" w:rsidR="00C5624E" w:rsidRDefault="00C5624E" w:rsidP="00C5624E">
            <w:pPr>
              <w:widowControl w:val="0"/>
              <w:autoSpaceDE w:val="0"/>
              <w:autoSpaceDN w:val="0"/>
              <w:adjustRightInd w:val="0"/>
              <w:spacing w:line="240" w:lineRule="auto"/>
            </w:pPr>
            <w:r>
              <w:t>Men</w:t>
            </w:r>
          </w:p>
        </w:tc>
        <w:tc>
          <w:tcPr>
            <w:tcW w:w="1080" w:type="dxa"/>
            <w:tcBorders>
              <w:top w:val="nil"/>
              <w:left w:val="nil"/>
              <w:bottom w:val="nil"/>
              <w:right w:val="nil"/>
            </w:tcBorders>
          </w:tcPr>
          <w:p w14:paraId="5921259E" w14:textId="5A5A3876" w:rsidR="00C5624E" w:rsidRDefault="00C5624E" w:rsidP="00C5624E">
            <w:pPr>
              <w:widowControl w:val="0"/>
              <w:tabs>
                <w:tab w:val="decimal" w:pos="249"/>
              </w:tabs>
              <w:autoSpaceDE w:val="0"/>
              <w:autoSpaceDN w:val="0"/>
              <w:adjustRightInd w:val="0"/>
              <w:spacing w:line="240" w:lineRule="auto"/>
            </w:pPr>
            <w:r>
              <w:t>0.38</w:t>
            </w:r>
            <w:r>
              <w:rPr>
                <w:vertAlign w:val="superscript"/>
              </w:rPr>
              <w:t>***</w:t>
            </w:r>
          </w:p>
        </w:tc>
        <w:tc>
          <w:tcPr>
            <w:tcW w:w="720" w:type="dxa"/>
            <w:tcBorders>
              <w:top w:val="nil"/>
              <w:left w:val="nil"/>
              <w:bottom w:val="nil"/>
              <w:right w:val="nil"/>
            </w:tcBorders>
          </w:tcPr>
          <w:p w14:paraId="67AD07F8" w14:textId="77777777" w:rsidR="00C5624E" w:rsidRDefault="00C5624E" w:rsidP="00C5624E">
            <w:pPr>
              <w:widowControl w:val="0"/>
              <w:autoSpaceDE w:val="0"/>
              <w:autoSpaceDN w:val="0"/>
              <w:adjustRightInd w:val="0"/>
              <w:spacing w:line="240" w:lineRule="auto"/>
            </w:pPr>
            <w:r>
              <w:t>(.03)</w:t>
            </w:r>
          </w:p>
        </w:tc>
        <w:tc>
          <w:tcPr>
            <w:tcW w:w="1080" w:type="dxa"/>
            <w:tcBorders>
              <w:top w:val="nil"/>
              <w:left w:val="nil"/>
              <w:bottom w:val="nil"/>
              <w:right w:val="nil"/>
            </w:tcBorders>
          </w:tcPr>
          <w:p w14:paraId="7417B2AC" w14:textId="3CF4D451" w:rsidR="00C5624E" w:rsidRDefault="00C5624E" w:rsidP="00C5624E">
            <w:pPr>
              <w:widowControl w:val="0"/>
              <w:tabs>
                <w:tab w:val="decimal" w:pos="246"/>
              </w:tabs>
              <w:autoSpaceDE w:val="0"/>
              <w:autoSpaceDN w:val="0"/>
              <w:adjustRightInd w:val="0"/>
              <w:spacing w:line="240" w:lineRule="auto"/>
            </w:pPr>
            <w:r>
              <w:t>0.36</w:t>
            </w:r>
            <w:r>
              <w:rPr>
                <w:vertAlign w:val="superscript"/>
              </w:rPr>
              <w:t>***</w:t>
            </w:r>
          </w:p>
        </w:tc>
        <w:tc>
          <w:tcPr>
            <w:tcW w:w="720" w:type="dxa"/>
            <w:tcBorders>
              <w:top w:val="nil"/>
              <w:left w:val="nil"/>
              <w:bottom w:val="nil"/>
              <w:right w:val="nil"/>
            </w:tcBorders>
          </w:tcPr>
          <w:p w14:paraId="4C2E5ACF" w14:textId="73012DA8" w:rsidR="00C5624E" w:rsidRDefault="00C5624E" w:rsidP="00C5624E">
            <w:pPr>
              <w:widowControl w:val="0"/>
              <w:autoSpaceDE w:val="0"/>
              <w:autoSpaceDN w:val="0"/>
              <w:adjustRightInd w:val="0"/>
              <w:spacing w:line="240" w:lineRule="auto"/>
            </w:pPr>
            <w:r>
              <w:t>(.04)</w:t>
            </w:r>
          </w:p>
        </w:tc>
        <w:tc>
          <w:tcPr>
            <w:tcW w:w="1170" w:type="dxa"/>
            <w:tcBorders>
              <w:top w:val="nil"/>
              <w:left w:val="nil"/>
              <w:bottom w:val="nil"/>
              <w:right w:val="nil"/>
            </w:tcBorders>
          </w:tcPr>
          <w:p w14:paraId="295E8773" w14:textId="7142D4F7" w:rsidR="00C5624E" w:rsidRDefault="00C5624E" w:rsidP="00C5624E">
            <w:pPr>
              <w:widowControl w:val="0"/>
              <w:tabs>
                <w:tab w:val="decimal" w:pos="346"/>
              </w:tabs>
              <w:autoSpaceDE w:val="0"/>
              <w:autoSpaceDN w:val="0"/>
              <w:adjustRightInd w:val="0"/>
              <w:spacing w:line="240" w:lineRule="auto"/>
            </w:pPr>
            <w:r>
              <w:t>0.29</w:t>
            </w:r>
            <w:r>
              <w:rPr>
                <w:vertAlign w:val="superscript"/>
              </w:rPr>
              <w:t>***</w:t>
            </w:r>
          </w:p>
        </w:tc>
        <w:tc>
          <w:tcPr>
            <w:tcW w:w="810" w:type="dxa"/>
            <w:tcBorders>
              <w:top w:val="nil"/>
              <w:left w:val="nil"/>
              <w:bottom w:val="nil"/>
              <w:right w:val="nil"/>
            </w:tcBorders>
          </w:tcPr>
          <w:p w14:paraId="2A7F0EDC" w14:textId="77777777" w:rsidR="00C5624E" w:rsidRDefault="00C5624E" w:rsidP="00C5624E">
            <w:pPr>
              <w:widowControl w:val="0"/>
              <w:autoSpaceDE w:val="0"/>
              <w:autoSpaceDN w:val="0"/>
              <w:adjustRightInd w:val="0"/>
              <w:spacing w:line="240" w:lineRule="auto"/>
            </w:pPr>
            <w:r>
              <w:t>(.04)</w:t>
            </w:r>
          </w:p>
        </w:tc>
      </w:tr>
      <w:tr w:rsidR="00C5624E" w14:paraId="425CC527" w14:textId="77777777" w:rsidTr="00484854">
        <w:tc>
          <w:tcPr>
            <w:tcW w:w="3078" w:type="dxa"/>
            <w:tcBorders>
              <w:top w:val="nil"/>
              <w:left w:val="nil"/>
              <w:bottom w:val="nil"/>
              <w:right w:val="nil"/>
            </w:tcBorders>
          </w:tcPr>
          <w:p w14:paraId="636BC6D7" w14:textId="2EB7AAB6" w:rsidR="00C5624E" w:rsidRDefault="00C5624E" w:rsidP="00C5624E">
            <w:pPr>
              <w:widowControl w:val="0"/>
              <w:autoSpaceDE w:val="0"/>
              <w:autoSpaceDN w:val="0"/>
              <w:adjustRightInd w:val="0"/>
              <w:spacing w:line="240" w:lineRule="auto"/>
            </w:pPr>
            <w:r>
              <w:t>Patriarchal Family</w:t>
            </w:r>
          </w:p>
        </w:tc>
        <w:tc>
          <w:tcPr>
            <w:tcW w:w="1080" w:type="dxa"/>
            <w:tcBorders>
              <w:top w:val="nil"/>
              <w:left w:val="nil"/>
              <w:bottom w:val="nil"/>
              <w:right w:val="nil"/>
            </w:tcBorders>
          </w:tcPr>
          <w:p w14:paraId="38B80EA2" w14:textId="571CD837" w:rsidR="00C5624E" w:rsidRDefault="00C5624E" w:rsidP="00C5624E">
            <w:pPr>
              <w:widowControl w:val="0"/>
              <w:tabs>
                <w:tab w:val="decimal" w:pos="249"/>
              </w:tabs>
              <w:autoSpaceDE w:val="0"/>
              <w:autoSpaceDN w:val="0"/>
              <w:adjustRightInd w:val="0"/>
              <w:spacing w:line="240" w:lineRule="auto"/>
            </w:pPr>
            <w:r>
              <w:t>-0.14</w:t>
            </w:r>
            <w:r>
              <w:rPr>
                <w:vertAlign w:val="superscript"/>
              </w:rPr>
              <w:t>***</w:t>
            </w:r>
          </w:p>
        </w:tc>
        <w:tc>
          <w:tcPr>
            <w:tcW w:w="720" w:type="dxa"/>
            <w:tcBorders>
              <w:top w:val="nil"/>
              <w:left w:val="nil"/>
              <w:bottom w:val="nil"/>
              <w:right w:val="nil"/>
            </w:tcBorders>
          </w:tcPr>
          <w:p w14:paraId="08161F3E" w14:textId="77777777" w:rsidR="00C5624E" w:rsidRDefault="00C5624E" w:rsidP="00C5624E">
            <w:pPr>
              <w:widowControl w:val="0"/>
              <w:autoSpaceDE w:val="0"/>
              <w:autoSpaceDN w:val="0"/>
              <w:adjustRightInd w:val="0"/>
              <w:spacing w:line="240" w:lineRule="auto"/>
            </w:pPr>
            <w:r>
              <w:t>(.04)</w:t>
            </w:r>
          </w:p>
        </w:tc>
        <w:tc>
          <w:tcPr>
            <w:tcW w:w="1080" w:type="dxa"/>
            <w:tcBorders>
              <w:top w:val="nil"/>
              <w:left w:val="nil"/>
              <w:bottom w:val="nil"/>
              <w:right w:val="nil"/>
            </w:tcBorders>
          </w:tcPr>
          <w:p w14:paraId="53B93E73" w14:textId="4CF5A404" w:rsidR="00C5624E" w:rsidRDefault="00C5624E" w:rsidP="00C5624E">
            <w:pPr>
              <w:widowControl w:val="0"/>
              <w:tabs>
                <w:tab w:val="decimal" w:pos="246"/>
              </w:tabs>
              <w:autoSpaceDE w:val="0"/>
              <w:autoSpaceDN w:val="0"/>
              <w:adjustRightInd w:val="0"/>
              <w:spacing w:line="240" w:lineRule="auto"/>
            </w:pPr>
            <w:r>
              <w:t>-0.19</w:t>
            </w:r>
            <w:r>
              <w:rPr>
                <w:vertAlign w:val="superscript"/>
              </w:rPr>
              <w:t>***</w:t>
            </w:r>
          </w:p>
        </w:tc>
        <w:tc>
          <w:tcPr>
            <w:tcW w:w="720" w:type="dxa"/>
            <w:tcBorders>
              <w:top w:val="nil"/>
              <w:left w:val="nil"/>
              <w:bottom w:val="nil"/>
              <w:right w:val="nil"/>
            </w:tcBorders>
          </w:tcPr>
          <w:p w14:paraId="049DB313" w14:textId="5593DD74" w:rsidR="00C5624E" w:rsidRDefault="00C5624E" w:rsidP="00C5624E">
            <w:pPr>
              <w:widowControl w:val="0"/>
              <w:autoSpaceDE w:val="0"/>
              <w:autoSpaceDN w:val="0"/>
              <w:adjustRightInd w:val="0"/>
              <w:spacing w:line="240" w:lineRule="auto"/>
            </w:pPr>
            <w:r>
              <w:t>(.06)</w:t>
            </w:r>
          </w:p>
        </w:tc>
        <w:tc>
          <w:tcPr>
            <w:tcW w:w="1170" w:type="dxa"/>
            <w:tcBorders>
              <w:top w:val="nil"/>
              <w:left w:val="nil"/>
              <w:bottom w:val="nil"/>
              <w:right w:val="nil"/>
            </w:tcBorders>
          </w:tcPr>
          <w:p w14:paraId="30EB8598" w14:textId="06A21622" w:rsidR="00C5624E" w:rsidRDefault="00C5624E" w:rsidP="00C5624E">
            <w:pPr>
              <w:widowControl w:val="0"/>
              <w:tabs>
                <w:tab w:val="decimal" w:pos="346"/>
              </w:tabs>
              <w:autoSpaceDE w:val="0"/>
              <w:autoSpaceDN w:val="0"/>
              <w:adjustRightInd w:val="0"/>
              <w:spacing w:line="240" w:lineRule="auto"/>
            </w:pPr>
            <w:r>
              <w:t>-0.14</w:t>
            </w:r>
            <w:r>
              <w:rPr>
                <w:vertAlign w:val="superscript"/>
              </w:rPr>
              <w:t>***</w:t>
            </w:r>
          </w:p>
        </w:tc>
        <w:tc>
          <w:tcPr>
            <w:tcW w:w="810" w:type="dxa"/>
            <w:tcBorders>
              <w:top w:val="nil"/>
              <w:left w:val="nil"/>
              <w:bottom w:val="nil"/>
              <w:right w:val="nil"/>
            </w:tcBorders>
          </w:tcPr>
          <w:p w14:paraId="5670D9B4" w14:textId="77777777" w:rsidR="00C5624E" w:rsidRDefault="00C5624E" w:rsidP="00C5624E">
            <w:pPr>
              <w:widowControl w:val="0"/>
              <w:autoSpaceDE w:val="0"/>
              <w:autoSpaceDN w:val="0"/>
              <w:adjustRightInd w:val="0"/>
              <w:spacing w:line="240" w:lineRule="auto"/>
            </w:pPr>
            <w:r>
              <w:t>(.04)</w:t>
            </w:r>
          </w:p>
        </w:tc>
      </w:tr>
      <w:tr w:rsidR="00C5624E" w14:paraId="04D6BAE2" w14:textId="77777777" w:rsidTr="00484854">
        <w:tc>
          <w:tcPr>
            <w:tcW w:w="3078" w:type="dxa"/>
            <w:tcBorders>
              <w:top w:val="nil"/>
              <w:left w:val="nil"/>
              <w:bottom w:val="nil"/>
              <w:right w:val="nil"/>
            </w:tcBorders>
          </w:tcPr>
          <w:p w14:paraId="7C043F2F" w14:textId="77777777" w:rsidR="00C5624E" w:rsidRDefault="00C5624E" w:rsidP="00C5624E">
            <w:pPr>
              <w:widowControl w:val="0"/>
              <w:autoSpaceDE w:val="0"/>
              <w:autoSpaceDN w:val="0"/>
              <w:adjustRightInd w:val="0"/>
              <w:spacing w:line="240" w:lineRule="auto"/>
            </w:pPr>
            <w:r>
              <w:t xml:space="preserve">Patriarchal Norms </w:t>
            </w:r>
          </w:p>
        </w:tc>
        <w:tc>
          <w:tcPr>
            <w:tcW w:w="1080" w:type="dxa"/>
            <w:tcBorders>
              <w:top w:val="nil"/>
              <w:left w:val="nil"/>
              <w:bottom w:val="nil"/>
              <w:right w:val="nil"/>
            </w:tcBorders>
          </w:tcPr>
          <w:p w14:paraId="49F8DBFE" w14:textId="77777777" w:rsidR="00C5624E" w:rsidRDefault="00C5624E" w:rsidP="00C5624E">
            <w:pPr>
              <w:widowControl w:val="0"/>
              <w:tabs>
                <w:tab w:val="decimal" w:pos="249"/>
              </w:tabs>
              <w:autoSpaceDE w:val="0"/>
              <w:autoSpaceDN w:val="0"/>
              <w:adjustRightInd w:val="0"/>
              <w:spacing w:line="240" w:lineRule="auto"/>
            </w:pPr>
            <w:r>
              <w:t>0.00</w:t>
            </w:r>
          </w:p>
        </w:tc>
        <w:tc>
          <w:tcPr>
            <w:tcW w:w="720" w:type="dxa"/>
            <w:tcBorders>
              <w:top w:val="nil"/>
              <w:left w:val="nil"/>
              <w:bottom w:val="nil"/>
              <w:right w:val="nil"/>
            </w:tcBorders>
          </w:tcPr>
          <w:p w14:paraId="6B1C8B18" w14:textId="77777777" w:rsidR="00C5624E" w:rsidRDefault="00C5624E" w:rsidP="00C5624E">
            <w:pPr>
              <w:widowControl w:val="0"/>
              <w:autoSpaceDE w:val="0"/>
              <w:autoSpaceDN w:val="0"/>
              <w:adjustRightInd w:val="0"/>
              <w:spacing w:line="240" w:lineRule="auto"/>
            </w:pPr>
            <w:r>
              <w:t>(.03)</w:t>
            </w:r>
          </w:p>
        </w:tc>
        <w:tc>
          <w:tcPr>
            <w:tcW w:w="1080" w:type="dxa"/>
            <w:tcBorders>
              <w:top w:val="nil"/>
              <w:left w:val="nil"/>
              <w:bottom w:val="nil"/>
              <w:right w:val="nil"/>
            </w:tcBorders>
          </w:tcPr>
          <w:p w14:paraId="4111002B" w14:textId="77777777" w:rsidR="00C5624E" w:rsidRDefault="00C5624E" w:rsidP="00C5624E">
            <w:pPr>
              <w:widowControl w:val="0"/>
              <w:tabs>
                <w:tab w:val="decimal" w:pos="246"/>
              </w:tabs>
              <w:autoSpaceDE w:val="0"/>
              <w:autoSpaceDN w:val="0"/>
              <w:adjustRightInd w:val="0"/>
              <w:spacing w:line="240" w:lineRule="auto"/>
            </w:pPr>
            <w:r>
              <w:t>0.00</w:t>
            </w:r>
          </w:p>
        </w:tc>
        <w:tc>
          <w:tcPr>
            <w:tcW w:w="720" w:type="dxa"/>
            <w:tcBorders>
              <w:top w:val="nil"/>
              <w:left w:val="nil"/>
              <w:bottom w:val="nil"/>
              <w:right w:val="nil"/>
            </w:tcBorders>
          </w:tcPr>
          <w:p w14:paraId="4440538D" w14:textId="4F3089D1" w:rsidR="00C5624E" w:rsidRDefault="00C5624E" w:rsidP="00C5624E">
            <w:pPr>
              <w:widowControl w:val="0"/>
              <w:autoSpaceDE w:val="0"/>
              <w:autoSpaceDN w:val="0"/>
              <w:adjustRightInd w:val="0"/>
              <w:spacing w:line="240" w:lineRule="auto"/>
            </w:pPr>
            <w:r>
              <w:t>(.03)</w:t>
            </w:r>
          </w:p>
        </w:tc>
        <w:tc>
          <w:tcPr>
            <w:tcW w:w="1170" w:type="dxa"/>
            <w:tcBorders>
              <w:top w:val="nil"/>
              <w:left w:val="nil"/>
              <w:bottom w:val="nil"/>
              <w:right w:val="nil"/>
            </w:tcBorders>
          </w:tcPr>
          <w:p w14:paraId="72D23192" w14:textId="60DAFAB3" w:rsidR="00C5624E" w:rsidRDefault="00C5624E" w:rsidP="00C5624E">
            <w:pPr>
              <w:widowControl w:val="0"/>
              <w:tabs>
                <w:tab w:val="decimal" w:pos="346"/>
              </w:tabs>
              <w:autoSpaceDE w:val="0"/>
              <w:autoSpaceDN w:val="0"/>
              <w:adjustRightInd w:val="0"/>
              <w:spacing w:line="240" w:lineRule="auto"/>
            </w:pPr>
            <w:r>
              <w:t>-0.13</w:t>
            </w:r>
            <w:r>
              <w:rPr>
                <w:vertAlign w:val="superscript"/>
              </w:rPr>
              <w:t>*</w:t>
            </w:r>
          </w:p>
        </w:tc>
        <w:tc>
          <w:tcPr>
            <w:tcW w:w="810" w:type="dxa"/>
            <w:tcBorders>
              <w:top w:val="nil"/>
              <w:left w:val="nil"/>
              <w:bottom w:val="nil"/>
              <w:right w:val="nil"/>
            </w:tcBorders>
          </w:tcPr>
          <w:p w14:paraId="04C496B8" w14:textId="77777777" w:rsidR="00C5624E" w:rsidRDefault="00C5624E" w:rsidP="00C5624E">
            <w:pPr>
              <w:widowControl w:val="0"/>
              <w:autoSpaceDE w:val="0"/>
              <w:autoSpaceDN w:val="0"/>
              <w:adjustRightInd w:val="0"/>
              <w:spacing w:line="240" w:lineRule="auto"/>
            </w:pPr>
            <w:r>
              <w:t>(.05)</w:t>
            </w:r>
          </w:p>
        </w:tc>
      </w:tr>
      <w:tr w:rsidR="00C5624E" w14:paraId="6CCC0034" w14:textId="77777777" w:rsidTr="00484854">
        <w:tc>
          <w:tcPr>
            <w:tcW w:w="3078" w:type="dxa"/>
            <w:tcBorders>
              <w:top w:val="nil"/>
              <w:left w:val="nil"/>
              <w:bottom w:val="nil"/>
              <w:right w:val="nil"/>
            </w:tcBorders>
          </w:tcPr>
          <w:p w14:paraId="3CCC1FC2" w14:textId="77777777" w:rsidR="00C5624E" w:rsidRPr="004F5B81" w:rsidRDefault="00C5624E" w:rsidP="00C5624E">
            <w:pPr>
              <w:widowControl w:val="0"/>
              <w:autoSpaceDE w:val="0"/>
              <w:autoSpaceDN w:val="0"/>
              <w:adjustRightInd w:val="0"/>
              <w:spacing w:line="240" w:lineRule="auto"/>
              <w:rPr>
                <w:b/>
                <w:bCs/>
                <w:u w:val="single"/>
              </w:rPr>
            </w:pPr>
            <w:r>
              <w:rPr>
                <w:b/>
                <w:bCs/>
                <w:u w:val="single"/>
              </w:rPr>
              <w:t>Interactions</w:t>
            </w:r>
          </w:p>
        </w:tc>
        <w:tc>
          <w:tcPr>
            <w:tcW w:w="1080" w:type="dxa"/>
            <w:tcBorders>
              <w:top w:val="nil"/>
              <w:left w:val="nil"/>
              <w:bottom w:val="nil"/>
              <w:right w:val="nil"/>
            </w:tcBorders>
          </w:tcPr>
          <w:p w14:paraId="7DEB1D08" w14:textId="77777777" w:rsidR="00C5624E" w:rsidRDefault="00C5624E" w:rsidP="00C5624E">
            <w:pPr>
              <w:widowControl w:val="0"/>
              <w:tabs>
                <w:tab w:val="decimal" w:pos="249"/>
              </w:tabs>
              <w:autoSpaceDE w:val="0"/>
              <w:autoSpaceDN w:val="0"/>
              <w:adjustRightInd w:val="0"/>
              <w:spacing w:line="240" w:lineRule="auto"/>
            </w:pPr>
          </w:p>
        </w:tc>
        <w:tc>
          <w:tcPr>
            <w:tcW w:w="720" w:type="dxa"/>
            <w:tcBorders>
              <w:top w:val="nil"/>
              <w:left w:val="nil"/>
              <w:bottom w:val="nil"/>
              <w:right w:val="nil"/>
            </w:tcBorders>
          </w:tcPr>
          <w:p w14:paraId="3FC5A7A7"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1CBD934D" w14:textId="77777777" w:rsidR="00C5624E" w:rsidRDefault="00C5624E" w:rsidP="00C5624E">
            <w:pPr>
              <w:widowControl w:val="0"/>
              <w:tabs>
                <w:tab w:val="decimal" w:pos="246"/>
              </w:tabs>
              <w:autoSpaceDE w:val="0"/>
              <w:autoSpaceDN w:val="0"/>
              <w:adjustRightInd w:val="0"/>
              <w:spacing w:line="240" w:lineRule="auto"/>
            </w:pPr>
          </w:p>
        </w:tc>
        <w:tc>
          <w:tcPr>
            <w:tcW w:w="720" w:type="dxa"/>
            <w:tcBorders>
              <w:top w:val="nil"/>
              <w:left w:val="nil"/>
              <w:bottom w:val="nil"/>
              <w:right w:val="nil"/>
            </w:tcBorders>
          </w:tcPr>
          <w:p w14:paraId="2FC8BE73" w14:textId="77777777" w:rsidR="00C5624E" w:rsidRDefault="00C5624E" w:rsidP="00C5624E">
            <w:pPr>
              <w:widowControl w:val="0"/>
              <w:autoSpaceDE w:val="0"/>
              <w:autoSpaceDN w:val="0"/>
              <w:adjustRightInd w:val="0"/>
              <w:spacing w:line="240" w:lineRule="auto"/>
            </w:pPr>
          </w:p>
        </w:tc>
        <w:tc>
          <w:tcPr>
            <w:tcW w:w="1170" w:type="dxa"/>
            <w:tcBorders>
              <w:top w:val="nil"/>
              <w:left w:val="nil"/>
              <w:bottom w:val="nil"/>
              <w:right w:val="nil"/>
            </w:tcBorders>
          </w:tcPr>
          <w:p w14:paraId="433F1493" w14:textId="77777777" w:rsidR="00C5624E" w:rsidRDefault="00C5624E" w:rsidP="00C5624E">
            <w:pPr>
              <w:widowControl w:val="0"/>
              <w:tabs>
                <w:tab w:val="decimal" w:pos="346"/>
              </w:tabs>
              <w:autoSpaceDE w:val="0"/>
              <w:autoSpaceDN w:val="0"/>
              <w:adjustRightInd w:val="0"/>
              <w:spacing w:line="240" w:lineRule="auto"/>
            </w:pPr>
          </w:p>
        </w:tc>
        <w:tc>
          <w:tcPr>
            <w:tcW w:w="810" w:type="dxa"/>
            <w:tcBorders>
              <w:top w:val="nil"/>
              <w:left w:val="nil"/>
              <w:bottom w:val="nil"/>
              <w:right w:val="nil"/>
            </w:tcBorders>
          </w:tcPr>
          <w:p w14:paraId="66051A3A" w14:textId="77777777" w:rsidR="00C5624E" w:rsidRDefault="00C5624E" w:rsidP="00C5624E">
            <w:pPr>
              <w:widowControl w:val="0"/>
              <w:autoSpaceDE w:val="0"/>
              <w:autoSpaceDN w:val="0"/>
              <w:adjustRightInd w:val="0"/>
              <w:spacing w:line="240" w:lineRule="auto"/>
            </w:pPr>
          </w:p>
        </w:tc>
      </w:tr>
      <w:tr w:rsidR="00C5624E" w14:paraId="41DE4A3E" w14:textId="77777777" w:rsidTr="00484854">
        <w:tc>
          <w:tcPr>
            <w:tcW w:w="3078" w:type="dxa"/>
            <w:tcBorders>
              <w:top w:val="nil"/>
              <w:left w:val="nil"/>
              <w:bottom w:val="nil"/>
              <w:right w:val="nil"/>
            </w:tcBorders>
          </w:tcPr>
          <w:p w14:paraId="6930C2A0" w14:textId="1CFF7E3F" w:rsidR="00C5624E" w:rsidRPr="004F5B81" w:rsidRDefault="00C5624E" w:rsidP="00C5624E">
            <w:pPr>
              <w:widowControl w:val="0"/>
              <w:autoSpaceDE w:val="0"/>
              <w:autoSpaceDN w:val="0"/>
              <w:adjustRightInd w:val="0"/>
              <w:spacing w:line="240" w:lineRule="auto"/>
            </w:pPr>
            <w:r>
              <w:t xml:space="preserve">Men x Patriarchal Family </w:t>
            </w:r>
          </w:p>
        </w:tc>
        <w:tc>
          <w:tcPr>
            <w:tcW w:w="1080" w:type="dxa"/>
            <w:tcBorders>
              <w:top w:val="nil"/>
              <w:left w:val="nil"/>
              <w:bottom w:val="nil"/>
              <w:right w:val="nil"/>
            </w:tcBorders>
          </w:tcPr>
          <w:p w14:paraId="0EA75828" w14:textId="77777777" w:rsidR="00C5624E" w:rsidRDefault="00C5624E" w:rsidP="00C5624E">
            <w:pPr>
              <w:widowControl w:val="0"/>
              <w:tabs>
                <w:tab w:val="decimal" w:pos="249"/>
              </w:tabs>
              <w:autoSpaceDE w:val="0"/>
              <w:autoSpaceDN w:val="0"/>
              <w:adjustRightInd w:val="0"/>
              <w:spacing w:line="240" w:lineRule="auto"/>
            </w:pPr>
          </w:p>
        </w:tc>
        <w:tc>
          <w:tcPr>
            <w:tcW w:w="720" w:type="dxa"/>
            <w:tcBorders>
              <w:top w:val="nil"/>
              <w:left w:val="nil"/>
              <w:bottom w:val="nil"/>
              <w:right w:val="nil"/>
            </w:tcBorders>
          </w:tcPr>
          <w:p w14:paraId="44EDBCD0"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6F715FEF" w14:textId="77777777" w:rsidR="00C5624E" w:rsidRDefault="00C5624E" w:rsidP="00C5624E">
            <w:pPr>
              <w:widowControl w:val="0"/>
              <w:tabs>
                <w:tab w:val="decimal" w:pos="246"/>
              </w:tabs>
              <w:autoSpaceDE w:val="0"/>
              <w:autoSpaceDN w:val="0"/>
              <w:adjustRightInd w:val="0"/>
              <w:spacing w:line="240" w:lineRule="auto"/>
            </w:pPr>
            <w:r>
              <w:t>0.09</w:t>
            </w:r>
          </w:p>
        </w:tc>
        <w:tc>
          <w:tcPr>
            <w:tcW w:w="720" w:type="dxa"/>
            <w:tcBorders>
              <w:top w:val="nil"/>
              <w:left w:val="nil"/>
              <w:bottom w:val="nil"/>
              <w:right w:val="nil"/>
            </w:tcBorders>
          </w:tcPr>
          <w:p w14:paraId="6B7A5500" w14:textId="77777777" w:rsidR="00C5624E" w:rsidRDefault="00C5624E" w:rsidP="00C5624E">
            <w:pPr>
              <w:widowControl w:val="0"/>
              <w:autoSpaceDE w:val="0"/>
              <w:autoSpaceDN w:val="0"/>
              <w:adjustRightInd w:val="0"/>
              <w:spacing w:line="240" w:lineRule="auto"/>
            </w:pPr>
            <w:r>
              <w:t>(.07)</w:t>
            </w:r>
          </w:p>
        </w:tc>
        <w:tc>
          <w:tcPr>
            <w:tcW w:w="1170" w:type="dxa"/>
            <w:tcBorders>
              <w:top w:val="nil"/>
              <w:left w:val="nil"/>
              <w:bottom w:val="nil"/>
              <w:right w:val="nil"/>
            </w:tcBorders>
          </w:tcPr>
          <w:p w14:paraId="4F1BC088" w14:textId="77777777" w:rsidR="00C5624E" w:rsidRDefault="00C5624E" w:rsidP="00C5624E">
            <w:pPr>
              <w:widowControl w:val="0"/>
              <w:tabs>
                <w:tab w:val="decimal" w:pos="346"/>
              </w:tabs>
              <w:autoSpaceDE w:val="0"/>
              <w:autoSpaceDN w:val="0"/>
              <w:adjustRightInd w:val="0"/>
              <w:spacing w:line="240" w:lineRule="auto"/>
            </w:pPr>
          </w:p>
        </w:tc>
        <w:tc>
          <w:tcPr>
            <w:tcW w:w="810" w:type="dxa"/>
            <w:tcBorders>
              <w:top w:val="nil"/>
              <w:left w:val="nil"/>
              <w:bottom w:val="nil"/>
              <w:right w:val="nil"/>
            </w:tcBorders>
          </w:tcPr>
          <w:p w14:paraId="76B61205" w14:textId="77777777" w:rsidR="00C5624E" w:rsidRDefault="00C5624E" w:rsidP="00C5624E">
            <w:pPr>
              <w:widowControl w:val="0"/>
              <w:autoSpaceDE w:val="0"/>
              <w:autoSpaceDN w:val="0"/>
              <w:adjustRightInd w:val="0"/>
              <w:spacing w:line="240" w:lineRule="auto"/>
            </w:pPr>
          </w:p>
        </w:tc>
      </w:tr>
      <w:tr w:rsidR="00C5624E" w14:paraId="1F3E94D0" w14:textId="77777777" w:rsidTr="00484854">
        <w:tc>
          <w:tcPr>
            <w:tcW w:w="3078" w:type="dxa"/>
            <w:tcBorders>
              <w:top w:val="nil"/>
              <w:left w:val="nil"/>
              <w:bottom w:val="nil"/>
              <w:right w:val="nil"/>
            </w:tcBorders>
          </w:tcPr>
          <w:p w14:paraId="07D31341" w14:textId="478CCD5A" w:rsidR="00C5624E" w:rsidRPr="004F5B81" w:rsidRDefault="00C5624E" w:rsidP="00C5624E">
            <w:pPr>
              <w:widowControl w:val="0"/>
              <w:autoSpaceDE w:val="0"/>
              <w:autoSpaceDN w:val="0"/>
              <w:adjustRightInd w:val="0"/>
              <w:spacing w:line="240" w:lineRule="auto"/>
            </w:pPr>
            <w:r>
              <w:t>Men x Patriarchal Norms</w:t>
            </w:r>
          </w:p>
        </w:tc>
        <w:tc>
          <w:tcPr>
            <w:tcW w:w="1080" w:type="dxa"/>
            <w:tcBorders>
              <w:top w:val="nil"/>
              <w:left w:val="nil"/>
              <w:bottom w:val="nil"/>
              <w:right w:val="nil"/>
            </w:tcBorders>
          </w:tcPr>
          <w:p w14:paraId="47965936" w14:textId="77777777" w:rsidR="00C5624E" w:rsidRDefault="00C5624E" w:rsidP="00C5624E">
            <w:pPr>
              <w:widowControl w:val="0"/>
              <w:tabs>
                <w:tab w:val="decimal" w:pos="249"/>
              </w:tabs>
              <w:autoSpaceDE w:val="0"/>
              <w:autoSpaceDN w:val="0"/>
              <w:adjustRightInd w:val="0"/>
              <w:spacing w:line="240" w:lineRule="auto"/>
            </w:pPr>
          </w:p>
        </w:tc>
        <w:tc>
          <w:tcPr>
            <w:tcW w:w="720" w:type="dxa"/>
            <w:tcBorders>
              <w:top w:val="nil"/>
              <w:left w:val="nil"/>
              <w:bottom w:val="nil"/>
              <w:right w:val="nil"/>
            </w:tcBorders>
          </w:tcPr>
          <w:p w14:paraId="6DE95A16"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2C31E64B" w14:textId="77777777" w:rsidR="00C5624E" w:rsidRDefault="00C5624E" w:rsidP="00C5624E">
            <w:pPr>
              <w:widowControl w:val="0"/>
              <w:tabs>
                <w:tab w:val="decimal" w:pos="246"/>
              </w:tabs>
              <w:autoSpaceDE w:val="0"/>
              <w:autoSpaceDN w:val="0"/>
              <w:adjustRightInd w:val="0"/>
              <w:spacing w:line="240" w:lineRule="auto"/>
            </w:pPr>
          </w:p>
        </w:tc>
        <w:tc>
          <w:tcPr>
            <w:tcW w:w="720" w:type="dxa"/>
            <w:tcBorders>
              <w:top w:val="nil"/>
              <w:left w:val="nil"/>
              <w:bottom w:val="nil"/>
              <w:right w:val="nil"/>
            </w:tcBorders>
          </w:tcPr>
          <w:p w14:paraId="115C9F18" w14:textId="77777777" w:rsidR="00C5624E" w:rsidRDefault="00C5624E" w:rsidP="00C5624E">
            <w:pPr>
              <w:widowControl w:val="0"/>
              <w:autoSpaceDE w:val="0"/>
              <w:autoSpaceDN w:val="0"/>
              <w:adjustRightInd w:val="0"/>
              <w:spacing w:line="240" w:lineRule="auto"/>
            </w:pPr>
          </w:p>
        </w:tc>
        <w:tc>
          <w:tcPr>
            <w:tcW w:w="1170" w:type="dxa"/>
            <w:tcBorders>
              <w:top w:val="nil"/>
              <w:left w:val="nil"/>
              <w:bottom w:val="nil"/>
              <w:right w:val="nil"/>
            </w:tcBorders>
          </w:tcPr>
          <w:p w14:paraId="29501903" w14:textId="297A5C07" w:rsidR="00C5624E" w:rsidRDefault="00C5624E" w:rsidP="00C5624E">
            <w:pPr>
              <w:widowControl w:val="0"/>
              <w:tabs>
                <w:tab w:val="decimal" w:pos="346"/>
              </w:tabs>
              <w:autoSpaceDE w:val="0"/>
              <w:autoSpaceDN w:val="0"/>
              <w:adjustRightInd w:val="0"/>
              <w:spacing w:line="240" w:lineRule="auto"/>
            </w:pPr>
            <w:r>
              <w:t>0.23</w:t>
            </w:r>
            <w:r>
              <w:rPr>
                <w:vertAlign w:val="superscript"/>
              </w:rPr>
              <w:t>***</w:t>
            </w:r>
          </w:p>
        </w:tc>
        <w:tc>
          <w:tcPr>
            <w:tcW w:w="810" w:type="dxa"/>
            <w:tcBorders>
              <w:top w:val="nil"/>
              <w:left w:val="nil"/>
              <w:bottom w:val="nil"/>
              <w:right w:val="nil"/>
            </w:tcBorders>
          </w:tcPr>
          <w:p w14:paraId="00DC51E6" w14:textId="77777777" w:rsidR="00C5624E" w:rsidRDefault="00C5624E" w:rsidP="00C5624E">
            <w:pPr>
              <w:widowControl w:val="0"/>
              <w:autoSpaceDE w:val="0"/>
              <w:autoSpaceDN w:val="0"/>
              <w:adjustRightInd w:val="0"/>
              <w:spacing w:line="240" w:lineRule="auto"/>
            </w:pPr>
            <w:r>
              <w:t>(.07)</w:t>
            </w:r>
          </w:p>
        </w:tc>
      </w:tr>
      <w:tr w:rsidR="00C5624E" w14:paraId="4BECAE6C" w14:textId="77777777" w:rsidTr="00484854">
        <w:tc>
          <w:tcPr>
            <w:tcW w:w="3078" w:type="dxa"/>
            <w:tcBorders>
              <w:top w:val="nil"/>
              <w:left w:val="nil"/>
              <w:bottom w:val="nil"/>
              <w:right w:val="nil"/>
            </w:tcBorders>
          </w:tcPr>
          <w:p w14:paraId="3EDFA224" w14:textId="77777777" w:rsidR="00C5624E" w:rsidRPr="004F5B81" w:rsidRDefault="00C5624E" w:rsidP="00C5624E">
            <w:pPr>
              <w:widowControl w:val="0"/>
              <w:autoSpaceDE w:val="0"/>
              <w:autoSpaceDN w:val="0"/>
              <w:adjustRightInd w:val="0"/>
              <w:spacing w:line="240" w:lineRule="auto"/>
            </w:pPr>
            <w:r>
              <w:rPr>
                <w:b/>
                <w:bCs/>
                <w:u w:val="single"/>
              </w:rPr>
              <w:t>Controls</w:t>
            </w:r>
          </w:p>
        </w:tc>
        <w:tc>
          <w:tcPr>
            <w:tcW w:w="1080" w:type="dxa"/>
            <w:tcBorders>
              <w:top w:val="nil"/>
              <w:left w:val="nil"/>
              <w:bottom w:val="nil"/>
              <w:right w:val="nil"/>
            </w:tcBorders>
          </w:tcPr>
          <w:p w14:paraId="245C155C" w14:textId="77777777" w:rsidR="00C5624E" w:rsidRDefault="00C5624E" w:rsidP="00C5624E">
            <w:pPr>
              <w:widowControl w:val="0"/>
              <w:tabs>
                <w:tab w:val="decimal" w:pos="249"/>
              </w:tabs>
              <w:autoSpaceDE w:val="0"/>
              <w:autoSpaceDN w:val="0"/>
              <w:adjustRightInd w:val="0"/>
              <w:spacing w:line="240" w:lineRule="auto"/>
            </w:pPr>
          </w:p>
        </w:tc>
        <w:tc>
          <w:tcPr>
            <w:tcW w:w="720" w:type="dxa"/>
            <w:tcBorders>
              <w:top w:val="nil"/>
              <w:left w:val="nil"/>
              <w:bottom w:val="nil"/>
              <w:right w:val="nil"/>
            </w:tcBorders>
          </w:tcPr>
          <w:p w14:paraId="7BAC3725"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18CC86A5" w14:textId="77777777" w:rsidR="00C5624E" w:rsidRDefault="00C5624E" w:rsidP="00C5624E">
            <w:pPr>
              <w:widowControl w:val="0"/>
              <w:tabs>
                <w:tab w:val="decimal" w:pos="246"/>
              </w:tabs>
              <w:autoSpaceDE w:val="0"/>
              <w:autoSpaceDN w:val="0"/>
              <w:adjustRightInd w:val="0"/>
              <w:spacing w:line="240" w:lineRule="auto"/>
            </w:pPr>
          </w:p>
        </w:tc>
        <w:tc>
          <w:tcPr>
            <w:tcW w:w="720" w:type="dxa"/>
            <w:tcBorders>
              <w:top w:val="nil"/>
              <w:left w:val="nil"/>
              <w:bottom w:val="nil"/>
              <w:right w:val="nil"/>
            </w:tcBorders>
          </w:tcPr>
          <w:p w14:paraId="795639AF" w14:textId="77777777" w:rsidR="00C5624E" w:rsidRDefault="00C5624E" w:rsidP="00C5624E">
            <w:pPr>
              <w:widowControl w:val="0"/>
              <w:autoSpaceDE w:val="0"/>
              <w:autoSpaceDN w:val="0"/>
              <w:adjustRightInd w:val="0"/>
              <w:spacing w:line="240" w:lineRule="auto"/>
            </w:pPr>
          </w:p>
        </w:tc>
        <w:tc>
          <w:tcPr>
            <w:tcW w:w="1170" w:type="dxa"/>
            <w:tcBorders>
              <w:top w:val="nil"/>
              <w:left w:val="nil"/>
              <w:bottom w:val="nil"/>
              <w:right w:val="nil"/>
            </w:tcBorders>
          </w:tcPr>
          <w:p w14:paraId="7BEFF54B" w14:textId="77777777" w:rsidR="00C5624E" w:rsidRDefault="00C5624E" w:rsidP="00C5624E">
            <w:pPr>
              <w:widowControl w:val="0"/>
              <w:tabs>
                <w:tab w:val="decimal" w:pos="346"/>
              </w:tabs>
              <w:autoSpaceDE w:val="0"/>
              <w:autoSpaceDN w:val="0"/>
              <w:adjustRightInd w:val="0"/>
              <w:spacing w:line="240" w:lineRule="auto"/>
            </w:pPr>
          </w:p>
        </w:tc>
        <w:tc>
          <w:tcPr>
            <w:tcW w:w="810" w:type="dxa"/>
            <w:tcBorders>
              <w:top w:val="nil"/>
              <w:left w:val="nil"/>
              <w:bottom w:val="nil"/>
              <w:right w:val="nil"/>
            </w:tcBorders>
          </w:tcPr>
          <w:p w14:paraId="3FA22EDD" w14:textId="77777777" w:rsidR="00C5624E" w:rsidRDefault="00C5624E" w:rsidP="00C5624E">
            <w:pPr>
              <w:widowControl w:val="0"/>
              <w:autoSpaceDE w:val="0"/>
              <w:autoSpaceDN w:val="0"/>
              <w:adjustRightInd w:val="0"/>
              <w:spacing w:line="240" w:lineRule="auto"/>
            </w:pPr>
          </w:p>
        </w:tc>
      </w:tr>
      <w:tr w:rsidR="00C5624E" w14:paraId="2B62DDBE" w14:textId="77777777" w:rsidTr="00484854">
        <w:tc>
          <w:tcPr>
            <w:tcW w:w="3078" w:type="dxa"/>
            <w:tcBorders>
              <w:top w:val="nil"/>
              <w:left w:val="nil"/>
              <w:bottom w:val="nil"/>
              <w:right w:val="nil"/>
            </w:tcBorders>
          </w:tcPr>
          <w:p w14:paraId="51EC52C7" w14:textId="77777777" w:rsidR="00C5624E" w:rsidRPr="004F5B81" w:rsidRDefault="00C5624E" w:rsidP="00C5624E">
            <w:pPr>
              <w:widowControl w:val="0"/>
              <w:autoSpaceDE w:val="0"/>
              <w:autoSpaceDN w:val="0"/>
              <w:adjustRightInd w:val="0"/>
              <w:spacing w:line="240" w:lineRule="auto"/>
              <w:rPr>
                <w:i/>
                <w:iCs/>
              </w:rPr>
            </w:pPr>
            <w:r>
              <w:rPr>
                <w:i/>
                <w:iCs/>
              </w:rPr>
              <w:t xml:space="preserve">Mother’s Education </w:t>
            </w:r>
          </w:p>
        </w:tc>
        <w:tc>
          <w:tcPr>
            <w:tcW w:w="1080" w:type="dxa"/>
            <w:tcBorders>
              <w:top w:val="nil"/>
              <w:left w:val="nil"/>
              <w:bottom w:val="nil"/>
              <w:right w:val="nil"/>
            </w:tcBorders>
          </w:tcPr>
          <w:p w14:paraId="72308B8F" w14:textId="77777777" w:rsidR="00C5624E" w:rsidRDefault="00C5624E" w:rsidP="00C5624E">
            <w:pPr>
              <w:widowControl w:val="0"/>
              <w:tabs>
                <w:tab w:val="decimal" w:pos="249"/>
              </w:tabs>
              <w:autoSpaceDE w:val="0"/>
              <w:autoSpaceDN w:val="0"/>
              <w:adjustRightInd w:val="0"/>
              <w:spacing w:line="240" w:lineRule="auto"/>
            </w:pPr>
          </w:p>
        </w:tc>
        <w:tc>
          <w:tcPr>
            <w:tcW w:w="720" w:type="dxa"/>
            <w:tcBorders>
              <w:top w:val="nil"/>
              <w:left w:val="nil"/>
              <w:bottom w:val="nil"/>
              <w:right w:val="nil"/>
            </w:tcBorders>
          </w:tcPr>
          <w:p w14:paraId="4B66E309"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4520B44C" w14:textId="77777777" w:rsidR="00C5624E" w:rsidRDefault="00C5624E" w:rsidP="00C5624E">
            <w:pPr>
              <w:widowControl w:val="0"/>
              <w:tabs>
                <w:tab w:val="decimal" w:pos="246"/>
              </w:tabs>
              <w:autoSpaceDE w:val="0"/>
              <w:autoSpaceDN w:val="0"/>
              <w:adjustRightInd w:val="0"/>
              <w:spacing w:line="240" w:lineRule="auto"/>
            </w:pPr>
          </w:p>
        </w:tc>
        <w:tc>
          <w:tcPr>
            <w:tcW w:w="720" w:type="dxa"/>
            <w:tcBorders>
              <w:top w:val="nil"/>
              <w:left w:val="nil"/>
              <w:bottom w:val="nil"/>
              <w:right w:val="nil"/>
            </w:tcBorders>
          </w:tcPr>
          <w:p w14:paraId="12B1B442" w14:textId="77777777" w:rsidR="00C5624E" w:rsidRDefault="00C5624E" w:rsidP="00C5624E">
            <w:pPr>
              <w:widowControl w:val="0"/>
              <w:autoSpaceDE w:val="0"/>
              <w:autoSpaceDN w:val="0"/>
              <w:adjustRightInd w:val="0"/>
              <w:spacing w:line="240" w:lineRule="auto"/>
            </w:pPr>
          </w:p>
        </w:tc>
        <w:tc>
          <w:tcPr>
            <w:tcW w:w="1170" w:type="dxa"/>
            <w:tcBorders>
              <w:top w:val="nil"/>
              <w:left w:val="nil"/>
              <w:bottom w:val="nil"/>
              <w:right w:val="nil"/>
            </w:tcBorders>
          </w:tcPr>
          <w:p w14:paraId="465D09FD" w14:textId="77777777" w:rsidR="00C5624E" w:rsidRDefault="00C5624E" w:rsidP="00C5624E">
            <w:pPr>
              <w:widowControl w:val="0"/>
              <w:tabs>
                <w:tab w:val="decimal" w:pos="346"/>
              </w:tabs>
              <w:autoSpaceDE w:val="0"/>
              <w:autoSpaceDN w:val="0"/>
              <w:adjustRightInd w:val="0"/>
              <w:spacing w:line="240" w:lineRule="auto"/>
            </w:pPr>
          </w:p>
        </w:tc>
        <w:tc>
          <w:tcPr>
            <w:tcW w:w="810" w:type="dxa"/>
            <w:tcBorders>
              <w:top w:val="nil"/>
              <w:left w:val="nil"/>
              <w:bottom w:val="nil"/>
              <w:right w:val="nil"/>
            </w:tcBorders>
          </w:tcPr>
          <w:p w14:paraId="7A5509B8" w14:textId="77777777" w:rsidR="00C5624E" w:rsidRDefault="00C5624E" w:rsidP="00C5624E">
            <w:pPr>
              <w:widowControl w:val="0"/>
              <w:autoSpaceDE w:val="0"/>
              <w:autoSpaceDN w:val="0"/>
              <w:adjustRightInd w:val="0"/>
              <w:spacing w:line="240" w:lineRule="auto"/>
            </w:pPr>
          </w:p>
        </w:tc>
      </w:tr>
      <w:tr w:rsidR="00C5624E" w14:paraId="2295136C" w14:textId="77777777" w:rsidTr="00484854">
        <w:tc>
          <w:tcPr>
            <w:tcW w:w="3078" w:type="dxa"/>
            <w:tcBorders>
              <w:top w:val="nil"/>
              <w:left w:val="nil"/>
              <w:bottom w:val="nil"/>
              <w:right w:val="nil"/>
            </w:tcBorders>
          </w:tcPr>
          <w:p w14:paraId="0AE18C48" w14:textId="77777777" w:rsidR="00C5624E" w:rsidRDefault="00C5624E" w:rsidP="00C5624E">
            <w:pPr>
              <w:widowControl w:val="0"/>
              <w:autoSpaceDE w:val="0"/>
              <w:autoSpaceDN w:val="0"/>
              <w:adjustRightInd w:val="0"/>
              <w:spacing w:line="240" w:lineRule="auto"/>
              <w:ind w:left="90"/>
            </w:pPr>
            <w:r>
              <w:t>High School</w:t>
            </w:r>
          </w:p>
        </w:tc>
        <w:tc>
          <w:tcPr>
            <w:tcW w:w="1080" w:type="dxa"/>
            <w:tcBorders>
              <w:top w:val="nil"/>
              <w:left w:val="nil"/>
              <w:bottom w:val="nil"/>
              <w:right w:val="nil"/>
            </w:tcBorders>
          </w:tcPr>
          <w:p w14:paraId="09CF59DC" w14:textId="77777777" w:rsidR="00C5624E" w:rsidRDefault="00C5624E" w:rsidP="00C5624E">
            <w:pPr>
              <w:widowControl w:val="0"/>
              <w:tabs>
                <w:tab w:val="decimal" w:pos="249"/>
              </w:tabs>
              <w:autoSpaceDE w:val="0"/>
              <w:autoSpaceDN w:val="0"/>
              <w:adjustRightInd w:val="0"/>
              <w:spacing w:line="240" w:lineRule="auto"/>
            </w:pPr>
            <w:r>
              <w:t>-0.08</w:t>
            </w:r>
          </w:p>
        </w:tc>
        <w:tc>
          <w:tcPr>
            <w:tcW w:w="720" w:type="dxa"/>
            <w:tcBorders>
              <w:top w:val="nil"/>
              <w:left w:val="nil"/>
              <w:bottom w:val="nil"/>
              <w:right w:val="nil"/>
            </w:tcBorders>
          </w:tcPr>
          <w:p w14:paraId="72B70D22" w14:textId="77777777" w:rsidR="00C5624E" w:rsidRDefault="00C5624E" w:rsidP="00C5624E">
            <w:pPr>
              <w:widowControl w:val="0"/>
              <w:autoSpaceDE w:val="0"/>
              <w:autoSpaceDN w:val="0"/>
              <w:adjustRightInd w:val="0"/>
              <w:spacing w:line="240" w:lineRule="auto"/>
            </w:pPr>
            <w:r>
              <w:t>(.06)</w:t>
            </w:r>
          </w:p>
        </w:tc>
        <w:tc>
          <w:tcPr>
            <w:tcW w:w="1080" w:type="dxa"/>
            <w:tcBorders>
              <w:top w:val="nil"/>
              <w:left w:val="nil"/>
              <w:bottom w:val="nil"/>
              <w:right w:val="nil"/>
            </w:tcBorders>
          </w:tcPr>
          <w:p w14:paraId="737FC4BD" w14:textId="77777777" w:rsidR="00C5624E" w:rsidRDefault="00C5624E" w:rsidP="00C5624E">
            <w:pPr>
              <w:widowControl w:val="0"/>
              <w:tabs>
                <w:tab w:val="decimal" w:pos="246"/>
              </w:tabs>
              <w:autoSpaceDE w:val="0"/>
              <w:autoSpaceDN w:val="0"/>
              <w:adjustRightInd w:val="0"/>
              <w:spacing w:line="240" w:lineRule="auto"/>
            </w:pPr>
            <w:r>
              <w:t>-0.08</w:t>
            </w:r>
          </w:p>
        </w:tc>
        <w:tc>
          <w:tcPr>
            <w:tcW w:w="720" w:type="dxa"/>
            <w:tcBorders>
              <w:top w:val="nil"/>
              <w:left w:val="nil"/>
              <w:bottom w:val="nil"/>
              <w:right w:val="nil"/>
            </w:tcBorders>
          </w:tcPr>
          <w:p w14:paraId="07AB7C60" w14:textId="77777777" w:rsidR="00C5624E" w:rsidRDefault="00C5624E" w:rsidP="00C5624E">
            <w:pPr>
              <w:widowControl w:val="0"/>
              <w:autoSpaceDE w:val="0"/>
              <w:autoSpaceDN w:val="0"/>
              <w:adjustRightInd w:val="0"/>
              <w:spacing w:line="240" w:lineRule="auto"/>
            </w:pPr>
            <w:r>
              <w:t>(.06)</w:t>
            </w:r>
          </w:p>
        </w:tc>
        <w:tc>
          <w:tcPr>
            <w:tcW w:w="1170" w:type="dxa"/>
            <w:tcBorders>
              <w:top w:val="nil"/>
              <w:left w:val="nil"/>
              <w:bottom w:val="nil"/>
              <w:right w:val="nil"/>
            </w:tcBorders>
          </w:tcPr>
          <w:p w14:paraId="58CF3023" w14:textId="77777777" w:rsidR="00C5624E" w:rsidRDefault="00C5624E" w:rsidP="00C5624E">
            <w:pPr>
              <w:widowControl w:val="0"/>
              <w:tabs>
                <w:tab w:val="decimal" w:pos="346"/>
              </w:tabs>
              <w:autoSpaceDE w:val="0"/>
              <w:autoSpaceDN w:val="0"/>
              <w:adjustRightInd w:val="0"/>
              <w:spacing w:line="240" w:lineRule="auto"/>
            </w:pPr>
            <w:r>
              <w:t>-0.08</w:t>
            </w:r>
          </w:p>
        </w:tc>
        <w:tc>
          <w:tcPr>
            <w:tcW w:w="810" w:type="dxa"/>
            <w:tcBorders>
              <w:top w:val="nil"/>
              <w:left w:val="nil"/>
              <w:bottom w:val="nil"/>
              <w:right w:val="nil"/>
            </w:tcBorders>
          </w:tcPr>
          <w:p w14:paraId="1F769093" w14:textId="77777777" w:rsidR="00C5624E" w:rsidRDefault="00C5624E" w:rsidP="00C5624E">
            <w:pPr>
              <w:widowControl w:val="0"/>
              <w:autoSpaceDE w:val="0"/>
              <w:autoSpaceDN w:val="0"/>
              <w:adjustRightInd w:val="0"/>
              <w:spacing w:line="240" w:lineRule="auto"/>
            </w:pPr>
            <w:r>
              <w:t>(.06)</w:t>
            </w:r>
          </w:p>
        </w:tc>
      </w:tr>
      <w:tr w:rsidR="00C5624E" w14:paraId="52D81915" w14:textId="77777777" w:rsidTr="00484854">
        <w:tc>
          <w:tcPr>
            <w:tcW w:w="3078" w:type="dxa"/>
            <w:tcBorders>
              <w:top w:val="nil"/>
              <w:left w:val="nil"/>
              <w:bottom w:val="nil"/>
              <w:right w:val="nil"/>
            </w:tcBorders>
          </w:tcPr>
          <w:p w14:paraId="4C16DCAB" w14:textId="77777777" w:rsidR="00C5624E" w:rsidRDefault="00C5624E" w:rsidP="00C5624E">
            <w:pPr>
              <w:widowControl w:val="0"/>
              <w:autoSpaceDE w:val="0"/>
              <w:autoSpaceDN w:val="0"/>
              <w:adjustRightInd w:val="0"/>
              <w:spacing w:line="240" w:lineRule="auto"/>
              <w:ind w:left="90"/>
            </w:pPr>
            <w:r>
              <w:t>Some College</w:t>
            </w:r>
          </w:p>
        </w:tc>
        <w:tc>
          <w:tcPr>
            <w:tcW w:w="1080" w:type="dxa"/>
            <w:tcBorders>
              <w:top w:val="nil"/>
              <w:left w:val="nil"/>
              <w:bottom w:val="nil"/>
              <w:right w:val="nil"/>
            </w:tcBorders>
          </w:tcPr>
          <w:p w14:paraId="241C5C12" w14:textId="77777777" w:rsidR="00C5624E" w:rsidRDefault="00C5624E" w:rsidP="00C5624E">
            <w:pPr>
              <w:widowControl w:val="0"/>
              <w:tabs>
                <w:tab w:val="decimal" w:pos="249"/>
              </w:tabs>
              <w:autoSpaceDE w:val="0"/>
              <w:autoSpaceDN w:val="0"/>
              <w:adjustRightInd w:val="0"/>
              <w:spacing w:line="240" w:lineRule="auto"/>
            </w:pPr>
            <w:r>
              <w:t>0.03</w:t>
            </w:r>
          </w:p>
        </w:tc>
        <w:tc>
          <w:tcPr>
            <w:tcW w:w="720" w:type="dxa"/>
            <w:tcBorders>
              <w:top w:val="nil"/>
              <w:left w:val="nil"/>
              <w:bottom w:val="nil"/>
              <w:right w:val="nil"/>
            </w:tcBorders>
          </w:tcPr>
          <w:p w14:paraId="6F04F11C" w14:textId="77777777" w:rsidR="00C5624E" w:rsidRDefault="00C5624E" w:rsidP="00C5624E">
            <w:pPr>
              <w:widowControl w:val="0"/>
              <w:autoSpaceDE w:val="0"/>
              <w:autoSpaceDN w:val="0"/>
              <w:adjustRightInd w:val="0"/>
              <w:spacing w:line="240" w:lineRule="auto"/>
            </w:pPr>
            <w:r>
              <w:t>(.07)</w:t>
            </w:r>
          </w:p>
        </w:tc>
        <w:tc>
          <w:tcPr>
            <w:tcW w:w="1080" w:type="dxa"/>
            <w:tcBorders>
              <w:top w:val="nil"/>
              <w:left w:val="nil"/>
              <w:bottom w:val="nil"/>
              <w:right w:val="nil"/>
            </w:tcBorders>
          </w:tcPr>
          <w:p w14:paraId="2BA29F75" w14:textId="77777777" w:rsidR="00C5624E" w:rsidRDefault="00C5624E" w:rsidP="00C5624E">
            <w:pPr>
              <w:widowControl w:val="0"/>
              <w:tabs>
                <w:tab w:val="decimal" w:pos="246"/>
              </w:tabs>
              <w:autoSpaceDE w:val="0"/>
              <w:autoSpaceDN w:val="0"/>
              <w:adjustRightInd w:val="0"/>
              <w:spacing w:line="240" w:lineRule="auto"/>
            </w:pPr>
            <w:r>
              <w:t>0.03</w:t>
            </w:r>
          </w:p>
        </w:tc>
        <w:tc>
          <w:tcPr>
            <w:tcW w:w="720" w:type="dxa"/>
            <w:tcBorders>
              <w:top w:val="nil"/>
              <w:left w:val="nil"/>
              <w:bottom w:val="nil"/>
              <w:right w:val="nil"/>
            </w:tcBorders>
          </w:tcPr>
          <w:p w14:paraId="18CC0EB8" w14:textId="77777777" w:rsidR="00C5624E" w:rsidRDefault="00C5624E" w:rsidP="00C5624E">
            <w:pPr>
              <w:widowControl w:val="0"/>
              <w:autoSpaceDE w:val="0"/>
              <w:autoSpaceDN w:val="0"/>
              <w:adjustRightInd w:val="0"/>
              <w:spacing w:line="240" w:lineRule="auto"/>
            </w:pPr>
            <w:r>
              <w:t>(.07)</w:t>
            </w:r>
          </w:p>
        </w:tc>
        <w:tc>
          <w:tcPr>
            <w:tcW w:w="1170" w:type="dxa"/>
            <w:tcBorders>
              <w:top w:val="nil"/>
              <w:left w:val="nil"/>
              <w:bottom w:val="nil"/>
              <w:right w:val="nil"/>
            </w:tcBorders>
          </w:tcPr>
          <w:p w14:paraId="675D59B2" w14:textId="77777777" w:rsidR="00C5624E" w:rsidRDefault="00C5624E" w:rsidP="00C5624E">
            <w:pPr>
              <w:widowControl w:val="0"/>
              <w:tabs>
                <w:tab w:val="decimal" w:pos="346"/>
              </w:tabs>
              <w:autoSpaceDE w:val="0"/>
              <w:autoSpaceDN w:val="0"/>
              <w:adjustRightInd w:val="0"/>
              <w:spacing w:line="240" w:lineRule="auto"/>
            </w:pPr>
            <w:r>
              <w:t>0.03</w:t>
            </w:r>
          </w:p>
        </w:tc>
        <w:tc>
          <w:tcPr>
            <w:tcW w:w="810" w:type="dxa"/>
            <w:tcBorders>
              <w:top w:val="nil"/>
              <w:left w:val="nil"/>
              <w:bottom w:val="nil"/>
              <w:right w:val="nil"/>
            </w:tcBorders>
          </w:tcPr>
          <w:p w14:paraId="0346EBFE" w14:textId="77777777" w:rsidR="00C5624E" w:rsidRDefault="00C5624E" w:rsidP="00C5624E">
            <w:pPr>
              <w:widowControl w:val="0"/>
              <w:autoSpaceDE w:val="0"/>
              <w:autoSpaceDN w:val="0"/>
              <w:adjustRightInd w:val="0"/>
              <w:spacing w:line="240" w:lineRule="auto"/>
            </w:pPr>
            <w:r>
              <w:t>(.07)</w:t>
            </w:r>
          </w:p>
        </w:tc>
      </w:tr>
      <w:tr w:rsidR="00C5624E" w14:paraId="0D1D42AD" w14:textId="77777777" w:rsidTr="00484854">
        <w:tc>
          <w:tcPr>
            <w:tcW w:w="3078" w:type="dxa"/>
            <w:tcBorders>
              <w:top w:val="nil"/>
              <w:left w:val="nil"/>
              <w:bottom w:val="nil"/>
              <w:right w:val="nil"/>
            </w:tcBorders>
          </w:tcPr>
          <w:p w14:paraId="4747221B" w14:textId="77777777" w:rsidR="00C5624E" w:rsidRDefault="00C5624E" w:rsidP="00C5624E">
            <w:pPr>
              <w:widowControl w:val="0"/>
              <w:autoSpaceDE w:val="0"/>
              <w:autoSpaceDN w:val="0"/>
              <w:adjustRightInd w:val="0"/>
              <w:spacing w:line="240" w:lineRule="auto"/>
              <w:ind w:left="90"/>
            </w:pPr>
            <w:r>
              <w:t>College</w:t>
            </w:r>
          </w:p>
        </w:tc>
        <w:tc>
          <w:tcPr>
            <w:tcW w:w="1080" w:type="dxa"/>
            <w:tcBorders>
              <w:top w:val="nil"/>
              <w:left w:val="nil"/>
              <w:bottom w:val="nil"/>
              <w:right w:val="nil"/>
            </w:tcBorders>
          </w:tcPr>
          <w:p w14:paraId="0EF450BC" w14:textId="77777777" w:rsidR="00C5624E" w:rsidRDefault="00C5624E" w:rsidP="00C5624E">
            <w:pPr>
              <w:widowControl w:val="0"/>
              <w:tabs>
                <w:tab w:val="decimal" w:pos="249"/>
              </w:tabs>
              <w:autoSpaceDE w:val="0"/>
              <w:autoSpaceDN w:val="0"/>
              <w:adjustRightInd w:val="0"/>
              <w:spacing w:line="240" w:lineRule="auto"/>
            </w:pPr>
            <w:r>
              <w:t>-0.11</w:t>
            </w:r>
          </w:p>
        </w:tc>
        <w:tc>
          <w:tcPr>
            <w:tcW w:w="720" w:type="dxa"/>
            <w:tcBorders>
              <w:top w:val="nil"/>
              <w:left w:val="nil"/>
              <w:bottom w:val="nil"/>
              <w:right w:val="nil"/>
            </w:tcBorders>
          </w:tcPr>
          <w:p w14:paraId="4DC9F77D" w14:textId="77777777" w:rsidR="00C5624E" w:rsidRDefault="00C5624E" w:rsidP="00C5624E">
            <w:pPr>
              <w:widowControl w:val="0"/>
              <w:autoSpaceDE w:val="0"/>
              <w:autoSpaceDN w:val="0"/>
              <w:adjustRightInd w:val="0"/>
              <w:spacing w:line="240" w:lineRule="auto"/>
            </w:pPr>
            <w:r>
              <w:t>(.07)</w:t>
            </w:r>
          </w:p>
        </w:tc>
        <w:tc>
          <w:tcPr>
            <w:tcW w:w="1080" w:type="dxa"/>
            <w:tcBorders>
              <w:top w:val="nil"/>
              <w:left w:val="nil"/>
              <w:bottom w:val="nil"/>
              <w:right w:val="nil"/>
            </w:tcBorders>
          </w:tcPr>
          <w:p w14:paraId="58286348" w14:textId="77777777" w:rsidR="00C5624E" w:rsidRDefault="00C5624E" w:rsidP="00C5624E">
            <w:pPr>
              <w:widowControl w:val="0"/>
              <w:tabs>
                <w:tab w:val="decimal" w:pos="246"/>
              </w:tabs>
              <w:autoSpaceDE w:val="0"/>
              <w:autoSpaceDN w:val="0"/>
              <w:adjustRightInd w:val="0"/>
              <w:spacing w:line="240" w:lineRule="auto"/>
            </w:pPr>
            <w:r>
              <w:t>-0.11</w:t>
            </w:r>
          </w:p>
        </w:tc>
        <w:tc>
          <w:tcPr>
            <w:tcW w:w="720" w:type="dxa"/>
            <w:tcBorders>
              <w:top w:val="nil"/>
              <w:left w:val="nil"/>
              <w:bottom w:val="nil"/>
              <w:right w:val="nil"/>
            </w:tcBorders>
          </w:tcPr>
          <w:p w14:paraId="20759813" w14:textId="77777777" w:rsidR="00C5624E" w:rsidRDefault="00C5624E" w:rsidP="00C5624E">
            <w:pPr>
              <w:widowControl w:val="0"/>
              <w:autoSpaceDE w:val="0"/>
              <w:autoSpaceDN w:val="0"/>
              <w:adjustRightInd w:val="0"/>
              <w:spacing w:line="240" w:lineRule="auto"/>
            </w:pPr>
            <w:r>
              <w:t>(.07)</w:t>
            </w:r>
          </w:p>
        </w:tc>
        <w:tc>
          <w:tcPr>
            <w:tcW w:w="1170" w:type="dxa"/>
            <w:tcBorders>
              <w:top w:val="nil"/>
              <w:left w:val="nil"/>
              <w:bottom w:val="nil"/>
              <w:right w:val="nil"/>
            </w:tcBorders>
          </w:tcPr>
          <w:p w14:paraId="5A57DF5A" w14:textId="77777777" w:rsidR="00C5624E" w:rsidRDefault="00C5624E" w:rsidP="00C5624E">
            <w:pPr>
              <w:widowControl w:val="0"/>
              <w:tabs>
                <w:tab w:val="decimal" w:pos="346"/>
              </w:tabs>
              <w:autoSpaceDE w:val="0"/>
              <w:autoSpaceDN w:val="0"/>
              <w:adjustRightInd w:val="0"/>
              <w:spacing w:line="240" w:lineRule="auto"/>
            </w:pPr>
            <w:r>
              <w:t>-0.11</w:t>
            </w:r>
          </w:p>
        </w:tc>
        <w:tc>
          <w:tcPr>
            <w:tcW w:w="810" w:type="dxa"/>
            <w:tcBorders>
              <w:top w:val="nil"/>
              <w:left w:val="nil"/>
              <w:bottom w:val="nil"/>
              <w:right w:val="nil"/>
            </w:tcBorders>
          </w:tcPr>
          <w:p w14:paraId="7820605A" w14:textId="77777777" w:rsidR="00C5624E" w:rsidRDefault="00C5624E" w:rsidP="00C5624E">
            <w:pPr>
              <w:widowControl w:val="0"/>
              <w:autoSpaceDE w:val="0"/>
              <w:autoSpaceDN w:val="0"/>
              <w:adjustRightInd w:val="0"/>
              <w:spacing w:line="240" w:lineRule="auto"/>
            </w:pPr>
            <w:r>
              <w:t>(.07)</w:t>
            </w:r>
          </w:p>
        </w:tc>
      </w:tr>
      <w:tr w:rsidR="00C5624E" w14:paraId="15E7C0C2" w14:textId="77777777" w:rsidTr="00484854">
        <w:tc>
          <w:tcPr>
            <w:tcW w:w="3078" w:type="dxa"/>
            <w:tcBorders>
              <w:top w:val="nil"/>
              <w:left w:val="nil"/>
              <w:bottom w:val="nil"/>
              <w:right w:val="nil"/>
            </w:tcBorders>
          </w:tcPr>
          <w:p w14:paraId="3693A291" w14:textId="77777777" w:rsidR="00C5624E" w:rsidRDefault="00C5624E" w:rsidP="00C5624E">
            <w:pPr>
              <w:widowControl w:val="0"/>
              <w:autoSpaceDE w:val="0"/>
              <w:autoSpaceDN w:val="0"/>
              <w:adjustRightInd w:val="0"/>
              <w:spacing w:line="240" w:lineRule="auto"/>
              <w:ind w:left="90"/>
            </w:pPr>
            <w:r>
              <w:t>Graduate/Prof degree</w:t>
            </w:r>
          </w:p>
        </w:tc>
        <w:tc>
          <w:tcPr>
            <w:tcW w:w="1080" w:type="dxa"/>
            <w:tcBorders>
              <w:top w:val="nil"/>
              <w:left w:val="nil"/>
              <w:bottom w:val="nil"/>
              <w:right w:val="nil"/>
            </w:tcBorders>
          </w:tcPr>
          <w:p w14:paraId="58D06599" w14:textId="77777777" w:rsidR="00C5624E" w:rsidRDefault="00C5624E" w:rsidP="00C5624E">
            <w:pPr>
              <w:widowControl w:val="0"/>
              <w:tabs>
                <w:tab w:val="decimal" w:pos="249"/>
              </w:tabs>
              <w:autoSpaceDE w:val="0"/>
              <w:autoSpaceDN w:val="0"/>
              <w:adjustRightInd w:val="0"/>
              <w:spacing w:line="240" w:lineRule="auto"/>
            </w:pPr>
            <w:r>
              <w:t>-0.16</w:t>
            </w:r>
            <w:r>
              <w:rPr>
                <w:vertAlign w:val="superscript"/>
              </w:rPr>
              <w:t>*</w:t>
            </w:r>
          </w:p>
        </w:tc>
        <w:tc>
          <w:tcPr>
            <w:tcW w:w="720" w:type="dxa"/>
            <w:tcBorders>
              <w:top w:val="nil"/>
              <w:left w:val="nil"/>
              <w:bottom w:val="nil"/>
              <w:right w:val="nil"/>
            </w:tcBorders>
          </w:tcPr>
          <w:p w14:paraId="4DD67F04" w14:textId="77777777" w:rsidR="00C5624E" w:rsidRDefault="00C5624E" w:rsidP="00C5624E">
            <w:pPr>
              <w:widowControl w:val="0"/>
              <w:autoSpaceDE w:val="0"/>
              <w:autoSpaceDN w:val="0"/>
              <w:adjustRightInd w:val="0"/>
              <w:spacing w:line="240" w:lineRule="auto"/>
            </w:pPr>
            <w:r>
              <w:t>(.08)</w:t>
            </w:r>
          </w:p>
        </w:tc>
        <w:tc>
          <w:tcPr>
            <w:tcW w:w="1080" w:type="dxa"/>
            <w:tcBorders>
              <w:top w:val="nil"/>
              <w:left w:val="nil"/>
              <w:bottom w:val="nil"/>
              <w:right w:val="nil"/>
            </w:tcBorders>
          </w:tcPr>
          <w:p w14:paraId="38D38D87" w14:textId="77777777" w:rsidR="00C5624E" w:rsidRDefault="00C5624E" w:rsidP="00C5624E">
            <w:pPr>
              <w:widowControl w:val="0"/>
              <w:tabs>
                <w:tab w:val="decimal" w:pos="246"/>
              </w:tabs>
              <w:autoSpaceDE w:val="0"/>
              <w:autoSpaceDN w:val="0"/>
              <w:adjustRightInd w:val="0"/>
              <w:spacing w:line="240" w:lineRule="auto"/>
            </w:pPr>
            <w:r>
              <w:t>-0.16</w:t>
            </w:r>
            <w:r>
              <w:rPr>
                <w:vertAlign w:val="superscript"/>
              </w:rPr>
              <w:t>*</w:t>
            </w:r>
          </w:p>
        </w:tc>
        <w:tc>
          <w:tcPr>
            <w:tcW w:w="720" w:type="dxa"/>
            <w:tcBorders>
              <w:top w:val="nil"/>
              <w:left w:val="nil"/>
              <w:bottom w:val="nil"/>
              <w:right w:val="nil"/>
            </w:tcBorders>
          </w:tcPr>
          <w:p w14:paraId="26E93C0D" w14:textId="77777777" w:rsidR="00C5624E" w:rsidRDefault="00C5624E" w:rsidP="00C5624E">
            <w:pPr>
              <w:widowControl w:val="0"/>
              <w:autoSpaceDE w:val="0"/>
              <w:autoSpaceDN w:val="0"/>
              <w:adjustRightInd w:val="0"/>
              <w:spacing w:line="240" w:lineRule="auto"/>
            </w:pPr>
            <w:r>
              <w:t>(.08)</w:t>
            </w:r>
          </w:p>
        </w:tc>
        <w:tc>
          <w:tcPr>
            <w:tcW w:w="1170" w:type="dxa"/>
            <w:tcBorders>
              <w:top w:val="nil"/>
              <w:left w:val="nil"/>
              <w:bottom w:val="nil"/>
              <w:right w:val="nil"/>
            </w:tcBorders>
          </w:tcPr>
          <w:p w14:paraId="5CB1878D" w14:textId="77777777" w:rsidR="00C5624E" w:rsidRDefault="00C5624E" w:rsidP="00C5624E">
            <w:pPr>
              <w:widowControl w:val="0"/>
              <w:tabs>
                <w:tab w:val="decimal" w:pos="346"/>
              </w:tabs>
              <w:autoSpaceDE w:val="0"/>
              <w:autoSpaceDN w:val="0"/>
              <w:adjustRightInd w:val="0"/>
              <w:spacing w:line="240" w:lineRule="auto"/>
            </w:pPr>
            <w:r>
              <w:t>-0.16</w:t>
            </w:r>
            <w:r>
              <w:rPr>
                <w:vertAlign w:val="superscript"/>
              </w:rPr>
              <w:t>*</w:t>
            </w:r>
          </w:p>
        </w:tc>
        <w:tc>
          <w:tcPr>
            <w:tcW w:w="810" w:type="dxa"/>
            <w:tcBorders>
              <w:top w:val="nil"/>
              <w:left w:val="nil"/>
              <w:bottom w:val="nil"/>
              <w:right w:val="nil"/>
            </w:tcBorders>
          </w:tcPr>
          <w:p w14:paraId="21AA1B58" w14:textId="77777777" w:rsidR="00C5624E" w:rsidRDefault="00C5624E" w:rsidP="00C5624E">
            <w:pPr>
              <w:widowControl w:val="0"/>
              <w:autoSpaceDE w:val="0"/>
              <w:autoSpaceDN w:val="0"/>
              <w:adjustRightInd w:val="0"/>
              <w:spacing w:line="240" w:lineRule="auto"/>
            </w:pPr>
            <w:r>
              <w:t>(.08)</w:t>
            </w:r>
          </w:p>
        </w:tc>
      </w:tr>
      <w:tr w:rsidR="00C5624E" w14:paraId="3843A195" w14:textId="77777777" w:rsidTr="00484854">
        <w:tc>
          <w:tcPr>
            <w:tcW w:w="3078" w:type="dxa"/>
            <w:tcBorders>
              <w:top w:val="nil"/>
              <w:left w:val="nil"/>
              <w:bottom w:val="nil"/>
              <w:right w:val="nil"/>
            </w:tcBorders>
          </w:tcPr>
          <w:p w14:paraId="76DA9862" w14:textId="77777777" w:rsidR="00C5624E" w:rsidRPr="004F5B81" w:rsidRDefault="00C5624E" w:rsidP="00C5624E">
            <w:pPr>
              <w:widowControl w:val="0"/>
              <w:autoSpaceDE w:val="0"/>
              <w:autoSpaceDN w:val="0"/>
              <w:adjustRightInd w:val="0"/>
              <w:spacing w:line="240" w:lineRule="auto"/>
              <w:rPr>
                <w:i/>
                <w:iCs/>
              </w:rPr>
            </w:pPr>
            <w:r>
              <w:rPr>
                <w:i/>
                <w:iCs/>
              </w:rPr>
              <w:t>Father’s Education</w:t>
            </w:r>
          </w:p>
        </w:tc>
        <w:tc>
          <w:tcPr>
            <w:tcW w:w="1080" w:type="dxa"/>
            <w:tcBorders>
              <w:top w:val="nil"/>
              <w:left w:val="nil"/>
              <w:bottom w:val="nil"/>
              <w:right w:val="nil"/>
            </w:tcBorders>
          </w:tcPr>
          <w:p w14:paraId="3B14D380" w14:textId="77777777" w:rsidR="00C5624E" w:rsidRDefault="00C5624E" w:rsidP="00C5624E">
            <w:pPr>
              <w:widowControl w:val="0"/>
              <w:tabs>
                <w:tab w:val="decimal" w:pos="249"/>
              </w:tabs>
              <w:autoSpaceDE w:val="0"/>
              <w:autoSpaceDN w:val="0"/>
              <w:adjustRightInd w:val="0"/>
              <w:spacing w:line="240" w:lineRule="auto"/>
            </w:pPr>
          </w:p>
        </w:tc>
        <w:tc>
          <w:tcPr>
            <w:tcW w:w="720" w:type="dxa"/>
            <w:tcBorders>
              <w:top w:val="nil"/>
              <w:left w:val="nil"/>
              <w:bottom w:val="nil"/>
              <w:right w:val="nil"/>
            </w:tcBorders>
          </w:tcPr>
          <w:p w14:paraId="29029E8F"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64898B3F" w14:textId="77777777" w:rsidR="00C5624E" w:rsidRDefault="00C5624E" w:rsidP="00C5624E">
            <w:pPr>
              <w:widowControl w:val="0"/>
              <w:tabs>
                <w:tab w:val="decimal" w:pos="246"/>
              </w:tabs>
              <w:autoSpaceDE w:val="0"/>
              <w:autoSpaceDN w:val="0"/>
              <w:adjustRightInd w:val="0"/>
              <w:spacing w:line="240" w:lineRule="auto"/>
            </w:pPr>
          </w:p>
        </w:tc>
        <w:tc>
          <w:tcPr>
            <w:tcW w:w="720" w:type="dxa"/>
            <w:tcBorders>
              <w:top w:val="nil"/>
              <w:left w:val="nil"/>
              <w:bottom w:val="nil"/>
              <w:right w:val="nil"/>
            </w:tcBorders>
          </w:tcPr>
          <w:p w14:paraId="0BAFCBAD" w14:textId="77777777" w:rsidR="00C5624E" w:rsidRDefault="00C5624E" w:rsidP="00C5624E">
            <w:pPr>
              <w:widowControl w:val="0"/>
              <w:autoSpaceDE w:val="0"/>
              <w:autoSpaceDN w:val="0"/>
              <w:adjustRightInd w:val="0"/>
              <w:spacing w:line="240" w:lineRule="auto"/>
            </w:pPr>
          </w:p>
        </w:tc>
        <w:tc>
          <w:tcPr>
            <w:tcW w:w="1170" w:type="dxa"/>
            <w:tcBorders>
              <w:top w:val="nil"/>
              <w:left w:val="nil"/>
              <w:bottom w:val="nil"/>
              <w:right w:val="nil"/>
            </w:tcBorders>
          </w:tcPr>
          <w:p w14:paraId="722572E0" w14:textId="77777777" w:rsidR="00C5624E" w:rsidRDefault="00C5624E" w:rsidP="00C5624E">
            <w:pPr>
              <w:widowControl w:val="0"/>
              <w:tabs>
                <w:tab w:val="decimal" w:pos="346"/>
              </w:tabs>
              <w:autoSpaceDE w:val="0"/>
              <w:autoSpaceDN w:val="0"/>
              <w:adjustRightInd w:val="0"/>
              <w:spacing w:line="240" w:lineRule="auto"/>
            </w:pPr>
          </w:p>
        </w:tc>
        <w:tc>
          <w:tcPr>
            <w:tcW w:w="810" w:type="dxa"/>
            <w:tcBorders>
              <w:top w:val="nil"/>
              <w:left w:val="nil"/>
              <w:bottom w:val="nil"/>
              <w:right w:val="nil"/>
            </w:tcBorders>
          </w:tcPr>
          <w:p w14:paraId="21B50313" w14:textId="77777777" w:rsidR="00C5624E" w:rsidRDefault="00C5624E" w:rsidP="00C5624E">
            <w:pPr>
              <w:widowControl w:val="0"/>
              <w:autoSpaceDE w:val="0"/>
              <w:autoSpaceDN w:val="0"/>
              <w:adjustRightInd w:val="0"/>
              <w:spacing w:line="240" w:lineRule="auto"/>
            </w:pPr>
          </w:p>
        </w:tc>
      </w:tr>
      <w:tr w:rsidR="00C5624E" w14:paraId="2571E849" w14:textId="77777777" w:rsidTr="00484854">
        <w:tc>
          <w:tcPr>
            <w:tcW w:w="3078" w:type="dxa"/>
            <w:tcBorders>
              <w:top w:val="nil"/>
              <w:left w:val="nil"/>
              <w:bottom w:val="nil"/>
              <w:right w:val="nil"/>
            </w:tcBorders>
          </w:tcPr>
          <w:p w14:paraId="159A9504" w14:textId="77777777" w:rsidR="00C5624E" w:rsidRDefault="00C5624E" w:rsidP="00C5624E">
            <w:pPr>
              <w:widowControl w:val="0"/>
              <w:autoSpaceDE w:val="0"/>
              <w:autoSpaceDN w:val="0"/>
              <w:adjustRightInd w:val="0"/>
              <w:spacing w:line="240" w:lineRule="auto"/>
              <w:ind w:left="90"/>
            </w:pPr>
            <w:r>
              <w:t>High School</w:t>
            </w:r>
          </w:p>
        </w:tc>
        <w:tc>
          <w:tcPr>
            <w:tcW w:w="1080" w:type="dxa"/>
            <w:tcBorders>
              <w:top w:val="nil"/>
              <w:left w:val="nil"/>
              <w:bottom w:val="nil"/>
              <w:right w:val="nil"/>
            </w:tcBorders>
          </w:tcPr>
          <w:p w14:paraId="665383A8" w14:textId="77777777" w:rsidR="00C5624E" w:rsidRDefault="00C5624E" w:rsidP="00C5624E">
            <w:pPr>
              <w:widowControl w:val="0"/>
              <w:tabs>
                <w:tab w:val="decimal" w:pos="249"/>
              </w:tabs>
              <w:autoSpaceDE w:val="0"/>
              <w:autoSpaceDN w:val="0"/>
              <w:adjustRightInd w:val="0"/>
              <w:spacing w:line="240" w:lineRule="auto"/>
            </w:pPr>
            <w:r>
              <w:t>-0.11</w:t>
            </w:r>
            <w:r>
              <w:rPr>
                <w:vertAlign w:val="superscript"/>
              </w:rPr>
              <w:t>*</w:t>
            </w:r>
          </w:p>
        </w:tc>
        <w:tc>
          <w:tcPr>
            <w:tcW w:w="720" w:type="dxa"/>
            <w:tcBorders>
              <w:top w:val="nil"/>
              <w:left w:val="nil"/>
              <w:bottom w:val="nil"/>
              <w:right w:val="nil"/>
            </w:tcBorders>
          </w:tcPr>
          <w:p w14:paraId="2CEEAFA1" w14:textId="77777777" w:rsidR="00C5624E" w:rsidRDefault="00C5624E" w:rsidP="00C5624E">
            <w:pPr>
              <w:widowControl w:val="0"/>
              <w:autoSpaceDE w:val="0"/>
              <w:autoSpaceDN w:val="0"/>
              <w:adjustRightInd w:val="0"/>
              <w:spacing w:line="240" w:lineRule="auto"/>
            </w:pPr>
            <w:r>
              <w:t>(.05)</w:t>
            </w:r>
          </w:p>
        </w:tc>
        <w:tc>
          <w:tcPr>
            <w:tcW w:w="1080" w:type="dxa"/>
            <w:tcBorders>
              <w:top w:val="nil"/>
              <w:left w:val="nil"/>
              <w:bottom w:val="nil"/>
              <w:right w:val="nil"/>
            </w:tcBorders>
          </w:tcPr>
          <w:p w14:paraId="5BD48708" w14:textId="77777777" w:rsidR="00C5624E" w:rsidRDefault="00C5624E" w:rsidP="00C5624E">
            <w:pPr>
              <w:widowControl w:val="0"/>
              <w:tabs>
                <w:tab w:val="decimal" w:pos="246"/>
              </w:tabs>
              <w:autoSpaceDE w:val="0"/>
              <w:autoSpaceDN w:val="0"/>
              <w:adjustRightInd w:val="0"/>
              <w:spacing w:line="240" w:lineRule="auto"/>
            </w:pPr>
            <w:r>
              <w:t>-0.11</w:t>
            </w:r>
            <w:r>
              <w:rPr>
                <w:vertAlign w:val="superscript"/>
              </w:rPr>
              <w:t>*</w:t>
            </w:r>
          </w:p>
        </w:tc>
        <w:tc>
          <w:tcPr>
            <w:tcW w:w="720" w:type="dxa"/>
            <w:tcBorders>
              <w:top w:val="nil"/>
              <w:left w:val="nil"/>
              <w:bottom w:val="nil"/>
              <w:right w:val="nil"/>
            </w:tcBorders>
          </w:tcPr>
          <w:p w14:paraId="034D2C0E" w14:textId="77777777" w:rsidR="00C5624E" w:rsidRDefault="00C5624E" w:rsidP="00C5624E">
            <w:pPr>
              <w:widowControl w:val="0"/>
              <w:autoSpaceDE w:val="0"/>
              <w:autoSpaceDN w:val="0"/>
              <w:adjustRightInd w:val="0"/>
              <w:spacing w:line="240" w:lineRule="auto"/>
            </w:pPr>
            <w:r>
              <w:t>(.05)</w:t>
            </w:r>
          </w:p>
        </w:tc>
        <w:tc>
          <w:tcPr>
            <w:tcW w:w="1170" w:type="dxa"/>
            <w:tcBorders>
              <w:top w:val="nil"/>
              <w:left w:val="nil"/>
              <w:bottom w:val="nil"/>
              <w:right w:val="nil"/>
            </w:tcBorders>
          </w:tcPr>
          <w:p w14:paraId="429FC903" w14:textId="77777777" w:rsidR="00C5624E" w:rsidRDefault="00C5624E" w:rsidP="00C5624E">
            <w:pPr>
              <w:widowControl w:val="0"/>
              <w:tabs>
                <w:tab w:val="decimal" w:pos="346"/>
              </w:tabs>
              <w:autoSpaceDE w:val="0"/>
              <w:autoSpaceDN w:val="0"/>
              <w:adjustRightInd w:val="0"/>
              <w:spacing w:line="240" w:lineRule="auto"/>
            </w:pPr>
            <w:r>
              <w:t>-0.12</w:t>
            </w:r>
            <w:r>
              <w:rPr>
                <w:vertAlign w:val="superscript"/>
              </w:rPr>
              <w:t>*</w:t>
            </w:r>
          </w:p>
        </w:tc>
        <w:tc>
          <w:tcPr>
            <w:tcW w:w="810" w:type="dxa"/>
            <w:tcBorders>
              <w:top w:val="nil"/>
              <w:left w:val="nil"/>
              <w:bottom w:val="nil"/>
              <w:right w:val="nil"/>
            </w:tcBorders>
          </w:tcPr>
          <w:p w14:paraId="06EF4D37" w14:textId="77777777" w:rsidR="00C5624E" w:rsidRDefault="00C5624E" w:rsidP="00C5624E">
            <w:pPr>
              <w:widowControl w:val="0"/>
              <w:autoSpaceDE w:val="0"/>
              <w:autoSpaceDN w:val="0"/>
              <w:adjustRightInd w:val="0"/>
              <w:spacing w:line="240" w:lineRule="auto"/>
            </w:pPr>
            <w:r>
              <w:t>(.05)</w:t>
            </w:r>
          </w:p>
        </w:tc>
      </w:tr>
      <w:tr w:rsidR="00C5624E" w14:paraId="0A41885A" w14:textId="77777777" w:rsidTr="00484854">
        <w:tc>
          <w:tcPr>
            <w:tcW w:w="3078" w:type="dxa"/>
            <w:tcBorders>
              <w:top w:val="nil"/>
              <w:left w:val="nil"/>
              <w:bottom w:val="nil"/>
              <w:right w:val="nil"/>
            </w:tcBorders>
          </w:tcPr>
          <w:p w14:paraId="1DE8FFEE" w14:textId="77777777" w:rsidR="00C5624E" w:rsidRDefault="00C5624E" w:rsidP="00C5624E">
            <w:pPr>
              <w:widowControl w:val="0"/>
              <w:autoSpaceDE w:val="0"/>
              <w:autoSpaceDN w:val="0"/>
              <w:adjustRightInd w:val="0"/>
              <w:spacing w:line="240" w:lineRule="auto"/>
              <w:ind w:left="90"/>
            </w:pPr>
            <w:r>
              <w:t>Some College</w:t>
            </w:r>
          </w:p>
        </w:tc>
        <w:tc>
          <w:tcPr>
            <w:tcW w:w="1080" w:type="dxa"/>
            <w:tcBorders>
              <w:top w:val="nil"/>
              <w:left w:val="nil"/>
              <w:bottom w:val="nil"/>
              <w:right w:val="nil"/>
            </w:tcBorders>
          </w:tcPr>
          <w:p w14:paraId="0EAF04E9" w14:textId="77777777" w:rsidR="00C5624E" w:rsidRDefault="00C5624E" w:rsidP="00C5624E">
            <w:pPr>
              <w:widowControl w:val="0"/>
              <w:tabs>
                <w:tab w:val="decimal" w:pos="249"/>
              </w:tabs>
              <w:autoSpaceDE w:val="0"/>
              <w:autoSpaceDN w:val="0"/>
              <w:adjustRightInd w:val="0"/>
              <w:spacing w:line="240" w:lineRule="auto"/>
            </w:pPr>
            <w:r>
              <w:t>-0.12</w:t>
            </w:r>
          </w:p>
        </w:tc>
        <w:tc>
          <w:tcPr>
            <w:tcW w:w="720" w:type="dxa"/>
            <w:tcBorders>
              <w:top w:val="nil"/>
              <w:left w:val="nil"/>
              <w:bottom w:val="nil"/>
              <w:right w:val="nil"/>
            </w:tcBorders>
          </w:tcPr>
          <w:p w14:paraId="6B5C2201" w14:textId="77777777" w:rsidR="00C5624E" w:rsidRDefault="00C5624E" w:rsidP="00C5624E">
            <w:pPr>
              <w:widowControl w:val="0"/>
              <w:autoSpaceDE w:val="0"/>
              <w:autoSpaceDN w:val="0"/>
              <w:adjustRightInd w:val="0"/>
              <w:spacing w:line="240" w:lineRule="auto"/>
            </w:pPr>
            <w:r>
              <w:t>(.06)</w:t>
            </w:r>
          </w:p>
        </w:tc>
        <w:tc>
          <w:tcPr>
            <w:tcW w:w="1080" w:type="dxa"/>
            <w:tcBorders>
              <w:top w:val="nil"/>
              <w:left w:val="nil"/>
              <w:bottom w:val="nil"/>
              <w:right w:val="nil"/>
            </w:tcBorders>
          </w:tcPr>
          <w:p w14:paraId="48916584" w14:textId="77777777" w:rsidR="00C5624E" w:rsidRDefault="00C5624E" w:rsidP="00C5624E">
            <w:pPr>
              <w:widowControl w:val="0"/>
              <w:tabs>
                <w:tab w:val="decimal" w:pos="246"/>
              </w:tabs>
              <w:autoSpaceDE w:val="0"/>
              <w:autoSpaceDN w:val="0"/>
              <w:adjustRightInd w:val="0"/>
              <w:spacing w:line="240" w:lineRule="auto"/>
            </w:pPr>
            <w:r>
              <w:t>-0.12</w:t>
            </w:r>
          </w:p>
        </w:tc>
        <w:tc>
          <w:tcPr>
            <w:tcW w:w="720" w:type="dxa"/>
            <w:tcBorders>
              <w:top w:val="nil"/>
              <w:left w:val="nil"/>
              <w:bottom w:val="nil"/>
              <w:right w:val="nil"/>
            </w:tcBorders>
          </w:tcPr>
          <w:p w14:paraId="0CF05B30" w14:textId="77777777" w:rsidR="00C5624E" w:rsidRDefault="00C5624E" w:rsidP="00C5624E">
            <w:pPr>
              <w:widowControl w:val="0"/>
              <w:autoSpaceDE w:val="0"/>
              <w:autoSpaceDN w:val="0"/>
              <w:adjustRightInd w:val="0"/>
              <w:spacing w:line="240" w:lineRule="auto"/>
            </w:pPr>
            <w:r>
              <w:t>(.06)</w:t>
            </w:r>
          </w:p>
        </w:tc>
        <w:tc>
          <w:tcPr>
            <w:tcW w:w="1170" w:type="dxa"/>
            <w:tcBorders>
              <w:top w:val="nil"/>
              <w:left w:val="nil"/>
              <w:bottom w:val="nil"/>
              <w:right w:val="nil"/>
            </w:tcBorders>
          </w:tcPr>
          <w:p w14:paraId="7BE6F8EE" w14:textId="77777777" w:rsidR="00C5624E" w:rsidRDefault="00C5624E" w:rsidP="00C5624E">
            <w:pPr>
              <w:widowControl w:val="0"/>
              <w:tabs>
                <w:tab w:val="decimal" w:pos="346"/>
              </w:tabs>
              <w:autoSpaceDE w:val="0"/>
              <w:autoSpaceDN w:val="0"/>
              <w:adjustRightInd w:val="0"/>
              <w:spacing w:line="240" w:lineRule="auto"/>
            </w:pPr>
            <w:r>
              <w:t>-0.12</w:t>
            </w:r>
          </w:p>
        </w:tc>
        <w:tc>
          <w:tcPr>
            <w:tcW w:w="810" w:type="dxa"/>
            <w:tcBorders>
              <w:top w:val="nil"/>
              <w:left w:val="nil"/>
              <w:bottom w:val="nil"/>
              <w:right w:val="nil"/>
            </w:tcBorders>
          </w:tcPr>
          <w:p w14:paraId="66E8C103" w14:textId="77777777" w:rsidR="00C5624E" w:rsidRDefault="00C5624E" w:rsidP="00C5624E">
            <w:pPr>
              <w:widowControl w:val="0"/>
              <w:autoSpaceDE w:val="0"/>
              <w:autoSpaceDN w:val="0"/>
              <w:adjustRightInd w:val="0"/>
              <w:spacing w:line="240" w:lineRule="auto"/>
            </w:pPr>
            <w:r>
              <w:t>(.06)</w:t>
            </w:r>
          </w:p>
        </w:tc>
      </w:tr>
      <w:tr w:rsidR="00C5624E" w14:paraId="5BA1A505" w14:textId="77777777" w:rsidTr="00484854">
        <w:tc>
          <w:tcPr>
            <w:tcW w:w="3078" w:type="dxa"/>
            <w:tcBorders>
              <w:top w:val="nil"/>
              <w:left w:val="nil"/>
              <w:bottom w:val="nil"/>
              <w:right w:val="nil"/>
            </w:tcBorders>
          </w:tcPr>
          <w:p w14:paraId="0F18ACA1" w14:textId="77777777" w:rsidR="00C5624E" w:rsidRDefault="00C5624E" w:rsidP="00C5624E">
            <w:pPr>
              <w:widowControl w:val="0"/>
              <w:autoSpaceDE w:val="0"/>
              <w:autoSpaceDN w:val="0"/>
              <w:adjustRightInd w:val="0"/>
              <w:spacing w:line="240" w:lineRule="auto"/>
              <w:ind w:left="90"/>
            </w:pPr>
            <w:r>
              <w:t>College</w:t>
            </w:r>
          </w:p>
        </w:tc>
        <w:tc>
          <w:tcPr>
            <w:tcW w:w="1080" w:type="dxa"/>
            <w:tcBorders>
              <w:top w:val="nil"/>
              <w:left w:val="nil"/>
              <w:bottom w:val="nil"/>
              <w:right w:val="nil"/>
            </w:tcBorders>
          </w:tcPr>
          <w:p w14:paraId="40A35E5A" w14:textId="77777777" w:rsidR="00C5624E" w:rsidRDefault="00C5624E" w:rsidP="00C5624E">
            <w:pPr>
              <w:widowControl w:val="0"/>
              <w:tabs>
                <w:tab w:val="decimal" w:pos="249"/>
              </w:tabs>
              <w:autoSpaceDE w:val="0"/>
              <w:autoSpaceDN w:val="0"/>
              <w:adjustRightInd w:val="0"/>
              <w:spacing w:line="240" w:lineRule="auto"/>
            </w:pPr>
            <w:r>
              <w:t>-0.12</w:t>
            </w:r>
          </w:p>
        </w:tc>
        <w:tc>
          <w:tcPr>
            <w:tcW w:w="720" w:type="dxa"/>
            <w:tcBorders>
              <w:top w:val="nil"/>
              <w:left w:val="nil"/>
              <w:bottom w:val="nil"/>
              <w:right w:val="nil"/>
            </w:tcBorders>
          </w:tcPr>
          <w:p w14:paraId="56676F92" w14:textId="77777777" w:rsidR="00C5624E" w:rsidRDefault="00C5624E" w:rsidP="00C5624E">
            <w:pPr>
              <w:widowControl w:val="0"/>
              <w:autoSpaceDE w:val="0"/>
              <w:autoSpaceDN w:val="0"/>
              <w:adjustRightInd w:val="0"/>
              <w:spacing w:line="240" w:lineRule="auto"/>
            </w:pPr>
            <w:r>
              <w:t>(.06)</w:t>
            </w:r>
          </w:p>
        </w:tc>
        <w:tc>
          <w:tcPr>
            <w:tcW w:w="1080" w:type="dxa"/>
            <w:tcBorders>
              <w:top w:val="nil"/>
              <w:left w:val="nil"/>
              <w:bottom w:val="nil"/>
              <w:right w:val="nil"/>
            </w:tcBorders>
          </w:tcPr>
          <w:p w14:paraId="59301BD0" w14:textId="77777777" w:rsidR="00C5624E" w:rsidRDefault="00C5624E" w:rsidP="00C5624E">
            <w:pPr>
              <w:widowControl w:val="0"/>
              <w:tabs>
                <w:tab w:val="decimal" w:pos="246"/>
              </w:tabs>
              <w:autoSpaceDE w:val="0"/>
              <w:autoSpaceDN w:val="0"/>
              <w:adjustRightInd w:val="0"/>
              <w:spacing w:line="240" w:lineRule="auto"/>
            </w:pPr>
            <w:r>
              <w:t>-0.12</w:t>
            </w:r>
          </w:p>
        </w:tc>
        <w:tc>
          <w:tcPr>
            <w:tcW w:w="720" w:type="dxa"/>
            <w:tcBorders>
              <w:top w:val="nil"/>
              <w:left w:val="nil"/>
              <w:bottom w:val="nil"/>
              <w:right w:val="nil"/>
            </w:tcBorders>
          </w:tcPr>
          <w:p w14:paraId="25A7EA5C" w14:textId="77777777" w:rsidR="00C5624E" w:rsidRDefault="00C5624E" w:rsidP="00C5624E">
            <w:pPr>
              <w:widowControl w:val="0"/>
              <w:autoSpaceDE w:val="0"/>
              <w:autoSpaceDN w:val="0"/>
              <w:adjustRightInd w:val="0"/>
              <w:spacing w:line="240" w:lineRule="auto"/>
            </w:pPr>
            <w:r>
              <w:t>(.06)</w:t>
            </w:r>
          </w:p>
        </w:tc>
        <w:tc>
          <w:tcPr>
            <w:tcW w:w="1170" w:type="dxa"/>
            <w:tcBorders>
              <w:top w:val="nil"/>
              <w:left w:val="nil"/>
              <w:bottom w:val="nil"/>
              <w:right w:val="nil"/>
            </w:tcBorders>
          </w:tcPr>
          <w:p w14:paraId="35D67F33" w14:textId="77777777" w:rsidR="00C5624E" w:rsidRDefault="00C5624E" w:rsidP="00C5624E">
            <w:pPr>
              <w:widowControl w:val="0"/>
              <w:tabs>
                <w:tab w:val="decimal" w:pos="346"/>
              </w:tabs>
              <w:autoSpaceDE w:val="0"/>
              <w:autoSpaceDN w:val="0"/>
              <w:adjustRightInd w:val="0"/>
              <w:spacing w:line="240" w:lineRule="auto"/>
            </w:pPr>
            <w:r>
              <w:t>-0.12</w:t>
            </w:r>
            <w:r>
              <w:rPr>
                <w:vertAlign w:val="superscript"/>
              </w:rPr>
              <w:t>*</w:t>
            </w:r>
          </w:p>
        </w:tc>
        <w:tc>
          <w:tcPr>
            <w:tcW w:w="810" w:type="dxa"/>
            <w:tcBorders>
              <w:top w:val="nil"/>
              <w:left w:val="nil"/>
              <w:bottom w:val="nil"/>
              <w:right w:val="nil"/>
            </w:tcBorders>
          </w:tcPr>
          <w:p w14:paraId="00DA8EB7" w14:textId="77777777" w:rsidR="00C5624E" w:rsidRDefault="00C5624E" w:rsidP="00C5624E">
            <w:pPr>
              <w:widowControl w:val="0"/>
              <w:autoSpaceDE w:val="0"/>
              <w:autoSpaceDN w:val="0"/>
              <w:adjustRightInd w:val="0"/>
              <w:spacing w:line="240" w:lineRule="auto"/>
            </w:pPr>
            <w:r>
              <w:t>(.06)</w:t>
            </w:r>
          </w:p>
        </w:tc>
      </w:tr>
      <w:tr w:rsidR="00C5624E" w14:paraId="7AD5E4D3" w14:textId="77777777" w:rsidTr="00484854">
        <w:tc>
          <w:tcPr>
            <w:tcW w:w="3078" w:type="dxa"/>
            <w:tcBorders>
              <w:top w:val="nil"/>
              <w:left w:val="nil"/>
              <w:bottom w:val="nil"/>
              <w:right w:val="nil"/>
            </w:tcBorders>
          </w:tcPr>
          <w:p w14:paraId="6344A6E7" w14:textId="77777777" w:rsidR="00C5624E" w:rsidRDefault="00C5624E" w:rsidP="00C5624E">
            <w:pPr>
              <w:widowControl w:val="0"/>
              <w:autoSpaceDE w:val="0"/>
              <w:autoSpaceDN w:val="0"/>
              <w:adjustRightInd w:val="0"/>
              <w:spacing w:line="240" w:lineRule="auto"/>
              <w:ind w:left="90"/>
            </w:pPr>
            <w:r>
              <w:t>Graduate/Prof degree</w:t>
            </w:r>
          </w:p>
        </w:tc>
        <w:tc>
          <w:tcPr>
            <w:tcW w:w="1080" w:type="dxa"/>
            <w:tcBorders>
              <w:top w:val="nil"/>
              <w:left w:val="nil"/>
              <w:bottom w:val="nil"/>
              <w:right w:val="nil"/>
            </w:tcBorders>
          </w:tcPr>
          <w:p w14:paraId="5BC3DB69" w14:textId="77777777" w:rsidR="00C5624E" w:rsidRDefault="00C5624E" w:rsidP="00C5624E">
            <w:pPr>
              <w:widowControl w:val="0"/>
              <w:tabs>
                <w:tab w:val="decimal" w:pos="249"/>
              </w:tabs>
              <w:autoSpaceDE w:val="0"/>
              <w:autoSpaceDN w:val="0"/>
              <w:adjustRightInd w:val="0"/>
              <w:spacing w:line="240" w:lineRule="auto"/>
            </w:pPr>
            <w:r>
              <w:t>-0.08</w:t>
            </w:r>
          </w:p>
        </w:tc>
        <w:tc>
          <w:tcPr>
            <w:tcW w:w="720" w:type="dxa"/>
            <w:tcBorders>
              <w:top w:val="nil"/>
              <w:left w:val="nil"/>
              <w:bottom w:val="nil"/>
              <w:right w:val="nil"/>
            </w:tcBorders>
          </w:tcPr>
          <w:p w14:paraId="03C52FC7" w14:textId="77777777" w:rsidR="00C5624E" w:rsidRDefault="00C5624E" w:rsidP="00C5624E">
            <w:pPr>
              <w:widowControl w:val="0"/>
              <w:autoSpaceDE w:val="0"/>
              <w:autoSpaceDN w:val="0"/>
              <w:adjustRightInd w:val="0"/>
              <w:spacing w:line="240" w:lineRule="auto"/>
            </w:pPr>
            <w:r>
              <w:t>(.07)</w:t>
            </w:r>
          </w:p>
        </w:tc>
        <w:tc>
          <w:tcPr>
            <w:tcW w:w="1080" w:type="dxa"/>
            <w:tcBorders>
              <w:top w:val="nil"/>
              <w:left w:val="nil"/>
              <w:bottom w:val="nil"/>
              <w:right w:val="nil"/>
            </w:tcBorders>
          </w:tcPr>
          <w:p w14:paraId="3EC69699" w14:textId="77777777" w:rsidR="00C5624E" w:rsidRDefault="00C5624E" w:rsidP="00C5624E">
            <w:pPr>
              <w:widowControl w:val="0"/>
              <w:tabs>
                <w:tab w:val="decimal" w:pos="246"/>
              </w:tabs>
              <w:autoSpaceDE w:val="0"/>
              <w:autoSpaceDN w:val="0"/>
              <w:adjustRightInd w:val="0"/>
              <w:spacing w:line="240" w:lineRule="auto"/>
            </w:pPr>
            <w:r>
              <w:t>-0.08</w:t>
            </w:r>
          </w:p>
        </w:tc>
        <w:tc>
          <w:tcPr>
            <w:tcW w:w="720" w:type="dxa"/>
            <w:tcBorders>
              <w:top w:val="nil"/>
              <w:left w:val="nil"/>
              <w:bottom w:val="nil"/>
              <w:right w:val="nil"/>
            </w:tcBorders>
          </w:tcPr>
          <w:p w14:paraId="638C32FD" w14:textId="77777777" w:rsidR="00C5624E" w:rsidRDefault="00C5624E" w:rsidP="00C5624E">
            <w:pPr>
              <w:widowControl w:val="0"/>
              <w:autoSpaceDE w:val="0"/>
              <w:autoSpaceDN w:val="0"/>
              <w:adjustRightInd w:val="0"/>
              <w:spacing w:line="240" w:lineRule="auto"/>
            </w:pPr>
            <w:r>
              <w:t>(.07)</w:t>
            </w:r>
          </w:p>
        </w:tc>
        <w:tc>
          <w:tcPr>
            <w:tcW w:w="1170" w:type="dxa"/>
            <w:tcBorders>
              <w:top w:val="nil"/>
              <w:left w:val="nil"/>
              <w:bottom w:val="nil"/>
              <w:right w:val="nil"/>
            </w:tcBorders>
          </w:tcPr>
          <w:p w14:paraId="148CF1B9" w14:textId="77777777" w:rsidR="00C5624E" w:rsidRDefault="00C5624E" w:rsidP="00C5624E">
            <w:pPr>
              <w:widowControl w:val="0"/>
              <w:tabs>
                <w:tab w:val="decimal" w:pos="346"/>
              </w:tabs>
              <w:autoSpaceDE w:val="0"/>
              <w:autoSpaceDN w:val="0"/>
              <w:adjustRightInd w:val="0"/>
              <w:spacing w:line="240" w:lineRule="auto"/>
            </w:pPr>
            <w:r>
              <w:t>-0.08</w:t>
            </w:r>
          </w:p>
        </w:tc>
        <w:tc>
          <w:tcPr>
            <w:tcW w:w="810" w:type="dxa"/>
            <w:tcBorders>
              <w:top w:val="nil"/>
              <w:left w:val="nil"/>
              <w:bottom w:val="nil"/>
              <w:right w:val="nil"/>
            </w:tcBorders>
          </w:tcPr>
          <w:p w14:paraId="7E220990" w14:textId="77777777" w:rsidR="00C5624E" w:rsidRDefault="00C5624E" w:rsidP="00C5624E">
            <w:pPr>
              <w:widowControl w:val="0"/>
              <w:autoSpaceDE w:val="0"/>
              <w:autoSpaceDN w:val="0"/>
              <w:adjustRightInd w:val="0"/>
              <w:spacing w:line="240" w:lineRule="auto"/>
            </w:pPr>
            <w:r>
              <w:t>(.07)</w:t>
            </w:r>
          </w:p>
        </w:tc>
      </w:tr>
      <w:tr w:rsidR="00C5624E" w14:paraId="7159D8D1" w14:textId="77777777" w:rsidTr="00484854">
        <w:tc>
          <w:tcPr>
            <w:tcW w:w="3078" w:type="dxa"/>
            <w:tcBorders>
              <w:top w:val="nil"/>
              <w:left w:val="nil"/>
              <w:bottom w:val="nil"/>
              <w:right w:val="nil"/>
            </w:tcBorders>
          </w:tcPr>
          <w:p w14:paraId="7AB87B3E" w14:textId="77777777" w:rsidR="00C5624E" w:rsidRDefault="00C5624E" w:rsidP="00C5624E">
            <w:pPr>
              <w:widowControl w:val="0"/>
              <w:autoSpaceDE w:val="0"/>
              <w:autoSpaceDN w:val="0"/>
              <w:adjustRightInd w:val="0"/>
              <w:spacing w:line="240" w:lineRule="auto"/>
            </w:pPr>
            <w:r>
              <w:t>Race (Black)</w:t>
            </w:r>
          </w:p>
        </w:tc>
        <w:tc>
          <w:tcPr>
            <w:tcW w:w="1080" w:type="dxa"/>
            <w:tcBorders>
              <w:top w:val="nil"/>
              <w:left w:val="nil"/>
              <w:bottom w:val="nil"/>
              <w:right w:val="nil"/>
            </w:tcBorders>
          </w:tcPr>
          <w:p w14:paraId="125CFED3" w14:textId="77777777" w:rsidR="00C5624E" w:rsidRDefault="00C5624E" w:rsidP="00C5624E">
            <w:pPr>
              <w:widowControl w:val="0"/>
              <w:tabs>
                <w:tab w:val="decimal" w:pos="249"/>
              </w:tabs>
              <w:autoSpaceDE w:val="0"/>
              <w:autoSpaceDN w:val="0"/>
              <w:adjustRightInd w:val="0"/>
              <w:spacing w:line="240" w:lineRule="auto"/>
            </w:pPr>
            <w:r>
              <w:t>-0.87</w:t>
            </w:r>
            <w:r>
              <w:rPr>
                <w:vertAlign w:val="superscript"/>
              </w:rPr>
              <w:t>***</w:t>
            </w:r>
          </w:p>
        </w:tc>
        <w:tc>
          <w:tcPr>
            <w:tcW w:w="720" w:type="dxa"/>
            <w:tcBorders>
              <w:top w:val="nil"/>
              <w:left w:val="nil"/>
              <w:bottom w:val="nil"/>
              <w:right w:val="nil"/>
            </w:tcBorders>
          </w:tcPr>
          <w:p w14:paraId="14A89D87" w14:textId="77777777" w:rsidR="00C5624E" w:rsidRDefault="00C5624E" w:rsidP="00C5624E">
            <w:pPr>
              <w:widowControl w:val="0"/>
              <w:autoSpaceDE w:val="0"/>
              <w:autoSpaceDN w:val="0"/>
              <w:adjustRightInd w:val="0"/>
              <w:spacing w:line="240" w:lineRule="auto"/>
            </w:pPr>
            <w:r>
              <w:t>(.08)</w:t>
            </w:r>
          </w:p>
        </w:tc>
        <w:tc>
          <w:tcPr>
            <w:tcW w:w="1080" w:type="dxa"/>
            <w:tcBorders>
              <w:top w:val="nil"/>
              <w:left w:val="nil"/>
              <w:bottom w:val="nil"/>
              <w:right w:val="nil"/>
            </w:tcBorders>
          </w:tcPr>
          <w:p w14:paraId="23AFF25A" w14:textId="77777777" w:rsidR="00C5624E" w:rsidRDefault="00C5624E" w:rsidP="00C5624E">
            <w:pPr>
              <w:widowControl w:val="0"/>
              <w:tabs>
                <w:tab w:val="decimal" w:pos="246"/>
              </w:tabs>
              <w:autoSpaceDE w:val="0"/>
              <w:autoSpaceDN w:val="0"/>
              <w:adjustRightInd w:val="0"/>
              <w:spacing w:line="240" w:lineRule="auto"/>
            </w:pPr>
            <w:r>
              <w:t>-0.87</w:t>
            </w:r>
            <w:r>
              <w:rPr>
                <w:vertAlign w:val="superscript"/>
              </w:rPr>
              <w:t>***</w:t>
            </w:r>
          </w:p>
        </w:tc>
        <w:tc>
          <w:tcPr>
            <w:tcW w:w="720" w:type="dxa"/>
            <w:tcBorders>
              <w:top w:val="nil"/>
              <w:left w:val="nil"/>
              <w:bottom w:val="nil"/>
              <w:right w:val="nil"/>
            </w:tcBorders>
          </w:tcPr>
          <w:p w14:paraId="2FF123EA" w14:textId="77777777" w:rsidR="00C5624E" w:rsidRDefault="00C5624E" w:rsidP="00C5624E">
            <w:pPr>
              <w:widowControl w:val="0"/>
              <w:autoSpaceDE w:val="0"/>
              <w:autoSpaceDN w:val="0"/>
              <w:adjustRightInd w:val="0"/>
              <w:spacing w:line="240" w:lineRule="auto"/>
            </w:pPr>
            <w:r>
              <w:t>(.08)</w:t>
            </w:r>
          </w:p>
        </w:tc>
        <w:tc>
          <w:tcPr>
            <w:tcW w:w="1170" w:type="dxa"/>
            <w:tcBorders>
              <w:top w:val="nil"/>
              <w:left w:val="nil"/>
              <w:bottom w:val="nil"/>
              <w:right w:val="nil"/>
            </w:tcBorders>
          </w:tcPr>
          <w:p w14:paraId="50FB8AD8" w14:textId="77777777" w:rsidR="00C5624E" w:rsidRDefault="00C5624E" w:rsidP="00C5624E">
            <w:pPr>
              <w:widowControl w:val="0"/>
              <w:tabs>
                <w:tab w:val="decimal" w:pos="346"/>
              </w:tabs>
              <w:autoSpaceDE w:val="0"/>
              <w:autoSpaceDN w:val="0"/>
              <w:adjustRightInd w:val="0"/>
              <w:spacing w:line="240" w:lineRule="auto"/>
            </w:pPr>
            <w:r>
              <w:t>-0.87</w:t>
            </w:r>
            <w:r>
              <w:rPr>
                <w:vertAlign w:val="superscript"/>
              </w:rPr>
              <w:t>***</w:t>
            </w:r>
          </w:p>
        </w:tc>
        <w:tc>
          <w:tcPr>
            <w:tcW w:w="810" w:type="dxa"/>
            <w:tcBorders>
              <w:top w:val="nil"/>
              <w:left w:val="nil"/>
              <w:bottom w:val="nil"/>
              <w:right w:val="nil"/>
            </w:tcBorders>
          </w:tcPr>
          <w:p w14:paraId="5D0A5B35" w14:textId="77777777" w:rsidR="00C5624E" w:rsidRDefault="00C5624E" w:rsidP="00C5624E">
            <w:pPr>
              <w:widowControl w:val="0"/>
              <w:autoSpaceDE w:val="0"/>
              <w:autoSpaceDN w:val="0"/>
              <w:adjustRightInd w:val="0"/>
              <w:spacing w:line="240" w:lineRule="auto"/>
            </w:pPr>
            <w:r>
              <w:t>(.08)</w:t>
            </w:r>
          </w:p>
        </w:tc>
      </w:tr>
      <w:tr w:rsidR="00C5624E" w14:paraId="1ED2AB1D" w14:textId="77777777" w:rsidTr="00266A2C">
        <w:tc>
          <w:tcPr>
            <w:tcW w:w="3078" w:type="dxa"/>
            <w:tcBorders>
              <w:top w:val="nil"/>
              <w:left w:val="nil"/>
              <w:bottom w:val="single" w:sz="4" w:space="0" w:color="auto"/>
              <w:right w:val="nil"/>
            </w:tcBorders>
          </w:tcPr>
          <w:p w14:paraId="1EDFBE97" w14:textId="77777777" w:rsidR="00C5624E" w:rsidRDefault="00C5624E" w:rsidP="00C5624E">
            <w:pPr>
              <w:widowControl w:val="0"/>
              <w:autoSpaceDE w:val="0"/>
              <w:autoSpaceDN w:val="0"/>
              <w:adjustRightInd w:val="0"/>
              <w:spacing w:line="240" w:lineRule="auto"/>
            </w:pPr>
            <w:r>
              <w:t>Years</w:t>
            </w:r>
          </w:p>
        </w:tc>
        <w:tc>
          <w:tcPr>
            <w:tcW w:w="1080" w:type="dxa"/>
            <w:tcBorders>
              <w:top w:val="nil"/>
              <w:left w:val="nil"/>
              <w:bottom w:val="single" w:sz="4" w:space="0" w:color="auto"/>
              <w:right w:val="nil"/>
            </w:tcBorders>
          </w:tcPr>
          <w:p w14:paraId="089F79A8" w14:textId="77777777" w:rsidR="00C5624E" w:rsidRDefault="00C5624E" w:rsidP="00C5624E">
            <w:pPr>
              <w:widowControl w:val="0"/>
              <w:tabs>
                <w:tab w:val="decimal" w:pos="249"/>
              </w:tabs>
              <w:autoSpaceDE w:val="0"/>
              <w:autoSpaceDN w:val="0"/>
              <w:adjustRightInd w:val="0"/>
              <w:spacing w:line="240" w:lineRule="auto"/>
            </w:pPr>
            <w:r>
              <w:t>-0.03</w:t>
            </w:r>
            <w:r>
              <w:rPr>
                <w:vertAlign w:val="superscript"/>
              </w:rPr>
              <w:t>***</w:t>
            </w:r>
          </w:p>
        </w:tc>
        <w:tc>
          <w:tcPr>
            <w:tcW w:w="720" w:type="dxa"/>
            <w:tcBorders>
              <w:top w:val="nil"/>
              <w:left w:val="nil"/>
              <w:bottom w:val="single" w:sz="4" w:space="0" w:color="auto"/>
              <w:right w:val="nil"/>
            </w:tcBorders>
          </w:tcPr>
          <w:p w14:paraId="690ACA7E" w14:textId="77777777" w:rsidR="00C5624E" w:rsidRDefault="00C5624E" w:rsidP="00C5624E">
            <w:pPr>
              <w:widowControl w:val="0"/>
              <w:autoSpaceDE w:val="0"/>
              <w:autoSpaceDN w:val="0"/>
              <w:adjustRightInd w:val="0"/>
              <w:spacing w:line="240" w:lineRule="auto"/>
            </w:pPr>
            <w:r>
              <w:t>(.00)</w:t>
            </w:r>
          </w:p>
        </w:tc>
        <w:tc>
          <w:tcPr>
            <w:tcW w:w="1080" w:type="dxa"/>
            <w:tcBorders>
              <w:top w:val="nil"/>
              <w:left w:val="nil"/>
              <w:bottom w:val="single" w:sz="4" w:space="0" w:color="auto"/>
              <w:right w:val="nil"/>
            </w:tcBorders>
          </w:tcPr>
          <w:p w14:paraId="5E0720E8" w14:textId="77777777" w:rsidR="00C5624E" w:rsidRDefault="00C5624E" w:rsidP="00C5624E">
            <w:pPr>
              <w:widowControl w:val="0"/>
              <w:tabs>
                <w:tab w:val="decimal" w:pos="246"/>
              </w:tabs>
              <w:autoSpaceDE w:val="0"/>
              <w:autoSpaceDN w:val="0"/>
              <w:adjustRightInd w:val="0"/>
              <w:spacing w:line="240" w:lineRule="auto"/>
            </w:pPr>
            <w:r>
              <w:t>-0.03</w:t>
            </w:r>
            <w:r>
              <w:rPr>
                <w:vertAlign w:val="superscript"/>
              </w:rPr>
              <w:t>***</w:t>
            </w:r>
          </w:p>
        </w:tc>
        <w:tc>
          <w:tcPr>
            <w:tcW w:w="720" w:type="dxa"/>
            <w:tcBorders>
              <w:top w:val="nil"/>
              <w:left w:val="nil"/>
              <w:bottom w:val="single" w:sz="4" w:space="0" w:color="auto"/>
              <w:right w:val="nil"/>
            </w:tcBorders>
          </w:tcPr>
          <w:p w14:paraId="52865C04" w14:textId="77777777" w:rsidR="00C5624E" w:rsidRDefault="00C5624E" w:rsidP="00C5624E">
            <w:pPr>
              <w:widowControl w:val="0"/>
              <w:autoSpaceDE w:val="0"/>
              <w:autoSpaceDN w:val="0"/>
              <w:adjustRightInd w:val="0"/>
              <w:spacing w:line="240" w:lineRule="auto"/>
            </w:pPr>
            <w:r>
              <w:t>(.00)</w:t>
            </w:r>
          </w:p>
        </w:tc>
        <w:tc>
          <w:tcPr>
            <w:tcW w:w="1170" w:type="dxa"/>
            <w:tcBorders>
              <w:top w:val="nil"/>
              <w:left w:val="nil"/>
              <w:bottom w:val="single" w:sz="4" w:space="0" w:color="auto"/>
              <w:right w:val="nil"/>
            </w:tcBorders>
          </w:tcPr>
          <w:p w14:paraId="0784E956" w14:textId="77777777" w:rsidR="00C5624E" w:rsidRDefault="00C5624E" w:rsidP="00C5624E">
            <w:pPr>
              <w:widowControl w:val="0"/>
              <w:tabs>
                <w:tab w:val="decimal" w:pos="346"/>
              </w:tabs>
              <w:autoSpaceDE w:val="0"/>
              <w:autoSpaceDN w:val="0"/>
              <w:adjustRightInd w:val="0"/>
              <w:spacing w:line="240" w:lineRule="auto"/>
            </w:pPr>
            <w:r>
              <w:t>-0.03</w:t>
            </w:r>
            <w:r>
              <w:rPr>
                <w:vertAlign w:val="superscript"/>
              </w:rPr>
              <w:t>***</w:t>
            </w:r>
          </w:p>
        </w:tc>
        <w:tc>
          <w:tcPr>
            <w:tcW w:w="810" w:type="dxa"/>
            <w:tcBorders>
              <w:top w:val="nil"/>
              <w:left w:val="nil"/>
              <w:bottom w:val="single" w:sz="4" w:space="0" w:color="auto"/>
              <w:right w:val="nil"/>
            </w:tcBorders>
          </w:tcPr>
          <w:p w14:paraId="10F84097" w14:textId="77777777" w:rsidR="00C5624E" w:rsidRDefault="00C5624E" w:rsidP="00C5624E">
            <w:pPr>
              <w:widowControl w:val="0"/>
              <w:autoSpaceDE w:val="0"/>
              <w:autoSpaceDN w:val="0"/>
              <w:adjustRightInd w:val="0"/>
              <w:spacing w:line="240" w:lineRule="auto"/>
            </w:pPr>
            <w:r>
              <w:t>(.00)</w:t>
            </w:r>
          </w:p>
        </w:tc>
      </w:tr>
      <w:tr w:rsidR="00C5624E" w14:paraId="1CDAC6E7" w14:textId="77777777" w:rsidTr="00266A2C">
        <w:tc>
          <w:tcPr>
            <w:tcW w:w="3078" w:type="dxa"/>
            <w:tcBorders>
              <w:top w:val="single" w:sz="4" w:space="0" w:color="auto"/>
              <w:left w:val="nil"/>
              <w:bottom w:val="single" w:sz="4" w:space="0" w:color="auto"/>
              <w:right w:val="nil"/>
            </w:tcBorders>
          </w:tcPr>
          <w:p w14:paraId="12FB2B3D" w14:textId="77777777" w:rsidR="00C5624E" w:rsidRDefault="00C5624E" w:rsidP="00C5624E">
            <w:pPr>
              <w:widowControl w:val="0"/>
              <w:autoSpaceDE w:val="0"/>
              <w:autoSpaceDN w:val="0"/>
              <w:adjustRightInd w:val="0"/>
              <w:spacing w:line="240" w:lineRule="auto"/>
            </w:pPr>
            <w:r>
              <w:t>Observations</w:t>
            </w:r>
          </w:p>
        </w:tc>
        <w:tc>
          <w:tcPr>
            <w:tcW w:w="5580" w:type="dxa"/>
            <w:gridSpan w:val="6"/>
            <w:tcBorders>
              <w:top w:val="single" w:sz="4" w:space="0" w:color="auto"/>
              <w:left w:val="nil"/>
              <w:bottom w:val="single" w:sz="4" w:space="0" w:color="auto"/>
              <w:right w:val="nil"/>
            </w:tcBorders>
          </w:tcPr>
          <w:p w14:paraId="48B68360" w14:textId="5FB662DE" w:rsidR="00C5624E" w:rsidRDefault="00C5624E" w:rsidP="00C5624E">
            <w:pPr>
              <w:widowControl w:val="0"/>
              <w:autoSpaceDE w:val="0"/>
              <w:autoSpaceDN w:val="0"/>
              <w:adjustRightInd w:val="0"/>
              <w:spacing w:line="240" w:lineRule="auto"/>
              <w:jc w:val="center"/>
            </w:pPr>
            <w:r>
              <w:t>49,029</w:t>
            </w:r>
          </w:p>
        </w:tc>
      </w:tr>
      <w:tr w:rsidR="00C5624E" w14:paraId="4882884B" w14:textId="77777777" w:rsidTr="00266A2C">
        <w:tc>
          <w:tcPr>
            <w:tcW w:w="3078" w:type="dxa"/>
            <w:tcBorders>
              <w:top w:val="single" w:sz="4" w:space="0" w:color="auto"/>
              <w:left w:val="nil"/>
              <w:bottom w:val="nil"/>
              <w:right w:val="nil"/>
            </w:tcBorders>
          </w:tcPr>
          <w:p w14:paraId="100D5B45" w14:textId="77777777" w:rsidR="00C5624E" w:rsidRDefault="00C5624E" w:rsidP="00C5624E">
            <w:pPr>
              <w:widowControl w:val="0"/>
              <w:autoSpaceDE w:val="0"/>
              <w:autoSpaceDN w:val="0"/>
              <w:adjustRightInd w:val="0"/>
              <w:spacing w:line="240" w:lineRule="auto"/>
            </w:pPr>
            <w:r>
              <w:t>AIC</w:t>
            </w:r>
          </w:p>
        </w:tc>
        <w:tc>
          <w:tcPr>
            <w:tcW w:w="1800" w:type="dxa"/>
            <w:gridSpan w:val="2"/>
            <w:tcBorders>
              <w:top w:val="single" w:sz="4" w:space="0" w:color="auto"/>
              <w:left w:val="nil"/>
              <w:bottom w:val="nil"/>
              <w:right w:val="nil"/>
            </w:tcBorders>
          </w:tcPr>
          <w:p w14:paraId="6B732740" w14:textId="77777777" w:rsidR="00C5624E" w:rsidRDefault="00C5624E" w:rsidP="00C5624E">
            <w:pPr>
              <w:widowControl w:val="0"/>
              <w:autoSpaceDE w:val="0"/>
              <w:autoSpaceDN w:val="0"/>
              <w:adjustRightInd w:val="0"/>
              <w:spacing w:line="240" w:lineRule="auto"/>
              <w:jc w:val="center"/>
            </w:pPr>
            <w:r>
              <w:t>28395.12</w:t>
            </w:r>
          </w:p>
        </w:tc>
        <w:tc>
          <w:tcPr>
            <w:tcW w:w="1800" w:type="dxa"/>
            <w:gridSpan w:val="2"/>
            <w:tcBorders>
              <w:top w:val="single" w:sz="4" w:space="0" w:color="auto"/>
              <w:left w:val="nil"/>
              <w:bottom w:val="nil"/>
              <w:right w:val="nil"/>
            </w:tcBorders>
          </w:tcPr>
          <w:p w14:paraId="3BB5C380" w14:textId="77777777" w:rsidR="00C5624E" w:rsidRDefault="00C5624E" w:rsidP="00C5624E">
            <w:pPr>
              <w:widowControl w:val="0"/>
              <w:autoSpaceDE w:val="0"/>
              <w:autoSpaceDN w:val="0"/>
              <w:adjustRightInd w:val="0"/>
              <w:spacing w:line="240" w:lineRule="auto"/>
              <w:jc w:val="center"/>
            </w:pPr>
            <w:r>
              <w:t>28395.51</w:t>
            </w:r>
          </w:p>
        </w:tc>
        <w:tc>
          <w:tcPr>
            <w:tcW w:w="1980" w:type="dxa"/>
            <w:gridSpan w:val="2"/>
            <w:tcBorders>
              <w:top w:val="single" w:sz="4" w:space="0" w:color="auto"/>
              <w:left w:val="nil"/>
              <w:bottom w:val="nil"/>
              <w:right w:val="nil"/>
            </w:tcBorders>
          </w:tcPr>
          <w:p w14:paraId="4719EC14" w14:textId="77777777" w:rsidR="00C5624E" w:rsidRDefault="00C5624E" w:rsidP="00C5624E">
            <w:pPr>
              <w:widowControl w:val="0"/>
              <w:autoSpaceDE w:val="0"/>
              <w:autoSpaceDN w:val="0"/>
              <w:adjustRightInd w:val="0"/>
              <w:spacing w:line="240" w:lineRule="auto"/>
              <w:jc w:val="center"/>
            </w:pPr>
            <w:r>
              <w:t>28386.09</w:t>
            </w:r>
          </w:p>
        </w:tc>
      </w:tr>
      <w:tr w:rsidR="00C5624E" w14:paraId="3ACB2200" w14:textId="77777777" w:rsidTr="00484854">
        <w:tc>
          <w:tcPr>
            <w:tcW w:w="3078" w:type="dxa"/>
            <w:tcBorders>
              <w:top w:val="nil"/>
              <w:left w:val="nil"/>
              <w:bottom w:val="single" w:sz="4" w:space="0" w:color="auto"/>
              <w:right w:val="nil"/>
            </w:tcBorders>
          </w:tcPr>
          <w:p w14:paraId="52B37498" w14:textId="77777777" w:rsidR="00C5624E" w:rsidRDefault="00C5624E" w:rsidP="00C5624E">
            <w:pPr>
              <w:widowControl w:val="0"/>
              <w:autoSpaceDE w:val="0"/>
              <w:autoSpaceDN w:val="0"/>
              <w:adjustRightInd w:val="0"/>
              <w:spacing w:line="240" w:lineRule="auto"/>
            </w:pPr>
            <w:r>
              <w:t>BIC</w:t>
            </w:r>
          </w:p>
        </w:tc>
        <w:tc>
          <w:tcPr>
            <w:tcW w:w="1800" w:type="dxa"/>
            <w:gridSpan w:val="2"/>
            <w:tcBorders>
              <w:top w:val="nil"/>
              <w:left w:val="nil"/>
              <w:bottom w:val="single" w:sz="4" w:space="0" w:color="auto"/>
              <w:right w:val="nil"/>
            </w:tcBorders>
          </w:tcPr>
          <w:p w14:paraId="498CD2C5" w14:textId="77777777" w:rsidR="00C5624E" w:rsidRDefault="00C5624E" w:rsidP="00C5624E">
            <w:pPr>
              <w:widowControl w:val="0"/>
              <w:autoSpaceDE w:val="0"/>
              <w:autoSpaceDN w:val="0"/>
              <w:adjustRightInd w:val="0"/>
              <w:spacing w:line="240" w:lineRule="auto"/>
              <w:jc w:val="center"/>
            </w:pPr>
            <w:r>
              <w:t>28518.32</w:t>
            </w:r>
          </w:p>
        </w:tc>
        <w:tc>
          <w:tcPr>
            <w:tcW w:w="1800" w:type="dxa"/>
            <w:gridSpan w:val="2"/>
            <w:tcBorders>
              <w:top w:val="nil"/>
              <w:left w:val="nil"/>
              <w:bottom w:val="single" w:sz="4" w:space="0" w:color="auto"/>
              <w:right w:val="nil"/>
            </w:tcBorders>
          </w:tcPr>
          <w:p w14:paraId="3A7EAA75" w14:textId="77777777" w:rsidR="00C5624E" w:rsidRDefault="00C5624E" w:rsidP="00C5624E">
            <w:pPr>
              <w:widowControl w:val="0"/>
              <w:autoSpaceDE w:val="0"/>
              <w:autoSpaceDN w:val="0"/>
              <w:adjustRightInd w:val="0"/>
              <w:spacing w:line="240" w:lineRule="auto"/>
              <w:jc w:val="center"/>
            </w:pPr>
            <w:r>
              <w:t>28527.51</w:t>
            </w:r>
          </w:p>
        </w:tc>
        <w:tc>
          <w:tcPr>
            <w:tcW w:w="1980" w:type="dxa"/>
            <w:gridSpan w:val="2"/>
            <w:tcBorders>
              <w:top w:val="nil"/>
              <w:left w:val="nil"/>
              <w:bottom w:val="single" w:sz="4" w:space="0" w:color="auto"/>
              <w:right w:val="nil"/>
            </w:tcBorders>
          </w:tcPr>
          <w:p w14:paraId="285E0AA5" w14:textId="77777777" w:rsidR="00C5624E" w:rsidRDefault="00C5624E" w:rsidP="00C5624E">
            <w:pPr>
              <w:widowControl w:val="0"/>
              <w:autoSpaceDE w:val="0"/>
              <w:autoSpaceDN w:val="0"/>
              <w:adjustRightInd w:val="0"/>
              <w:spacing w:line="240" w:lineRule="auto"/>
              <w:jc w:val="center"/>
            </w:pPr>
            <w:r>
              <w:t>28518.09</w:t>
            </w:r>
          </w:p>
        </w:tc>
      </w:tr>
    </w:tbl>
    <w:p w14:paraId="1DE42D79" w14:textId="77777777" w:rsidR="00C842A5" w:rsidRDefault="00C842A5" w:rsidP="00B9660E">
      <w:pPr>
        <w:widowControl w:val="0"/>
        <w:autoSpaceDE w:val="0"/>
        <w:autoSpaceDN w:val="0"/>
        <w:adjustRightInd w:val="0"/>
        <w:spacing w:line="240" w:lineRule="auto"/>
        <w:rPr>
          <w:sz w:val="20"/>
          <w:szCs w:val="20"/>
        </w:rPr>
      </w:pPr>
      <w:r>
        <w:rPr>
          <w:sz w:val="20"/>
          <w:szCs w:val="20"/>
        </w:rPr>
        <w:t>Standard errors in parentheses</w:t>
      </w:r>
    </w:p>
    <w:p w14:paraId="55B13BC5" w14:textId="77777777" w:rsidR="00C842A5" w:rsidRDefault="00C842A5" w:rsidP="00B9660E">
      <w:pPr>
        <w:widowControl w:val="0"/>
        <w:autoSpaceDE w:val="0"/>
        <w:autoSpaceDN w:val="0"/>
        <w:adjustRightInd w:val="0"/>
        <w:spacing w:line="240" w:lineRule="auto"/>
        <w:rPr>
          <w:sz w:val="20"/>
          <w:szCs w:val="20"/>
        </w:rPr>
      </w:pPr>
      <w:r>
        <w:rPr>
          <w:sz w:val="20"/>
          <w:szCs w:val="20"/>
        </w:rPr>
        <w:t>Source: Monitoring the Future (1976-2019)</w:t>
      </w:r>
    </w:p>
    <w:p w14:paraId="0B4ED2FB" w14:textId="77777777" w:rsidR="00C842A5" w:rsidRDefault="00C842A5" w:rsidP="00B9660E">
      <w:pPr>
        <w:widowControl w:val="0"/>
        <w:autoSpaceDE w:val="0"/>
        <w:autoSpaceDN w:val="0"/>
        <w:adjustRightInd w:val="0"/>
        <w:spacing w:line="240" w:lineRule="auto"/>
        <w:rPr>
          <w:sz w:val="20"/>
          <w:szCs w:val="20"/>
        </w:rPr>
      </w:pP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p>
    <w:p w14:paraId="6A009590" w14:textId="77777777" w:rsidR="00C842A5" w:rsidRDefault="00C842A5" w:rsidP="006E7BBC">
      <w:pPr>
        <w:widowControl w:val="0"/>
        <w:autoSpaceDE w:val="0"/>
        <w:autoSpaceDN w:val="0"/>
        <w:adjustRightInd w:val="0"/>
      </w:pPr>
    </w:p>
    <w:p w14:paraId="30FFA2B6" w14:textId="7EC3D44C" w:rsidR="00CF2501" w:rsidRDefault="00523C92" w:rsidP="006E7BBC">
      <w:r>
        <w:rPr>
          <w:noProof/>
        </w:rPr>
        <w:lastRenderedPageBreak/>
        <w:drawing>
          <wp:inline distT="0" distB="0" distL="0" distR="0" wp14:anchorId="39B46929" wp14:editId="01B5F140">
            <wp:extent cx="5943600" cy="3958590"/>
            <wp:effectExtent l="0" t="0" r="0" b="381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3600" cy="3958590"/>
                    </a:xfrm>
                    <a:prstGeom prst="rect">
                      <a:avLst/>
                    </a:prstGeom>
                  </pic:spPr>
                </pic:pic>
              </a:graphicData>
            </a:graphic>
          </wp:inline>
        </w:drawing>
      </w:r>
      <w:r w:rsidR="00000A44">
        <w:tab/>
        <w:t xml:space="preserve">Model 2 in Table </w:t>
      </w:r>
      <w:r w:rsidR="002D1471">
        <w:t>3</w:t>
      </w:r>
      <w:r w:rsidR="00000A44">
        <w:t xml:space="preserve"> displays the results for </w:t>
      </w:r>
      <w:r w:rsidR="00641281">
        <w:t xml:space="preserve">the interaction between gender and family structure. Results reveal that young men from patriarchal homes have 0.09 higher log odds of trying cocaine when compared to young men from egalitarian homes, though we turn to the predicted probabilities displayed in Figure 5 for further analysis. </w:t>
      </w:r>
      <w:r w:rsidR="00551562">
        <w:t xml:space="preserve">Looking at Figure 5, I find that </w:t>
      </w:r>
      <w:r w:rsidR="00D33F1E">
        <w:t xml:space="preserve">there is a slight but </w:t>
      </w:r>
      <w:r w:rsidR="00DD2ACE">
        <w:t xml:space="preserve">non-statistically </w:t>
      </w:r>
      <w:r w:rsidR="00D33F1E">
        <w:t>significant d</w:t>
      </w:r>
      <w:r w:rsidR="00D62961">
        <w:t xml:space="preserve">ifference in the predicted probabilities for young men in patriarchal homes compared to young men in egalitarian homes. </w:t>
      </w:r>
      <w:r w:rsidR="00A45C14">
        <w:t xml:space="preserve">The </w:t>
      </w:r>
      <w:r w:rsidR="006F44C8">
        <w:t xml:space="preserve">1.3 percent </w:t>
      </w:r>
      <w:r w:rsidR="00A45C14">
        <w:t xml:space="preserve">difference in predicted probabilities for women, however, </w:t>
      </w:r>
      <w:r w:rsidR="006F44C8">
        <w:t xml:space="preserve">is statistically significant. </w:t>
      </w:r>
    </w:p>
    <w:p w14:paraId="26C2A532" w14:textId="4A1352FF" w:rsidR="00641281" w:rsidRDefault="00CF2501" w:rsidP="002035EB">
      <w:pPr>
        <w:ind w:firstLine="720"/>
      </w:pPr>
      <w:r>
        <w:t>Observing gender differences in youth from patriarchal families,</w:t>
      </w:r>
      <w:r w:rsidR="005F79B5">
        <w:t xml:space="preserve"> there is a first-order difference in predicted probabilities of 3.3 percent. The gender difference in predicted probabilities for youth from egalitarian families is slightly smaller at 2.9 percent, though the difference between each gender difference (the second-order difference of 0.4 percent) is not statistically significant. </w:t>
      </w:r>
      <w:r w:rsidR="006F44C8">
        <w:t xml:space="preserve">These findings </w:t>
      </w:r>
      <w:r w:rsidR="005F79B5">
        <w:t>do not</w:t>
      </w:r>
      <w:r w:rsidR="00141B34">
        <w:t xml:space="preserve"> support</w:t>
      </w:r>
      <w:r w:rsidR="006F44C8">
        <w:t xml:space="preserve"> </w:t>
      </w:r>
      <w:r w:rsidR="006F44C8" w:rsidRPr="001563C8">
        <w:rPr>
          <w:i/>
          <w:iCs/>
        </w:rPr>
        <w:t>Hypothesis 2</w:t>
      </w:r>
      <w:r w:rsidR="008C3B0F">
        <w:t>. W</w:t>
      </w:r>
      <w:r w:rsidR="00F24611">
        <w:t xml:space="preserve">hile each gender </w:t>
      </w:r>
      <w:r w:rsidR="00F24611">
        <w:lastRenderedPageBreak/>
        <w:t xml:space="preserve">difference represented in Figure 5 is </w:t>
      </w:r>
      <w:r w:rsidR="008C3B0F">
        <w:t xml:space="preserve">statistically </w:t>
      </w:r>
      <w:r w:rsidR="00F24611">
        <w:t>significant, they are not significantly different from each other</w:t>
      </w:r>
      <w:r w:rsidR="00265301">
        <w:t xml:space="preserve">. Patriarchal family structures in these data do not contribute to a larger gender gap in cocaine use when compared to egalitarian families. </w:t>
      </w:r>
    </w:p>
    <w:p w14:paraId="43D1C4C8" w14:textId="6263E962" w:rsidR="00F703C5" w:rsidRDefault="00A66AAD" w:rsidP="006E7BBC">
      <w:r>
        <w:rPr>
          <w:noProof/>
        </w:rPr>
        <w:drawing>
          <wp:anchor distT="0" distB="0" distL="114300" distR="114300" simplePos="0" relativeHeight="251670528" behindDoc="1" locked="0" layoutInCell="1" allowOverlap="1" wp14:anchorId="78FAC35F" wp14:editId="2DFD5242">
            <wp:simplePos x="0" y="0"/>
            <wp:positionH relativeFrom="margin">
              <wp:align>center</wp:align>
            </wp:positionH>
            <wp:positionV relativeFrom="paragraph">
              <wp:posOffset>178890</wp:posOffset>
            </wp:positionV>
            <wp:extent cx="5835650" cy="3890010"/>
            <wp:effectExtent l="0" t="0" r="0" b="0"/>
            <wp:wrapSquare wrapText="bothSides"/>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35650" cy="3890010"/>
                    </a:xfrm>
                    <a:prstGeom prst="rect">
                      <a:avLst/>
                    </a:prstGeom>
                  </pic:spPr>
                </pic:pic>
              </a:graphicData>
            </a:graphic>
            <wp14:sizeRelH relativeFrom="margin">
              <wp14:pctWidth>0</wp14:pctWidth>
            </wp14:sizeRelH>
            <wp14:sizeRelV relativeFrom="margin">
              <wp14:pctHeight>0</wp14:pctHeight>
            </wp14:sizeRelV>
          </wp:anchor>
        </w:drawing>
      </w:r>
    </w:p>
    <w:p w14:paraId="6194ACEF" w14:textId="36B27C9B" w:rsidR="00012AE1" w:rsidRPr="00E62D1F" w:rsidRDefault="001D366A" w:rsidP="006E7BBC">
      <w:r>
        <w:tab/>
        <w:t xml:space="preserve">Model 3 in Table </w:t>
      </w:r>
      <w:r w:rsidR="00866880">
        <w:t>3</w:t>
      </w:r>
      <w:r>
        <w:t xml:space="preserve"> displays the results for the interaction between gender and attitudes towards patriarchal norms. Here we see that young men who agree with patriarchal norms have </w:t>
      </w:r>
      <w:r w:rsidR="00F24611">
        <w:t>0.23 higher log odds of trying cocaine th</w:t>
      </w:r>
      <w:r w:rsidR="007145DE">
        <w:t>a</w:t>
      </w:r>
      <w:r w:rsidR="00F24611">
        <w:t>n young men who disagree with patriarchal norms. Turning to Figure 6</w:t>
      </w:r>
      <w:r w:rsidR="00FC7953">
        <w:t xml:space="preserve">, we see that young men who agree with </w:t>
      </w:r>
      <w:r w:rsidR="00C41D6E">
        <w:t>patriarchal norms have a 10.8 percent predicted probability of trying cocaine, while young men who disagree with such norms have a 9.9</w:t>
      </w:r>
      <w:r w:rsidR="007145DE">
        <w:t xml:space="preserve"> percent</w:t>
      </w:r>
      <w:r w:rsidR="00C41D6E">
        <w:t xml:space="preserve"> predicted probability. </w:t>
      </w:r>
      <w:r w:rsidR="00D7169D">
        <w:t xml:space="preserve">While small, this </w:t>
      </w:r>
      <w:r w:rsidR="00846433">
        <w:t>0.9 percent difference is</w:t>
      </w:r>
      <w:r w:rsidR="007145DE">
        <w:t xml:space="preserve"> statistically</w:t>
      </w:r>
      <w:r w:rsidR="00846433">
        <w:t xml:space="preserve"> significant. Young women too, have a significant difference in predicted probabilities, though </w:t>
      </w:r>
      <w:r w:rsidR="0077148D">
        <w:t xml:space="preserve">in </w:t>
      </w:r>
      <w:r w:rsidR="00517D6C">
        <w:t>the</w:t>
      </w:r>
      <w:r w:rsidR="0077148D">
        <w:t xml:space="preserve"> reverse direction. While the predicted probabilities increase for young men when they agree with patriarchal norms compared to young men who disagree, the predicted probability </w:t>
      </w:r>
      <w:r w:rsidR="00E62D1F">
        <w:t xml:space="preserve">of using </w:t>
      </w:r>
      <w:r w:rsidR="00E62D1F">
        <w:lastRenderedPageBreak/>
        <w:t xml:space="preserve">cocaine for young women who agree with patriarchal norms is significantly </w:t>
      </w:r>
      <w:r w:rsidR="00E62D1F">
        <w:rPr>
          <w:i/>
          <w:iCs/>
        </w:rPr>
        <w:t>less</w:t>
      </w:r>
      <w:r w:rsidR="00E62D1F">
        <w:t xml:space="preserve"> than the predicted probability for young women who disagree with such norms. </w:t>
      </w:r>
    </w:p>
    <w:p w14:paraId="79A7F373" w14:textId="0F05D5C5" w:rsidR="00F703C5" w:rsidRPr="00C842A5" w:rsidRDefault="00FF725A" w:rsidP="006E7BBC">
      <w:r>
        <w:rPr>
          <w:noProof/>
        </w:rPr>
        <w:drawing>
          <wp:inline distT="0" distB="0" distL="0" distR="0" wp14:anchorId="6DE6B11E" wp14:editId="3270E1A2">
            <wp:extent cx="5943600" cy="3958590"/>
            <wp:effectExtent l="0" t="0" r="0" b="381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943600" cy="3958590"/>
                    </a:xfrm>
                    <a:prstGeom prst="rect">
                      <a:avLst/>
                    </a:prstGeom>
                  </pic:spPr>
                </pic:pic>
              </a:graphicData>
            </a:graphic>
          </wp:inline>
        </w:drawing>
      </w:r>
    </w:p>
    <w:p w14:paraId="589379A1" w14:textId="10FF6570" w:rsidR="00012AE1" w:rsidRPr="00170ADE" w:rsidRDefault="00012AE1" w:rsidP="006E7BBC">
      <w:r>
        <w:tab/>
        <w:t xml:space="preserve">Furthermore, amongst young men and women who agree with patriarchal norms, there is a 4 percent first-order </w:t>
      </w:r>
      <w:r w:rsidR="00871C55">
        <w:t xml:space="preserve">gender </w:t>
      </w:r>
      <w:r>
        <w:t>difference of predicted probabilities for using cocaine. For youth who disagree with patriarchal norms, there is a 2.2 percent difference. The</w:t>
      </w:r>
      <w:r w:rsidR="0084457D">
        <w:t xml:space="preserve"> second-order difference between these two gender differences is also statistically significant, </w:t>
      </w:r>
      <w:r w:rsidR="00871C55">
        <w:t xml:space="preserve">meaning </w:t>
      </w:r>
      <w:r w:rsidR="0084457D">
        <w:t xml:space="preserve">that while there is still a significant gender difference in predicted cocaine use for youth who disagree with patriarchal norms, it is significantly smaller than the gender difference seen amongst youth who agree with such norms. </w:t>
      </w:r>
      <w:r w:rsidR="00871C55">
        <w:t xml:space="preserve">These findings support </w:t>
      </w:r>
      <w:r w:rsidR="00871C55">
        <w:rPr>
          <w:i/>
          <w:iCs/>
        </w:rPr>
        <w:t>Hypothesis 3,</w:t>
      </w:r>
      <w:r w:rsidR="00871C55">
        <w:t xml:space="preserve"> which posits that </w:t>
      </w:r>
      <w:r w:rsidR="00D1022F">
        <w:t xml:space="preserve">agreeing with patriarchal norms contributes to a larger gender difference in predicted cocaine use when compared to disagreement with patriarchal norms. </w:t>
      </w:r>
    </w:p>
    <w:p w14:paraId="7F508B11" w14:textId="4BC17ADE" w:rsidR="001709E6" w:rsidRDefault="001709E6" w:rsidP="00EF36D7">
      <w:pPr>
        <w:pStyle w:val="Heading2"/>
      </w:pPr>
      <w:bookmarkStart w:id="25" w:name="_Toc102664119"/>
      <w:r>
        <w:lastRenderedPageBreak/>
        <w:t>Heroin</w:t>
      </w:r>
      <w:bookmarkEnd w:id="25"/>
    </w:p>
    <w:p w14:paraId="236580BD" w14:textId="27E6D3D8" w:rsidR="00C842A5" w:rsidRPr="00F330B3" w:rsidRDefault="00F330B3" w:rsidP="006E7BBC">
      <w:r>
        <w:tab/>
        <w:t xml:space="preserve">Table </w:t>
      </w:r>
      <w:r w:rsidR="00517D6C">
        <w:t>4</w:t>
      </w:r>
      <w:r>
        <w:t xml:space="preserve"> displays the results for all three models performed on the </w:t>
      </w:r>
      <w:r w:rsidR="004867B4">
        <w:t xml:space="preserve">subgroup </w:t>
      </w:r>
      <w:r>
        <w:t xml:space="preserve">focusing on heroin use. Here, we see that young men have 0.49 higher log odds of using heroin compared to women. This relationship is depicted in Figure 7, displayed in predicted probabilities. From Figure 7, we see that young men have a 1.2 percent predicted probability of using heroin, while young women have a 0.7 percent predicted probability. This </w:t>
      </w:r>
      <w:r w:rsidR="00283FDF">
        <w:t xml:space="preserve">0.5 percent difference, while small, is statistically significant. </w:t>
      </w:r>
    </w:p>
    <w:p w14:paraId="5A7D85B0" w14:textId="5E712A8C" w:rsidR="008E2FDE" w:rsidRPr="001563C8" w:rsidRDefault="008E2FDE" w:rsidP="006E7BBC">
      <w:pPr>
        <w:keepNext/>
        <w:widowControl w:val="0"/>
        <w:autoSpaceDE w:val="0"/>
        <w:autoSpaceDN w:val="0"/>
        <w:adjustRightInd w:val="0"/>
        <w:spacing w:line="240" w:lineRule="auto"/>
        <w:rPr>
          <w:b/>
          <w:bCs/>
        </w:rPr>
      </w:pPr>
      <w:r w:rsidRPr="001563C8">
        <w:rPr>
          <w:b/>
          <w:bCs/>
        </w:rPr>
        <w:t xml:space="preserve">Table </w:t>
      </w:r>
      <w:r w:rsidR="00517D6C">
        <w:rPr>
          <w:b/>
          <w:bCs/>
        </w:rPr>
        <w:t>4</w:t>
      </w:r>
      <w:r w:rsidRPr="001563C8">
        <w:rPr>
          <w:b/>
          <w:bCs/>
        </w:rPr>
        <w:t>. Ordinal Logistic Regression of Lifetime Heroin use on Independent Variables</w:t>
      </w:r>
    </w:p>
    <w:tbl>
      <w:tblPr>
        <w:tblW w:w="0" w:type="auto"/>
        <w:tblLayout w:type="fixed"/>
        <w:tblLook w:val="0000" w:firstRow="0" w:lastRow="0" w:firstColumn="0" w:lastColumn="0" w:noHBand="0" w:noVBand="0"/>
      </w:tblPr>
      <w:tblGrid>
        <w:gridCol w:w="3168"/>
        <w:gridCol w:w="1080"/>
        <w:gridCol w:w="720"/>
        <w:gridCol w:w="990"/>
        <w:gridCol w:w="720"/>
        <w:gridCol w:w="1080"/>
        <w:gridCol w:w="810"/>
      </w:tblGrid>
      <w:tr w:rsidR="008E2FDE" w14:paraId="31D9AC2A" w14:textId="77777777" w:rsidTr="00484854">
        <w:tc>
          <w:tcPr>
            <w:tcW w:w="3168" w:type="dxa"/>
            <w:tcBorders>
              <w:top w:val="single" w:sz="4" w:space="0" w:color="auto"/>
              <w:left w:val="nil"/>
              <w:bottom w:val="nil"/>
              <w:right w:val="nil"/>
            </w:tcBorders>
          </w:tcPr>
          <w:p w14:paraId="1C7E8AC7" w14:textId="77777777" w:rsidR="008E2FDE" w:rsidRDefault="008E2FDE" w:rsidP="006E7BBC">
            <w:pPr>
              <w:widowControl w:val="0"/>
              <w:autoSpaceDE w:val="0"/>
              <w:autoSpaceDN w:val="0"/>
              <w:adjustRightInd w:val="0"/>
              <w:spacing w:line="240" w:lineRule="auto"/>
            </w:pPr>
          </w:p>
        </w:tc>
        <w:tc>
          <w:tcPr>
            <w:tcW w:w="1800" w:type="dxa"/>
            <w:gridSpan w:val="2"/>
            <w:tcBorders>
              <w:top w:val="single" w:sz="4" w:space="0" w:color="auto"/>
              <w:left w:val="nil"/>
              <w:bottom w:val="nil"/>
              <w:right w:val="nil"/>
            </w:tcBorders>
          </w:tcPr>
          <w:p w14:paraId="3D9EC5F7" w14:textId="77777777" w:rsidR="008E2FDE" w:rsidRDefault="008E2FDE" w:rsidP="006E7BBC">
            <w:pPr>
              <w:widowControl w:val="0"/>
              <w:autoSpaceDE w:val="0"/>
              <w:autoSpaceDN w:val="0"/>
              <w:adjustRightInd w:val="0"/>
              <w:spacing w:line="240" w:lineRule="auto"/>
              <w:jc w:val="center"/>
            </w:pPr>
            <w:r>
              <w:t>Model 1</w:t>
            </w:r>
          </w:p>
        </w:tc>
        <w:tc>
          <w:tcPr>
            <w:tcW w:w="1710" w:type="dxa"/>
            <w:gridSpan w:val="2"/>
            <w:tcBorders>
              <w:top w:val="single" w:sz="4" w:space="0" w:color="auto"/>
              <w:left w:val="nil"/>
              <w:bottom w:val="nil"/>
              <w:right w:val="nil"/>
            </w:tcBorders>
          </w:tcPr>
          <w:p w14:paraId="0F1D6E20" w14:textId="77777777" w:rsidR="008E2FDE" w:rsidRDefault="008E2FDE" w:rsidP="006E7BBC">
            <w:pPr>
              <w:widowControl w:val="0"/>
              <w:autoSpaceDE w:val="0"/>
              <w:autoSpaceDN w:val="0"/>
              <w:adjustRightInd w:val="0"/>
              <w:spacing w:line="240" w:lineRule="auto"/>
              <w:jc w:val="center"/>
            </w:pPr>
            <w:r>
              <w:t>Model 2</w:t>
            </w:r>
          </w:p>
        </w:tc>
        <w:tc>
          <w:tcPr>
            <w:tcW w:w="1890" w:type="dxa"/>
            <w:gridSpan w:val="2"/>
            <w:tcBorders>
              <w:top w:val="single" w:sz="4" w:space="0" w:color="auto"/>
              <w:left w:val="nil"/>
              <w:bottom w:val="nil"/>
              <w:right w:val="nil"/>
            </w:tcBorders>
          </w:tcPr>
          <w:p w14:paraId="7716697C" w14:textId="77777777" w:rsidR="008E2FDE" w:rsidRDefault="008E2FDE" w:rsidP="006E7BBC">
            <w:pPr>
              <w:widowControl w:val="0"/>
              <w:autoSpaceDE w:val="0"/>
              <w:autoSpaceDN w:val="0"/>
              <w:adjustRightInd w:val="0"/>
              <w:spacing w:line="240" w:lineRule="auto"/>
              <w:jc w:val="center"/>
            </w:pPr>
            <w:r>
              <w:t>Model 3</w:t>
            </w:r>
          </w:p>
        </w:tc>
      </w:tr>
      <w:tr w:rsidR="00C5624E" w14:paraId="5C696311" w14:textId="77777777" w:rsidTr="00484854">
        <w:tc>
          <w:tcPr>
            <w:tcW w:w="3168" w:type="dxa"/>
            <w:tcBorders>
              <w:top w:val="single" w:sz="4" w:space="0" w:color="auto"/>
              <w:left w:val="nil"/>
              <w:bottom w:val="nil"/>
              <w:right w:val="nil"/>
            </w:tcBorders>
          </w:tcPr>
          <w:p w14:paraId="06AE9350" w14:textId="77777777" w:rsidR="00C5624E" w:rsidRDefault="00C5624E" w:rsidP="00C5624E">
            <w:pPr>
              <w:widowControl w:val="0"/>
              <w:autoSpaceDE w:val="0"/>
              <w:autoSpaceDN w:val="0"/>
              <w:adjustRightInd w:val="0"/>
              <w:spacing w:line="240" w:lineRule="auto"/>
            </w:pPr>
          </w:p>
        </w:tc>
        <w:tc>
          <w:tcPr>
            <w:tcW w:w="1080" w:type="dxa"/>
            <w:tcBorders>
              <w:top w:val="single" w:sz="4" w:space="0" w:color="auto"/>
              <w:left w:val="nil"/>
              <w:bottom w:val="nil"/>
              <w:right w:val="nil"/>
            </w:tcBorders>
          </w:tcPr>
          <w:p w14:paraId="7256258C" w14:textId="6F280CA3" w:rsidR="00C5624E" w:rsidRDefault="00C5624E" w:rsidP="00C5624E">
            <w:pPr>
              <w:widowControl w:val="0"/>
              <w:autoSpaceDE w:val="0"/>
              <w:autoSpaceDN w:val="0"/>
              <w:adjustRightInd w:val="0"/>
              <w:spacing w:line="240" w:lineRule="auto"/>
              <w:jc w:val="center"/>
            </w:pPr>
            <w:r w:rsidRPr="00915136">
              <w:rPr>
                <w:i/>
                <w:iCs/>
              </w:rPr>
              <w:t>β</w:t>
            </w:r>
          </w:p>
        </w:tc>
        <w:tc>
          <w:tcPr>
            <w:tcW w:w="720" w:type="dxa"/>
            <w:tcBorders>
              <w:top w:val="single" w:sz="4" w:space="0" w:color="auto"/>
              <w:left w:val="nil"/>
              <w:bottom w:val="nil"/>
              <w:right w:val="nil"/>
            </w:tcBorders>
          </w:tcPr>
          <w:p w14:paraId="6DEB629E" w14:textId="6E79B183" w:rsidR="00C5624E" w:rsidRDefault="00C5624E" w:rsidP="00C5624E">
            <w:pPr>
              <w:widowControl w:val="0"/>
              <w:autoSpaceDE w:val="0"/>
              <w:autoSpaceDN w:val="0"/>
              <w:adjustRightInd w:val="0"/>
              <w:spacing w:line="240" w:lineRule="auto"/>
              <w:jc w:val="center"/>
            </w:pPr>
            <w:r w:rsidRPr="00915136">
              <w:rPr>
                <w:i/>
                <w:iCs/>
              </w:rPr>
              <w:t>SE</w:t>
            </w:r>
          </w:p>
        </w:tc>
        <w:tc>
          <w:tcPr>
            <w:tcW w:w="990" w:type="dxa"/>
            <w:tcBorders>
              <w:top w:val="single" w:sz="4" w:space="0" w:color="auto"/>
              <w:left w:val="nil"/>
              <w:bottom w:val="nil"/>
              <w:right w:val="nil"/>
            </w:tcBorders>
          </w:tcPr>
          <w:p w14:paraId="7A3343DA" w14:textId="451D3051" w:rsidR="00C5624E" w:rsidRDefault="00C5624E" w:rsidP="00C5624E">
            <w:pPr>
              <w:widowControl w:val="0"/>
              <w:autoSpaceDE w:val="0"/>
              <w:autoSpaceDN w:val="0"/>
              <w:adjustRightInd w:val="0"/>
              <w:spacing w:line="240" w:lineRule="auto"/>
              <w:jc w:val="center"/>
            </w:pPr>
            <w:r w:rsidRPr="00915136">
              <w:rPr>
                <w:i/>
                <w:iCs/>
              </w:rPr>
              <w:t>β</w:t>
            </w:r>
          </w:p>
        </w:tc>
        <w:tc>
          <w:tcPr>
            <w:tcW w:w="720" w:type="dxa"/>
            <w:tcBorders>
              <w:top w:val="single" w:sz="4" w:space="0" w:color="auto"/>
              <w:left w:val="nil"/>
              <w:bottom w:val="nil"/>
              <w:right w:val="nil"/>
            </w:tcBorders>
          </w:tcPr>
          <w:p w14:paraId="1BBEF729" w14:textId="0BD372E3" w:rsidR="00C5624E" w:rsidRDefault="00C5624E" w:rsidP="00C5624E">
            <w:pPr>
              <w:widowControl w:val="0"/>
              <w:autoSpaceDE w:val="0"/>
              <w:autoSpaceDN w:val="0"/>
              <w:adjustRightInd w:val="0"/>
              <w:spacing w:line="240" w:lineRule="auto"/>
              <w:jc w:val="center"/>
            </w:pPr>
            <w:r w:rsidRPr="00915136">
              <w:rPr>
                <w:i/>
                <w:iCs/>
              </w:rPr>
              <w:t>SE</w:t>
            </w:r>
          </w:p>
        </w:tc>
        <w:tc>
          <w:tcPr>
            <w:tcW w:w="1080" w:type="dxa"/>
            <w:tcBorders>
              <w:top w:val="single" w:sz="4" w:space="0" w:color="auto"/>
              <w:left w:val="nil"/>
              <w:bottom w:val="nil"/>
              <w:right w:val="nil"/>
            </w:tcBorders>
          </w:tcPr>
          <w:p w14:paraId="081CA834" w14:textId="6E71FE80" w:rsidR="00C5624E" w:rsidRDefault="00C5624E" w:rsidP="00C5624E">
            <w:pPr>
              <w:widowControl w:val="0"/>
              <w:autoSpaceDE w:val="0"/>
              <w:autoSpaceDN w:val="0"/>
              <w:adjustRightInd w:val="0"/>
              <w:spacing w:line="240" w:lineRule="auto"/>
              <w:jc w:val="center"/>
            </w:pPr>
            <w:r w:rsidRPr="00915136">
              <w:rPr>
                <w:i/>
                <w:iCs/>
              </w:rPr>
              <w:t>β</w:t>
            </w:r>
          </w:p>
        </w:tc>
        <w:tc>
          <w:tcPr>
            <w:tcW w:w="810" w:type="dxa"/>
            <w:tcBorders>
              <w:top w:val="single" w:sz="4" w:space="0" w:color="auto"/>
              <w:left w:val="nil"/>
              <w:bottom w:val="nil"/>
              <w:right w:val="nil"/>
            </w:tcBorders>
          </w:tcPr>
          <w:p w14:paraId="4E6D913B" w14:textId="263D790D" w:rsidR="00C5624E" w:rsidRDefault="00C5624E" w:rsidP="00C5624E">
            <w:pPr>
              <w:widowControl w:val="0"/>
              <w:autoSpaceDE w:val="0"/>
              <w:autoSpaceDN w:val="0"/>
              <w:adjustRightInd w:val="0"/>
              <w:spacing w:line="240" w:lineRule="auto"/>
              <w:jc w:val="center"/>
            </w:pPr>
            <w:r w:rsidRPr="00915136">
              <w:rPr>
                <w:i/>
                <w:iCs/>
              </w:rPr>
              <w:t>SE</w:t>
            </w:r>
          </w:p>
        </w:tc>
      </w:tr>
      <w:tr w:rsidR="00C5624E" w14:paraId="4B699182" w14:textId="77777777" w:rsidTr="00484854">
        <w:tc>
          <w:tcPr>
            <w:tcW w:w="3168" w:type="dxa"/>
            <w:tcBorders>
              <w:top w:val="nil"/>
              <w:left w:val="nil"/>
              <w:bottom w:val="nil"/>
              <w:right w:val="nil"/>
            </w:tcBorders>
          </w:tcPr>
          <w:p w14:paraId="520A6CD3" w14:textId="367A186C" w:rsidR="00C5624E" w:rsidRPr="005770DF" w:rsidRDefault="00C5624E" w:rsidP="00C5624E">
            <w:pPr>
              <w:widowControl w:val="0"/>
              <w:autoSpaceDE w:val="0"/>
              <w:autoSpaceDN w:val="0"/>
              <w:adjustRightInd w:val="0"/>
              <w:spacing w:line="240" w:lineRule="auto"/>
              <w:rPr>
                <w:b/>
                <w:bCs/>
                <w:u w:val="single"/>
              </w:rPr>
            </w:pPr>
            <w:r>
              <w:rPr>
                <w:b/>
                <w:bCs/>
                <w:u w:val="single"/>
              </w:rPr>
              <w:t>Main Effects</w:t>
            </w:r>
          </w:p>
        </w:tc>
        <w:tc>
          <w:tcPr>
            <w:tcW w:w="1080" w:type="dxa"/>
            <w:tcBorders>
              <w:top w:val="nil"/>
              <w:left w:val="nil"/>
              <w:bottom w:val="nil"/>
              <w:right w:val="nil"/>
            </w:tcBorders>
          </w:tcPr>
          <w:p w14:paraId="74FDB8D6" w14:textId="77777777" w:rsidR="00C5624E" w:rsidRDefault="00C5624E" w:rsidP="00C5624E">
            <w:pPr>
              <w:widowControl w:val="0"/>
              <w:autoSpaceDE w:val="0"/>
              <w:autoSpaceDN w:val="0"/>
              <w:adjustRightInd w:val="0"/>
              <w:spacing w:line="240" w:lineRule="auto"/>
              <w:jc w:val="center"/>
            </w:pPr>
          </w:p>
        </w:tc>
        <w:tc>
          <w:tcPr>
            <w:tcW w:w="720" w:type="dxa"/>
            <w:tcBorders>
              <w:top w:val="nil"/>
              <w:left w:val="nil"/>
              <w:bottom w:val="nil"/>
              <w:right w:val="nil"/>
            </w:tcBorders>
          </w:tcPr>
          <w:p w14:paraId="44A8CFF2" w14:textId="77777777" w:rsidR="00C5624E" w:rsidRDefault="00C5624E" w:rsidP="00C5624E">
            <w:pPr>
              <w:widowControl w:val="0"/>
              <w:autoSpaceDE w:val="0"/>
              <w:autoSpaceDN w:val="0"/>
              <w:adjustRightInd w:val="0"/>
              <w:spacing w:line="240" w:lineRule="auto"/>
              <w:jc w:val="center"/>
            </w:pPr>
          </w:p>
        </w:tc>
        <w:tc>
          <w:tcPr>
            <w:tcW w:w="990" w:type="dxa"/>
            <w:tcBorders>
              <w:top w:val="nil"/>
              <w:left w:val="nil"/>
              <w:bottom w:val="nil"/>
              <w:right w:val="nil"/>
            </w:tcBorders>
          </w:tcPr>
          <w:p w14:paraId="1B3E4777" w14:textId="77777777" w:rsidR="00C5624E" w:rsidRDefault="00C5624E" w:rsidP="00C5624E">
            <w:pPr>
              <w:widowControl w:val="0"/>
              <w:autoSpaceDE w:val="0"/>
              <w:autoSpaceDN w:val="0"/>
              <w:adjustRightInd w:val="0"/>
              <w:spacing w:line="240" w:lineRule="auto"/>
              <w:jc w:val="center"/>
            </w:pPr>
          </w:p>
        </w:tc>
        <w:tc>
          <w:tcPr>
            <w:tcW w:w="720" w:type="dxa"/>
            <w:tcBorders>
              <w:top w:val="nil"/>
              <w:left w:val="nil"/>
              <w:bottom w:val="nil"/>
              <w:right w:val="nil"/>
            </w:tcBorders>
          </w:tcPr>
          <w:p w14:paraId="3F485DD2" w14:textId="77777777" w:rsidR="00C5624E" w:rsidRDefault="00C5624E" w:rsidP="00C5624E">
            <w:pPr>
              <w:widowControl w:val="0"/>
              <w:autoSpaceDE w:val="0"/>
              <w:autoSpaceDN w:val="0"/>
              <w:adjustRightInd w:val="0"/>
              <w:spacing w:line="240" w:lineRule="auto"/>
              <w:jc w:val="center"/>
            </w:pPr>
          </w:p>
        </w:tc>
        <w:tc>
          <w:tcPr>
            <w:tcW w:w="1080" w:type="dxa"/>
            <w:tcBorders>
              <w:top w:val="nil"/>
              <w:left w:val="nil"/>
              <w:bottom w:val="nil"/>
              <w:right w:val="nil"/>
            </w:tcBorders>
          </w:tcPr>
          <w:p w14:paraId="564426F7" w14:textId="77777777" w:rsidR="00C5624E" w:rsidRDefault="00C5624E" w:rsidP="00C5624E">
            <w:pPr>
              <w:widowControl w:val="0"/>
              <w:autoSpaceDE w:val="0"/>
              <w:autoSpaceDN w:val="0"/>
              <w:adjustRightInd w:val="0"/>
              <w:spacing w:line="240" w:lineRule="auto"/>
              <w:jc w:val="center"/>
            </w:pPr>
          </w:p>
        </w:tc>
        <w:tc>
          <w:tcPr>
            <w:tcW w:w="810" w:type="dxa"/>
            <w:tcBorders>
              <w:top w:val="nil"/>
              <w:left w:val="nil"/>
              <w:bottom w:val="nil"/>
              <w:right w:val="nil"/>
            </w:tcBorders>
          </w:tcPr>
          <w:p w14:paraId="0F97BE3B" w14:textId="77777777" w:rsidR="00C5624E" w:rsidRDefault="00C5624E" w:rsidP="00C5624E">
            <w:pPr>
              <w:widowControl w:val="0"/>
              <w:autoSpaceDE w:val="0"/>
              <w:autoSpaceDN w:val="0"/>
              <w:adjustRightInd w:val="0"/>
              <w:spacing w:line="240" w:lineRule="auto"/>
              <w:jc w:val="center"/>
            </w:pPr>
          </w:p>
        </w:tc>
      </w:tr>
      <w:tr w:rsidR="00C5624E" w14:paraId="489BAD58" w14:textId="77777777" w:rsidTr="00484854">
        <w:tc>
          <w:tcPr>
            <w:tcW w:w="3168" w:type="dxa"/>
            <w:tcBorders>
              <w:top w:val="nil"/>
              <w:left w:val="nil"/>
              <w:bottom w:val="nil"/>
              <w:right w:val="nil"/>
            </w:tcBorders>
          </w:tcPr>
          <w:p w14:paraId="2C000B49" w14:textId="44E14EA0" w:rsidR="00C5624E" w:rsidRDefault="00C5624E" w:rsidP="00C5624E">
            <w:pPr>
              <w:widowControl w:val="0"/>
              <w:autoSpaceDE w:val="0"/>
              <w:autoSpaceDN w:val="0"/>
              <w:adjustRightInd w:val="0"/>
              <w:spacing w:line="240" w:lineRule="auto"/>
            </w:pPr>
            <w:r>
              <w:t>Men</w:t>
            </w:r>
          </w:p>
        </w:tc>
        <w:tc>
          <w:tcPr>
            <w:tcW w:w="1080" w:type="dxa"/>
            <w:tcBorders>
              <w:top w:val="nil"/>
              <w:left w:val="nil"/>
              <w:bottom w:val="nil"/>
              <w:right w:val="nil"/>
            </w:tcBorders>
          </w:tcPr>
          <w:p w14:paraId="18BDA7F1" w14:textId="3A1FADDE" w:rsidR="00C5624E" w:rsidRDefault="00C5624E" w:rsidP="00C5624E">
            <w:pPr>
              <w:widowControl w:val="0"/>
              <w:tabs>
                <w:tab w:val="decimal" w:pos="249"/>
              </w:tabs>
              <w:autoSpaceDE w:val="0"/>
              <w:autoSpaceDN w:val="0"/>
              <w:adjustRightInd w:val="0"/>
              <w:spacing w:line="240" w:lineRule="auto"/>
            </w:pPr>
            <w:r>
              <w:t>0.49</w:t>
            </w:r>
            <w:r>
              <w:rPr>
                <w:vertAlign w:val="superscript"/>
              </w:rPr>
              <w:t>***</w:t>
            </w:r>
          </w:p>
        </w:tc>
        <w:tc>
          <w:tcPr>
            <w:tcW w:w="720" w:type="dxa"/>
            <w:tcBorders>
              <w:top w:val="nil"/>
              <w:left w:val="nil"/>
              <w:bottom w:val="nil"/>
              <w:right w:val="nil"/>
            </w:tcBorders>
          </w:tcPr>
          <w:p w14:paraId="3EE099C6" w14:textId="77777777" w:rsidR="00C5624E" w:rsidRDefault="00C5624E" w:rsidP="00C5624E">
            <w:pPr>
              <w:widowControl w:val="0"/>
              <w:autoSpaceDE w:val="0"/>
              <w:autoSpaceDN w:val="0"/>
              <w:adjustRightInd w:val="0"/>
              <w:spacing w:line="240" w:lineRule="auto"/>
            </w:pPr>
            <w:r>
              <w:t>(.10)</w:t>
            </w:r>
          </w:p>
        </w:tc>
        <w:tc>
          <w:tcPr>
            <w:tcW w:w="990" w:type="dxa"/>
            <w:tcBorders>
              <w:top w:val="nil"/>
              <w:left w:val="nil"/>
              <w:bottom w:val="nil"/>
              <w:right w:val="nil"/>
            </w:tcBorders>
          </w:tcPr>
          <w:p w14:paraId="497816DF" w14:textId="50F56A63" w:rsidR="00C5624E" w:rsidRDefault="00C5624E" w:rsidP="00C5624E">
            <w:pPr>
              <w:widowControl w:val="0"/>
              <w:tabs>
                <w:tab w:val="decimal" w:pos="253"/>
              </w:tabs>
              <w:autoSpaceDE w:val="0"/>
              <w:autoSpaceDN w:val="0"/>
              <w:adjustRightInd w:val="0"/>
              <w:spacing w:line="240" w:lineRule="auto"/>
            </w:pPr>
            <w:r>
              <w:t>0.59</w:t>
            </w:r>
            <w:r>
              <w:rPr>
                <w:vertAlign w:val="superscript"/>
              </w:rPr>
              <w:t>***</w:t>
            </w:r>
          </w:p>
        </w:tc>
        <w:tc>
          <w:tcPr>
            <w:tcW w:w="720" w:type="dxa"/>
            <w:tcBorders>
              <w:top w:val="nil"/>
              <w:left w:val="nil"/>
              <w:bottom w:val="nil"/>
              <w:right w:val="nil"/>
            </w:tcBorders>
          </w:tcPr>
          <w:p w14:paraId="1F124FF7" w14:textId="331C25B2" w:rsidR="00C5624E" w:rsidRDefault="00C5624E" w:rsidP="00C5624E">
            <w:pPr>
              <w:widowControl w:val="0"/>
              <w:autoSpaceDE w:val="0"/>
              <w:autoSpaceDN w:val="0"/>
              <w:adjustRightInd w:val="0"/>
              <w:spacing w:line="240" w:lineRule="auto"/>
            </w:pPr>
            <w:r>
              <w:t>(.12)</w:t>
            </w:r>
          </w:p>
        </w:tc>
        <w:tc>
          <w:tcPr>
            <w:tcW w:w="1080" w:type="dxa"/>
            <w:tcBorders>
              <w:top w:val="nil"/>
              <w:left w:val="nil"/>
              <w:bottom w:val="nil"/>
              <w:right w:val="nil"/>
            </w:tcBorders>
          </w:tcPr>
          <w:p w14:paraId="1C92803D" w14:textId="59DED9D5" w:rsidR="00C5624E" w:rsidRDefault="00C5624E" w:rsidP="00C5624E">
            <w:pPr>
              <w:widowControl w:val="0"/>
              <w:tabs>
                <w:tab w:val="decimal" w:pos="254"/>
              </w:tabs>
              <w:autoSpaceDE w:val="0"/>
              <w:autoSpaceDN w:val="0"/>
              <w:adjustRightInd w:val="0"/>
              <w:spacing w:line="240" w:lineRule="auto"/>
            </w:pPr>
            <w:r>
              <w:t>0.50</w:t>
            </w:r>
            <w:r>
              <w:rPr>
                <w:vertAlign w:val="superscript"/>
              </w:rPr>
              <w:t>***</w:t>
            </w:r>
          </w:p>
        </w:tc>
        <w:tc>
          <w:tcPr>
            <w:tcW w:w="810" w:type="dxa"/>
            <w:tcBorders>
              <w:top w:val="nil"/>
              <w:left w:val="nil"/>
              <w:bottom w:val="nil"/>
              <w:right w:val="nil"/>
            </w:tcBorders>
          </w:tcPr>
          <w:p w14:paraId="3B4E5EE8" w14:textId="77777777" w:rsidR="00C5624E" w:rsidRDefault="00C5624E" w:rsidP="00C5624E">
            <w:pPr>
              <w:widowControl w:val="0"/>
              <w:autoSpaceDE w:val="0"/>
              <w:autoSpaceDN w:val="0"/>
              <w:adjustRightInd w:val="0"/>
              <w:spacing w:line="240" w:lineRule="auto"/>
            </w:pPr>
            <w:r>
              <w:t>(.13)</w:t>
            </w:r>
          </w:p>
        </w:tc>
      </w:tr>
      <w:tr w:rsidR="00C5624E" w14:paraId="06F16162" w14:textId="77777777" w:rsidTr="00484854">
        <w:tc>
          <w:tcPr>
            <w:tcW w:w="3168" w:type="dxa"/>
            <w:tcBorders>
              <w:top w:val="nil"/>
              <w:left w:val="nil"/>
              <w:bottom w:val="nil"/>
              <w:right w:val="nil"/>
            </w:tcBorders>
          </w:tcPr>
          <w:p w14:paraId="1755D240" w14:textId="715DE4CE" w:rsidR="00C5624E" w:rsidRDefault="00C5624E" w:rsidP="00C5624E">
            <w:pPr>
              <w:widowControl w:val="0"/>
              <w:autoSpaceDE w:val="0"/>
              <w:autoSpaceDN w:val="0"/>
              <w:adjustRightInd w:val="0"/>
              <w:spacing w:line="240" w:lineRule="auto"/>
            </w:pPr>
            <w:r>
              <w:t>Patriarchal Family</w:t>
            </w:r>
          </w:p>
        </w:tc>
        <w:tc>
          <w:tcPr>
            <w:tcW w:w="1080" w:type="dxa"/>
            <w:tcBorders>
              <w:top w:val="nil"/>
              <w:left w:val="nil"/>
              <w:bottom w:val="nil"/>
              <w:right w:val="nil"/>
            </w:tcBorders>
          </w:tcPr>
          <w:p w14:paraId="526FAD74" w14:textId="6C5E0160" w:rsidR="00C5624E" w:rsidRDefault="00C5624E" w:rsidP="00C5624E">
            <w:pPr>
              <w:widowControl w:val="0"/>
              <w:tabs>
                <w:tab w:val="decimal" w:pos="249"/>
              </w:tabs>
              <w:autoSpaceDE w:val="0"/>
              <w:autoSpaceDN w:val="0"/>
              <w:adjustRightInd w:val="0"/>
              <w:spacing w:line="240" w:lineRule="auto"/>
            </w:pPr>
            <w:r>
              <w:t>-0.09</w:t>
            </w:r>
          </w:p>
        </w:tc>
        <w:tc>
          <w:tcPr>
            <w:tcW w:w="720" w:type="dxa"/>
            <w:tcBorders>
              <w:top w:val="nil"/>
              <w:left w:val="nil"/>
              <w:bottom w:val="nil"/>
              <w:right w:val="nil"/>
            </w:tcBorders>
          </w:tcPr>
          <w:p w14:paraId="215E0A91" w14:textId="77777777" w:rsidR="00C5624E" w:rsidRDefault="00C5624E" w:rsidP="00C5624E">
            <w:pPr>
              <w:widowControl w:val="0"/>
              <w:autoSpaceDE w:val="0"/>
              <w:autoSpaceDN w:val="0"/>
              <w:adjustRightInd w:val="0"/>
              <w:spacing w:line="240" w:lineRule="auto"/>
            </w:pPr>
            <w:r>
              <w:t>(.11)</w:t>
            </w:r>
          </w:p>
        </w:tc>
        <w:tc>
          <w:tcPr>
            <w:tcW w:w="990" w:type="dxa"/>
            <w:tcBorders>
              <w:top w:val="nil"/>
              <w:left w:val="nil"/>
              <w:bottom w:val="nil"/>
              <w:right w:val="nil"/>
            </w:tcBorders>
          </w:tcPr>
          <w:p w14:paraId="2FC824D5" w14:textId="1D1532F4" w:rsidR="00C5624E" w:rsidRDefault="00C5624E" w:rsidP="00C5624E">
            <w:pPr>
              <w:widowControl w:val="0"/>
              <w:tabs>
                <w:tab w:val="decimal" w:pos="253"/>
              </w:tabs>
              <w:autoSpaceDE w:val="0"/>
              <w:autoSpaceDN w:val="0"/>
              <w:adjustRightInd w:val="0"/>
              <w:spacing w:line="240" w:lineRule="auto"/>
            </w:pPr>
            <w:r>
              <w:t>0.14</w:t>
            </w:r>
          </w:p>
        </w:tc>
        <w:tc>
          <w:tcPr>
            <w:tcW w:w="720" w:type="dxa"/>
            <w:tcBorders>
              <w:top w:val="nil"/>
              <w:left w:val="nil"/>
              <w:bottom w:val="nil"/>
              <w:right w:val="nil"/>
            </w:tcBorders>
          </w:tcPr>
          <w:p w14:paraId="2C39D626" w14:textId="19351D30" w:rsidR="00C5624E" w:rsidRDefault="00C5624E" w:rsidP="00C5624E">
            <w:pPr>
              <w:widowControl w:val="0"/>
              <w:autoSpaceDE w:val="0"/>
              <w:autoSpaceDN w:val="0"/>
              <w:adjustRightInd w:val="0"/>
              <w:spacing w:line="240" w:lineRule="auto"/>
            </w:pPr>
            <w:r>
              <w:t>(.16)</w:t>
            </w:r>
          </w:p>
        </w:tc>
        <w:tc>
          <w:tcPr>
            <w:tcW w:w="1080" w:type="dxa"/>
            <w:tcBorders>
              <w:top w:val="nil"/>
              <w:left w:val="nil"/>
              <w:bottom w:val="nil"/>
              <w:right w:val="nil"/>
            </w:tcBorders>
          </w:tcPr>
          <w:p w14:paraId="41D93051" w14:textId="25AD8571" w:rsidR="00C5624E" w:rsidRDefault="00C5624E" w:rsidP="00C5624E">
            <w:pPr>
              <w:widowControl w:val="0"/>
              <w:tabs>
                <w:tab w:val="decimal" w:pos="254"/>
              </w:tabs>
              <w:autoSpaceDE w:val="0"/>
              <w:autoSpaceDN w:val="0"/>
              <w:adjustRightInd w:val="0"/>
              <w:spacing w:line="240" w:lineRule="auto"/>
            </w:pPr>
            <w:r>
              <w:t>-0.09</w:t>
            </w:r>
          </w:p>
        </w:tc>
        <w:tc>
          <w:tcPr>
            <w:tcW w:w="810" w:type="dxa"/>
            <w:tcBorders>
              <w:top w:val="nil"/>
              <w:left w:val="nil"/>
              <w:bottom w:val="nil"/>
              <w:right w:val="nil"/>
            </w:tcBorders>
          </w:tcPr>
          <w:p w14:paraId="441F7C53" w14:textId="77777777" w:rsidR="00C5624E" w:rsidRDefault="00C5624E" w:rsidP="00C5624E">
            <w:pPr>
              <w:widowControl w:val="0"/>
              <w:autoSpaceDE w:val="0"/>
              <w:autoSpaceDN w:val="0"/>
              <w:adjustRightInd w:val="0"/>
              <w:spacing w:line="240" w:lineRule="auto"/>
            </w:pPr>
            <w:r>
              <w:t>(.11)</w:t>
            </w:r>
          </w:p>
        </w:tc>
      </w:tr>
      <w:tr w:rsidR="00C5624E" w14:paraId="533CDD58" w14:textId="77777777" w:rsidTr="00484854">
        <w:tc>
          <w:tcPr>
            <w:tcW w:w="3168" w:type="dxa"/>
            <w:tcBorders>
              <w:top w:val="nil"/>
              <w:left w:val="nil"/>
              <w:bottom w:val="nil"/>
              <w:right w:val="nil"/>
            </w:tcBorders>
          </w:tcPr>
          <w:p w14:paraId="7531AF49" w14:textId="77777777" w:rsidR="00C5624E" w:rsidRDefault="00C5624E" w:rsidP="00C5624E">
            <w:pPr>
              <w:widowControl w:val="0"/>
              <w:autoSpaceDE w:val="0"/>
              <w:autoSpaceDN w:val="0"/>
              <w:adjustRightInd w:val="0"/>
              <w:spacing w:line="240" w:lineRule="auto"/>
            </w:pPr>
            <w:r>
              <w:t>Patriarchal Norms</w:t>
            </w:r>
          </w:p>
        </w:tc>
        <w:tc>
          <w:tcPr>
            <w:tcW w:w="1080" w:type="dxa"/>
            <w:tcBorders>
              <w:top w:val="nil"/>
              <w:left w:val="nil"/>
              <w:bottom w:val="nil"/>
              <w:right w:val="nil"/>
            </w:tcBorders>
          </w:tcPr>
          <w:p w14:paraId="0E1E76B0" w14:textId="77777777" w:rsidR="00C5624E" w:rsidRDefault="00C5624E" w:rsidP="00C5624E">
            <w:pPr>
              <w:widowControl w:val="0"/>
              <w:tabs>
                <w:tab w:val="decimal" w:pos="249"/>
              </w:tabs>
              <w:autoSpaceDE w:val="0"/>
              <w:autoSpaceDN w:val="0"/>
              <w:adjustRightInd w:val="0"/>
              <w:spacing w:line="240" w:lineRule="auto"/>
            </w:pPr>
            <w:r>
              <w:t>-0.07</w:t>
            </w:r>
          </w:p>
        </w:tc>
        <w:tc>
          <w:tcPr>
            <w:tcW w:w="720" w:type="dxa"/>
            <w:tcBorders>
              <w:top w:val="nil"/>
              <w:left w:val="nil"/>
              <w:bottom w:val="nil"/>
              <w:right w:val="nil"/>
            </w:tcBorders>
          </w:tcPr>
          <w:p w14:paraId="41BBF875" w14:textId="77777777" w:rsidR="00C5624E" w:rsidRDefault="00C5624E" w:rsidP="00C5624E">
            <w:pPr>
              <w:widowControl w:val="0"/>
              <w:autoSpaceDE w:val="0"/>
              <w:autoSpaceDN w:val="0"/>
              <w:adjustRightInd w:val="0"/>
              <w:spacing w:line="240" w:lineRule="auto"/>
            </w:pPr>
            <w:r>
              <w:t>(.10)</w:t>
            </w:r>
          </w:p>
        </w:tc>
        <w:tc>
          <w:tcPr>
            <w:tcW w:w="990" w:type="dxa"/>
            <w:tcBorders>
              <w:top w:val="nil"/>
              <w:left w:val="nil"/>
              <w:bottom w:val="nil"/>
              <w:right w:val="nil"/>
            </w:tcBorders>
          </w:tcPr>
          <w:p w14:paraId="63377505" w14:textId="77777777" w:rsidR="00C5624E" w:rsidRDefault="00C5624E" w:rsidP="00C5624E">
            <w:pPr>
              <w:widowControl w:val="0"/>
              <w:tabs>
                <w:tab w:val="decimal" w:pos="253"/>
              </w:tabs>
              <w:autoSpaceDE w:val="0"/>
              <w:autoSpaceDN w:val="0"/>
              <w:adjustRightInd w:val="0"/>
              <w:spacing w:line="240" w:lineRule="auto"/>
            </w:pPr>
            <w:r>
              <w:t>-0.07</w:t>
            </w:r>
          </w:p>
        </w:tc>
        <w:tc>
          <w:tcPr>
            <w:tcW w:w="720" w:type="dxa"/>
            <w:tcBorders>
              <w:top w:val="nil"/>
              <w:left w:val="nil"/>
              <w:bottom w:val="nil"/>
              <w:right w:val="nil"/>
            </w:tcBorders>
          </w:tcPr>
          <w:p w14:paraId="61913CD2" w14:textId="77777777" w:rsidR="00C5624E" w:rsidRDefault="00C5624E" w:rsidP="00C5624E">
            <w:pPr>
              <w:widowControl w:val="0"/>
              <w:autoSpaceDE w:val="0"/>
              <w:autoSpaceDN w:val="0"/>
              <w:adjustRightInd w:val="0"/>
              <w:spacing w:line="240" w:lineRule="auto"/>
            </w:pPr>
            <w:r>
              <w:t>(.10)</w:t>
            </w:r>
          </w:p>
        </w:tc>
        <w:tc>
          <w:tcPr>
            <w:tcW w:w="1080" w:type="dxa"/>
            <w:tcBorders>
              <w:top w:val="nil"/>
              <w:left w:val="nil"/>
              <w:bottom w:val="nil"/>
              <w:right w:val="nil"/>
            </w:tcBorders>
          </w:tcPr>
          <w:p w14:paraId="1BD735BC" w14:textId="4B197D45" w:rsidR="00C5624E" w:rsidRDefault="00C5624E" w:rsidP="00C5624E">
            <w:pPr>
              <w:widowControl w:val="0"/>
              <w:tabs>
                <w:tab w:val="decimal" w:pos="254"/>
              </w:tabs>
              <w:autoSpaceDE w:val="0"/>
              <w:autoSpaceDN w:val="0"/>
              <w:adjustRightInd w:val="0"/>
              <w:spacing w:line="240" w:lineRule="auto"/>
            </w:pPr>
            <w:r>
              <w:t>-0.06</w:t>
            </w:r>
          </w:p>
        </w:tc>
        <w:tc>
          <w:tcPr>
            <w:tcW w:w="810" w:type="dxa"/>
            <w:tcBorders>
              <w:top w:val="nil"/>
              <w:left w:val="nil"/>
              <w:bottom w:val="nil"/>
              <w:right w:val="nil"/>
            </w:tcBorders>
          </w:tcPr>
          <w:p w14:paraId="2A3520ED" w14:textId="6DAC5A99" w:rsidR="00C5624E" w:rsidRDefault="00C5624E" w:rsidP="00C5624E">
            <w:pPr>
              <w:widowControl w:val="0"/>
              <w:autoSpaceDE w:val="0"/>
              <w:autoSpaceDN w:val="0"/>
              <w:adjustRightInd w:val="0"/>
              <w:spacing w:line="240" w:lineRule="auto"/>
            </w:pPr>
            <w:r>
              <w:t>(.16)</w:t>
            </w:r>
          </w:p>
        </w:tc>
      </w:tr>
      <w:tr w:rsidR="00C5624E" w14:paraId="36DF55AD" w14:textId="77777777" w:rsidTr="00484854">
        <w:tc>
          <w:tcPr>
            <w:tcW w:w="3168" w:type="dxa"/>
            <w:tcBorders>
              <w:top w:val="nil"/>
              <w:left w:val="nil"/>
              <w:bottom w:val="nil"/>
              <w:right w:val="nil"/>
            </w:tcBorders>
          </w:tcPr>
          <w:p w14:paraId="61044A1D" w14:textId="77777777" w:rsidR="00C5624E" w:rsidRPr="005770DF" w:rsidRDefault="00C5624E" w:rsidP="00C5624E">
            <w:pPr>
              <w:widowControl w:val="0"/>
              <w:autoSpaceDE w:val="0"/>
              <w:autoSpaceDN w:val="0"/>
              <w:adjustRightInd w:val="0"/>
              <w:spacing w:line="240" w:lineRule="auto"/>
            </w:pPr>
            <w:r>
              <w:rPr>
                <w:b/>
                <w:bCs/>
                <w:u w:val="single"/>
              </w:rPr>
              <w:t>Interactions</w:t>
            </w:r>
          </w:p>
        </w:tc>
        <w:tc>
          <w:tcPr>
            <w:tcW w:w="1080" w:type="dxa"/>
            <w:tcBorders>
              <w:top w:val="nil"/>
              <w:left w:val="nil"/>
              <w:bottom w:val="nil"/>
              <w:right w:val="nil"/>
            </w:tcBorders>
          </w:tcPr>
          <w:p w14:paraId="7C9C2FDF" w14:textId="77777777" w:rsidR="00C5624E" w:rsidRDefault="00C5624E" w:rsidP="00C5624E">
            <w:pPr>
              <w:widowControl w:val="0"/>
              <w:tabs>
                <w:tab w:val="decimal" w:pos="249"/>
              </w:tabs>
              <w:autoSpaceDE w:val="0"/>
              <w:autoSpaceDN w:val="0"/>
              <w:adjustRightInd w:val="0"/>
              <w:spacing w:line="240" w:lineRule="auto"/>
            </w:pPr>
          </w:p>
        </w:tc>
        <w:tc>
          <w:tcPr>
            <w:tcW w:w="720" w:type="dxa"/>
            <w:tcBorders>
              <w:top w:val="nil"/>
              <w:left w:val="nil"/>
              <w:bottom w:val="nil"/>
              <w:right w:val="nil"/>
            </w:tcBorders>
          </w:tcPr>
          <w:p w14:paraId="0EE56916" w14:textId="77777777" w:rsidR="00C5624E" w:rsidRDefault="00C5624E" w:rsidP="00C5624E">
            <w:pPr>
              <w:widowControl w:val="0"/>
              <w:autoSpaceDE w:val="0"/>
              <w:autoSpaceDN w:val="0"/>
              <w:adjustRightInd w:val="0"/>
              <w:spacing w:line="240" w:lineRule="auto"/>
            </w:pPr>
          </w:p>
        </w:tc>
        <w:tc>
          <w:tcPr>
            <w:tcW w:w="990" w:type="dxa"/>
            <w:tcBorders>
              <w:top w:val="nil"/>
              <w:left w:val="nil"/>
              <w:bottom w:val="nil"/>
              <w:right w:val="nil"/>
            </w:tcBorders>
          </w:tcPr>
          <w:p w14:paraId="11FD3A33" w14:textId="77777777" w:rsidR="00C5624E" w:rsidRDefault="00C5624E" w:rsidP="00C5624E">
            <w:pPr>
              <w:widowControl w:val="0"/>
              <w:tabs>
                <w:tab w:val="decimal" w:pos="253"/>
              </w:tabs>
              <w:autoSpaceDE w:val="0"/>
              <w:autoSpaceDN w:val="0"/>
              <w:adjustRightInd w:val="0"/>
              <w:spacing w:line="240" w:lineRule="auto"/>
            </w:pPr>
          </w:p>
        </w:tc>
        <w:tc>
          <w:tcPr>
            <w:tcW w:w="720" w:type="dxa"/>
            <w:tcBorders>
              <w:top w:val="nil"/>
              <w:left w:val="nil"/>
              <w:bottom w:val="nil"/>
              <w:right w:val="nil"/>
            </w:tcBorders>
          </w:tcPr>
          <w:p w14:paraId="3AAE7BC3"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52CEBB62" w14:textId="77777777" w:rsidR="00C5624E" w:rsidRDefault="00C5624E" w:rsidP="00C5624E">
            <w:pPr>
              <w:widowControl w:val="0"/>
              <w:tabs>
                <w:tab w:val="decimal" w:pos="254"/>
              </w:tabs>
              <w:autoSpaceDE w:val="0"/>
              <w:autoSpaceDN w:val="0"/>
              <w:adjustRightInd w:val="0"/>
              <w:spacing w:line="240" w:lineRule="auto"/>
            </w:pPr>
          </w:p>
        </w:tc>
        <w:tc>
          <w:tcPr>
            <w:tcW w:w="810" w:type="dxa"/>
            <w:tcBorders>
              <w:top w:val="nil"/>
              <w:left w:val="nil"/>
              <w:bottom w:val="nil"/>
              <w:right w:val="nil"/>
            </w:tcBorders>
          </w:tcPr>
          <w:p w14:paraId="5FF78CBF" w14:textId="77777777" w:rsidR="00C5624E" w:rsidRDefault="00C5624E" w:rsidP="00C5624E">
            <w:pPr>
              <w:widowControl w:val="0"/>
              <w:autoSpaceDE w:val="0"/>
              <w:autoSpaceDN w:val="0"/>
              <w:adjustRightInd w:val="0"/>
              <w:spacing w:line="240" w:lineRule="auto"/>
            </w:pPr>
          </w:p>
        </w:tc>
      </w:tr>
      <w:tr w:rsidR="00C5624E" w14:paraId="1D0C00E5" w14:textId="77777777" w:rsidTr="00484854">
        <w:tc>
          <w:tcPr>
            <w:tcW w:w="3168" w:type="dxa"/>
            <w:tcBorders>
              <w:top w:val="nil"/>
              <w:left w:val="nil"/>
              <w:bottom w:val="nil"/>
              <w:right w:val="nil"/>
            </w:tcBorders>
          </w:tcPr>
          <w:p w14:paraId="30E6A2F8" w14:textId="7CD8B187" w:rsidR="00C5624E" w:rsidRDefault="00C5624E" w:rsidP="00C5624E">
            <w:pPr>
              <w:widowControl w:val="0"/>
              <w:autoSpaceDE w:val="0"/>
              <w:autoSpaceDN w:val="0"/>
              <w:adjustRightInd w:val="0"/>
              <w:spacing w:line="240" w:lineRule="auto"/>
            </w:pPr>
            <w:r>
              <w:t>Men x Patriarchal Family</w:t>
            </w:r>
          </w:p>
        </w:tc>
        <w:tc>
          <w:tcPr>
            <w:tcW w:w="1080" w:type="dxa"/>
            <w:tcBorders>
              <w:top w:val="nil"/>
              <w:left w:val="nil"/>
              <w:bottom w:val="nil"/>
              <w:right w:val="nil"/>
            </w:tcBorders>
          </w:tcPr>
          <w:p w14:paraId="1B06C4C2" w14:textId="77777777" w:rsidR="00C5624E" w:rsidRDefault="00C5624E" w:rsidP="00C5624E">
            <w:pPr>
              <w:widowControl w:val="0"/>
              <w:tabs>
                <w:tab w:val="decimal" w:pos="249"/>
              </w:tabs>
              <w:autoSpaceDE w:val="0"/>
              <w:autoSpaceDN w:val="0"/>
              <w:adjustRightInd w:val="0"/>
              <w:spacing w:line="240" w:lineRule="auto"/>
            </w:pPr>
          </w:p>
        </w:tc>
        <w:tc>
          <w:tcPr>
            <w:tcW w:w="720" w:type="dxa"/>
            <w:tcBorders>
              <w:top w:val="nil"/>
              <w:left w:val="nil"/>
              <w:bottom w:val="nil"/>
              <w:right w:val="nil"/>
            </w:tcBorders>
          </w:tcPr>
          <w:p w14:paraId="6DB716F2" w14:textId="77777777" w:rsidR="00C5624E" w:rsidRDefault="00C5624E" w:rsidP="00C5624E">
            <w:pPr>
              <w:widowControl w:val="0"/>
              <w:autoSpaceDE w:val="0"/>
              <w:autoSpaceDN w:val="0"/>
              <w:adjustRightInd w:val="0"/>
              <w:spacing w:line="240" w:lineRule="auto"/>
            </w:pPr>
          </w:p>
        </w:tc>
        <w:tc>
          <w:tcPr>
            <w:tcW w:w="990" w:type="dxa"/>
            <w:tcBorders>
              <w:top w:val="nil"/>
              <w:left w:val="nil"/>
              <w:bottom w:val="nil"/>
              <w:right w:val="nil"/>
            </w:tcBorders>
          </w:tcPr>
          <w:p w14:paraId="23F84544" w14:textId="77777777" w:rsidR="00C5624E" w:rsidRDefault="00C5624E" w:rsidP="00C5624E">
            <w:pPr>
              <w:widowControl w:val="0"/>
              <w:tabs>
                <w:tab w:val="decimal" w:pos="253"/>
              </w:tabs>
              <w:autoSpaceDE w:val="0"/>
              <w:autoSpaceDN w:val="0"/>
              <w:adjustRightInd w:val="0"/>
              <w:spacing w:line="240" w:lineRule="auto"/>
            </w:pPr>
            <w:r>
              <w:t>-0.42</w:t>
            </w:r>
          </w:p>
        </w:tc>
        <w:tc>
          <w:tcPr>
            <w:tcW w:w="720" w:type="dxa"/>
            <w:tcBorders>
              <w:top w:val="nil"/>
              <w:left w:val="nil"/>
              <w:bottom w:val="nil"/>
              <w:right w:val="nil"/>
            </w:tcBorders>
          </w:tcPr>
          <w:p w14:paraId="06860538" w14:textId="77777777" w:rsidR="00C5624E" w:rsidRDefault="00C5624E" w:rsidP="00C5624E">
            <w:pPr>
              <w:widowControl w:val="0"/>
              <w:autoSpaceDE w:val="0"/>
              <w:autoSpaceDN w:val="0"/>
              <w:adjustRightInd w:val="0"/>
              <w:spacing w:line="240" w:lineRule="auto"/>
            </w:pPr>
            <w:r>
              <w:t>(.22)</w:t>
            </w:r>
          </w:p>
        </w:tc>
        <w:tc>
          <w:tcPr>
            <w:tcW w:w="1080" w:type="dxa"/>
            <w:tcBorders>
              <w:top w:val="nil"/>
              <w:left w:val="nil"/>
              <w:bottom w:val="nil"/>
              <w:right w:val="nil"/>
            </w:tcBorders>
          </w:tcPr>
          <w:p w14:paraId="5E82DBB5" w14:textId="77777777" w:rsidR="00C5624E" w:rsidRDefault="00C5624E" w:rsidP="00C5624E">
            <w:pPr>
              <w:widowControl w:val="0"/>
              <w:tabs>
                <w:tab w:val="decimal" w:pos="254"/>
              </w:tabs>
              <w:autoSpaceDE w:val="0"/>
              <w:autoSpaceDN w:val="0"/>
              <w:adjustRightInd w:val="0"/>
              <w:spacing w:line="240" w:lineRule="auto"/>
            </w:pPr>
          </w:p>
        </w:tc>
        <w:tc>
          <w:tcPr>
            <w:tcW w:w="810" w:type="dxa"/>
            <w:tcBorders>
              <w:top w:val="nil"/>
              <w:left w:val="nil"/>
              <w:bottom w:val="nil"/>
              <w:right w:val="nil"/>
            </w:tcBorders>
          </w:tcPr>
          <w:p w14:paraId="5D338897" w14:textId="77777777" w:rsidR="00C5624E" w:rsidRDefault="00C5624E" w:rsidP="00C5624E">
            <w:pPr>
              <w:widowControl w:val="0"/>
              <w:autoSpaceDE w:val="0"/>
              <w:autoSpaceDN w:val="0"/>
              <w:adjustRightInd w:val="0"/>
              <w:spacing w:line="240" w:lineRule="auto"/>
            </w:pPr>
          </w:p>
        </w:tc>
      </w:tr>
      <w:tr w:rsidR="00C5624E" w14:paraId="6030B0C9" w14:textId="77777777" w:rsidTr="00484854">
        <w:tc>
          <w:tcPr>
            <w:tcW w:w="3168" w:type="dxa"/>
            <w:tcBorders>
              <w:top w:val="nil"/>
              <w:left w:val="nil"/>
              <w:bottom w:val="nil"/>
              <w:right w:val="nil"/>
            </w:tcBorders>
          </w:tcPr>
          <w:p w14:paraId="708B0437" w14:textId="75FF7BF1" w:rsidR="00C5624E" w:rsidRDefault="00C5624E" w:rsidP="00C5624E">
            <w:pPr>
              <w:widowControl w:val="0"/>
              <w:autoSpaceDE w:val="0"/>
              <w:autoSpaceDN w:val="0"/>
              <w:adjustRightInd w:val="0"/>
              <w:spacing w:line="240" w:lineRule="auto"/>
            </w:pPr>
            <w:r>
              <w:t>Men x Patriarchal Norms</w:t>
            </w:r>
          </w:p>
        </w:tc>
        <w:tc>
          <w:tcPr>
            <w:tcW w:w="1080" w:type="dxa"/>
            <w:tcBorders>
              <w:top w:val="nil"/>
              <w:left w:val="nil"/>
              <w:bottom w:val="nil"/>
              <w:right w:val="nil"/>
            </w:tcBorders>
          </w:tcPr>
          <w:p w14:paraId="202DA692" w14:textId="77777777" w:rsidR="00C5624E" w:rsidRDefault="00C5624E" w:rsidP="00C5624E">
            <w:pPr>
              <w:widowControl w:val="0"/>
              <w:tabs>
                <w:tab w:val="decimal" w:pos="249"/>
              </w:tabs>
              <w:autoSpaceDE w:val="0"/>
              <w:autoSpaceDN w:val="0"/>
              <w:adjustRightInd w:val="0"/>
              <w:spacing w:line="240" w:lineRule="auto"/>
            </w:pPr>
          </w:p>
        </w:tc>
        <w:tc>
          <w:tcPr>
            <w:tcW w:w="720" w:type="dxa"/>
            <w:tcBorders>
              <w:top w:val="nil"/>
              <w:left w:val="nil"/>
              <w:bottom w:val="nil"/>
              <w:right w:val="nil"/>
            </w:tcBorders>
          </w:tcPr>
          <w:p w14:paraId="125BFACB" w14:textId="77777777" w:rsidR="00C5624E" w:rsidRDefault="00C5624E" w:rsidP="00C5624E">
            <w:pPr>
              <w:widowControl w:val="0"/>
              <w:autoSpaceDE w:val="0"/>
              <w:autoSpaceDN w:val="0"/>
              <w:adjustRightInd w:val="0"/>
              <w:spacing w:line="240" w:lineRule="auto"/>
            </w:pPr>
          </w:p>
        </w:tc>
        <w:tc>
          <w:tcPr>
            <w:tcW w:w="990" w:type="dxa"/>
            <w:tcBorders>
              <w:top w:val="nil"/>
              <w:left w:val="nil"/>
              <w:bottom w:val="nil"/>
              <w:right w:val="nil"/>
            </w:tcBorders>
          </w:tcPr>
          <w:p w14:paraId="6DB109B9" w14:textId="77777777" w:rsidR="00C5624E" w:rsidRDefault="00C5624E" w:rsidP="00C5624E">
            <w:pPr>
              <w:widowControl w:val="0"/>
              <w:tabs>
                <w:tab w:val="decimal" w:pos="253"/>
              </w:tabs>
              <w:autoSpaceDE w:val="0"/>
              <w:autoSpaceDN w:val="0"/>
              <w:adjustRightInd w:val="0"/>
              <w:spacing w:line="240" w:lineRule="auto"/>
            </w:pPr>
          </w:p>
        </w:tc>
        <w:tc>
          <w:tcPr>
            <w:tcW w:w="720" w:type="dxa"/>
            <w:tcBorders>
              <w:top w:val="nil"/>
              <w:left w:val="nil"/>
              <w:bottom w:val="nil"/>
              <w:right w:val="nil"/>
            </w:tcBorders>
          </w:tcPr>
          <w:p w14:paraId="3BCEDF17"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0A5149F4" w14:textId="77777777" w:rsidR="00C5624E" w:rsidRDefault="00C5624E" w:rsidP="00C5624E">
            <w:pPr>
              <w:widowControl w:val="0"/>
              <w:tabs>
                <w:tab w:val="decimal" w:pos="254"/>
              </w:tabs>
              <w:autoSpaceDE w:val="0"/>
              <w:autoSpaceDN w:val="0"/>
              <w:adjustRightInd w:val="0"/>
              <w:spacing w:line="240" w:lineRule="auto"/>
            </w:pPr>
            <w:r>
              <w:t>0.02</w:t>
            </w:r>
          </w:p>
        </w:tc>
        <w:tc>
          <w:tcPr>
            <w:tcW w:w="810" w:type="dxa"/>
            <w:tcBorders>
              <w:top w:val="nil"/>
              <w:left w:val="nil"/>
              <w:bottom w:val="nil"/>
              <w:right w:val="nil"/>
            </w:tcBorders>
          </w:tcPr>
          <w:p w14:paraId="6B8ECBE3" w14:textId="77777777" w:rsidR="00C5624E" w:rsidRDefault="00C5624E" w:rsidP="00C5624E">
            <w:pPr>
              <w:widowControl w:val="0"/>
              <w:autoSpaceDE w:val="0"/>
              <w:autoSpaceDN w:val="0"/>
              <w:adjustRightInd w:val="0"/>
              <w:spacing w:line="240" w:lineRule="auto"/>
            </w:pPr>
            <w:r>
              <w:t>(.21)</w:t>
            </w:r>
          </w:p>
        </w:tc>
      </w:tr>
      <w:tr w:rsidR="00C5624E" w14:paraId="1CDE92D7" w14:textId="77777777" w:rsidTr="00484854">
        <w:tc>
          <w:tcPr>
            <w:tcW w:w="3168" w:type="dxa"/>
            <w:tcBorders>
              <w:top w:val="nil"/>
              <w:left w:val="nil"/>
              <w:bottom w:val="nil"/>
              <w:right w:val="nil"/>
            </w:tcBorders>
          </w:tcPr>
          <w:p w14:paraId="46FAE975" w14:textId="77777777" w:rsidR="00C5624E" w:rsidRPr="00D97AF4" w:rsidRDefault="00C5624E" w:rsidP="00C5624E">
            <w:pPr>
              <w:widowControl w:val="0"/>
              <w:autoSpaceDE w:val="0"/>
              <w:autoSpaceDN w:val="0"/>
              <w:adjustRightInd w:val="0"/>
              <w:spacing w:line="240" w:lineRule="auto"/>
              <w:rPr>
                <w:b/>
                <w:bCs/>
                <w:u w:val="single"/>
              </w:rPr>
            </w:pPr>
            <w:r>
              <w:rPr>
                <w:b/>
                <w:bCs/>
                <w:u w:val="single"/>
              </w:rPr>
              <w:t>Controls</w:t>
            </w:r>
          </w:p>
        </w:tc>
        <w:tc>
          <w:tcPr>
            <w:tcW w:w="1080" w:type="dxa"/>
            <w:tcBorders>
              <w:top w:val="nil"/>
              <w:left w:val="nil"/>
              <w:bottom w:val="nil"/>
              <w:right w:val="nil"/>
            </w:tcBorders>
          </w:tcPr>
          <w:p w14:paraId="22DB1090" w14:textId="77777777" w:rsidR="00C5624E" w:rsidRDefault="00C5624E" w:rsidP="00C5624E">
            <w:pPr>
              <w:widowControl w:val="0"/>
              <w:tabs>
                <w:tab w:val="decimal" w:pos="249"/>
              </w:tabs>
              <w:autoSpaceDE w:val="0"/>
              <w:autoSpaceDN w:val="0"/>
              <w:adjustRightInd w:val="0"/>
              <w:spacing w:line="240" w:lineRule="auto"/>
            </w:pPr>
          </w:p>
        </w:tc>
        <w:tc>
          <w:tcPr>
            <w:tcW w:w="720" w:type="dxa"/>
            <w:tcBorders>
              <w:top w:val="nil"/>
              <w:left w:val="nil"/>
              <w:bottom w:val="nil"/>
              <w:right w:val="nil"/>
            </w:tcBorders>
          </w:tcPr>
          <w:p w14:paraId="49171CBC" w14:textId="77777777" w:rsidR="00C5624E" w:rsidRDefault="00C5624E" w:rsidP="00C5624E">
            <w:pPr>
              <w:widowControl w:val="0"/>
              <w:autoSpaceDE w:val="0"/>
              <w:autoSpaceDN w:val="0"/>
              <w:adjustRightInd w:val="0"/>
              <w:spacing w:line="240" w:lineRule="auto"/>
            </w:pPr>
          </w:p>
        </w:tc>
        <w:tc>
          <w:tcPr>
            <w:tcW w:w="990" w:type="dxa"/>
            <w:tcBorders>
              <w:top w:val="nil"/>
              <w:left w:val="nil"/>
              <w:bottom w:val="nil"/>
              <w:right w:val="nil"/>
            </w:tcBorders>
          </w:tcPr>
          <w:p w14:paraId="16B62986" w14:textId="77777777" w:rsidR="00C5624E" w:rsidRDefault="00C5624E" w:rsidP="00C5624E">
            <w:pPr>
              <w:widowControl w:val="0"/>
              <w:tabs>
                <w:tab w:val="decimal" w:pos="253"/>
              </w:tabs>
              <w:autoSpaceDE w:val="0"/>
              <w:autoSpaceDN w:val="0"/>
              <w:adjustRightInd w:val="0"/>
              <w:spacing w:line="240" w:lineRule="auto"/>
            </w:pPr>
          </w:p>
        </w:tc>
        <w:tc>
          <w:tcPr>
            <w:tcW w:w="720" w:type="dxa"/>
            <w:tcBorders>
              <w:top w:val="nil"/>
              <w:left w:val="nil"/>
              <w:bottom w:val="nil"/>
              <w:right w:val="nil"/>
            </w:tcBorders>
          </w:tcPr>
          <w:p w14:paraId="6563A942"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3B612FEE" w14:textId="77777777" w:rsidR="00C5624E" w:rsidRDefault="00C5624E" w:rsidP="00C5624E">
            <w:pPr>
              <w:widowControl w:val="0"/>
              <w:tabs>
                <w:tab w:val="decimal" w:pos="254"/>
              </w:tabs>
              <w:autoSpaceDE w:val="0"/>
              <w:autoSpaceDN w:val="0"/>
              <w:adjustRightInd w:val="0"/>
              <w:spacing w:line="240" w:lineRule="auto"/>
            </w:pPr>
          </w:p>
        </w:tc>
        <w:tc>
          <w:tcPr>
            <w:tcW w:w="810" w:type="dxa"/>
            <w:tcBorders>
              <w:top w:val="nil"/>
              <w:left w:val="nil"/>
              <w:bottom w:val="nil"/>
              <w:right w:val="nil"/>
            </w:tcBorders>
          </w:tcPr>
          <w:p w14:paraId="1A7886F8" w14:textId="77777777" w:rsidR="00C5624E" w:rsidRDefault="00C5624E" w:rsidP="00C5624E">
            <w:pPr>
              <w:widowControl w:val="0"/>
              <w:autoSpaceDE w:val="0"/>
              <w:autoSpaceDN w:val="0"/>
              <w:adjustRightInd w:val="0"/>
              <w:spacing w:line="240" w:lineRule="auto"/>
            </w:pPr>
          </w:p>
        </w:tc>
      </w:tr>
      <w:tr w:rsidR="00C5624E" w14:paraId="4AB8CDA2" w14:textId="77777777" w:rsidTr="00484854">
        <w:tc>
          <w:tcPr>
            <w:tcW w:w="3168" w:type="dxa"/>
            <w:tcBorders>
              <w:top w:val="nil"/>
              <w:left w:val="nil"/>
              <w:bottom w:val="nil"/>
              <w:right w:val="nil"/>
            </w:tcBorders>
          </w:tcPr>
          <w:p w14:paraId="21B4052B" w14:textId="77777777" w:rsidR="00C5624E" w:rsidRPr="002035EB" w:rsidRDefault="00C5624E" w:rsidP="00C5624E">
            <w:pPr>
              <w:widowControl w:val="0"/>
              <w:autoSpaceDE w:val="0"/>
              <w:autoSpaceDN w:val="0"/>
              <w:adjustRightInd w:val="0"/>
              <w:spacing w:line="240" w:lineRule="auto"/>
              <w:rPr>
                <w:i/>
                <w:iCs/>
              </w:rPr>
            </w:pPr>
            <w:r w:rsidRPr="002035EB">
              <w:rPr>
                <w:i/>
                <w:iCs/>
              </w:rPr>
              <w:t>Mother’s Education</w:t>
            </w:r>
          </w:p>
        </w:tc>
        <w:tc>
          <w:tcPr>
            <w:tcW w:w="1080" w:type="dxa"/>
            <w:tcBorders>
              <w:top w:val="nil"/>
              <w:left w:val="nil"/>
              <w:bottom w:val="nil"/>
              <w:right w:val="nil"/>
            </w:tcBorders>
          </w:tcPr>
          <w:p w14:paraId="12370BE7" w14:textId="77777777" w:rsidR="00C5624E" w:rsidRDefault="00C5624E" w:rsidP="00C5624E">
            <w:pPr>
              <w:widowControl w:val="0"/>
              <w:tabs>
                <w:tab w:val="decimal" w:pos="249"/>
              </w:tabs>
              <w:autoSpaceDE w:val="0"/>
              <w:autoSpaceDN w:val="0"/>
              <w:adjustRightInd w:val="0"/>
              <w:spacing w:line="240" w:lineRule="auto"/>
            </w:pPr>
          </w:p>
        </w:tc>
        <w:tc>
          <w:tcPr>
            <w:tcW w:w="720" w:type="dxa"/>
            <w:tcBorders>
              <w:top w:val="nil"/>
              <w:left w:val="nil"/>
              <w:bottom w:val="nil"/>
              <w:right w:val="nil"/>
            </w:tcBorders>
          </w:tcPr>
          <w:p w14:paraId="64D0691E" w14:textId="77777777" w:rsidR="00C5624E" w:rsidRDefault="00C5624E" w:rsidP="00C5624E">
            <w:pPr>
              <w:widowControl w:val="0"/>
              <w:autoSpaceDE w:val="0"/>
              <w:autoSpaceDN w:val="0"/>
              <w:adjustRightInd w:val="0"/>
              <w:spacing w:line="240" w:lineRule="auto"/>
            </w:pPr>
          </w:p>
        </w:tc>
        <w:tc>
          <w:tcPr>
            <w:tcW w:w="990" w:type="dxa"/>
            <w:tcBorders>
              <w:top w:val="nil"/>
              <w:left w:val="nil"/>
              <w:bottom w:val="nil"/>
              <w:right w:val="nil"/>
            </w:tcBorders>
          </w:tcPr>
          <w:p w14:paraId="2A5D99B0" w14:textId="77777777" w:rsidR="00C5624E" w:rsidRDefault="00C5624E" w:rsidP="00C5624E">
            <w:pPr>
              <w:widowControl w:val="0"/>
              <w:tabs>
                <w:tab w:val="decimal" w:pos="253"/>
              </w:tabs>
              <w:autoSpaceDE w:val="0"/>
              <w:autoSpaceDN w:val="0"/>
              <w:adjustRightInd w:val="0"/>
              <w:spacing w:line="240" w:lineRule="auto"/>
            </w:pPr>
          </w:p>
        </w:tc>
        <w:tc>
          <w:tcPr>
            <w:tcW w:w="720" w:type="dxa"/>
            <w:tcBorders>
              <w:top w:val="nil"/>
              <w:left w:val="nil"/>
              <w:bottom w:val="nil"/>
              <w:right w:val="nil"/>
            </w:tcBorders>
          </w:tcPr>
          <w:p w14:paraId="63DDBD17"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4CAC187C" w14:textId="77777777" w:rsidR="00C5624E" w:rsidRDefault="00C5624E" w:rsidP="00C5624E">
            <w:pPr>
              <w:widowControl w:val="0"/>
              <w:tabs>
                <w:tab w:val="decimal" w:pos="254"/>
              </w:tabs>
              <w:autoSpaceDE w:val="0"/>
              <w:autoSpaceDN w:val="0"/>
              <w:adjustRightInd w:val="0"/>
              <w:spacing w:line="240" w:lineRule="auto"/>
            </w:pPr>
          </w:p>
        </w:tc>
        <w:tc>
          <w:tcPr>
            <w:tcW w:w="810" w:type="dxa"/>
            <w:tcBorders>
              <w:top w:val="nil"/>
              <w:left w:val="nil"/>
              <w:bottom w:val="nil"/>
              <w:right w:val="nil"/>
            </w:tcBorders>
          </w:tcPr>
          <w:p w14:paraId="013433ED" w14:textId="77777777" w:rsidR="00C5624E" w:rsidRDefault="00C5624E" w:rsidP="00C5624E">
            <w:pPr>
              <w:widowControl w:val="0"/>
              <w:autoSpaceDE w:val="0"/>
              <w:autoSpaceDN w:val="0"/>
              <w:adjustRightInd w:val="0"/>
              <w:spacing w:line="240" w:lineRule="auto"/>
            </w:pPr>
          </w:p>
        </w:tc>
      </w:tr>
      <w:tr w:rsidR="00C5624E" w14:paraId="0B78EBDF" w14:textId="77777777" w:rsidTr="00484854">
        <w:tc>
          <w:tcPr>
            <w:tcW w:w="3168" w:type="dxa"/>
            <w:tcBorders>
              <w:top w:val="nil"/>
              <w:left w:val="nil"/>
              <w:bottom w:val="nil"/>
              <w:right w:val="nil"/>
            </w:tcBorders>
          </w:tcPr>
          <w:p w14:paraId="2EB5A515" w14:textId="77777777" w:rsidR="00C5624E" w:rsidRDefault="00C5624E" w:rsidP="00C5624E">
            <w:pPr>
              <w:widowControl w:val="0"/>
              <w:autoSpaceDE w:val="0"/>
              <w:autoSpaceDN w:val="0"/>
              <w:adjustRightInd w:val="0"/>
              <w:spacing w:line="240" w:lineRule="auto"/>
              <w:ind w:left="76"/>
            </w:pPr>
            <w:r>
              <w:t>High School</w:t>
            </w:r>
          </w:p>
        </w:tc>
        <w:tc>
          <w:tcPr>
            <w:tcW w:w="1080" w:type="dxa"/>
            <w:tcBorders>
              <w:top w:val="nil"/>
              <w:left w:val="nil"/>
              <w:bottom w:val="nil"/>
              <w:right w:val="nil"/>
            </w:tcBorders>
          </w:tcPr>
          <w:p w14:paraId="098AE4C8" w14:textId="77777777" w:rsidR="00C5624E" w:rsidRDefault="00C5624E" w:rsidP="00C5624E">
            <w:pPr>
              <w:widowControl w:val="0"/>
              <w:tabs>
                <w:tab w:val="decimal" w:pos="249"/>
              </w:tabs>
              <w:autoSpaceDE w:val="0"/>
              <w:autoSpaceDN w:val="0"/>
              <w:adjustRightInd w:val="0"/>
              <w:spacing w:line="240" w:lineRule="auto"/>
            </w:pPr>
            <w:r>
              <w:t>-0.51</w:t>
            </w:r>
            <w:r>
              <w:rPr>
                <w:vertAlign w:val="superscript"/>
              </w:rPr>
              <w:t>**</w:t>
            </w:r>
          </w:p>
        </w:tc>
        <w:tc>
          <w:tcPr>
            <w:tcW w:w="720" w:type="dxa"/>
            <w:tcBorders>
              <w:top w:val="nil"/>
              <w:left w:val="nil"/>
              <w:bottom w:val="nil"/>
              <w:right w:val="nil"/>
            </w:tcBorders>
          </w:tcPr>
          <w:p w14:paraId="30779171" w14:textId="77777777" w:rsidR="00C5624E" w:rsidRDefault="00C5624E" w:rsidP="00C5624E">
            <w:pPr>
              <w:widowControl w:val="0"/>
              <w:autoSpaceDE w:val="0"/>
              <w:autoSpaceDN w:val="0"/>
              <w:adjustRightInd w:val="0"/>
              <w:spacing w:line="240" w:lineRule="auto"/>
            </w:pPr>
            <w:r>
              <w:t>(.16)</w:t>
            </w:r>
          </w:p>
        </w:tc>
        <w:tc>
          <w:tcPr>
            <w:tcW w:w="990" w:type="dxa"/>
            <w:tcBorders>
              <w:top w:val="nil"/>
              <w:left w:val="nil"/>
              <w:bottom w:val="nil"/>
              <w:right w:val="nil"/>
            </w:tcBorders>
          </w:tcPr>
          <w:p w14:paraId="76136C25" w14:textId="77777777" w:rsidR="00C5624E" w:rsidRDefault="00C5624E" w:rsidP="00C5624E">
            <w:pPr>
              <w:widowControl w:val="0"/>
              <w:tabs>
                <w:tab w:val="decimal" w:pos="253"/>
              </w:tabs>
              <w:autoSpaceDE w:val="0"/>
              <w:autoSpaceDN w:val="0"/>
              <w:adjustRightInd w:val="0"/>
              <w:spacing w:line="240" w:lineRule="auto"/>
            </w:pPr>
            <w:r>
              <w:t>-0.51</w:t>
            </w:r>
            <w:r>
              <w:rPr>
                <w:vertAlign w:val="superscript"/>
              </w:rPr>
              <w:t>**</w:t>
            </w:r>
          </w:p>
        </w:tc>
        <w:tc>
          <w:tcPr>
            <w:tcW w:w="720" w:type="dxa"/>
            <w:tcBorders>
              <w:top w:val="nil"/>
              <w:left w:val="nil"/>
              <w:bottom w:val="nil"/>
              <w:right w:val="nil"/>
            </w:tcBorders>
          </w:tcPr>
          <w:p w14:paraId="6228CE50" w14:textId="77777777" w:rsidR="00C5624E" w:rsidRDefault="00C5624E" w:rsidP="00C5624E">
            <w:pPr>
              <w:widowControl w:val="0"/>
              <w:autoSpaceDE w:val="0"/>
              <w:autoSpaceDN w:val="0"/>
              <w:adjustRightInd w:val="0"/>
              <w:spacing w:line="240" w:lineRule="auto"/>
            </w:pPr>
            <w:r>
              <w:t>(.16)</w:t>
            </w:r>
          </w:p>
        </w:tc>
        <w:tc>
          <w:tcPr>
            <w:tcW w:w="1080" w:type="dxa"/>
            <w:tcBorders>
              <w:top w:val="nil"/>
              <w:left w:val="nil"/>
              <w:bottom w:val="nil"/>
              <w:right w:val="nil"/>
            </w:tcBorders>
          </w:tcPr>
          <w:p w14:paraId="527FAB1A" w14:textId="77777777" w:rsidR="00C5624E" w:rsidRDefault="00C5624E" w:rsidP="00C5624E">
            <w:pPr>
              <w:widowControl w:val="0"/>
              <w:tabs>
                <w:tab w:val="decimal" w:pos="254"/>
              </w:tabs>
              <w:autoSpaceDE w:val="0"/>
              <w:autoSpaceDN w:val="0"/>
              <w:adjustRightInd w:val="0"/>
              <w:spacing w:line="240" w:lineRule="auto"/>
            </w:pPr>
            <w:r>
              <w:t>-0.51</w:t>
            </w:r>
            <w:r>
              <w:rPr>
                <w:vertAlign w:val="superscript"/>
              </w:rPr>
              <w:t>**</w:t>
            </w:r>
          </w:p>
        </w:tc>
        <w:tc>
          <w:tcPr>
            <w:tcW w:w="810" w:type="dxa"/>
            <w:tcBorders>
              <w:top w:val="nil"/>
              <w:left w:val="nil"/>
              <w:bottom w:val="nil"/>
              <w:right w:val="nil"/>
            </w:tcBorders>
          </w:tcPr>
          <w:p w14:paraId="06D3EEB3" w14:textId="77777777" w:rsidR="00C5624E" w:rsidRDefault="00C5624E" w:rsidP="00C5624E">
            <w:pPr>
              <w:widowControl w:val="0"/>
              <w:autoSpaceDE w:val="0"/>
              <w:autoSpaceDN w:val="0"/>
              <w:adjustRightInd w:val="0"/>
              <w:spacing w:line="240" w:lineRule="auto"/>
            </w:pPr>
            <w:r>
              <w:t>(.16)</w:t>
            </w:r>
          </w:p>
        </w:tc>
      </w:tr>
      <w:tr w:rsidR="00C5624E" w14:paraId="0EBCB10C" w14:textId="77777777" w:rsidTr="00484854">
        <w:tc>
          <w:tcPr>
            <w:tcW w:w="3168" w:type="dxa"/>
            <w:tcBorders>
              <w:top w:val="nil"/>
              <w:left w:val="nil"/>
              <w:bottom w:val="nil"/>
              <w:right w:val="nil"/>
            </w:tcBorders>
          </w:tcPr>
          <w:p w14:paraId="38FD8F3F" w14:textId="77777777" w:rsidR="00C5624E" w:rsidRDefault="00C5624E" w:rsidP="00C5624E">
            <w:pPr>
              <w:widowControl w:val="0"/>
              <w:autoSpaceDE w:val="0"/>
              <w:autoSpaceDN w:val="0"/>
              <w:adjustRightInd w:val="0"/>
              <w:spacing w:line="240" w:lineRule="auto"/>
              <w:ind w:left="76"/>
            </w:pPr>
            <w:r>
              <w:t>Some College</w:t>
            </w:r>
          </w:p>
        </w:tc>
        <w:tc>
          <w:tcPr>
            <w:tcW w:w="1080" w:type="dxa"/>
            <w:tcBorders>
              <w:top w:val="nil"/>
              <w:left w:val="nil"/>
              <w:bottom w:val="nil"/>
              <w:right w:val="nil"/>
            </w:tcBorders>
          </w:tcPr>
          <w:p w14:paraId="726D376E" w14:textId="77777777" w:rsidR="00C5624E" w:rsidRDefault="00C5624E" w:rsidP="00C5624E">
            <w:pPr>
              <w:widowControl w:val="0"/>
              <w:tabs>
                <w:tab w:val="decimal" w:pos="249"/>
              </w:tabs>
              <w:autoSpaceDE w:val="0"/>
              <w:autoSpaceDN w:val="0"/>
              <w:adjustRightInd w:val="0"/>
              <w:spacing w:line="240" w:lineRule="auto"/>
            </w:pPr>
            <w:r>
              <w:t>-0.37</w:t>
            </w:r>
            <w:r>
              <w:rPr>
                <w:vertAlign w:val="superscript"/>
              </w:rPr>
              <w:t>*</w:t>
            </w:r>
          </w:p>
        </w:tc>
        <w:tc>
          <w:tcPr>
            <w:tcW w:w="720" w:type="dxa"/>
            <w:tcBorders>
              <w:top w:val="nil"/>
              <w:left w:val="nil"/>
              <w:bottom w:val="nil"/>
              <w:right w:val="nil"/>
            </w:tcBorders>
          </w:tcPr>
          <w:p w14:paraId="62F4651B" w14:textId="77777777" w:rsidR="00C5624E" w:rsidRDefault="00C5624E" w:rsidP="00C5624E">
            <w:pPr>
              <w:widowControl w:val="0"/>
              <w:autoSpaceDE w:val="0"/>
              <w:autoSpaceDN w:val="0"/>
              <w:adjustRightInd w:val="0"/>
              <w:spacing w:line="240" w:lineRule="auto"/>
            </w:pPr>
            <w:r>
              <w:t>(.18)</w:t>
            </w:r>
          </w:p>
        </w:tc>
        <w:tc>
          <w:tcPr>
            <w:tcW w:w="990" w:type="dxa"/>
            <w:tcBorders>
              <w:top w:val="nil"/>
              <w:left w:val="nil"/>
              <w:bottom w:val="nil"/>
              <w:right w:val="nil"/>
            </w:tcBorders>
          </w:tcPr>
          <w:p w14:paraId="54D7973F" w14:textId="77777777" w:rsidR="00C5624E" w:rsidRDefault="00C5624E" w:rsidP="00C5624E">
            <w:pPr>
              <w:widowControl w:val="0"/>
              <w:tabs>
                <w:tab w:val="decimal" w:pos="253"/>
              </w:tabs>
              <w:autoSpaceDE w:val="0"/>
              <w:autoSpaceDN w:val="0"/>
              <w:adjustRightInd w:val="0"/>
              <w:spacing w:line="240" w:lineRule="auto"/>
            </w:pPr>
            <w:r>
              <w:t>-0.37</w:t>
            </w:r>
            <w:r>
              <w:rPr>
                <w:vertAlign w:val="superscript"/>
              </w:rPr>
              <w:t>*</w:t>
            </w:r>
          </w:p>
        </w:tc>
        <w:tc>
          <w:tcPr>
            <w:tcW w:w="720" w:type="dxa"/>
            <w:tcBorders>
              <w:top w:val="nil"/>
              <w:left w:val="nil"/>
              <w:bottom w:val="nil"/>
              <w:right w:val="nil"/>
            </w:tcBorders>
          </w:tcPr>
          <w:p w14:paraId="6DD22EF0" w14:textId="77777777" w:rsidR="00C5624E" w:rsidRDefault="00C5624E" w:rsidP="00C5624E">
            <w:pPr>
              <w:widowControl w:val="0"/>
              <w:autoSpaceDE w:val="0"/>
              <w:autoSpaceDN w:val="0"/>
              <w:adjustRightInd w:val="0"/>
              <w:spacing w:line="240" w:lineRule="auto"/>
            </w:pPr>
            <w:r>
              <w:t>(.18)</w:t>
            </w:r>
          </w:p>
        </w:tc>
        <w:tc>
          <w:tcPr>
            <w:tcW w:w="1080" w:type="dxa"/>
            <w:tcBorders>
              <w:top w:val="nil"/>
              <w:left w:val="nil"/>
              <w:bottom w:val="nil"/>
              <w:right w:val="nil"/>
            </w:tcBorders>
          </w:tcPr>
          <w:p w14:paraId="335FB256" w14:textId="77777777" w:rsidR="00C5624E" w:rsidRDefault="00C5624E" w:rsidP="00C5624E">
            <w:pPr>
              <w:widowControl w:val="0"/>
              <w:tabs>
                <w:tab w:val="decimal" w:pos="254"/>
              </w:tabs>
              <w:autoSpaceDE w:val="0"/>
              <w:autoSpaceDN w:val="0"/>
              <w:adjustRightInd w:val="0"/>
              <w:spacing w:line="240" w:lineRule="auto"/>
            </w:pPr>
            <w:r>
              <w:t>-0.37</w:t>
            </w:r>
            <w:r>
              <w:rPr>
                <w:vertAlign w:val="superscript"/>
              </w:rPr>
              <w:t>*</w:t>
            </w:r>
          </w:p>
        </w:tc>
        <w:tc>
          <w:tcPr>
            <w:tcW w:w="810" w:type="dxa"/>
            <w:tcBorders>
              <w:top w:val="nil"/>
              <w:left w:val="nil"/>
              <w:bottom w:val="nil"/>
              <w:right w:val="nil"/>
            </w:tcBorders>
          </w:tcPr>
          <w:p w14:paraId="79495E89" w14:textId="77777777" w:rsidR="00C5624E" w:rsidRDefault="00C5624E" w:rsidP="00C5624E">
            <w:pPr>
              <w:widowControl w:val="0"/>
              <w:autoSpaceDE w:val="0"/>
              <w:autoSpaceDN w:val="0"/>
              <w:adjustRightInd w:val="0"/>
              <w:spacing w:line="240" w:lineRule="auto"/>
            </w:pPr>
            <w:r>
              <w:t>(.18)</w:t>
            </w:r>
          </w:p>
        </w:tc>
      </w:tr>
      <w:tr w:rsidR="00C5624E" w14:paraId="7FBC999E" w14:textId="77777777" w:rsidTr="00484854">
        <w:tc>
          <w:tcPr>
            <w:tcW w:w="3168" w:type="dxa"/>
            <w:tcBorders>
              <w:top w:val="nil"/>
              <w:left w:val="nil"/>
              <w:bottom w:val="nil"/>
              <w:right w:val="nil"/>
            </w:tcBorders>
          </w:tcPr>
          <w:p w14:paraId="77E0D5D3" w14:textId="77777777" w:rsidR="00C5624E" w:rsidRDefault="00C5624E" w:rsidP="00C5624E">
            <w:pPr>
              <w:widowControl w:val="0"/>
              <w:autoSpaceDE w:val="0"/>
              <w:autoSpaceDN w:val="0"/>
              <w:adjustRightInd w:val="0"/>
              <w:spacing w:line="240" w:lineRule="auto"/>
              <w:ind w:left="76"/>
            </w:pPr>
            <w:r>
              <w:t>College</w:t>
            </w:r>
          </w:p>
        </w:tc>
        <w:tc>
          <w:tcPr>
            <w:tcW w:w="1080" w:type="dxa"/>
            <w:tcBorders>
              <w:top w:val="nil"/>
              <w:left w:val="nil"/>
              <w:bottom w:val="nil"/>
              <w:right w:val="nil"/>
            </w:tcBorders>
          </w:tcPr>
          <w:p w14:paraId="0777EFE6" w14:textId="77777777" w:rsidR="00C5624E" w:rsidRDefault="00C5624E" w:rsidP="00C5624E">
            <w:pPr>
              <w:widowControl w:val="0"/>
              <w:tabs>
                <w:tab w:val="decimal" w:pos="249"/>
              </w:tabs>
              <w:autoSpaceDE w:val="0"/>
              <w:autoSpaceDN w:val="0"/>
              <w:adjustRightInd w:val="0"/>
              <w:spacing w:line="240" w:lineRule="auto"/>
            </w:pPr>
            <w:r>
              <w:t>-0.41</w:t>
            </w:r>
            <w:r>
              <w:rPr>
                <w:vertAlign w:val="superscript"/>
              </w:rPr>
              <w:t>*</w:t>
            </w:r>
          </w:p>
        </w:tc>
        <w:tc>
          <w:tcPr>
            <w:tcW w:w="720" w:type="dxa"/>
            <w:tcBorders>
              <w:top w:val="nil"/>
              <w:left w:val="nil"/>
              <w:bottom w:val="nil"/>
              <w:right w:val="nil"/>
            </w:tcBorders>
          </w:tcPr>
          <w:p w14:paraId="1F3B01EE" w14:textId="77777777" w:rsidR="00C5624E" w:rsidRDefault="00C5624E" w:rsidP="00C5624E">
            <w:pPr>
              <w:widowControl w:val="0"/>
              <w:autoSpaceDE w:val="0"/>
              <w:autoSpaceDN w:val="0"/>
              <w:adjustRightInd w:val="0"/>
              <w:spacing w:line="240" w:lineRule="auto"/>
            </w:pPr>
            <w:r>
              <w:t>(.18)</w:t>
            </w:r>
          </w:p>
        </w:tc>
        <w:tc>
          <w:tcPr>
            <w:tcW w:w="990" w:type="dxa"/>
            <w:tcBorders>
              <w:top w:val="nil"/>
              <w:left w:val="nil"/>
              <w:bottom w:val="nil"/>
              <w:right w:val="nil"/>
            </w:tcBorders>
          </w:tcPr>
          <w:p w14:paraId="35C5C3DB" w14:textId="77777777" w:rsidR="00C5624E" w:rsidRDefault="00C5624E" w:rsidP="00C5624E">
            <w:pPr>
              <w:widowControl w:val="0"/>
              <w:tabs>
                <w:tab w:val="decimal" w:pos="253"/>
              </w:tabs>
              <w:autoSpaceDE w:val="0"/>
              <w:autoSpaceDN w:val="0"/>
              <w:adjustRightInd w:val="0"/>
              <w:spacing w:line="240" w:lineRule="auto"/>
            </w:pPr>
            <w:r>
              <w:t>-0.40</w:t>
            </w:r>
            <w:r>
              <w:rPr>
                <w:vertAlign w:val="superscript"/>
              </w:rPr>
              <w:t>*</w:t>
            </w:r>
          </w:p>
        </w:tc>
        <w:tc>
          <w:tcPr>
            <w:tcW w:w="720" w:type="dxa"/>
            <w:tcBorders>
              <w:top w:val="nil"/>
              <w:left w:val="nil"/>
              <w:bottom w:val="nil"/>
              <w:right w:val="nil"/>
            </w:tcBorders>
          </w:tcPr>
          <w:p w14:paraId="7EF76B77" w14:textId="77777777" w:rsidR="00C5624E" w:rsidRDefault="00C5624E" w:rsidP="00C5624E">
            <w:pPr>
              <w:widowControl w:val="0"/>
              <w:autoSpaceDE w:val="0"/>
              <w:autoSpaceDN w:val="0"/>
              <w:adjustRightInd w:val="0"/>
              <w:spacing w:line="240" w:lineRule="auto"/>
            </w:pPr>
            <w:r>
              <w:t>(.18)</w:t>
            </w:r>
          </w:p>
        </w:tc>
        <w:tc>
          <w:tcPr>
            <w:tcW w:w="1080" w:type="dxa"/>
            <w:tcBorders>
              <w:top w:val="nil"/>
              <w:left w:val="nil"/>
              <w:bottom w:val="nil"/>
              <w:right w:val="nil"/>
            </w:tcBorders>
          </w:tcPr>
          <w:p w14:paraId="74E2BC4C" w14:textId="77777777" w:rsidR="00C5624E" w:rsidRDefault="00C5624E" w:rsidP="00C5624E">
            <w:pPr>
              <w:widowControl w:val="0"/>
              <w:tabs>
                <w:tab w:val="decimal" w:pos="254"/>
              </w:tabs>
              <w:autoSpaceDE w:val="0"/>
              <w:autoSpaceDN w:val="0"/>
              <w:adjustRightInd w:val="0"/>
              <w:spacing w:line="240" w:lineRule="auto"/>
            </w:pPr>
            <w:r>
              <w:t>-0.41</w:t>
            </w:r>
            <w:r>
              <w:rPr>
                <w:vertAlign w:val="superscript"/>
              </w:rPr>
              <w:t>*</w:t>
            </w:r>
          </w:p>
        </w:tc>
        <w:tc>
          <w:tcPr>
            <w:tcW w:w="810" w:type="dxa"/>
            <w:tcBorders>
              <w:top w:val="nil"/>
              <w:left w:val="nil"/>
              <w:bottom w:val="nil"/>
              <w:right w:val="nil"/>
            </w:tcBorders>
          </w:tcPr>
          <w:p w14:paraId="395EAA6B" w14:textId="77777777" w:rsidR="00C5624E" w:rsidRDefault="00C5624E" w:rsidP="00C5624E">
            <w:pPr>
              <w:widowControl w:val="0"/>
              <w:autoSpaceDE w:val="0"/>
              <w:autoSpaceDN w:val="0"/>
              <w:adjustRightInd w:val="0"/>
              <w:spacing w:line="240" w:lineRule="auto"/>
            </w:pPr>
            <w:r>
              <w:t>(.18)</w:t>
            </w:r>
          </w:p>
        </w:tc>
      </w:tr>
      <w:tr w:rsidR="00C5624E" w14:paraId="5EB07F4F" w14:textId="77777777" w:rsidTr="00484854">
        <w:tc>
          <w:tcPr>
            <w:tcW w:w="3168" w:type="dxa"/>
            <w:tcBorders>
              <w:top w:val="nil"/>
              <w:left w:val="nil"/>
              <w:bottom w:val="nil"/>
              <w:right w:val="nil"/>
            </w:tcBorders>
          </w:tcPr>
          <w:p w14:paraId="015E3EEF" w14:textId="77777777" w:rsidR="00C5624E" w:rsidRDefault="00C5624E" w:rsidP="00C5624E">
            <w:pPr>
              <w:widowControl w:val="0"/>
              <w:autoSpaceDE w:val="0"/>
              <w:autoSpaceDN w:val="0"/>
              <w:adjustRightInd w:val="0"/>
              <w:spacing w:line="240" w:lineRule="auto"/>
              <w:ind w:left="76"/>
            </w:pPr>
            <w:r>
              <w:t>Graduate/Prof degree</w:t>
            </w:r>
          </w:p>
        </w:tc>
        <w:tc>
          <w:tcPr>
            <w:tcW w:w="1080" w:type="dxa"/>
            <w:tcBorders>
              <w:top w:val="nil"/>
              <w:left w:val="nil"/>
              <w:bottom w:val="nil"/>
              <w:right w:val="nil"/>
            </w:tcBorders>
          </w:tcPr>
          <w:p w14:paraId="17A1061B" w14:textId="77777777" w:rsidR="00C5624E" w:rsidRDefault="00C5624E" w:rsidP="00C5624E">
            <w:pPr>
              <w:widowControl w:val="0"/>
              <w:tabs>
                <w:tab w:val="decimal" w:pos="249"/>
              </w:tabs>
              <w:autoSpaceDE w:val="0"/>
              <w:autoSpaceDN w:val="0"/>
              <w:adjustRightInd w:val="0"/>
              <w:spacing w:line="240" w:lineRule="auto"/>
            </w:pPr>
            <w:r>
              <w:t>-0.24</w:t>
            </w:r>
          </w:p>
        </w:tc>
        <w:tc>
          <w:tcPr>
            <w:tcW w:w="720" w:type="dxa"/>
            <w:tcBorders>
              <w:top w:val="nil"/>
              <w:left w:val="nil"/>
              <w:bottom w:val="nil"/>
              <w:right w:val="nil"/>
            </w:tcBorders>
          </w:tcPr>
          <w:p w14:paraId="177404E4" w14:textId="77777777" w:rsidR="00C5624E" w:rsidRDefault="00C5624E" w:rsidP="00C5624E">
            <w:pPr>
              <w:widowControl w:val="0"/>
              <w:autoSpaceDE w:val="0"/>
              <w:autoSpaceDN w:val="0"/>
              <w:adjustRightInd w:val="0"/>
              <w:spacing w:line="240" w:lineRule="auto"/>
            </w:pPr>
            <w:r>
              <w:t>(.22)</w:t>
            </w:r>
          </w:p>
        </w:tc>
        <w:tc>
          <w:tcPr>
            <w:tcW w:w="990" w:type="dxa"/>
            <w:tcBorders>
              <w:top w:val="nil"/>
              <w:left w:val="nil"/>
              <w:bottom w:val="nil"/>
              <w:right w:val="nil"/>
            </w:tcBorders>
          </w:tcPr>
          <w:p w14:paraId="58EC5DF4" w14:textId="77777777" w:rsidR="00C5624E" w:rsidRDefault="00C5624E" w:rsidP="00C5624E">
            <w:pPr>
              <w:widowControl w:val="0"/>
              <w:tabs>
                <w:tab w:val="decimal" w:pos="253"/>
              </w:tabs>
              <w:autoSpaceDE w:val="0"/>
              <w:autoSpaceDN w:val="0"/>
              <w:adjustRightInd w:val="0"/>
              <w:spacing w:line="240" w:lineRule="auto"/>
            </w:pPr>
            <w:r>
              <w:t>-0.24</w:t>
            </w:r>
          </w:p>
        </w:tc>
        <w:tc>
          <w:tcPr>
            <w:tcW w:w="720" w:type="dxa"/>
            <w:tcBorders>
              <w:top w:val="nil"/>
              <w:left w:val="nil"/>
              <w:bottom w:val="nil"/>
              <w:right w:val="nil"/>
            </w:tcBorders>
          </w:tcPr>
          <w:p w14:paraId="7EDD47E5" w14:textId="77777777" w:rsidR="00C5624E" w:rsidRDefault="00C5624E" w:rsidP="00C5624E">
            <w:pPr>
              <w:widowControl w:val="0"/>
              <w:autoSpaceDE w:val="0"/>
              <w:autoSpaceDN w:val="0"/>
              <w:adjustRightInd w:val="0"/>
              <w:spacing w:line="240" w:lineRule="auto"/>
            </w:pPr>
            <w:r>
              <w:t>(.22)</w:t>
            </w:r>
          </w:p>
        </w:tc>
        <w:tc>
          <w:tcPr>
            <w:tcW w:w="1080" w:type="dxa"/>
            <w:tcBorders>
              <w:top w:val="nil"/>
              <w:left w:val="nil"/>
              <w:bottom w:val="nil"/>
              <w:right w:val="nil"/>
            </w:tcBorders>
          </w:tcPr>
          <w:p w14:paraId="0A1C1415" w14:textId="77777777" w:rsidR="00C5624E" w:rsidRDefault="00C5624E" w:rsidP="00C5624E">
            <w:pPr>
              <w:widowControl w:val="0"/>
              <w:tabs>
                <w:tab w:val="decimal" w:pos="254"/>
              </w:tabs>
              <w:autoSpaceDE w:val="0"/>
              <w:autoSpaceDN w:val="0"/>
              <w:adjustRightInd w:val="0"/>
              <w:spacing w:line="240" w:lineRule="auto"/>
            </w:pPr>
            <w:r>
              <w:t>-0.24</w:t>
            </w:r>
          </w:p>
        </w:tc>
        <w:tc>
          <w:tcPr>
            <w:tcW w:w="810" w:type="dxa"/>
            <w:tcBorders>
              <w:top w:val="nil"/>
              <w:left w:val="nil"/>
              <w:bottom w:val="nil"/>
              <w:right w:val="nil"/>
            </w:tcBorders>
          </w:tcPr>
          <w:p w14:paraId="723B0EB7" w14:textId="77777777" w:rsidR="00C5624E" w:rsidRDefault="00C5624E" w:rsidP="00C5624E">
            <w:pPr>
              <w:widowControl w:val="0"/>
              <w:autoSpaceDE w:val="0"/>
              <w:autoSpaceDN w:val="0"/>
              <w:adjustRightInd w:val="0"/>
              <w:spacing w:line="240" w:lineRule="auto"/>
            </w:pPr>
            <w:r>
              <w:t>(.22)</w:t>
            </w:r>
          </w:p>
        </w:tc>
      </w:tr>
      <w:tr w:rsidR="00C5624E" w14:paraId="56F2916D" w14:textId="77777777" w:rsidTr="00484854">
        <w:tc>
          <w:tcPr>
            <w:tcW w:w="3168" w:type="dxa"/>
            <w:tcBorders>
              <w:top w:val="nil"/>
              <w:left w:val="nil"/>
              <w:bottom w:val="nil"/>
              <w:right w:val="nil"/>
            </w:tcBorders>
          </w:tcPr>
          <w:p w14:paraId="3410EB37" w14:textId="77777777" w:rsidR="00C5624E" w:rsidRPr="002035EB" w:rsidRDefault="00C5624E" w:rsidP="00C5624E">
            <w:pPr>
              <w:widowControl w:val="0"/>
              <w:autoSpaceDE w:val="0"/>
              <w:autoSpaceDN w:val="0"/>
              <w:adjustRightInd w:val="0"/>
              <w:spacing w:line="240" w:lineRule="auto"/>
              <w:rPr>
                <w:i/>
                <w:iCs/>
              </w:rPr>
            </w:pPr>
            <w:r w:rsidRPr="002035EB">
              <w:rPr>
                <w:i/>
                <w:iCs/>
              </w:rPr>
              <w:t>Father’s Education</w:t>
            </w:r>
          </w:p>
        </w:tc>
        <w:tc>
          <w:tcPr>
            <w:tcW w:w="1080" w:type="dxa"/>
            <w:tcBorders>
              <w:top w:val="nil"/>
              <w:left w:val="nil"/>
              <w:bottom w:val="nil"/>
              <w:right w:val="nil"/>
            </w:tcBorders>
          </w:tcPr>
          <w:p w14:paraId="081C7DF1" w14:textId="77777777" w:rsidR="00C5624E" w:rsidRDefault="00C5624E" w:rsidP="00C5624E">
            <w:pPr>
              <w:widowControl w:val="0"/>
              <w:tabs>
                <w:tab w:val="decimal" w:pos="249"/>
              </w:tabs>
              <w:autoSpaceDE w:val="0"/>
              <w:autoSpaceDN w:val="0"/>
              <w:adjustRightInd w:val="0"/>
              <w:spacing w:line="240" w:lineRule="auto"/>
            </w:pPr>
          </w:p>
        </w:tc>
        <w:tc>
          <w:tcPr>
            <w:tcW w:w="720" w:type="dxa"/>
            <w:tcBorders>
              <w:top w:val="nil"/>
              <w:left w:val="nil"/>
              <w:bottom w:val="nil"/>
              <w:right w:val="nil"/>
            </w:tcBorders>
          </w:tcPr>
          <w:p w14:paraId="48183BAD" w14:textId="77777777" w:rsidR="00C5624E" w:rsidRDefault="00C5624E" w:rsidP="00C5624E">
            <w:pPr>
              <w:widowControl w:val="0"/>
              <w:autoSpaceDE w:val="0"/>
              <w:autoSpaceDN w:val="0"/>
              <w:adjustRightInd w:val="0"/>
              <w:spacing w:line="240" w:lineRule="auto"/>
            </w:pPr>
          </w:p>
        </w:tc>
        <w:tc>
          <w:tcPr>
            <w:tcW w:w="990" w:type="dxa"/>
            <w:tcBorders>
              <w:top w:val="nil"/>
              <w:left w:val="nil"/>
              <w:bottom w:val="nil"/>
              <w:right w:val="nil"/>
            </w:tcBorders>
          </w:tcPr>
          <w:p w14:paraId="64B62D5E" w14:textId="77777777" w:rsidR="00C5624E" w:rsidRDefault="00C5624E" w:rsidP="00C5624E">
            <w:pPr>
              <w:widowControl w:val="0"/>
              <w:tabs>
                <w:tab w:val="decimal" w:pos="253"/>
              </w:tabs>
              <w:autoSpaceDE w:val="0"/>
              <w:autoSpaceDN w:val="0"/>
              <w:adjustRightInd w:val="0"/>
              <w:spacing w:line="240" w:lineRule="auto"/>
            </w:pPr>
          </w:p>
        </w:tc>
        <w:tc>
          <w:tcPr>
            <w:tcW w:w="720" w:type="dxa"/>
            <w:tcBorders>
              <w:top w:val="nil"/>
              <w:left w:val="nil"/>
              <w:bottom w:val="nil"/>
              <w:right w:val="nil"/>
            </w:tcBorders>
          </w:tcPr>
          <w:p w14:paraId="3BF760F7"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1C4FBA33" w14:textId="77777777" w:rsidR="00C5624E" w:rsidRDefault="00C5624E" w:rsidP="00C5624E">
            <w:pPr>
              <w:widowControl w:val="0"/>
              <w:tabs>
                <w:tab w:val="decimal" w:pos="254"/>
              </w:tabs>
              <w:autoSpaceDE w:val="0"/>
              <w:autoSpaceDN w:val="0"/>
              <w:adjustRightInd w:val="0"/>
              <w:spacing w:line="240" w:lineRule="auto"/>
            </w:pPr>
          </w:p>
        </w:tc>
        <w:tc>
          <w:tcPr>
            <w:tcW w:w="810" w:type="dxa"/>
            <w:tcBorders>
              <w:top w:val="nil"/>
              <w:left w:val="nil"/>
              <w:bottom w:val="nil"/>
              <w:right w:val="nil"/>
            </w:tcBorders>
          </w:tcPr>
          <w:p w14:paraId="39A70188" w14:textId="77777777" w:rsidR="00C5624E" w:rsidRDefault="00C5624E" w:rsidP="00C5624E">
            <w:pPr>
              <w:widowControl w:val="0"/>
              <w:autoSpaceDE w:val="0"/>
              <w:autoSpaceDN w:val="0"/>
              <w:adjustRightInd w:val="0"/>
              <w:spacing w:line="240" w:lineRule="auto"/>
            </w:pPr>
          </w:p>
        </w:tc>
      </w:tr>
      <w:tr w:rsidR="00C5624E" w14:paraId="21396656" w14:textId="77777777" w:rsidTr="00484854">
        <w:tc>
          <w:tcPr>
            <w:tcW w:w="3168" w:type="dxa"/>
            <w:tcBorders>
              <w:top w:val="nil"/>
              <w:left w:val="nil"/>
              <w:bottom w:val="nil"/>
              <w:right w:val="nil"/>
            </w:tcBorders>
          </w:tcPr>
          <w:p w14:paraId="32C1E654" w14:textId="77777777" w:rsidR="00C5624E" w:rsidRDefault="00C5624E" w:rsidP="00C5624E">
            <w:pPr>
              <w:widowControl w:val="0"/>
              <w:autoSpaceDE w:val="0"/>
              <w:autoSpaceDN w:val="0"/>
              <w:adjustRightInd w:val="0"/>
              <w:spacing w:line="240" w:lineRule="auto"/>
              <w:ind w:left="76"/>
            </w:pPr>
            <w:r>
              <w:t>High School</w:t>
            </w:r>
          </w:p>
        </w:tc>
        <w:tc>
          <w:tcPr>
            <w:tcW w:w="1080" w:type="dxa"/>
            <w:tcBorders>
              <w:top w:val="nil"/>
              <w:left w:val="nil"/>
              <w:bottom w:val="nil"/>
              <w:right w:val="nil"/>
            </w:tcBorders>
          </w:tcPr>
          <w:p w14:paraId="53ADF54A" w14:textId="77777777" w:rsidR="00C5624E" w:rsidRDefault="00C5624E" w:rsidP="00C5624E">
            <w:pPr>
              <w:widowControl w:val="0"/>
              <w:tabs>
                <w:tab w:val="decimal" w:pos="249"/>
              </w:tabs>
              <w:autoSpaceDE w:val="0"/>
              <w:autoSpaceDN w:val="0"/>
              <w:adjustRightInd w:val="0"/>
              <w:spacing w:line="240" w:lineRule="auto"/>
            </w:pPr>
            <w:r>
              <w:t>-0.34</w:t>
            </w:r>
            <w:r>
              <w:rPr>
                <w:vertAlign w:val="superscript"/>
              </w:rPr>
              <w:t>*</w:t>
            </w:r>
          </w:p>
        </w:tc>
        <w:tc>
          <w:tcPr>
            <w:tcW w:w="720" w:type="dxa"/>
            <w:tcBorders>
              <w:top w:val="nil"/>
              <w:left w:val="nil"/>
              <w:bottom w:val="nil"/>
              <w:right w:val="nil"/>
            </w:tcBorders>
          </w:tcPr>
          <w:p w14:paraId="53A7EA61" w14:textId="77777777" w:rsidR="00C5624E" w:rsidRDefault="00C5624E" w:rsidP="00C5624E">
            <w:pPr>
              <w:widowControl w:val="0"/>
              <w:autoSpaceDE w:val="0"/>
              <w:autoSpaceDN w:val="0"/>
              <w:adjustRightInd w:val="0"/>
              <w:spacing w:line="240" w:lineRule="auto"/>
            </w:pPr>
            <w:r>
              <w:t>(.15)</w:t>
            </w:r>
          </w:p>
        </w:tc>
        <w:tc>
          <w:tcPr>
            <w:tcW w:w="990" w:type="dxa"/>
            <w:tcBorders>
              <w:top w:val="nil"/>
              <w:left w:val="nil"/>
              <w:bottom w:val="nil"/>
              <w:right w:val="nil"/>
            </w:tcBorders>
          </w:tcPr>
          <w:p w14:paraId="6BD7648D" w14:textId="77777777" w:rsidR="00C5624E" w:rsidRDefault="00C5624E" w:rsidP="00C5624E">
            <w:pPr>
              <w:widowControl w:val="0"/>
              <w:tabs>
                <w:tab w:val="decimal" w:pos="253"/>
              </w:tabs>
              <w:autoSpaceDE w:val="0"/>
              <w:autoSpaceDN w:val="0"/>
              <w:adjustRightInd w:val="0"/>
              <w:spacing w:line="240" w:lineRule="auto"/>
            </w:pPr>
            <w:r>
              <w:t>-0.34</w:t>
            </w:r>
            <w:r>
              <w:rPr>
                <w:vertAlign w:val="superscript"/>
              </w:rPr>
              <w:t>*</w:t>
            </w:r>
          </w:p>
        </w:tc>
        <w:tc>
          <w:tcPr>
            <w:tcW w:w="720" w:type="dxa"/>
            <w:tcBorders>
              <w:top w:val="nil"/>
              <w:left w:val="nil"/>
              <w:bottom w:val="nil"/>
              <w:right w:val="nil"/>
            </w:tcBorders>
          </w:tcPr>
          <w:p w14:paraId="413962D8" w14:textId="77777777" w:rsidR="00C5624E" w:rsidRDefault="00C5624E" w:rsidP="00C5624E">
            <w:pPr>
              <w:widowControl w:val="0"/>
              <w:autoSpaceDE w:val="0"/>
              <w:autoSpaceDN w:val="0"/>
              <w:adjustRightInd w:val="0"/>
              <w:spacing w:line="240" w:lineRule="auto"/>
            </w:pPr>
            <w:r>
              <w:t>(.15)</w:t>
            </w:r>
          </w:p>
        </w:tc>
        <w:tc>
          <w:tcPr>
            <w:tcW w:w="1080" w:type="dxa"/>
            <w:tcBorders>
              <w:top w:val="nil"/>
              <w:left w:val="nil"/>
              <w:bottom w:val="nil"/>
              <w:right w:val="nil"/>
            </w:tcBorders>
          </w:tcPr>
          <w:p w14:paraId="5191C86B" w14:textId="77777777" w:rsidR="00C5624E" w:rsidRDefault="00C5624E" w:rsidP="00C5624E">
            <w:pPr>
              <w:widowControl w:val="0"/>
              <w:tabs>
                <w:tab w:val="decimal" w:pos="254"/>
              </w:tabs>
              <w:autoSpaceDE w:val="0"/>
              <w:autoSpaceDN w:val="0"/>
              <w:adjustRightInd w:val="0"/>
              <w:spacing w:line="240" w:lineRule="auto"/>
            </w:pPr>
            <w:r>
              <w:t>-0.34</w:t>
            </w:r>
            <w:r>
              <w:rPr>
                <w:vertAlign w:val="superscript"/>
              </w:rPr>
              <w:t>*</w:t>
            </w:r>
          </w:p>
        </w:tc>
        <w:tc>
          <w:tcPr>
            <w:tcW w:w="810" w:type="dxa"/>
            <w:tcBorders>
              <w:top w:val="nil"/>
              <w:left w:val="nil"/>
              <w:bottom w:val="nil"/>
              <w:right w:val="nil"/>
            </w:tcBorders>
          </w:tcPr>
          <w:p w14:paraId="60C28371" w14:textId="77777777" w:rsidR="00C5624E" w:rsidRDefault="00C5624E" w:rsidP="00C5624E">
            <w:pPr>
              <w:widowControl w:val="0"/>
              <w:autoSpaceDE w:val="0"/>
              <w:autoSpaceDN w:val="0"/>
              <w:adjustRightInd w:val="0"/>
              <w:spacing w:line="240" w:lineRule="auto"/>
            </w:pPr>
            <w:r>
              <w:t>(.15)</w:t>
            </w:r>
          </w:p>
        </w:tc>
      </w:tr>
      <w:tr w:rsidR="00C5624E" w14:paraId="5D81A56D" w14:textId="77777777" w:rsidTr="00484854">
        <w:tc>
          <w:tcPr>
            <w:tcW w:w="3168" w:type="dxa"/>
            <w:tcBorders>
              <w:top w:val="nil"/>
              <w:left w:val="nil"/>
              <w:bottom w:val="nil"/>
              <w:right w:val="nil"/>
            </w:tcBorders>
          </w:tcPr>
          <w:p w14:paraId="3217B461" w14:textId="77777777" w:rsidR="00C5624E" w:rsidRDefault="00C5624E" w:rsidP="00C5624E">
            <w:pPr>
              <w:widowControl w:val="0"/>
              <w:autoSpaceDE w:val="0"/>
              <w:autoSpaceDN w:val="0"/>
              <w:adjustRightInd w:val="0"/>
              <w:spacing w:line="240" w:lineRule="auto"/>
              <w:ind w:left="76"/>
            </w:pPr>
            <w:r>
              <w:t>Some College</w:t>
            </w:r>
          </w:p>
        </w:tc>
        <w:tc>
          <w:tcPr>
            <w:tcW w:w="1080" w:type="dxa"/>
            <w:tcBorders>
              <w:top w:val="nil"/>
              <w:left w:val="nil"/>
              <w:bottom w:val="nil"/>
              <w:right w:val="nil"/>
            </w:tcBorders>
          </w:tcPr>
          <w:p w14:paraId="526FBD7C" w14:textId="77777777" w:rsidR="00C5624E" w:rsidRDefault="00C5624E" w:rsidP="00C5624E">
            <w:pPr>
              <w:widowControl w:val="0"/>
              <w:tabs>
                <w:tab w:val="decimal" w:pos="249"/>
              </w:tabs>
              <w:autoSpaceDE w:val="0"/>
              <w:autoSpaceDN w:val="0"/>
              <w:adjustRightInd w:val="0"/>
              <w:spacing w:line="240" w:lineRule="auto"/>
            </w:pPr>
            <w:r>
              <w:t>-0.46</w:t>
            </w:r>
            <w:r>
              <w:rPr>
                <w:vertAlign w:val="superscript"/>
              </w:rPr>
              <w:t>**</w:t>
            </w:r>
          </w:p>
        </w:tc>
        <w:tc>
          <w:tcPr>
            <w:tcW w:w="720" w:type="dxa"/>
            <w:tcBorders>
              <w:top w:val="nil"/>
              <w:left w:val="nil"/>
              <w:bottom w:val="nil"/>
              <w:right w:val="nil"/>
            </w:tcBorders>
          </w:tcPr>
          <w:p w14:paraId="23C52C7E" w14:textId="77777777" w:rsidR="00C5624E" w:rsidRDefault="00C5624E" w:rsidP="00C5624E">
            <w:pPr>
              <w:widowControl w:val="0"/>
              <w:autoSpaceDE w:val="0"/>
              <w:autoSpaceDN w:val="0"/>
              <w:adjustRightInd w:val="0"/>
              <w:spacing w:line="240" w:lineRule="auto"/>
            </w:pPr>
            <w:r>
              <w:t>(.17)</w:t>
            </w:r>
          </w:p>
        </w:tc>
        <w:tc>
          <w:tcPr>
            <w:tcW w:w="990" w:type="dxa"/>
            <w:tcBorders>
              <w:top w:val="nil"/>
              <w:left w:val="nil"/>
              <w:bottom w:val="nil"/>
              <w:right w:val="nil"/>
            </w:tcBorders>
          </w:tcPr>
          <w:p w14:paraId="5E48AD92" w14:textId="77777777" w:rsidR="00C5624E" w:rsidRDefault="00C5624E" w:rsidP="00C5624E">
            <w:pPr>
              <w:widowControl w:val="0"/>
              <w:tabs>
                <w:tab w:val="decimal" w:pos="253"/>
              </w:tabs>
              <w:autoSpaceDE w:val="0"/>
              <w:autoSpaceDN w:val="0"/>
              <w:adjustRightInd w:val="0"/>
              <w:spacing w:line="240" w:lineRule="auto"/>
            </w:pPr>
            <w:r>
              <w:t>-0.46</w:t>
            </w:r>
            <w:r>
              <w:rPr>
                <w:vertAlign w:val="superscript"/>
              </w:rPr>
              <w:t>**</w:t>
            </w:r>
          </w:p>
        </w:tc>
        <w:tc>
          <w:tcPr>
            <w:tcW w:w="720" w:type="dxa"/>
            <w:tcBorders>
              <w:top w:val="nil"/>
              <w:left w:val="nil"/>
              <w:bottom w:val="nil"/>
              <w:right w:val="nil"/>
            </w:tcBorders>
          </w:tcPr>
          <w:p w14:paraId="2537A50A" w14:textId="77777777" w:rsidR="00C5624E" w:rsidRDefault="00C5624E" w:rsidP="00C5624E">
            <w:pPr>
              <w:widowControl w:val="0"/>
              <w:autoSpaceDE w:val="0"/>
              <w:autoSpaceDN w:val="0"/>
              <w:adjustRightInd w:val="0"/>
              <w:spacing w:line="240" w:lineRule="auto"/>
            </w:pPr>
            <w:r>
              <w:t>(.17)</w:t>
            </w:r>
          </w:p>
        </w:tc>
        <w:tc>
          <w:tcPr>
            <w:tcW w:w="1080" w:type="dxa"/>
            <w:tcBorders>
              <w:top w:val="nil"/>
              <w:left w:val="nil"/>
              <w:bottom w:val="nil"/>
              <w:right w:val="nil"/>
            </w:tcBorders>
          </w:tcPr>
          <w:p w14:paraId="62C332CB" w14:textId="77777777" w:rsidR="00C5624E" w:rsidRDefault="00C5624E" w:rsidP="00C5624E">
            <w:pPr>
              <w:widowControl w:val="0"/>
              <w:tabs>
                <w:tab w:val="decimal" w:pos="254"/>
              </w:tabs>
              <w:autoSpaceDE w:val="0"/>
              <w:autoSpaceDN w:val="0"/>
              <w:adjustRightInd w:val="0"/>
              <w:spacing w:line="240" w:lineRule="auto"/>
            </w:pPr>
            <w:r>
              <w:t>-0.46</w:t>
            </w:r>
            <w:r>
              <w:rPr>
                <w:vertAlign w:val="superscript"/>
              </w:rPr>
              <w:t>**</w:t>
            </w:r>
          </w:p>
        </w:tc>
        <w:tc>
          <w:tcPr>
            <w:tcW w:w="810" w:type="dxa"/>
            <w:tcBorders>
              <w:top w:val="nil"/>
              <w:left w:val="nil"/>
              <w:bottom w:val="nil"/>
              <w:right w:val="nil"/>
            </w:tcBorders>
          </w:tcPr>
          <w:p w14:paraId="75807E7E" w14:textId="77777777" w:rsidR="00C5624E" w:rsidRDefault="00C5624E" w:rsidP="00C5624E">
            <w:pPr>
              <w:widowControl w:val="0"/>
              <w:autoSpaceDE w:val="0"/>
              <w:autoSpaceDN w:val="0"/>
              <w:adjustRightInd w:val="0"/>
              <w:spacing w:line="240" w:lineRule="auto"/>
            </w:pPr>
            <w:r>
              <w:t>(.17)</w:t>
            </w:r>
          </w:p>
        </w:tc>
      </w:tr>
      <w:tr w:rsidR="00C5624E" w14:paraId="5CF38072" w14:textId="77777777" w:rsidTr="00484854">
        <w:tc>
          <w:tcPr>
            <w:tcW w:w="3168" w:type="dxa"/>
            <w:tcBorders>
              <w:top w:val="nil"/>
              <w:left w:val="nil"/>
              <w:bottom w:val="nil"/>
              <w:right w:val="nil"/>
            </w:tcBorders>
          </w:tcPr>
          <w:p w14:paraId="51B437F7" w14:textId="77777777" w:rsidR="00C5624E" w:rsidRDefault="00C5624E" w:rsidP="00C5624E">
            <w:pPr>
              <w:widowControl w:val="0"/>
              <w:autoSpaceDE w:val="0"/>
              <w:autoSpaceDN w:val="0"/>
              <w:adjustRightInd w:val="0"/>
              <w:spacing w:line="240" w:lineRule="auto"/>
              <w:ind w:left="76"/>
            </w:pPr>
            <w:r>
              <w:t>College</w:t>
            </w:r>
          </w:p>
        </w:tc>
        <w:tc>
          <w:tcPr>
            <w:tcW w:w="1080" w:type="dxa"/>
            <w:tcBorders>
              <w:top w:val="nil"/>
              <w:left w:val="nil"/>
              <w:bottom w:val="nil"/>
              <w:right w:val="nil"/>
            </w:tcBorders>
          </w:tcPr>
          <w:p w14:paraId="09D3D1C1" w14:textId="77777777" w:rsidR="00C5624E" w:rsidRDefault="00C5624E" w:rsidP="00C5624E">
            <w:pPr>
              <w:widowControl w:val="0"/>
              <w:tabs>
                <w:tab w:val="decimal" w:pos="249"/>
              </w:tabs>
              <w:autoSpaceDE w:val="0"/>
              <w:autoSpaceDN w:val="0"/>
              <w:adjustRightInd w:val="0"/>
              <w:spacing w:line="240" w:lineRule="auto"/>
            </w:pPr>
            <w:r>
              <w:t>-0.44</w:t>
            </w:r>
            <w:r>
              <w:rPr>
                <w:vertAlign w:val="superscript"/>
              </w:rPr>
              <w:t>**</w:t>
            </w:r>
          </w:p>
        </w:tc>
        <w:tc>
          <w:tcPr>
            <w:tcW w:w="720" w:type="dxa"/>
            <w:tcBorders>
              <w:top w:val="nil"/>
              <w:left w:val="nil"/>
              <w:bottom w:val="nil"/>
              <w:right w:val="nil"/>
            </w:tcBorders>
          </w:tcPr>
          <w:p w14:paraId="1E22967B" w14:textId="77777777" w:rsidR="00C5624E" w:rsidRDefault="00C5624E" w:rsidP="00C5624E">
            <w:pPr>
              <w:widowControl w:val="0"/>
              <w:autoSpaceDE w:val="0"/>
              <w:autoSpaceDN w:val="0"/>
              <w:adjustRightInd w:val="0"/>
              <w:spacing w:line="240" w:lineRule="auto"/>
            </w:pPr>
            <w:r>
              <w:t>(.17)</w:t>
            </w:r>
          </w:p>
        </w:tc>
        <w:tc>
          <w:tcPr>
            <w:tcW w:w="990" w:type="dxa"/>
            <w:tcBorders>
              <w:top w:val="nil"/>
              <w:left w:val="nil"/>
              <w:bottom w:val="nil"/>
              <w:right w:val="nil"/>
            </w:tcBorders>
          </w:tcPr>
          <w:p w14:paraId="2FF3BD75" w14:textId="77777777" w:rsidR="00C5624E" w:rsidRDefault="00C5624E" w:rsidP="00C5624E">
            <w:pPr>
              <w:widowControl w:val="0"/>
              <w:tabs>
                <w:tab w:val="decimal" w:pos="253"/>
              </w:tabs>
              <w:autoSpaceDE w:val="0"/>
              <w:autoSpaceDN w:val="0"/>
              <w:adjustRightInd w:val="0"/>
              <w:spacing w:line="240" w:lineRule="auto"/>
            </w:pPr>
            <w:r>
              <w:t>-0.44</w:t>
            </w:r>
            <w:r>
              <w:rPr>
                <w:vertAlign w:val="superscript"/>
              </w:rPr>
              <w:t>**</w:t>
            </w:r>
          </w:p>
        </w:tc>
        <w:tc>
          <w:tcPr>
            <w:tcW w:w="720" w:type="dxa"/>
            <w:tcBorders>
              <w:top w:val="nil"/>
              <w:left w:val="nil"/>
              <w:bottom w:val="nil"/>
              <w:right w:val="nil"/>
            </w:tcBorders>
          </w:tcPr>
          <w:p w14:paraId="34B80400" w14:textId="77777777" w:rsidR="00C5624E" w:rsidRDefault="00C5624E" w:rsidP="00C5624E">
            <w:pPr>
              <w:widowControl w:val="0"/>
              <w:autoSpaceDE w:val="0"/>
              <w:autoSpaceDN w:val="0"/>
              <w:adjustRightInd w:val="0"/>
              <w:spacing w:line="240" w:lineRule="auto"/>
            </w:pPr>
            <w:r>
              <w:t>(.17)</w:t>
            </w:r>
          </w:p>
        </w:tc>
        <w:tc>
          <w:tcPr>
            <w:tcW w:w="1080" w:type="dxa"/>
            <w:tcBorders>
              <w:top w:val="nil"/>
              <w:left w:val="nil"/>
              <w:bottom w:val="nil"/>
              <w:right w:val="nil"/>
            </w:tcBorders>
          </w:tcPr>
          <w:p w14:paraId="127E4D51" w14:textId="77777777" w:rsidR="00C5624E" w:rsidRDefault="00C5624E" w:rsidP="00C5624E">
            <w:pPr>
              <w:widowControl w:val="0"/>
              <w:tabs>
                <w:tab w:val="decimal" w:pos="254"/>
              </w:tabs>
              <w:autoSpaceDE w:val="0"/>
              <w:autoSpaceDN w:val="0"/>
              <w:adjustRightInd w:val="0"/>
              <w:spacing w:line="240" w:lineRule="auto"/>
            </w:pPr>
            <w:r>
              <w:t>-0.44</w:t>
            </w:r>
            <w:r>
              <w:rPr>
                <w:vertAlign w:val="superscript"/>
              </w:rPr>
              <w:t>**</w:t>
            </w:r>
          </w:p>
        </w:tc>
        <w:tc>
          <w:tcPr>
            <w:tcW w:w="810" w:type="dxa"/>
            <w:tcBorders>
              <w:top w:val="nil"/>
              <w:left w:val="nil"/>
              <w:bottom w:val="nil"/>
              <w:right w:val="nil"/>
            </w:tcBorders>
          </w:tcPr>
          <w:p w14:paraId="1268E3B0" w14:textId="77777777" w:rsidR="00C5624E" w:rsidRDefault="00C5624E" w:rsidP="00C5624E">
            <w:pPr>
              <w:widowControl w:val="0"/>
              <w:autoSpaceDE w:val="0"/>
              <w:autoSpaceDN w:val="0"/>
              <w:adjustRightInd w:val="0"/>
              <w:spacing w:line="240" w:lineRule="auto"/>
            </w:pPr>
            <w:r>
              <w:t>(.17)</w:t>
            </w:r>
          </w:p>
        </w:tc>
      </w:tr>
      <w:tr w:rsidR="00C5624E" w14:paraId="2E4E1A21" w14:textId="77777777" w:rsidTr="00484854">
        <w:tc>
          <w:tcPr>
            <w:tcW w:w="3168" w:type="dxa"/>
            <w:tcBorders>
              <w:top w:val="nil"/>
              <w:left w:val="nil"/>
              <w:bottom w:val="nil"/>
              <w:right w:val="nil"/>
            </w:tcBorders>
          </w:tcPr>
          <w:p w14:paraId="04938762" w14:textId="77777777" w:rsidR="00C5624E" w:rsidRDefault="00C5624E" w:rsidP="00C5624E">
            <w:pPr>
              <w:widowControl w:val="0"/>
              <w:autoSpaceDE w:val="0"/>
              <w:autoSpaceDN w:val="0"/>
              <w:adjustRightInd w:val="0"/>
              <w:spacing w:line="240" w:lineRule="auto"/>
              <w:ind w:left="76"/>
            </w:pPr>
            <w:r>
              <w:t>Graduate/Prof degree</w:t>
            </w:r>
          </w:p>
        </w:tc>
        <w:tc>
          <w:tcPr>
            <w:tcW w:w="1080" w:type="dxa"/>
            <w:tcBorders>
              <w:top w:val="nil"/>
              <w:left w:val="nil"/>
              <w:bottom w:val="nil"/>
              <w:right w:val="nil"/>
            </w:tcBorders>
          </w:tcPr>
          <w:p w14:paraId="2ABD78A5" w14:textId="77777777" w:rsidR="00C5624E" w:rsidRDefault="00C5624E" w:rsidP="00C5624E">
            <w:pPr>
              <w:widowControl w:val="0"/>
              <w:tabs>
                <w:tab w:val="decimal" w:pos="249"/>
              </w:tabs>
              <w:autoSpaceDE w:val="0"/>
              <w:autoSpaceDN w:val="0"/>
              <w:adjustRightInd w:val="0"/>
              <w:spacing w:line="240" w:lineRule="auto"/>
            </w:pPr>
            <w:r>
              <w:t>-0.34</w:t>
            </w:r>
          </w:p>
        </w:tc>
        <w:tc>
          <w:tcPr>
            <w:tcW w:w="720" w:type="dxa"/>
            <w:tcBorders>
              <w:top w:val="nil"/>
              <w:left w:val="nil"/>
              <w:bottom w:val="nil"/>
              <w:right w:val="nil"/>
            </w:tcBorders>
          </w:tcPr>
          <w:p w14:paraId="41CA14B4" w14:textId="77777777" w:rsidR="00C5624E" w:rsidRDefault="00C5624E" w:rsidP="00C5624E">
            <w:pPr>
              <w:widowControl w:val="0"/>
              <w:autoSpaceDE w:val="0"/>
              <w:autoSpaceDN w:val="0"/>
              <w:adjustRightInd w:val="0"/>
              <w:spacing w:line="240" w:lineRule="auto"/>
            </w:pPr>
            <w:r>
              <w:t>(.19)</w:t>
            </w:r>
          </w:p>
        </w:tc>
        <w:tc>
          <w:tcPr>
            <w:tcW w:w="990" w:type="dxa"/>
            <w:tcBorders>
              <w:top w:val="nil"/>
              <w:left w:val="nil"/>
              <w:bottom w:val="nil"/>
              <w:right w:val="nil"/>
            </w:tcBorders>
          </w:tcPr>
          <w:p w14:paraId="0089112A" w14:textId="77777777" w:rsidR="00C5624E" w:rsidRDefault="00C5624E" w:rsidP="00C5624E">
            <w:pPr>
              <w:widowControl w:val="0"/>
              <w:tabs>
                <w:tab w:val="decimal" w:pos="253"/>
              </w:tabs>
              <w:autoSpaceDE w:val="0"/>
              <w:autoSpaceDN w:val="0"/>
              <w:adjustRightInd w:val="0"/>
              <w:spacing w:line="240" w:lineRule="auto"/>
            </w:pPr>
            <w:r>
              <w:t>-0.34</w:t>
            </w:r>
          </w:p>
        </w:tc>
        <w:tc>
          <w:tcPr>
            <w:tcW w:w="720" w:type="dxa"/>
            <w:tcBorders>
              <w:top w:val="nil"/>
              <w:left w:val="nil"/>
              <w:bottom w:val="nil"/>
              <w:right w:val="nil"/>
            </w:tcBorders>
          </w:tcPr>
          <w:p w14:paraId="25642E95" w14:textId="77777777" w:rsidR="00C5624E" w:rsidRDefault="00C5624E" w:rsidP="00C5624E">
            <w:pPr>
              <w:widowControl w:val="0"/>
              <w:autoSpaceDE w:val="0"/>
              <w:autoSpaceDN w:val="0"/>
              <w:adjustRightInd w:val="0"/>
              <w:spacing w:line="240" w:lineRule="auto"/>
            </w:pPr>
            <w:r>
              <w:t>(.19)</w:t>
            </w:r>
          </w:p>
        </w:tc>
        <w:tc>
          <w:tcPr>
            <w:tcW w:w="1080" w:type="dxa"/>
            <w:tcBorders>
              <w:top w:val="nil"/>
              <w:left w:val="nil"/>
              <w:bottom w:val="nil"/>
              <w:right w:val="nil"/>
            </w:tcBorders>
          </w:tcPr>
          <w:p w14:paraId="0F5BD80F" w14:textId="77777777" w:rsidR="00C5624E" w:rsidRDefault="00C5624E" w:rsidP="00C5624E">
            <w:pPr>
              <w:widowControl w:val="0"/>
              <w:tabs>
                <w:tab w:val="decimal" w:pos="254"/>
              </w:tabs>
              <w:autoSpaceDE w:val="0"/>
              <w:autoSpaceDN w:val="0"/>
              <w:adjustRightInd w:val="0"/>
              <w:spacing w:line="240" w:lineRule="auto"/>
            </w:pPr>
            <w:r>
              <w:t>-0.34</w:t>
            </w:r>
          </w:p>
        </w:tc>
        <w:tc>
          <w:tcPr>
            <w:tcW w:w="810" w:type="dxa"/>
            <w:tcBorders>
              <w:top w:val="nil"/>
              <w:left w:val="nil"/>
              <w:bottom w:val="nil"/>
              <w:right w:val="nil"/>
            </w:tcBorders>
          </w:tcPr>
          <w:p w14:paraId="517C72D4" w14:textId="77777777" w:rsidR="00C5624E" w:rsidRDefault="00C5624E" w:rsidP="00C5624E">
            <w:pPr>
              <w:widowControl w:val="0"/>
              <w:autoSpaceDE w:val="0"/>
              <w:autoSpaceDN w:val="0"/>
              <w:adjustRightInd w:val="0"/>
              <w:spacing w:line="240" w:lineRule="auto"/>
            </w:pPr>
            <w:r>
              <w:t>(.19)</w:t>
            </w:r>
          </w:p>
        </w:tc>
      </w:tr>
      <w:tr w:rsidR="00C5624E" w14:paraId="07D73019" w14:textId="77777777" w:rsidTr="00484854">
        <w:tc>
          <w:tcPr>
            <w:tcW w:w="3168" w:type="dxa"/>
            <w:tcBorders>
              <w:top w:val="nil"/>
              <w:left w:val="nil"/>
              <w:bottom w:val="nil"/>
              <w:right w:val="nil"/>
            </w:tcBorders>
          </w:tcPr>
          <w:p w14:paraId="054D1D63" w14:textId="77777777" w:rsidR="00C5624E" w:rsidRDefault="00C5624E" w:rsidP="00C5624E">
            <w:pPr>
              <w:widowControl w:val="0"/>
              <w:autoSpaceDE w:val="0"/>
              <w:autoSpaceDN w:val="0"/>
              <w:adjustRightInd w:val="0"/>
              <w:spacing w:line="240" w:lineRule="auto"/>
            </w:pPr>
            <w:r>
              <w:t>Race (Black)</w:t>
            </w:r>
          </w:p>
        </w:tc>
        <w:tc>
          <w:tcPr>
            <w:tcW w:w="1080" w:type="dxa"/>
            <w:tcBorders>
              <w:top w:val="nil"/>
              <w:left w:val="nil"/>
              <w:bottom w:val="nil"/>
              <w:right w:val="nil"/>
            </w:tcBorders>
          </w:tcPr>
          <w:p w14:paraId="7A6D17AF" w14:textId="77777777" w:rsidR="00C5624E" w:rsidRDefault="00C5624E" w:rsidP="00C5624E">
            <w:pPr>
              <w:widowControl w:val="0"/>
              <w:tabs>
                <w:tab w:val="decimal" w:pos="249"/>
              </w:tabs>
              <w:autoSpaceDE w:val="0"/>
              <w:autoSpaceDN w:val="0"/>
              <w:adjustRightInd w:val="0"/>
              <w:spacing w:line="240" w:lineRule="auto"/>
            </w:pPr>
            <w:r>
              <w:t>-0.72</w:t>
            </w:r>
            <w:r>
              <w:rPr>
                <w:vertAlign w:val="superscript"/>
              </w:rPr>
              <w:t>***</w:t>
            </w:r>
          </w:p>
        </w:tc>
        <w:tc>
          <w:tcPr>
            <w:tcW w:w="720" w:type="dxa"/>
            <w:tcBorders>
              <w:top w:val="nil"/>
              <w:left w:val="nil"/>
              <w:bottom w:val="nil"/>
              <w:right w:val="nil"/>
            </w:tcBorders>
          </w:tcPr>
          <w:p w14:paraId="463281AB" w14:textId="77777777" w:rsidR="00C5624E" w:rsidRDefault="00C5624E" w:rsidP="00C5624E">
            <w:pPr>
              <w:widowControl w:val="0"/>
              <w:autoSpaceDE w:val="0"/>
              <w:autoSpaceDN w:val="0"/>
              <w:adjustRightInd w:val="0"/>
              <w:spacing w:line="240" w:lineRule="auto"/>
            </w:pPr>
            <w:r>
              <w:t>(.22)</w:t>
            </w:r>
          </w:p>
        </w:tc>
        <w:tc>
          <w:tcPr>
            <w:tcW w:w="990" w:type="dxa"/>
            <w:tcBorders>
              <w:top w:val="nil"/>
              <w:left w:val="nil"/>
              <w:bottom w:val="nil"/>
              <w:right w:val="nil"/>
            </w:tcBorders>
          </w:tcPr>
          <w:p w14:paraId="1AA568F2" w14:textId="77777777" w:rsidR="00C5624E" w:rsidRDefault="00C5624E" w:rsidP="00C5624E">
            <w:pPr>
              <w:widowControl w:val="0"/>
              <w:tabs>
                <w:tab w:val="decimal" w:pos="253"/>
              </w:tabs>
              <w:autoSpaceDE w:val="0"/>
              <w:autoSpaceDN w:val="0"/>
              <w:adjustRightInd w:val="0"/>
              <w:spacing w:line="240" w:lineRule="auto"/>
            </w:pPr>
            <w:r>
              <w:t>-0.72</w:t>
            </w:r>
            <w:r>
              <w:rPr>
                <w:vertAlign w:val="superscript"/>
              </w:rPr>
              <w:t>***</w:t>
            </w:r>
          </w:p>
        </w:tc>
        <w:tc>
          <w:tcPr>
            <w:tcW w:w="720" w:type="dxa"/>
            <w:tcBorders>
              <w:top w:val="nil"/>
              <w:left w:val="nil"/>
              <w:bottom w:val="nil"/>
              <w:right w:val="nil"/>
            </w:tcBorders>
          </w:tcPr>
          <w:p w14:paraId="56B7CE00" w14:textId="77777777" w:rsidR="00C5624E" w:rsidRDefault="00C5624E" w:rsidP="00C5624E">
            <w:pPr>
              <w:widowControl w:val="0"/>
              <w:autoSpaceDE w:val="0"/>
              <w:autoSpaceDN w:val="0"/>
              <w:adjustRightInd w:val="0"/>
              <w:spacing w:line="240" w:lineRule="auto"/>
            </w:pPr>
            <w:r>
              <w:t>(.22)</w:t>
            </w:r>
          </w:p>
        </w:tc>
        <w:tc>
          <w:tcPr>
            <w:tcW w:w="1080" w:type="dxa"/>
            <w:tcBorders>
              <w:top w:val="nil"/>
              <w:left w:val="nil"/>
              <w:bottom w:val="nil"/>
              <w:right w:val="nil"/>
            </w:tcBorders>
          </w:tcPr>
          <w:p w14:paraId="6466B7C8" w14:textId="77777777" w:rsidR="00C5624E" w:rsidRDefault="00C5624E" w:rsidP="00C5624E">
            <w:pPr>
              <w:widowControl w:val="0"/>
              <w:tabs>
                <w:tab w:val="decimal" w:pos="254"/>
              </w:tabs>
              <w:autoSpaceDE w:val="0"/>
              <w:autoSpaceDN w:val="0"/>
              <w:adjustRightInd w:val="0"/>
              <w:spacing w:line="240" w:lineRule="auto"/>
            </w:pPr>
            <w:r>
              <w:t>-0.72</w:t>
            </w:r>
            <w:r>
              <w:rPr>
                <w:vertAlign w:val="superscript"/>
              </w:rPr>
              <w:t>***</w:t>
            </w:r>
          </w:p>
        </w:tc>
        <w:tc>
          <w:tcPr>
            <w:tcW w:w="810" w:type="dxa"/>
            <w:tcBorders>
              <w:top w:val="nil"/>
              <w:left w:val="nil"/>
              <w:bottom w:val="nil"/>
              <w:right w:val="nil"/>
            </w:tcBorders>
          </w:tcPr>
          <w:p w14:paraId="53A54F11" w14:textId="77777777" w:rsidR="00C5624E" w:rsidRDefault="00C5624E" w:rsidP="00C5624E">
            <w:pPr>
              <w:widowControl w:val="0"/>
              <w:autoSpaceDE w:val="0"/>
              <w:autoSpaceDN w:val="0"/>
              <w:adjustRightInd w:val="0"/>
              <w:spacing w:line="240" w:lineRule="auto"/>
            </w:pPr>
            <w:r>
              <w:t>(.22)</w:t>
            </w:r>
          </w:p>
        </w:tc>
      </w:tr>
      <w:tr w:rsidR="00C5624E" w14:paraId="579559AC" w14:textId="77777777" w:rsidTr="00266A2C">
        <w:tc>
          <w:tcPr>
            <w:tcW w:w="3168" w:type="dxa"/>
            <w:tcBorders>
              <w:top w:val="nil"/>
              <w:left w:val="nil"/>
              <w:bottom w:val="single" w:sz="4" w:space="0" w:color="auto"/>
              <w:right w:val="nil"/>
            </w:tcBorders>
          </w:tcPr>
          <w:p w14:paraId="655CD84A" w14:textId="77777777" w:rsidR="00C5624E" w:rsidRDefault="00C5624E" w:rsidP="00C5624E">
            <w:pPr>
              <w:widowControl w:val="0"/>
              <w:autoSpaceDE w:val="0"/>
              <w:autoSpaceDN w:val="0"/>
              <w:adjustRightInd w:val="0"/>
              <w:spacing w:line="240" w:lineRule="auto"/>
            </w:pPr>
            <w:r>
              <w:t>Years</w:t>
            </w:r>
          </w:p>
        </w:tc>
        <w:tc>
          <w:tcPr>
            <w:tcW w:w="1080" w:type="dxa"/>
            <w:tcBorders>
              <w:top w:val="nil"/>
              <w:left w:val="nil"/>
              <w:bottom w:val="single" w:sz="4" w:space="0" w:color="auto"/>
              <w:right w:val="nil"/>
            </w:tcBorders>
          </w:tcPr>
          <w:p w14:paraId="35E28B57" w14:textId="77777777" w:rsidR="00C5624E" w:rsidRDefault="00C5624E" w:rsidP="00C5624E">
            <w:pPr>
              <w:widowControl w:val="0"/>
              <w:tabs>
                <w:tab w:val="decimal" w:pos="249"/>
              </w:tabs>
              <w:autoSpaceDE w:val="0"/>
              <w:autoSpaceDN w:val="0"/>
              <w:adjustRightInd w:val="0"/>
              <w:spacing w:line="240" w:lineRule="auto"/>
            </w:pPr>
            <w:r>
              <w:t>-0.01</w:t>
            </w:r>
            <w:r>
              <w:rPr>
                <w:vertAlign w:val="superscript"/>
              </w:rPr>
              <w:t>*</w:t>
            </w:r>
          </w:p>
        </w:tc>
        <w:tc>
          <w:tcPr>
            <w:tcW w:w="720" w:type="dxa"/>
            <w:tcBorders>
              <w:top w:val="nil"/>
              <w:left w:val="nil"/>
              <w:bottom w:val="single" w:sz="4" w:space="0" w:color="auto"/>
              <w:right w:val="nil"/>
            </w:tcBorders>
          </w:tcPr>
          <w:p w14:paraId="4F085721" w14:textId="77777777" w:rsidR="00C5624E" w:rsidRDefault="00C5624E" w:rsidP="00C5624E">
            <w:pPr>
              <w:widowControl w:val="0"/>
              <w:autoSpaceDE w:val="0"/>
              <w:autoSpaceDN w:val="0"/>
              <w:adjustRightInd w:val="0"/>
              <w:spacing w:line="240" w:lineRule="auto"/>
            </w:pPr>
            <w:r>
              <w:t>(.00)</w:t>
            </w:r>
          </w:p>
        </w:tc>
        <w:tc>
          <w:tcPr>
            <w:tcW w:w="990" w:type="dxa"/>
            <w:tcBorders>
              <w:top w:val="nil"/>
              <w:left w:val="nil"/>
              <w:bottom w:val="single" w:sz="4" w:space="0" w:color="auto"/>
              <w:right w:val="nil"/>
            </w:tcBorders>
          </w:tcPr>
          <w:p w14:paraId="0E03749E" w14:textId="77777777" w:rsidR="00C5624E" w:rsidRDefault="00C5624E" w:rsidP="00C5624E">
            <w:pPr>
              <w:widowControl w:val="0"/>
              <w:tabs>
                <w:tab w:val="decimal" w:pos="253"/>
              </w:tabs>
              <w:autoSpaceDE w:val="0"/>
              <w:autoSpaceDN w:val="0"/>
              <w:adjustRightInd w:val="0"/>
              <w:spacing w:line="240" w:lineRule="auto"/>
            </w:pPr>
            <w:r>
              <w:t>-0.01</w:t>
            </w:r>
            <w:r>
              <w:rPr>
                <w:vertAlign w:val="superscript"/>
              </w:rPr>
              <w:t>*</w:t>
            </w:r>
          </w:p>
        </w:tc>
        <w:tc>
          <w:tcPr>
            <w:tcW w:w="720" w:type="dxa"/>
            <w:tcBorders>
              <w:top w:val="nil"/>
              <w:left w:val="nil"/>
              <w:bottom w:val="single" w:sz="4" w:space="0" w:color="auto"/>
              <w:right w:val="nil"/>
            </w:tcBorders>
          </w:tcPr>
          <w:p w14:paraId="359D8CE4" w14:textId="77777777" w:rsidR="00C5624E" w:rsidRDefault="00C5624E" w:rsidP="00C5624E">
            <w:pPr>
              <w:widowControl w:val="0"/>
              <w:autoSpaceDE w:val="0"/>
              <w:autoSpaceDN w:val="0"/>
              <w:adjustRightInd w:val="0"/>
              <w:spacing w:line="240" w:lineRule="auto"/>
            </w:pPr>
            <w:r>
              <w:t>(.00)</w:t>
            </w:r>
          </w:p>
        </w:tc>
        <w:tc>
          <w:tcPr>
            <w:tcW w:w="1080" w:type="dxa"/>
            <w:tcBorders>
              <w:top w:val="nil"/>
              <w:left w:val="nil"/>
              <w:bottom w:val="single" w:sz="4" w:space="0" w:color="auto"/>
              <w:right w:val="nil"/>
            </w:tcBorders>
          </w:tcPr>
          <w:p w14:paraId="7832E935" w14:textId="77777777" w:rsidR="00C5624E" w:rsidRDefault="00C5624E" w:rsidP="00C5624E">
            <w:pPr>
              <w:widowControl w:val="0"/>
              <w:tabs>
                <w:tab w:val="decimal" w:pos="254"/>
              </w:tabs>
              <w:autoSpaceDE w:val="0"/>
              <w:autoSpaceDN w:val="0"/>
              <w:adjustRightInd w:val="0"/>
              <w:spacing w:line="240" w:lineRule="auto"/>
            </w:pPr>
            <w:r>
              <w:t>-0.01</w:t>
            </w:r>
            <w:r>
              <w:rPr>
                <w:vertAlign w:val="superscript"/>
              </w:rPr>
              <w:t>*</w:t>
            </w:r>
          </w:p>
        </w:tc>
        <w:tc>
          <w:tcPr>
            <w:tcW w:w="810" w:type="dxa"/>
            <w:tcBorders>
              <w:top w:val="nil"/>
              <w:left w:val="nil"/>
              <w:bottom w:val="single" w:sz="4" w:space="0" w:color="auto"/>
              <w:right w:val="nil"/>
            </w:tcBorders>
          </w:tcPr>
          <w:p w14:paraId="5429830D" w14:textId="77777777" w:rsidR="00C5624E" w:rsidRDefault="00C5624E" w:rsidP="00C5624E">
            <w:pPr>
              <w:widowControl w:val="0"/>
              <w:autoSpaceDE w:val="0"/>
              <w:autoSpaceDN w:val="0"/>
              <w:adjustRightInd w:val="0"/>
              <w:spacing w:line="240" w:lineRule="auto"/>
            </w:pPr>
            <w:r>
              <w:t>(.00)</w:t>
            </w:r>
          </w:p>
        </w:tc>
      </w:tr>
      <w:tr w:rsidR="00C5624E" w14:paraId="5E3752A5" w14:textId="77777777" w:rsidTr="00266A2C">
        <w:tc>
          <w:tcPr>
            <w:tcW w:w="3168" w:type="dxa"/>
            <w:tcBorders>
              <w:top w:val="single" w:sz="4" w:space="0" w:color="auto"/>
              <w:left w:val="nil"/>
              <w:bottom w:val="single" w:sz="4" w:space="0" w:color="auto"/>
              <w:right w:val="nil"/>
            </w:tcBorders>
          </w:tcPr>
          <w:p w14:paraId="179DEE0F" w14:textId="77777777" w:rsidR="00C5624E" w:rsidRDefault="00C5624E" w:rsidP="00C5624E">
            <w:pPr>
              <w:widowControl w:val="0"/>
              <w:autoSpaceDE w:val="0"/>
              <w:autoSpaceDN w:val="0"/>
              <w:adjustRightInd w:val="0"/>
              <w:spacing w:line="240" w:lineRule="auto"/>
            </w:pPr>
            <w:r>
              <w:t>Observations</w:t>
            </w:r>
          </w:p>
        </w:tc>
        <w:tc>
          <w:tcPr>
            <w:tcW w:w="5400" w:type="dxa"/>
            <w:gridSpan w:val="6"/>
            <w:tcBorders>
              <w:top w:val="single" w:sz="4" w:space="0" w:color="auto"/>
              <w:left w:val="nil"/>
              <w:bottom w:val="single" w:sz="4" w:space="0" w:color="auto"/>
              <w:right w:val="nil"/>
            </w:tcBorders>
          </w:tcPr>
          <w:p w14:paraId="20C26F5F" w14:textId="3DEA04B2" w:rsidR="00C5624E" w:rsidRDefault="00C5624E" w:rsidP="00C5624E">
            <w:pPr>
              <w:widowControl w:val="0"/>
              <w:autoSpaceDE w:val="0"/>
              <w:autoSpaceDN w:val="0"/>
              <w:adjustRightInd w:val="0"/>
              <w:spacing w:line="240" w:lineRule="auto"/>
              <w:jc w:val="center"/>
            </w:pPr>
            <w:r>
              <w:t>49,103</w:t>
            </w:r>
          </w:p>
        </w:tc>
      </w:tr>
      <w:tr w:rsidR="00C5624E" w14:paraId="0C2964AD" w14:textId="77777777" w:rsidTr="00266A2C">
        <w:tc>
          <w:tcPr>
            <w:tcW w:w="3168" w:type="dxa"/>
            <w:tcBorders>
              <w:top w:val="single" w:sz="4" w:space="0" w:color="auto"/>
              <w:left w:val="nil"/>
              <w:bottom w:val="nil"/>
              <w:right w:val="nil"/>
            </w:tcBorders>
          </w:tcPr>
          <w:p w14:paraId="0B6A7A8E" w14:textId="77777777" w:rsidR="00C5624E" w:rsidRDefault="00C5624E" w:rsidP="00C5624E">
            <w:pPr>
              <w:widowControl w:val="0"/>
              <w:autoSpaceDE w:val="0"/>
              <w:autoSpaceDN w:val="0"/>
              <w:adjustRightInd w:val="0"/>
              <w:spacing w:line="240" w:lineRule="auto"/>
            </w:pPr>
            <w:r>
              <w:t>AIC</w:t>
            </w:r>
          </w:p>
        </w:tc>
        <w:tc>
          <w:tcPr>
            <w:tcW w:w="1800" w:type="dxa"/>
            <w:gridSpan w:val="2"/>
            <w:tcBorders>
              <w:top w:val="single" w:sz="4" w:space="0" w:color="auto"/>
              <w:left w:val="nil"/>
              <w:bottom w:val="nil"/>
              <w:right w:val="nil"/>
            </w:tcBorders>
          </w:tcPr>
          <w:p w14:paraId="0EEC61AC" w14:textId="77777777" w:rsidR="00C5624E" w:rsidRDefault="00C5624E" w:rsidP="00C5624E">
            <w:pPr>
              <w:widowControl w:val="0"/>
              <w:autoSpaceDE w:val="0"/>
              <w:autoSpaceDN w:val="0"/>
              <w:adjustRightInd w:val="0"/>
              <w:spacing w:line="240" w:lineRule="auto"/>
              <w:jc w:val="center"/>
            </w:pPr>
            <w:r>
              <w:t>5132.02</w:t>
            </w:r>
          </w:p>
        </w:tc>
        <w:tc>
          <w:tcPr>
            <w:tcW w:w="1710" w:type="dxa"/>
            <w:gridSpan w:val="2"/>
            <w:tcBorders>
              <w:top w:val="single" w:sz="4" w:space="0" w:color="auto"/>
              <w:left w:val="nil"/>
              <w:bottom w:val="nil"/>
              <w:right w:val="nil"/>
            </w:tcBorders>
          </w:tcPr>
          <w:p w14:paraId="1D6BACEC" w14:textId="77777777" w:rsidR="00C5624E" w:rsidRDefault="00C5624E" w:rsidP="00C5624E">
            <w:pPr>
              <w:widowControl w:val="0"/>
              <w:autoSpaceDE w:val="0"/>
              <w:autoSpaceDN w:val="0"/>
              <w:adjustRightInd w:val="0"/>
              <w:spacing w:line="240" w:lineRule="auto"/>
              <w:jc w:val="center"/>
            </w:pPr>
            <w:r>
              <w:t>5130.38</w:t>
            </w:r>
          </w:p>
        </w:tc>
        <w:tc>
          <w:tcPr>
            <w:tcW w:w="1890" w:type="dxa"/>
            <w:gridSpan w:val="2"/>
            <w:tcBorders>
              <w:top w:val="single" w:sz="4" w:space="0" w:color="auto"/>
              <w:left w:val="nil"/>
              <w:bottom w:val="nil"/>
              <w:right w:val="nil"/>
            </w:tcBorders>
          </w:tcPr>
          <w:p w14:paraId="46D59E5E" w14:textId="77777777" w:rsidR="00C5624E" w:rsidRDefault="00C5624E" w:rsidP="00C5624E">
            <w:pPr>
              <w:widowControl w:val="0"/>
              <w:autoSpaceDE w:val="0"/>
              <w:autoSpaceDN w:val="0"/>
              <w:adjustRightInd w:val="0"/>
              <w:spacing w:line="240" w:lineRule="auto"/>
              <w:jc w:val="center"/>
            </w:pPr>
            <w:r>
              <w:t>5134.02</w:t>
            </w:r>
          </w:p>
        </w:tc>
      </w:tr>
      <w:tr w:rsidR="00C5624E" w14:paraId="180795E4" w14:textId="77777777" w:rsidTr="00484854">
        <w:tc>
          <w:tcPr>
            <w:tcW w:w="3168" w:type="dxa"/>
            <w:tcBorders>
              <w:top w:val="nil"/>
              <w:left w:val="nil"/>
              <w:bottom w:val="single" w:sz="4" w:space="0" w:color="auto"/>
              <w:right w:val="nil"/>
            </w:tcBorders>
          </w:tcPr>
          <w:p w14:paraId="2B08033C" w14:textId="77777777" w:rsidR="00C5624E" w:rsidRDefault="00C5624E" w:rsidP="00C5624E">
            <w:pPr>
              <w:widowControl w:val="0"/>
              <w:autoSpaceDE w:val="0"/>
              <w:autoSpaceDN w:val="0"/>
              <w:adjustRightInd w:val="0"/>
              <w:spacing w:line="240" w:lineRule="auto"/>
            </w:pPr>
            <w:r>
              <w:t>BIC</w:t>
            </w:r>
          </w:p>
        </w:tc>
        <w:tc>
          <w:tcPr>
            <w:tcW w:w="1800" w:type="dxa"/>
            <w:gridSpan w:val="2"/>
            <w:tcBorders>
              <w:top w:val="nil"/>
              <w:left w:val="nil"/>
              <w:bottom w:val="single" w:sz="4" w:space="0" w:color="auto"/>
              <w:right w:val="nil"/>
            </w:tcBorders>
          </w:tcPr>
          <w:p w14:paraId="6D70EC16" w14:textId="77777777" w:rsidR="00C5624E" w:rsidRDefault="00C5624E" w:rsidP="00C5624E">
            <w:pPr>
              <w:widowControl w:val="0"/>
              <w:autoSpaceDE w:val="0"/>
              <w:autoSpaceDN w:val="0"/>
              <w:adjustRightInd w:val="0"/>
              <w:spacing w:line="240" w:lineRule="auto"/>
              <w:jc w:val="center"/>
            </w:pPr>
            <w:r>
              <w:t>5255.25</w:t>
            </w:r>
          </w:p>
        </w:tc>
        <w:tc>
          <w:tcPr>
            <w:tcW w:w="1710" w:type="dxa"/>
            <w:gridSpan w:val="2"/>
            <w:tcBorders>
              <w:top w:val="nil"/>
              <w:left w:val="nil"/>
              <w:bottom w:val="single" w:sz="4" w:space="0" w:color="auto"/>
              <w:right w:val="nil"/>
            </w:tcBorders>
          </w:tcPr>
          <w:p w14:paraId="201DF949" w14:textId="77777777" w:rsidR="00C5624E" w:rsidRDefault="00C5624E" w:rsidP="00C5624E">
            <w:pPr>
              <w:widowControl w:val="0"/>
              <w:autoSpaceDE w:val="0"/>
              <w:autoSpaceDN w:val="0"/>
              <w:adjustRightInd w:val="0"/>
              <w:spacing w:line="240" w:lineRule="auto"/>
              <w:jc w:val="center"/>
            </w:pPr>
            <w:r>
              <w:t>5262.41</w:t>
            </w:r>
          </w:p>
        </w:tc>
        <w:tc>
          <w:tcPr>
            <w:tcW w:w="1890" w:type="dxa"/>
            <w:gridSpan w:val="2"/>
            <w:tcBorders>
              <w:top w:val="nil"/>
              <w:left w:val="nil"/>
              <w:bottom w:val="single" w:sz="4" w:space="0" w:color="auto"/>
              <w:right w:val="nil"/>
            </w:tcBorders>
          </w:tcPr>
          <w:p w14:paraId="38F13193" w14:textId="77777777" w:rsidR="00C5624E" w:rsidRDefault="00C5624E" w:rsidP="00C5624E">
            <w:pPr>
              <w:widowControl w:val="0"/>
              <w:autoSpaceDE w:val="0"/>
              <w:autoSpaceDN w:val="0"/>
              <w:adjustRightInd w:val="0"/>
              <w:spacing w:line="240" w:lineRule="auto"/>
              <w:jc w:val="center"/>
            </w:pPr>
            <w:r>
              <w:t>5266.04</w:t>
            </w:r>
          </w:p>
        </w:tc>
      </w:tr>
    </w:tbl>
    <w:p w14:paraId="760E1C39" w14:textId="77777777" w:rsidR="008E2FDE" w:rsidRDefault="008E2FDE" w:rsidP="00B35617">
      <w:pPr>
        <w:widowControl w:val="0"/>
        <w:autoSpaceDE w:val="0"/>
        <w:autoSpaceDN w:val="0"/>
        <w:adjustRightInd w:val="0"/>
        <w:spacing w:line="240" w:lineRule="auto"/>
        <w:rPr>
          <w:sz w:val="20"/>
          <w:szCs w:val="20"/>
        </w:rPr>
      </w:pPr>
      <w:r>
        <w:rPr>
          <w:sz w:val="20"/>
          <w:szCs w:val="20"/>
        </w:rPr>
        <w:t>Standard errors in parentheses</w:t>
      </w:r>
    </w:p>
    <w:p w14:paraId="165DB317" w14:textId="77777777" w:rsidR="008E2FDE" w:rsidRDefault="008E2FDE" w:rsidP="00B35617">
      <w:pPr>
        <w:widowControl w:val="0"/>
        <w:autoSpaceDE w:val="0"/>
        <w:autoSpaceDN w:val="0"/>
        <w:adjustRightInd w:val="0"/>
        <w:spacing w:line="240" w:lineRule="auto"/>
        <w:rPr>
          <w:sz w:val="20"/>
          <w:szCs w:val="20"/>
        </w:rPr>
      </w:pPr>
      <w:r>
        <w:rPr>
          <w:sz w:val="20"/>
          <w:szCs w:val="20"/>
        </w:rPr>
        <w:t>Source: Monitoring the Future (1976-2019)</w:t>
      </w:r>
    </w:p>
    <w:p w14:paraId="23AC40EA" w14:textId="77777777" w:rsidR="008E2FDE" w:rsidRDefault="008E2FDE" w:rsidP="00B35617">
      <w:pPr>
        <w:widowControl w:val="0"/>
        <w:autoSpaceDE w:val="0"/>
        <w:autoSpaceDN w:val="0"/>
        <w:adjustRightInd w:val="0"/>
        <w:spacing w:line="240" w:lineRule="auto"/>
        <w:rPr>
          <w:sz w:val="20"/>
          <w:szCs w:val="20"/>
        </w:rPr>
      </w:pP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p>
    <w:p w14:paraId="22431665" w14:textId="0DA3F6D6" w:rsidR="008E2FDE" w:rsidRDefault="00307085" w:rsidP="006E7BBC">
      <w:pPr>
        <w:widowControl w:val="0"/>
        <w:autoSpaceDE w:val="0"/>
        <w:autoSpaceDN w:val="0"/>
        <w:adjustRightInd w:val="0"/>
      </w:pPr>
      <w:r>
        <w:rPr>
          <w:noProof/>
        </w:rPr>
        <w:lastRenderedPageBreak/>
        <w:drawing>
          <wp:inline distT="0" distB="0" distL="0" distR="0" wp14:anchorId="66411774" wp14:editId="73718A5B">
            <wp:extent cx="5943600" cy="3958590"/>
            <wp:effectExtent l="0" t="0" r="0" b="3810"/>
            <wp:docPr id="7" name="Picture 7"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ox and whisker char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943600" cy="3958590"/>
                    </a:xfrm>
                    <a:prstGeom prst="rect">
                      <a:avLst/>
                    </a:prstGeom>
                  </pic:spPr>
                </pic:pic>
              </a:graphicData>
            </a:graphic>
          </wp:inline>
        </w:drawing>
      </w:r>
    </w:p>
    <w:p w14:paraId="6F9E9E39" w14:textId="77B0B35A" w:rsidR="00660ED4" w:rsidRDefault="00660ED4" w:rsidP="006E7BBC">
      <w:pPr>
        <w:widowControl w:val="0"/>
        <w:autoSpaceDE w:val="0"/>
        <w:autoSpaceDN w:val="0"/>
        <w:adjustRightInd w:val="0"/>
      </w:pPr>
    </w:p>
    <w:p w14:paraId="4B452FEC" w14:textId="5DC6D6F1" w:rsidR="00E84896" w:rsidRDefault="006E7BBC" w:rsidP="006E7BBC">
      <w:pPr>
        <w:widowControl w:val="0"/>
        <w:autoSpaceDE w:val="0"/>
        <w:autoSpaceDN w:val="0"/>
        <w:adjustRightInd w:val="0"/>
      </w:pPr>
      <w:r>
        <w:tab/>
        <w:t xml:space="preserve">Model 2 in Table </w:t>
      </w:r>
      <w:r w:rsidR="00517D6C">
        <w:t>4</w:t>
      </w:r>
      <w:r>
        <w:t xml:space="preserve"> displays the results for the interaction between gender and family s</w:t>
      </w:r>
      <w:r w:rsidR="005562AF">
        <w:t xml:space="preserve">tructure. </w:t>
      </w:r>
      <w:r w:rsidR="00DF5B3F">
        <w:t xml:space="preserve">This relationship is also displayed in Figure 8, presented in predicted probabilities. </w:t>
      </w:r>
      <w:r w:rsidR="003F2078">
        <w:t xml:space="preserve">Here we see that </w:t>
      </w:r>
      <w:r w:rsidR="0097130F">
        <w:t xml:space="preserve">young men from egalitarian families have a 1.3 percent predicted probability of using cocaine, young women from egalitarian families have a 0.7 percent predicted probability, young men from patriarchal families have a 1.0 percent predicted probability of using cocaine, and young women from patriarchal families have a 0.8 percent predicted probability. The only difference in this interaction that is </w:t>
      </w:r>
      <w:r w:rsidR="00517D6C">
        <w:t xml:space="preserve">statistically </w:t>
      </w:r>
      <w:r w:rsidR="0097130F">
        <w:t xml:space="preserve">significant, interestingly, is the difference between young men and young women from egalitarian families. There is a </w:t>
      </w:r>
      <w:r w:rsidR="00D02DE5">
        <w:t>0.5 percent first-order difference between young men and young women from such homes</w:t>
      </w:r>
      <w:r w:rsidR="00517D6C">
        <w:t xml:space="preserve">. </w:t>
      </w:r>
      <w:r w:rsidR="000F10A1" w:rsidRPr="001563C8">
        <w:rPr>
          <w:i/>
          <w:iCs/>
        </w:rPr>
        <w:t>Hypothesis 2</w:t>
      </w:r>
      <w:r w:rsidR="000F10A1">
        <w:t xml:space="preserve"> </w:t>
      </w:r>
      <w:r w:rsidR="00101649">
        <w:t xml:space="preserve">argues </w:t>
      </w:r>
      <w:r w:rsidR="000F10A1">
        <w:t xml:space="preserve">that the gender difference in patriarchal families will be larger than the gender difference in egalitarian families; however, as the gender difference in patriarchal families is </w:t>
      </w:r>
      <w:r w:rsidR="00517D6C">
        <w:t xml:space="preserve">non-statistically </w:t>
      </w:r>
      <w:r w:rsidR="000F10A1">
        <w:lastRenderedPageBreak/>
        <w:t xml:space="preserve">significant, </w:t>
      </w:r>
      <w:r w:rsidR="000F10A1" w:rsidRPr="001563C8">
        <w:rPr>
          <w:i/>
          <w:iCs/>
        </w:rPr>
        <w:t>Hypothesis 2</w:t>
      </w:r>
      <w:r w:rsidR="000F10A1">
        <w:t xml:space="preserve"> </w:t>
      </w:r>
      <w:r w:rsidR="00517D6C">
        <w:t>is not</w:t>
      </w:r>
      <w:r w:rsidR="000F10A1">
        <w:t xml:space="preserve"> supported. </w:t>
      </w:r>
    </w:p>
    <w:p w14:paraId="3A0B3D2C" w14:textId="015FB536" w:rsidR="00E84896" w:rsidRDefault="00305B23" w:rsidP="006E7BBC">
      <w:pPr>
        <w:widowControl w:val="0"/>
        <w:autoSpaceDE w:val="0"/>
        <w:autoSpaceDN w:val="0"/>
        <w:adjustRightInd w:val="0"/>
      </w:pPr>
      <w:r>
        <w:rPr>
          <w:noProof/>
        </w:rPr>
        <w:drawing>
          <wp:inline distT="0" distB="0" distL="0" distR="0" wp14:anchorId="4FB7965C" wp14:editId="2FD396FD">
            <wp:extent cx="5943600" cy="3958590"/>
            <wp:effectExtent l="0" t="0" r="0" b="3810"/>
            <wp:docPr id="8" name="Picture 8"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ox and whisker char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943600" cy="3958590"/>
                    </a:xfrm>
                    <a:prstGeom prst="rect">
                      <a:avLst/>
                    </a:prstGeom>
                  </pic:spPr>
                </pic:pic>
              </a:graphicData>
            </a:graphic>
          </wp:inline>
        </w:drawing>
      </w:r>
    </w:p>
    <w:p w14:paraId="155B9F54" w14:textId="41A194A1" w:rsidR="00E84896" w:rsidRDefault="00B9484C" w:rsidP="006E7BBC">
      <w:pPr>
        <w:widowControl w:val="0"/>
        <w:autoSpaceDE w:val="0"/>
        <w:autoSpaceDN w:val="0"/>
        <w:adjustRightInd w:val="0"/>
      </w:pPr>
      <w:r>
        <w:tab/>
        <w:t xml:space="preserve">Figure 9 displays Model 3 – the interaction between gender and belief in patriarchal norms – presented in predicted probabilities. </w:t>
      </w:r>
      <w:r w:rsidR="00B253FC">
        <w:t>Here, there is no significant difference for men</w:t>
      </w:r>
      <w:r w:rsidR="0071052E">
        <w:t xml:space="preserve"> who agree or disagree with patriarchal norms, nor is there a significant difference for young women who agree or disagree with such norms. What is, significant, however, is the</w:t>
      </w:r>
      <w:r w:rsidR="00A04C3B">
        <w:t xml:space="preserve"> first-order</w:t>
      </w:r>
      <w:r w:rsidR="0071052E">
        <w:t xml:space="preserve"> gender differences seen in </w:t>
      </w:r>
      <w:r w:rsidR="00192CF3">
        <w:t xml:space="preserve">both youth who agree with gender norms and youth who disagree with gender norms. </w:t>
      </w:r>
      <w:r w:rsidR="00A04C3B">
        <w:t xml:space="preserve">The second-order difference, however, is not </w:t>
      </w:r>
      <w:r w:rsidR="004E78A8">
        <w:t xml:space="preserve">statistically </w:t>
      </w:r>
      <w:r w:rsidR="00A04C3B">
        <w:t xml:space="preserve">significant. </w:t>
      </w:r>
      <w:r w:rsidR="00DF5855">
        <w:t xml:space="preserve">This does not support </w:t>
      </w:r>
      <w:r w:rsidR="00DF5855">
        <w:rPr>
          <w:i/>
          <w:iCs/>
        </w:rPr>
        <w:t xml:space="preserve">Hypothesis </w:t>
      </w:r>
      <w:proofErr w:type="gramStart"/>
      <w:r w:rsidR="00DF5855" w:rsidRPr="00170ADE">
        <w:rPr>
          <w:i/>
          <w:iCs/>
        </w:rPr>
        <w:t>3</w:t>
      </w:r>
      <w:r w:rsidR="00DF5855">
        <w:rPr>
          <w:i/>
          <w:iCs/>
        </w:rPr>
        <w:t>,</w:t>
      </w:r>
      <w:r w:rsidR="00DF5855">
        <w:t xml:space="preserve"> and</w:t>
      </w:r>
      <w:proofErr w:type="gramEnd"/>
      <w:r w:rsidR="00DF5855">
        <w:t xml:space="preserve"> </w:t>
      </w:r>
      <w:r w:rsidR="00192CF3">
        <w:t xml:space="preserve">suggests that a belief or disbelief in patriarchal norms has no effect on the gender difference in heroin use amongst </w:t>
      </w:r>
      <w:r w:rsidR="00832A7B">
        <w:t xml:space="preserve">the represented youth. </w:t>
      </w:r>
    </w:p>
    <w:p w14:paraId="284149A1" w14:textId="5D06154A" w:rsidR="00E84896" w:rsidRDefault="008A5133" w:rsidP="006E7BBC">
      <w:pPr>
        <w:widowControl w:val="0"/>
        <w:autoSpaceDE w:val="0"/>
        <w:autoSpaceDN w:val="0"/>
        <w:adjustRightInd w:val="0"/>
      </w:pPr>
      <w:r>
        <w:rPr>
          <w:noProof/>
        </w:rPr>
        <w:lastRenderedPageBreak/>
        <w:drawing>
          <wp:inline distT="0" distB="0" distL="0" distR="0" wp14:anchorId="4D6B9385" wp14:editId="4CCC76E4">
            <wp:extent cx="5943600" cy="3958590"/>
            <wp:effectExtent l="0" t="0" r="0" b="3810"/>
            <wp:docPr id="9" name="Picture 9"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box and whisker cha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943600" cy="3958590"/>
                    </a:xfrm>
                    <a:prstGeom prst="rect">
                      <a:avLst/>
                    </a:prstGeom>
                  </pic:spPr>
                </pic:pic>
              </a:graphicData>
            </a:graphic>
          </wp:inline>
        </w:drawing>
      </w:r>
    </w:p>
    <w:p w14:paraId="7CEBACF4" w14:textId="22770F36" w:rsidR="001709E6" w:rsidRDefault="00A04C3B" w:rsidP="00EF36D7">
      <w:pPr>
        <w:pStyle w:val="Heading2"/>
      </w:pPr>
      <w:bookmarkStart w:id="26" w:name="_Toc102664120"/>
      <w:r>
        <w:t>N</w:t>
      </w:r>
      <w:r w:rsidR="001709E6">
        <w:t>arcotics</w:t>
      </w:r>
      <w:bookmarkEnd w:id="26"/>
    </w:p>
    <w:p w14:paraId="1368EC9D" w14:textId="5DEB5ED1" w:rsidR="007E10E1" w:rsidRDefault="00220C0E" w:rsidP="006E7BBC">
      <w:r>
        <w:tab/>
      </w:r>
      <w:r w:rsidR="009D4AA8">
        <w:t xml:space="preserve">Table </w:t>
      </w:r>
      <w:r w:rsidR="004E78A8">
        <w:t>5</w:t>
      </w:r>
      <w:r w:rsidR="009D4AA8">
        <w:t xml:space="preserve"> displays the results of all three models performed on the </w:t>
      </w:r>
      <w:r w:rsidR="00B700A7">
        <w:t>subgroup</w:t>
      </w:r>
      <w:r w:rsidR="009D4AA8">
        <w:t xml:space="preserve"> observing illicit narcotic use. From Model 1, we see that young men have 0.28 higher log odds of using illicit narcotics compared to young women. This relationship is also displayed in Figure 10, displayed in predicted probabilities. Here, </w:t>
      </w:r>
      <w:r w:rsidR="00F10DAE">
        <w:t>it is shown that young men have a 10.4 percent predicted probability of using illicit narcotics while young women have an 8.1 percent predicted probability of using illicit narcotics. This difference</w:t>
      </w:r>
      <w:r w:rsidR="00E8668F">
        <w:t xml:space="preserve"> in predicted probabilities</w:t>
      </w:r>
      <w:r w:rsidR="00F10DAE">
        <w:t xml:space="preserve"> is significant and supports </w:t>
      </w:r>
      <w:r w:rsidR="00F10DAE" w:rsidRPr="001563C8">
        <w:rPr>
          <w:i/>
          <w:iCs/>
        </w:rPr>
        <w:t>Hypothesis 1a</w:t>
      </w:r>
      <w:r w:rsidR="00F10DAE">
        <w:t xml:space="preserve">. </w:t>
      </w:r>
    </w:p>
    <w:p w14:paraId="00A9A960" w14:textId="77777777" w:rsidR="007E10E1" w:rsidRDefault="007E10E1">
      <w:r>
        <w:br w:type="page"/>
      </w:r>
    </w:p>
    <w:p w14:paraId="40106B29" w14:textId="77777777" w:rsidR="0036237B" w:rsidRPr="00FD7C61" w:rsidRDefault="0036237B" w:rsidP="006E7BBC"/>
    <w:p w14:paraId="3D25D0AD" w14:textId="0883E5E2" w:rsidR="0036237B" w:rsidRPr="001563C8" w:rsidRDefault="0036237B" w:rsidP="006E7BBC">
      <w:pPr>
        <w:keepNext/>
        <w:widowControl w:val="0"/>
        <w:autoSpaceDE w:val="0"/>
        <w:autoSpaceDN w:val="0"/>
        <w:adjustRightInd w:val="0"/>
        <w:spacing w:line="240" w:lineRule="auto"/>
        <w:rPr>
          <w:b/>
          <w:bCs/>
        </w:rPr>
      </w:pPr>
      <w:r w:rsidRPr="001563C8">
        <w:rPr>
          <w:b/>
          <w:bCs/>
        </w:rPr>
        <w:t xml:space="preserve">Table </w:t>
      </w:r>
      <w:r w:rsidR="004E78A8">
        <w:rPr>
          <w:b/>
          <w:bCs/>
        </w:rPr>
        <w:t>5</w:t>
      </w:r>
      <w:r w:rsidRPr="001563C8">
        <w:rPr>
          <w:b/>
          <w:bCs/>
        </w:rPr>
        <w:t>. Ordinal Logistic Regression of Lifetime Narcotic use on Independent Variables</w:t>
      </w:r>
    </w:p>
    <w:tbl>
      <w:tblPr>
        <w:tblW w:w="0" w:type="auto"/>
        <w:tblLayout w:type="fixed"/>
        <w:tblLook w:val="0000" w:firstRow="0" w:lastRow="0" w:firstColumn="0" w:lastColumn="0" w:noHBand="0" w:noVBand="0"/>
      </w:tblPr>
      <w:tblGrid>
        <w:gridCol w:w="2700"/>
        <w:gridCol w:w="1008"/>
        <w:gridCol w:w="810"/>
        <w:gridCol w:w="1080"/>
        <w:gridCol w:w="720"/>
        <w:gridCol w:w="1080"/>
        <w:gridCol w:w="810"/>
      </w:tblGrid>
      <w:tr w:rsidR="0036237B" w14:paraId="3652D820" w14:textId="77777777" w:rsidTr="00E5088E">
        <w:tc>
          <w:tcPr>
            <w:tcW w:w="2700" w:type="dxa"/>
            <w:tcBorders>
              <w:top w:val="single" w:sz="4" w:space="0" w:color="auto"/>
              <w:left w:val="nil"/>
              <w:bottom w:val="nil"/>
              <w:right w:val="nil"/>
            </w:tcBorders>
          </w:tcPr>
          <w:p w14:paraId="6EC350C4" w14:textId="77777777" w:rsidR="0036237B" w:rsidRDefault="0036237B" w:rsidP="006E7BBC">
            <w:pPr>
              <w:widowControl w:val="0"/>
              <w:autoSpaceDE w:val="0"/>
              <w:autoSpaceDN w:val="0"/>
              <w:adjustRightInd w:val="0"/>
              <w:spacing w:line="240" w:lineRule="auto"/>
            </w:pPr>
          </w:p>
        </w:tc>
        <w:tc>
          <w:tcPr>
            <w:tcW w:w="1818" w:type="dxa"/>
            <w:gridSpan w:val="2"/>
            <w:tcBorders>
              <w:top w:val="single" w:sz="4" w:space="0" w:color="auto"/>
              <w:left w:val="nil"/>
              <w:bottom w:val="nil"/>
              <w:right w:val="nil"/>
            </w:tcBorders>
          </w:tcPr>
          <w:p w14:paraId="55FE59D3" w14:textId="77777777" w:rsidR="0036237B" w:rsidRDefault="0036237B" w:rsidP="006E7BBC">
            <w:pPr>
              <w:widowControl w:val="0"/>
              <w:autoSpaceDE w:val="0"/>
              <w:autoSpaceDN w:val="0"/>
              <w:adjustRightInd w:val="0"/>
              <w:spacing w:line="240" w:lineRule="auto"/>
              <w:jc w:val="center"/>
            </w:pPr>
            <w:r>
              <w:t>Model 1</w:t>
            </w:r>
          </w:p>
        </w:tc>
        <w:tc>
          <w:tcPr>
            <w:tcW w:w="1800" w:type="dxa"/>
            <w:gridSpan w:val="2"/>
            <w:tcBorders>
              <w:top w:val="single" w:sz="4" w:space="0" w:color="auto"/>
              <w:left w:val="nil"/>
              <w:bottom w:val="nil"/>
              <w:right w:val="nil"/>
            </w:tcBorders>
          </w:tcPr>
          <w:p w14:paraId="19C8DFC7" w14:textId="77777777" w:rsidR="0036237B" w:rsidRDefault="0036237B" w:rsidP="006E7BBC">
            <w:pPr>
              <w:widowControl w:val="0"/>
              <w:autoSpaceDE w:val="0"/>
              <w:autoSpaceDN w:val="0"/>
              <w:adjustRightInd w:val="0"/>
              <w:spacing w:line="240" w:lineRule="auto"/>
              <w:jc w:val="center"/>
            </w:pPr>
            <w:r>
              <w:t>Model 2</w:t>
            </w:r>
          </w:p>
        </w:tc>
        <w:tc>
          <w:tcPr>
            <w:tcW w:w="1890" w:type="dxa"/>
            <w:gridSpan w:val="2"/>
            <w:tcBorders>
              <w:top w:val="single" w:sz="4" w:space="0" w:color="auto"/>
              <w:left w:val="nil"/>
              <w:bottom w:val="nil"/>
              <w:right w:val="nil"/>
            </w:tcBorders>
          </w:tcPr>
          <w:p w14:paraId="4A3D8CE4" w14:textId="77777777" w:rsidR="0036237B" w:rsidRDefault="0036237B" w:rsidP="006E7BBC">
            <w:pPr>
              <w:widowControl w:val="0"/>
              <w:autoSpaceDE w:val="0"/>
              <w:autoSpaceDN w:val="0"/>
              <w:adjustRightInd w:val="0"/>
              <w:spacing w:line="240" w:lineRule="auto"/>
              <w:jc w:val="center"/>
            </w:pPr>
            <w:r>
              <w:t>Model 3</w:t>
            </w:r>
          </w:p>
        </w:tc>
      </w:tr>
      <w:tr w:rsidR="00C5624E" w14:paraId="7CCF0329" w14:textId="77777777" w:rsidTr="00E5088E">
        <w:tc>
          <w:tcPr>
            <w:tcW w:w="2700" w:type="dxa"/>
            <w:tcBorders>
              <w:top w:val="single" w:sz="4" w:space="0" w:color="auto"/>
              <w:left w:val="nil"/>
              <w:bottom w:val="nil"/>
              <w:right w:val="nil"/>
            </w:tcBorders>
          </w:tcPr>
          <w:p w14:paraId="233A208A" w14:textId="77777777" w:rsidR="00C5624E" w:rsidRDefault="00C5624E" w:rsidP="00C5624E">
            <w:pPr>
              <w:widowControl w:val="0"/>
              <w:autoSpaceDE w:val="0"/>
              <w:autoSpaceDN w:val="0"/>
              <w:adjustRightInd w:val="0"/>
              <w:spacing w:line="240" w:lineRule="auto"/>
            </w:pPr>
          </w:p>
        </w:tc>
        <w:tc>
          <w:tcPr>
            <w:tcW w:w="1008" w:type="dxa"/>
            <w:tcBorders>
              <w:top w:val="single" w:sz="4" w:space="0" w:color="auto"/>
              <w:left w:val="nil"/>
              <w:bottom w:val="nil"/>
              <w:right w:val="nil"/>
            </w:tcBorders>
          </w:tcPr>
          <w:p w14:paraId="07FF0A9B" w14:textId="6FFF28F1" w:rsidR="00C5624E" w:rsidRDefault="00C5624E" w:rsidP="00C5624E">
            <w:pPr>
              <w:widowControl w:val="0"/>
              <w:autoSpaceDE w:val="0"/>
              <w:autoSpaceDN w:val="0"/>
              <w:adjustRightInd w:val="0"/>
              <w:spacing w:line="240" w:lineRule="auto"/>
              <w:jc w:val="center"/>
            </w:pPr>
            <w:r w:rsidRPr="00915136">
              <w:rPr>
                <w:i/>
                <w:iCs/>
              </w:rPr>
              <w:t>β</w:t>
            </w:r>
          </w:p>
        </w:tc>
        <w:tc>
          <w:tcPr>
            <w:tcW w:w="810" w:type="dxa"/>
            <w:tcBorders>
              <w:top w:val="single" w:sz="4" w:space="0" w:color="auto"/>
              <w:left w:val="nil"/>
              <w:bottom w:val="nil"/>
              <w:right w:val="nil"/>
            </w:tcBorders>
          </w:tcPr>
          <w:p w14:paraId="5E467FD3" w14:textId="2AD29BDD" w:rsidR="00C5624E" w:rsidRDefault="00C5624E" w:rsidP="00C5624E">
            <w:pPr>
              <w:widowControl w:val="0"/>
              <w:autoSpaceDE w:val="0"/>
              <w:autoSpaceDN w:val="0"/>
              <w:adjustRightInd w:val="0"/>
              <w:spacing w:line="240" w:lineRule="auto"/>
              <w:jc w:val="center"/>
            </w:pPr>
            <w:r w:rsidRPr="00915136">
              <w:rPr>
                <w:i/>
                <w:iCs/>
              </w:rPr>
              <w:t>SE</w:t>
            </w:r>
          </w:p>
        </w:tc>
        <w:tc>
          <w:tcPr>
            <w:tcW w:w="1080" w:type="dxa"/>
            <w:tcBorders>
              <w:top w:val="single" w:sz="4" w:space="0" w:color="auto"/>
              <w:left w:val="nil"/>
              <w:bottom w:val="nil"/>
              <w:right w:val="nil"/>
            </w:tcBorders>
          </w:tcPr>
          <w:p w14:paraId="51A29F3D" w14:textId="6279876D" w:rsidR="00C5624E" w:rsidRDefault="00694670" w:rsidP="00C5624E">
            <w:pPr>
              <w:widowControl w:val="0"/>
              <w:autoSpaceDE w:val="0"/>
              <w:autoSpaceDN w:val="0"/>
              <w:adjustRightInd w:val="0"/>
              <w:spacing w:line="240" w:lineRule="auto"/>
              <w:jc w:val="center"/>
            </w:pPr>
            <w:r w:rsidRPr="00915136">
              <w:rPr>
                <w:i/>
                <w:iCs/>
              </w:rPr>
              <w:t>Β</w:t>
            </w:r>
          </w:p>
        </w:tc>
        <w:tc>
          <w:tcPr>
            <w:tcW w:w="720" w:type="dxa"/>
            <w:tcBorders>
              <w:top w:val="single" w:sz="4" w:space="0" w:color="auto"/>
              <w:left w:val="nil"/>
              <w:bottom w:val="nil"/>
              <w:right w:val="nil"/>
            </w:tcBorders>
          </w:tcPr>
          <w:p w14:paraId="66C3BBFA" w14:textId="549697E7" w:rsidR="00C5624E" w:rsidRDefault="00C5624E" w:rsidP="00C5624E">
            <w:pPr>
              <w:widowControl w:val="0"/>
              <w:autoSpaceDE w:val="0"/>
              <w:autoSpaceDN w:val="0"/>
              <w:adjustRightInd w:val="0"/>
              <w:spacing w:line="240" w:lineRule="auto"/>
              <w:jc w:val="center"/>
            </w:pPr>
            <w:r w:rsidRPr="00915136">
              <w:rPr>
                <w:i/>
                <w:iCs/>
              </w:rPr>
              <w:t>SE</w:t>
            </w:r>
          </w:p>
        </w:tc>
        <w:tc>
          <w:tcPr>
            <w:tcW w:w="1080" w:type="dxa"/>
            <w:tcBorders>
              <w:top w:val="single" w:sz="4" w:space="0" w:color="auto"/>
              <w:left w:val="nil"/>
              <w:bottom w:val="nil"/>
              <w:right w:val="nil"/>
            </w:tcBorders>
          </w:tcPr>
          <w:p w14:paraId="7E0F5755" w14:textId="392AEEE9" w:rsidR="00C5624E" w:rsidRDefault="00C5624E" w:rsidP="00C5624E">
            <w:pPr>
              <w:widowControl w:val="0"/>
              <w:autoSpaceDE w:val="0"/>
              <w:autoSpaceDN w:val="0"/>
              <w:adjustRightInd w:val="0"/>
              <w:spacing w:line="240" w:lineRule="auto"/>
              <w:jc w:val="center"/>
            </w:pPr>
            <w:r w:rsidRPr="00915136">
              <w:rPr>
                <w:i/>
                <w:iCs/>
              </w:rPr>
              <w:t>β</w:t>
            </w:r>
          </w:p>
        </w:tc>
        <w:tc>
          <w:tcPr>
            <w:tcW w:w="810" w:type="dxa"/>
            <w:tcBorders>
              <w:top w:val="single" w:sz="4" w:space="0" w:color="auto"/>
              <w:left w:val="nil"/>
              <w:bottom w:val="nil"/>
              <w:right w:val="nil"/>
            </w:tcBorders>
          </w:tcPr>
          <w:p w14:paraId="2D965F33" w14:textId="3F1C40C7" w:rsidR="00C5624E" w:rsidRDefault="00C5624E" w:rsidP="00C5624E">
            <w:pPr>
              <w:widowControl w:val="0"/>
              <w:autoSpaceDE w:val="0"/>
              <w:autoSpaceDN w:val="0"/>
              <w:adjustRightInd w:val="0"/>
              <w:spacing w:line="240" w:lineRule="auto"/>
              <w:jc w:val="center"/>
            </w:pPr>
            <w:r w:rsidRPr="00915136">
              <w:rPr>
                <w:i/>
                <w:iCs/>
              </w:rPr>
              <w:t>SE</w:t>
            </w:r>
          </w:p>
        </w:tc>
      </w:tr>
      <w:tr w:rsidR="00C5624E" w14:paraId="2FEEFC00" w14:textId="77777777" w:rsidTr="00E5088E">
        <w:tc>
          <w:tcPr>
            <w:tcW w:w="2700" w:type="dxa"/>
            <w:tcBorders>
              <w:top w:val="nil"/>
              <w:left w:val="nil"/>
              <w:bottom w:val="nil"/>
              <w:right w:val="nil"/>
            </w:tcBorders>
          </w:tcPr>
          <w:p w14:paraId="2CB941B8" w14:textId="77777777" w:rsidR="00C5624E" w:rsidRPr="00506E00" w:rsidRDefault="00C5624E" w:rsidP="00C5624E">
            <w:pPr>
              <w:widowControl w:val="0"/>
              <w:autoSpaceDE w:val="0"/>
              <w:autoSpaceDN w:val="0"/>
              <w:adjustRightInd w:val="0"/>
              <w:spacing w:line="240" w:lineRule="auto"/>
              <w:rPr>
                <w:b/>
                <w:bCs/>
                <w:u w:val="single"/>
              </w:rPr>
            </w:pPr>
            <w:r>
              <w:rPr>
                <w:b/>
                <w:bCs/>
                <w:u w:val="single"/>
              </w:rPr>
              <w:t>Main Effects</w:t>
            </w:r>
          </w:p>
        </w:tc>
        <w:tc>
          <w:tcPr>
            <w:tcW w:w="1008" w:type="dxa"/>
            <w:tcBorders>
              <w:top w:val="nil"/>
              <w:left w:val="nil"/>
              <w:bottom w:val="nil"/>
              <w:right w:val="nil"/>
            </w:tcBorders>
          </w:tcPr>
          <w:p w14:paraId="5A1AF334" w14:textId="77777777" w:rsidR="00C5624E" w:rsidRDefault="00C5624E" w:rsidP="00C5624E">
            <w:pPr>
              <w:widowControl w:val="0"/>
              <w:tabs>
                <w:tab w:val="decimal" w:pos="262"/>
              </w:tabs>
              <w:autoSpaceDE w:val="0"/>
              <w:autoSpaceDN w:val="0"/>
              <w:adjustRightInd w:val="0"/>
              <w:spacing w:line="240" w:lineRule="auto"/>
            </w:pPr>
          </w:p>
        </w:tc>
        <w:tc>
          <w:tcPr>
            <w:tcW w:w="810" w:type="dxa"/>
            <w:tcBorders>
              <w:top w:val="nil"/>
              <w:left w:val="nil"/>
              <w:bottom w:val="nil"/>
              <w:right w:val="nil"/>
            </w:tcBorders>
          </w:tcPr>
          <w:p w14:paraId="56F0F70B" w14:textId="77777777" w:rsidR="00C5624E" w:rsidRDefault="00C5624E" w:rsidP="00C5624E">
            <w:pPr>
              <w:widowControl w:val="0"/>
              <w:autoSpaceDE w:val="0"/>
              <w:autoSpaceDN w:val="0"/>
              <w:adjustRightInd w:val="0"/>
              <w:spacing w:line="240" w:lineRule="auto"/>
              <w:jc w:val="center"/>
            </w:pPr>
          </w:p>
        </w:tc>
        <w:tc>
          <w:tcPr>
            <w:tcW w:w="1080" w:type="dxa"/>
            <w:tcBorders>
              <w:top w:val="nil"/>
              <w:left w:val="nil"/>
              <w:bottom w:val="nil"/>
              <w:right w:val="nil"/>
            </w:tcBorders>
          </w:tcPr>
          <w:p w14:paraId="75424313" w14:textId="77777777" w:rsidR="00C5624E" w:rsidRDefault="00C5624E" w:rsidP="00C5624E">
            <w:pPr>
              <w:widowControl w:val="0"/>
              <w:autoSpaceDE w:val="0"/>
              <w:autoSpaceDN w:val="0"/>
              <w:adjustRightInd w:val="0"/>
              <w:spacing w:line="240" w:lineRule="auto"/>
              <w:jc w:val="center"/>
            </w:pPr>
          </w:p>
        </w:tc>
        <w:tc>
          <w:tcPr>
            <w:tcW w:w="720" w:type="dxa"/>
            <w:tcBorders>
              <w:top w:val="nil"/>
              <w:left w:val="nil"/>
              <w:bottom w:val="nil"/>
              <w:right w:val="nil"/>
            </w:tcBorders>
          </w:tcPr>
          <w:p w14:paraId="0A142731" w14:textId="77777777" w:rsidR="00C5624E" w:rsidRDefault="00C5624E" w:rsidP="00C5624E">
            <w:pPr>
              <w:widowControl w:val="0"/>
              <w:autoSpaceDE w:val="0"/>
              <w:autoSpaceDN w:val="0"/>
              <w:adjustRightInd w:val="0"/>
              <w:spacing w:line="240" w:lineRule="auto"/>
              <w:jc w:val="center"/>
            </w:pPr>
          </w:p>
        </w:tc>
        <w:tc>
          <w:tcPr>
            <w:tcW w:w="1080" w:type="dxa"/>
            <w:tcBorders>
              <w:top w:val="nil"/>
              <w:left w:val="nil"/>
              <w:bottom w:val="nil"/>
              <w:right w:val="nil"/>
            </w:tcBorders>
          </w:tcPr>
          <w:p w14:paraId="42303CDF" w14:textId="77777777" w:rsidR="00C5624E" w:rsidRDefault="00C5624E" w:rsidP="00C5624E">
            <w:pPr>
              <w:widowControl w:val="0"/>
              <w:autoSpaceDE w:val="0"/>
              <w:autoSpaceDN w:val="0"/>
              <w:adjustRightInd w:val="0"/>
              <w:spacing w:line="240" w:lineRule="auto"/>
              <w:jc w:val="center"/>
            </w:pPr>
          </w:p>
        </w:tc>
        <w:tc>
          <w:tcPr>
            <w:tcW w:w="810" w:type="dxa"/>
            <w:tcBorders>
              <w:top w:val="nil"/>
              <w:left w:val="nil"/>
              <w:bottom w:val="nil"/>
              <w:right w:val="nil"/>
            </w:tcBorders>
          </w:tcPr>
          <w:p w14:paraId="4F9C0815" w14:textId="77777777" w:rsidR="00C5624E" w:rsidRDefault="00C5624E" w:rsidP="00C5624E">
            <w:pPr>
              <w:widowControl w:val="0"/>
              <w:autoSpaceDE w:val="0"/>
              <w:autoSpaceDN w:val="0"/>
              <w:adjustRightInd w:val="0"/>
              <w:spacing w:line="240" w:lineRule="auto"/>
            </w:pPr>
          </w:p>
        </w:tc>
      </w:tr>
      <w:tr w:rsidR="00C5624E" w14:paraId="09C4A5C7" w14:textId="77777777" w:rsidTr="00E5088E">
        <w:tc>
          <w:tcPr>
            <w:tcW w:w="2700" w:type="dxa"/>
            <w:tcBorders>
              <w:top w:val="nil"/>
              <w:left w:val="nil"/>
              <w:bottom w:val="nil"/>
              <w:right w:val="nil"/>
            </w:tcBorders>
          </w:tcPr>
          <w:p w14:paraId="7E4654D4" w14:textId="6B7A3824" w:rsidR="00C5624E" w:rsidRDefault="00C5624E" w:rsidP="00C5624E">
            <w:pPr>
              <w:widowControl w:val="0"/>
              <w:autoSpaceDE w:val="0"/>
              <w:autoSpaceDN w:val="0"/>
              <w:adjustRightInd w:val="0"/>
              <w:spacing w:line="240" w:lineRule="auto"/>
            </w:pPr>
            <w:r>
              <w:t>Men</w:t>
            </w:r>
          </w:p>
        </w:tc>
        <w:tc>
          <w:tcPr>
            <w:tcW w:w="1008" w:type="dxa"/>
            <w:tcBorders>
              <w:top w:val="nil"/>
              <w:left w:val="nil"/>
              <w:bottom w:val="nil"/>
              <w:right w:val="nil"/>
            </w:tcBorders>
          </w:tcPr>
          <w:p w14:paraId="6B313822" w14:textId="2B153122" w:rsidR="00C5624E" w:rsidRDefault="00C5624E" w:rsidP="00C5624E">
            <w:pPr>
              <w:widowControl w:val="0"/>
              <w:tabs>
                <w:tab w:val="decimal" w:pos="262"/>
              </w:tabs>
              <w:autoSpaceDE w:val="0"/>
              <w:autoSpaceDN w:val="0"/>
              <w:adjustRightInd w:val="0"/>
              <w:spacing w:line="240" w:lineRule="auto"/>
            </w:pPr>
            <w:r>
              <w:t>0.28</w:t>
            </w:r>
            <w:r>
              <w:rPr>
                <w:vertAlign w:val="superscript"/>
              </w:rPr>
              <w:t>***</w:t>
            </w:r>
          </w:p>
        </w:tc>
        <w:tc>
          <w:tcPr>
            <w:tcW w:w="810" w:type="dxa"/>
            <w:tcBorders>
              <w:top w:val="nil"/>
              <w:left w:val="nil"/>
              <w:bottom w:val="nil"/>
              <w:right w:val="nil"/>
            </w:tcBorders>
          </w:tcPr>
          <w:p w14:paraId="5A435893" w14:textId="77777777" w:rsidR="00C5624E" w:rsidRDefault="00C5624E" w:rsidP="00C5624E">
            <w:pPr>
              <w:widowControl w:val="0"/>
              <w:autoSpaceDE w:val="0"/>
              <w:autoSpaceDN w:val="0"/>
              <w:adjustRightInd w:val="0"/>
              <w:spacing w:line="240" w:lineRule="auto"/>
            </w:pPr>
            <w:r>
              <w:t>(.03)</w:t>
            </w:r>
          </w:p>
        </w:tc>
        <w:tc>
          <w:tcPr>
            <w:tcW w:w="1080" w:type="dxa"/>
            <w:tcBorders>
              <w:top w:val="nil"/>
              <w:left w:val="nil"/>
              <w:bottom w:val="nil"/>
              <w:right w:val="nil"/>
            </w:tcBorders>
          </w:tcPr>
          <w:p w14:paraId="64A9F2B7" w14:textId="5B115F27" w:rsidR="00C5624E" w:rsidRDefault="00C5624E" w:rsidP="00C5624E">
            <w:pPr>
              <w:widowControl w:val="0"/>
              <w:tabs>
                <w:tab w:val="decimal" w:pos="254"/>
              </w:tabs>
              <w:autoSpaceDE w:val="0"/>
              <w:autoSpaceDN w:val="0"/>
              <w:adjustRightInd w:val="0"/>
              <w:spacing w:line="240" w:lineRule="auto"/>
            </w:pPr>
            <w:r>
              <w:t>0.26</w:t>
            </w:r>
            <w:r>
              <w:rPr>
                <w:vertAlign w:val="superscript"/>
              </w:rPr>
              <w:t>***</w:t>
            </w:r>
          </w:p>
        </w:tc>
        <w:tc>
          <w:tcPr>
            <w:tcW w:w="720" w:type="dxa"/>
            <w:tcBorders>
              <w:top w:val="nil"/>
              <w:left w:val="nil"/>
              <w:bottom w:val="nil"/>
              <w:right w:val="nil"/>
            </w:tcBorders>
          </w:tcPr>
          <w:p w14:paraId="66D14539" w14:textId="65B13C40" w:rsidR="00C5624E" w:rsidRDefault="00C5624E" w:rsidP="00C5624E">
            <w:pPr>
              <w:widowControl w:val="0"/>
              <w:autoSpaceDE w:val="0"/>
              <w:autoSpaceDN w:val="0"/>
              <w:adjustRightInd w:val="0"/>
              <w:spacing w:line="240" w:lineRule="auto"/>
            </w:pPr>
            <w:r>
              <w:t>(.04)</w:t>
            </w:r>
          </w:p>
        </w:tc>
        <w:tc>
          <w:tcPr>
            <w:tcW w:w="1080" w:type="dxa"/>
            <w:tcBorders>
              <w:top w:val="nil"/>
              <w:left w:val="nil"/>
              <w:bottom w:val="nil"/>
              <w:right w:val="nil"/>
            </w:tcBorders>
          </w:tcPr>
          <w:p w14:paraId="05598762" w14:textId="5B613E10" w:rsidR="00C5624E" w:rsidRDefault="00C5624E" w:rsidP="00C5624E">
            <w:pPr>
              <w:widowControl w:val="0"/>
              <w:tabs>
                <w:tab w:val="decimal" w:pos="250"/>
              </w:tabs>
              <w:autoSpaceDE w:val="0"/>
              <w:autoSpaceDN w:val="0"/>
              <w:adjustRightInd w:val="0"/>
              <w:spacing w:line="240" w:lineRule="auto"/>
            </w:pPr>
            <w:r>
              <w:t>0.23</w:t>
            </w:r>
            <w:r>
              <w:rPr>
                <w:vertAlign w:val="superscript"/>
              </w:rPr>
              <w:t>***</w:t>
            </w:r>
          </w:p>
        </w:tc>
        <w:tc>
          <w:tcPr>
            <w:tcW w:w="810" w:type="dxa"/>
            <w:tcBorders>
              <w:top w:val="nil"/>
              <w:left w:val="nil"/>
              <w:bottom w:val="nil"/>
              <w:right w:val="nil"/>
            </w:tcBorders>
          </w:tcPr>
          <w:p w14:paraId="56AB6EC0" w14:textId="77777777" w:rsidR="00C5624E" w:rsidRDefault="00C5624E" w:rsidP="00C5624E">
            <w:pPr>
              <w:widowControl w:val="0"/>
              <w:autoSpaceDE w:val="0"/>
              <w:autoSpaceDN w:val="0"/>
              <w:adjustRightInd w:val="0"/>
              <w:spacing w:line="240" w:lineRule="auto"/>
            </w:pPr>
            <w:r>
              <w:t>(.04)</w:t>
            </w:r>
          </w:p>
        </w:tc>
      </w:tr>
      <w:tr w:rsidR="00C5624E" w14:paraId="2651F881" w14:textId="77777777" w:rsidTr="00E5088E">
        <w:tc>
          <w:tcPr>
            <w:tcW w:w="2700" w:type="dxa"/>
            <w:tcBorders>
              <w:top w:val="nil"/>
              <w:left w:val="nil"/>
              <w:bottom w:val="nil"/>
              <w:right w:val="nil"/>
            </w:tcBorders>
          </w:tcPr>
          <w:p w14:paraId="58187797" w14:textId="09288DF8" w:rsidR="00C5624E" w:rsidRDefault="00C5624E" w:rsidP="00C5624E">
            <w:pPr>
              <w:widowControl w:val="0"/>
              <w:autoSpaceDE w:val="0"/>
              <w:autoSpaceDN w:val="0"/>
              <w:adjustRightInd w:val="0"/>
              <w:spacing w:line="240" w:lineRule="auto"/>
            </w:pPr>
            <w:r>
              <w:t>Patriarchal Family</w:t>
            </w:r>
          </w:p>
        </w:tc>
        <w:tc>
          <w:tcPr>
            <w:tcW w:w="1008" w:type="dxa"/>
            <w:tcBorders>
              <w:top w:val="nil"/>
              <w:left w:val="nil"/>
              <w:bottom w:val="nil"/>
              <w:right w:val="nil"/>
            </w:tcBorders>
          </w:tcPr>
          <w:p w14:paraId="3DB0D3D1" w14:textId="3C96CB59" w:rsidR="00C5624E" w:rsidRDefault="00C5624E" w:rsidP="00C5624E">
            <w:pPr>
              <w:widowControl w:val="0"/>
              <w:tabs>
                <w:tab w:val="decimal" w:pos="262"/>
              </w:tabs>
              <w:autoSpaceDE w:val="0"/>
              <w:autoSpaceDN w:val="0"/>
              <w:adjustRightInd w:val="0"/>
              <w:spacing w:line="240" w:lineRule="auto"/>
            </w:pPr>
            <w:r>
              <w:t>-0.14</w:t>
            </w:r>
            <w:r>
              <w:rPr>
                <w:vertAlign w:val="superscript"/>
              </w:rPr>
              <w:t>***</w:t>
            </w:r>
          </w:p>
        </w:tc>
        <w:tc>
          <w:tcPr>
            <w:tcW w:w="810" w:type="dxa"/>
            <w:tcBorders>
              <w:top w:val="nil"/>
              <w:left w:val="nil"/>
              <w:bottom w:val="nil"/>
              <w:right w:val="nil"/>
            </w:tcBorders>
          </w:tcPr>
          <w:p w14:paraId="43BACB59" w14:textId="77777777" w:rsidR="00C5624E" w:rsidRDefault="00C5624E" w:rsidP="00C5624E">
            <w:pPr>
              <w:widowControl w:val="0"/>
              <w:autoSpaceDE w:val="0"/>
              <w:autoSpaceDN w:val="0"/>
              <w:adjustRightInd w:val="0"/>
              <w:spacing w:line="240" w:lineRule="auto"/>
            </w:pPr>
            <w:r>
              <w:t>(.04)</w:t>
            </w:r>
          </w:p>
        </w:tc>
        <w:tc>
          <w:tcPr>
            <w:tcW w:w="1080" w:type="dxa"/>
            <w:tcBorders>
              <w:top w:val="nil"/>
              <w:left w:val="nil"/>
              <w:bottom w:val="nil"/>
              <w:right w:val="nil"/>
            </w:tcBorders>
          </w:tcPr>
          <w:p w14:paraId="7017E7AD" w14:textId="06D65F47" w:rsidR="00C5624E" w:rsidRDefault="00C5624E" w:rsidP="00C5624E">
            <w:pPr>
              <w:widowControl w:val="0"/>
              <w:tabs>
                <w:tab w:val="decimal" w:pos="254"/>
              </w:tabs>
              <w:autoSpaceDE w:val="0"/>
              <w:autoSpaceDN w:val="0"/>
              <w:adjustRightInd w:val="0"/>
              <w:spacing w:line="240" w:lineRule="auto"/>
            </w:pPr>
            <w:r>
              <w:t>-0.18</w:t>
            </w:r>
          </w:p>
        </w:tc>
        <w:tc>
          <w:tcPr>
            <w:tcW w:w="720" w:type="dxa"/>
            <w:tcBorders>
              <w:top w:val="nil"/>
              <w:left w:val="nil"/>
              <w:bottom w:val="nil"/>
              <w:right w:val="nil"/>
            </w:tcBorders>
          </w:tcPr>
          <w:p w14:paraId="601FC996" w14:textId="77777777" w:rsidR="00C5624E" w:rsidRDefault="00C5624E" w:rsidP="00C5624E">
            <w:pPr>
              <w:widowControl w:val="0"/>
              <w:autoSpaceDE w:val="0"/>
              <w:autoSpaceDN w:val="0"/>
              <w:adjustRightInd w:val="0"/>
              <w:spacing w:line="240" w:lineRule="auto"/>
            </w:pPr>
            <w:r>
              <w:t>(.05)</w:t>
            </w:r>
          </w:p>
        </w:tc>
        <w:tc>
          <w:tcPr>
            <w:tcW w:w="1080" w:type="dxa"/>
            <w:tcBorders>
              <w:top w:val="nil"/>
              <w:left w:val="nil"/>
              <w:bottom w:val="nil"/>
              <w:right w:val="nil"/>
            </w:tcBorders>
          </w:tcPr>
          <w:p w14:paraId="3E857581" w14:textId="5ECF6228" w:rsidR="00C5624E" w:rsidRDefault="00C5624E" w:rsidP="00C5624E">
            <w:pPr>
              <w:widowControl w:val="0"/>
              <w:tabs>
                <w:tab w:val="decimal" w:pos="250"/>
              </w:tabs>
              <w:autoSpaceDE w:val="0"/>
              <w:autoSpaceDN w:val="0"/>
              <w:adjustRightInd w:val="0"/>
              <w:spacing w:line="240" w:lineRule="auto"/>
            </w:pPr>
            <w:r>
              <w:t>-0.14</w:t>
            </w:r>
            <w:r>
              <w:rPr>
                <w:vertAlign w:val="superscript"/>
              </w:rPr>
              <w:t>***</w:t>
            </w:r>
          </w:p>
        </w:tc>
        <w:tc>
          <w:tcPr>
            <w:tcW w:w="810" w:type="dxa"/>
            <w:tcBorders>
              <w:top w:val="nil"/>
              <w:left w:val="nil"/>
              <w:bottom w:val="nil"/>
              <w:right w:val="nil"/>
            </w:tcBorders>
          </w:tcPr>
          <w:p w14:paraId="20F9B2ED" w14:textId="77777777" w:rsidR="00C5624E" w:rsidRDefault="00C5624E" w:rsidP="00C5624E">
            <w:pPr>
              <w:widowControl w:val="0"/>
              <w:autoSpaceDE w:val="0"/>
              <w:autoSpaceDN w:val="0"/>
              <w:adjustRightInd w:val="0"/>
              <w:spacing w:line="240" w:lineRule="auto"/>
            </w:pPr>
            <w:r>
              <w:t>(.04)</w:t>
            </w:r>
          </w:p>
        </w:tc>
      </w:tr>
      <w:tr w:rsidR="00C5624E" w14:paraId="76035802" w14:textId="77777777" w:rsidTr="00E5088E">
        <w:tc>
          <w:tcPr>
            <w:tcW w:w="2700" w:type="dxa"/>
            <w:tcBorders>
              <w:top w:val="nil"/>
              <w:left w:val="nil"/>
              <w:bottom w:val="nil"/>
              <w:right w:val="nil"/>
            </w:tcBorders>
          </w:tcPr>
          <w:p w14:paraId="31B72E80" w14:textId="77777777" w:rsidR="00C5624E" w:rsidRDefault="00C5624E" w:rsidP="00C5624E">
            <w:pPr>
              <w:widowControl w:val="0"/>
              <w:autoSpaceDE w:val="0"/>
              <w:autoSpaceDN w:val="0"/>
              <w:adjustRightInd w:val="0"/>
              <w:spacing w:line="240" w:lineRule="auto"/>
            </w:pPr>
            <w:r>
              <w:t>Patriarchal Norms</w:t>
            </w:r>
          </w:p>
        </w:tc>
        <w:tc>
          <w:tcPr>
            <w:tcW w:w="1008" w:type="dxa"/>
            <w:tcBorders>
              <w:top w:val="nil"/>
              <w:left w:val="nil"/>
              <w:bottom w:val="nil"/>
              <w:right w:val="nil"/>
            </w:tcBorders>
          </w:tcPr>
          <w:p w14:paraId="5B7FC2D5" w14:textId="77777777" w:rsidR="00C5624E" w:rsidRDefault="00C5624E" w:rsidP="00C5624E">
            <w:pPr>
              <w:widowControl w:val="0"/>
              <w:tabs>
                <w:tab w:val="decimal" w:pos="262"/>
              </w:tabs>
              <w:autoSpaceDE w:val="0"/>
              <w:autoSpaceDN w:val="0"/>
              <w:adjustRightInd w:val="0"/>
              <w:spacing w:line="240" w:lineRule="auto"/>
            </w:pPr>
            <w:r>
              <w:t>0.03</w:t>
            </w:r>
          </w:p>
        </w:tc>
        <w:tc>
          <w:tcPr>
            <w:tcW w:w="810" w:type="dxa"/>
            <w:tcBorders>
              <w:top w:val="nil"/>
              <w:left w:val="nil"/>
              <w:bottom w:val="nil"/>
              <w:right w:val="nil"/>
            </w:tcBorders>
          </w:tcPr>
          <w:p w14:paraId="4F625984" w14:textId="77777777" w:rsidR="00C5624E" w:rsidRDefault="00C5624E" w:rsidP="00C5624E">
            <w:pPr>
              <w:widowControl w:val="0"/>
              <w:autoSpaceDE w:val="0"/>
              <w:autoSpaceDN w:val="0"/>
              <w:adjustRightInd w:val="0"/>
              <w:spacing w:line="240" w:lineRule="auto"/>
            </w:pPr>
            <w:r>
              <w:t>(.03)</w:t>
            </w:r>
          </w:p>
        </w:tc>
        <w:tc>
          <w:tcPr>
            <w:tcW w:w="1080" w:type="dxa"/>
            <w:tcBorders>
              <w:top w:val="nil"/>
              <w:left w:val="nil"/>
              <w:bottom w:val="nil"/>
              <w:right w:val="nil"/>
            </w:tcBorders>
          </w:tcPr>
          <w:p w14:paraId="0B110BA0" w14:textId="77777777" w:rsidR="00C5624E" w:rsidRDefault="00C5624E" w:rsidP="00C5624E">
            <w:pPr>
              <w:widowControl w:val="0"/>
              <w:tabs>
                <w:tab w:val="decimal" w:pos="254"/>
              </w:tabs>
              <w:autoSpaceDE w:val="0"/>
              <w:autoSpaceDN w:val="0"/>
              <w:adjustRightInd w:val="0"/>
              <w:spacing w:line="240" w:lineRule="auto"/>
            </w:pPr>
            <w:r>
              <w:t>0.03</w:t>
            </w:r>
          </w:p>
        </w:tc>
        <w:tc>
          <w:tcPr>
            <w:tcW w:w="720" w:type="dxa"/>
            <w:tcBorders>
              <w:top w:val="nil"/>
              <w:left w:val="nil"/>
              <w:bottom w:val="nil"/>
              <w:right w:val="nil"/>
            </w:tcBorders>
          </w:tcPr>
          <w:p w14:paraId="27F7B778" w14:textId="77777777" w:rsidR="00C5624E" w:rsidRDefault="00C5624E" w:rsidP="00C5624E">
            <w:pPr>
              <w:widowControl w:val="0"/>
              <w:autoSpaceDE w:val="0"/>
              <w:autoSpaceDN w:val="0"/>
              <w:adjustRightInd w:val="0"/>
              <w:spacing w:line="240" w:lineRule="auto"/>
            </w:pPr>
            <w:r>
              <w:t>(.03)</w:t>
            </w:r>
          </w:p>
        </w:tc>
        <w:tc>
          <w:tcPr>
            <w:tcW w:w="1080" w:type="dxa"/>
            <w:tcBorders>
              <w:top w:val="nil"/>
              <w:left w:val="nil"/>
              <w:bottom w:val="nil"/>
              <w:right w:val="nil"/>
            </w:tcBorders>
          </w:tcPr>
          <w:p w14:paraId="65462EDD" w14:textId="5F551BF1" w:rsidR="00C5624E" w:rsidRDefault="00C5624E" w:rsidP="00C5624E">
            <w:pPr>
              <w:widowControl w:val="0"/>
              <w:tabs>
                <w:tab w:val="decimal" w:pos="250"/>
              </w:tabs>
              <w:autoSpaceDE w:val="0"/>
              <w:autoSpaceDN w:val="0"/>
              <w:adjustRightInd w:val="0"/>
              <w:spacing w:line="240" w:lineRule="auto"/>
            </w:pPr>
            <w:r>
              <w:t>-0.04</w:t>
            </w:r>
          </w:p>
        </w:tc>
        <w:tc>
          <w:tcPr>
            <w:tcW w:w="810" w:type="dxa"/>
            <w:tcBorders>
              <w:top w:val="nil"/>
              <w:left w:val="nil"/>
              <w:bottom w:val="nil"/>
              <w:right w:val="nil"/>
            </w:tcBorders>
          </w:tcPr>
          <w:p w14:paraId="5080BDEF" w14:textId="189ACA9A" w:rsidR="00C5624E" w:rsidRDefault="00C5624E" w:rsidP="00C5624E">
            <w:pPr>
              <w:widowControl w:val="0"/>
              <w:autoSpaceDE w:val="0"/>
              <w:autoSpaceDN w:val="0"/>
              <w:adjustRightInd w:val="0"/>
              <w:spacing w:line="240" w:lineRule="auto"/>
            </w:pPr>
            <w:r>
              <w:t>(.05)</w:t>
            </w:r>
          </w:p>
        </w:tc>
      </w:tr>
      <w:tr w:rsidR="00C5624E" w14:paraId="6E462584" w14:textId="77777777" w:rsidTr="00E5088E">
        <w:tc>
          <w:tcPr>
            <w:tcW w:w="2700" w:type="dxa"/>
            <w:tcBorders>
              <w:top w:val="nil"/>
              <w:left w:val="nil"/>
              <w:bottom w:val="nil"/>
              <w:right w:val="nil"/>
            </w:tcBorders>
          </w:tcPr>
          <w:p w14:paraId="79542AED" w14:textId="77777777" w:rsidR="00C5624E" w:rsidRPr="00506E00" w:rsidRDefault="00C5624E" w:rsidP="00C5624E">
            <w:pPr>
              <w:widowControl w:val="0"/>
              <w:autoSpaceDE w:val="0"/>
              <w:autoSpaceDN w:val="0"/>
              <w:adjustRightInd w:val="0"/>
              <w:spacing w:line="240" w:lineRule="auto"/>
              <w:rPr>
                <w:b/>
                <w:bCs/>
                <w:u w:val="single"/>
              </w:rPr>
            </w:pPr>
            <w:r>
              <w:rPr>
                <w:b/>
                <w:bCs/>
                <w:u w:val="single"/>
              </w:rPr>
              <w:t>Interactions</w:t>
            </w:r>
          </w:p>
        </w:tc>
        <w:tc>
          <w:tcPr>
            <w:tcW w:w="1008" w:type="dxa"/>
            <w:tcBorders>
              <w:top w:val="nil"/>
              <w:left w:val="nil"/>
              <w:bottom w:val="nil"/>
              <w:right w:val="nil"/>
            </w:tcBorders>
          </w:tcPr>
          <w:p w14:paraId="2CFFBD03" w14:textId="77777777" w:rsidR="00C5624E" w:rsidRDefault="00C5624E" w:rsidP="00C5624E">
            <w:pPr>
              <w:widowControl w:val="0"/>
              <w:tabs>
                <w:tab w:val="decimal" w:pos="262"/>
              </w:tabs>
              <w:autoSpaceDE w:val="0"/>
              <w:autoSpaceDN w:val="0"/>
              <w:adjustRightInd w:val="0"/>
              <w:spacing w:line="240" w:lineRule="auto"/>
            </w:pPr>
          </w:p>
        </w:tc>
        <w:tc>
          <w:tcPr>
            <w:tcW w:w="810" w:type="dxa"/>
            <w:tcBorders>
              <w:top w:val="nil"/>
              <w:left w:val="nil"/>
              <w:bottom w:val="nil"/>
              <w:right w:val="nil"/>
            </w:tcBorders>
          </w:tcPr>
          <w:p w14:paraId="6A02D9C1"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0A68ADC3" w14:textId="77777777" w:rsidR="00C5624E" w:rsidRDefault="00C5624E" w:rsidP="00C5624E">
            <w:pPr>
              <w:widowControl w:val="0"/>
              <w:tabs>
                <w:tab w:val="decimal" w:pos="254"/>
              </w:tabs>
              <w:autoSpaceDE w:val="0"/>
              <w:autoSpaceDN w:val="0"/>
              <w:adjustRightInd w:val="0"/>
              <w:spacing w:line="240" w:lineRule="auto"/>
            </w:pPr>
          </w:p>
        </w:tc>
        <w:tc>
          <w:tcPr>
            <w:tcW w:w="720" w:type="dxa"/>
            <w:tcBorders>
              <w:top w:val="nil"/>
              <w:left w:val="nil"/>
              <w:bottom w:val="nil"/>
              <w:right w:val="nil"/>
            </w:tcBorders>
          </w:tcPr>
          <w:p w14:paraId="6CDED3D9"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3B722D02" w14:textId="77777777" w:rsidR="00C5624E" w:rsidRDefault="00C5624E" w:rsidP="00C5624E">
            <w:pPr>
              <w:widowControl w:val="0"/>
              <w:tabs>
                <w:tab w:val="decimal" w:pos="250"/>
              </w:tabs>
              <w:autoSpaceDE w:val="0"/>
              <w:autoSpaceDN w:val="0"/>
              <w:adjustRightInd w:val="0"/>
              <w:spacing w:line="240" w:lineRule="auto"/>
            </w:pPr>
          </w:p>
        </w:tc>
        <w:tc>
          <w:tcPr>
            <w:tcW w:w="810" w:type="dxa"/>
            <w:tcBorders>
              <w:top w:val="nil"/>
              <w:left w:val="nil"/>
              <w:bottom w:val="nil"/>
              <w:right w:val="nil"/>
            </w:tcBorders>
          </w:tcPr>
          <w:p w14:paraId="26358543" w14:textId="77777777" w:rsidR="00C5624E" w:rsidRDefault="00C5624E" w:rsidP="00C5624E">
            <w:pPr>
              <w:widowControl w:val="0"/>
              <w:autoSpaceDE w:val="0"/>
              <w:autoSpaceDN w:val="0"/>
              <w:adjustRightInd w:val="0"/>
              <w:spacing w:line="240" w:lineRule="auto"/>
            </w:pPr>
          </w:p>
        </w:tc>
      </w:tr>
      <w:tr w:rsidR="00C5624E" w14:paraId="07D8FE8C" w14:textId="77777777" w:rsidTr="00E5088E">
        <w:tc>
          <w:tcPr>
            <w:tcW w:w="2700" w:type="dxa"/>
            <w:tcBorders>
              <w:top w:val="nil"/>
              <w:left w:val="nil"/>
              <w:bottom w:val="nil"/>
              <w:right w:val="nil"/>
            </w:tcBorders>
          </w:tcPr>
          <w:p w14:paraId="141A326A" w14:textId="0A7F0020" w:rsidR="00C5624E" w:rsidRDefault="00C5624E" w:rsidP="00C5624E">
            <w:pPr>
              <w:widowControl w:val="0"/>
              <w:autoSpaceDE w:val="0"/>
              <w:autoSpaceDN w:val="0"/>
              <w:adjustRightInd w:val="0"/>
              <w:spacing w:line="240" w:lineRule="auto"/>
            </w:pPr>
            <w:r>
              <w:t>Men x Patriarchal Family</w:t>
            </w:r>
          </w:p>
        </w:tc>
        <w:tc>
          <w:tcPr>
            <w:tcW w:w="1008" w:type="dxa"/>
            <w:tcBorders>
              <w:top w:val="nil"/>
              <w:left w:val="nil"/>
              <w:bottom w:val="nil"/>
              <w:right w:val="nil"/>
            </w:tcBorders>
          </w:tcPr>
          <w:p w14:paraId="4C0CD0EB" w14:textId="77777777" w:rsidR="00C5624E" w:rsidRDefault="00C5624E" w:rsidP="00C5624E">
            <w:pPr>
              <w:widowControl w:val="0"/>
              <w:tabs>
                <w:tab w:val="decimal" w:pos="262"/>
              </w:tabs>
              <w:autoSpaceDE w:val="0"/>
              <w:autoSpaceDN w:val="0"/>
              <w:adjustRightInd w:val="0"/>
              <w:spacing w:line="240" w:lineRule="auto"/>
            </w:pPr>
          </w:p>
        </w:tc>
        <w:tc>
          <w:tcPr>
            <w:tcW w:w="810" w:type="dxa"/>
            <w:tcBorders>
              <w:top w:val="nil"/>
              <w:left w:val="nil"/>
              <w:bottom w:val="nil"/>
              <w:right w:val="nil"/>
            </w:tcBorders>
          </w:tcPr>
          <w:p w14:paraId="22B79AFE"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78C1D105" w14:textId="77777777" w:rsidR="00C5624E" w:rsidRDefault="00C5624E" w:rsidP="00C5624E">
            <w:pPr>
              <w:widowControl w:val="0"/>
              <w:tabs>
                <w:tab w:val="decimal" w:pos="254"/>
              </w:tabs>
              <w:autoSpaceDE w:val="0"/>
              <w:autoSpaceDN w:val="0"/>
              <w:adjustRightInd w:val="0"/>
              <w:spacing w:line="240" w:lineRule="auto"/>
            </w:pPr>
            <w:r>
              <w:t>0.09</w:t>
            </w:r>
          </w:p>
        </w:tc>
        <w:tc>
          <w:tcPr>
            <w:tcW w:w="720" w:type="dxa"/>
            <w:tcBorders>
              <w:top w:val="nil"/>
              <w:left w:val="nil"/>
              <w:bottom w:val="nil"/>
              <w:right w:val="nil"/>
            </w:tcBorders>
          </w:tcPr>
          <w:p w14:paraId="3E7CA959" w14:textId="77777777" w:rsidR="00C5624E" w:rsidRDefault="00C5624E" w:rsidP="00C5624E">
            <w:pPr>
              <w:widowControl w:val="0"/>
              <w:autoSpaceDE w:val="0"/>
              <w:autoSpaceDN w:val="0"/>
              <w:adjustRightInd w:val="0"/>
              <w:spacing w:line="240" w:lineRule="auto"/>
            </w:pPr>
            <w:r>
              <w:t>(.07)</w:t>
            </w:r>
          </w:p>
        </w:tc>
        <w:tc>
          <w:tcPr>
            <w:tcW w:w="1080" w:type="dxa"/>
            <w:tcBorders>
              <w:top w:val="nil"/>
              <w:left w:val="nil"/>
              <w:bottom w:val="nil"/>
              <w:right w:val="nil"/>
            </w:tcBorders>
          </w:tcPr>
          <w:p w14:paraId="4F7990F9" w14:textId="77777777" w:rsidR="00C5624E" w:rsidRDefault="00C5624E" w:rsidP="00C5624E">
            <w:pPr>
              <w:widowControl w:val="0"/>
              <w:tabs>
                <w:tab w:val="decimal" w:pos="250"/>
              </w:tabs>
              <w:autoSpaceDE w:val="0"/>
              <w:autoSpaceDN w:val="0"/>
              <w:adjustRightInd w:val="0"/>
              <w:spacing w:line="240" w:lineRule="auto"/>
            </w:pPr>
          </w:p>
        </w:tc>
        <w:tc>
          <w:tcPr>
            <w:tcW w:w="810" w:type="dxa"/>
            <w:tcBorders>
              <w:top w:val="nil"/>
              <w:left w:val="nil"/>
              <w:bottom w:val="nil"/>
              <w:right w:val="nil"/>
            </w:tcBorders>
          </w:tcPr>
          <w:p w14:paraId="05BB91E7" w14:textId="77777777" w:rsidR="00C5624E" w:rsidRDefault="00C5624E" w:rsidP="00C5624E">
            <w:pPr>
              <w:widowControl w:val="0"/>
              <w:autoSpaceDE w:val="0"/>
              <w:autoSpaceDN w:val="0"/>
              <w:adjustRightInd w:val="0"/>
              <w:spacing w:line="240" w:lineRule="auto"/>
            </w:pPr>
          </w:p>
        </w:tc>
      </w:tr>
      <w:tr w:rsidR="00C5624E" w14:paraId="544B15BE" w14:textId="77777777" w:rsidTr="00E5088E">
        <w:tc>
          <w:tcPr>
            <w:tcW w:w="2700" w:type="dxa"/>
            <w:tcBorders>
              <w:top w:val="nil"/>
              <w:left w:val="nil"/>
              <w:bottom w:val="nil"/>
              <w:right w:val="nil"/>
            </w:tcBorders>
          </w:tcPr>
          <w:p w14:paraId="2AA9FA1B" w14:textId="078832C2" w:rsidR="00C5624E" w:rsidRDefault="00C5624E" w:rsidP="00C5624E">
            <w:pPr>
              <w:widowControl w:val="0"/>
              <w:autoSpaceDE w:val="0"/>
              <w:autoSpaceDN w:val="0"/>
              <w:adjustRightInd w:val="0"/>
              <w:spacing w:line="240" w:lineRule="auto"/>
            </w:pPr>
            <w:r>
              <w:t>Men x Patriarchal Norms</w:t>
            </w:r>
          </w:p>
        </w:tc>
        <w:tc>
          <w:tcPr>
            <w:tcW w:w="1008" w:type="dxa"/>
            <w:tcBorders>
              <w:top w:val="nil"/>
              <w:left w:val="nil"/>
              <w:bottom w:val="nil"/>
              <w:right w:val="nil"/>
            </w:tcBorders>
          </w:tcPr>
          <w:p w14:paraId="55ECAEF4" w14:textId="77777777" w:rsidR="00C5624E" w:rsidRDefault="00C5624E" w:rsidP="00C5624E">
            <w:pPr>
              <w:widowControl w:val="0"/>
              <w:tabs>
                <w:tab w:val="decimal" w:pos="262"/>
              </w:tabs>
              <w:autoSpaceDE w:val="0"/>
              <w:autoSpaceDN w:val="0"/>
              <w:adjustRightInd w:val="0"/>
              <w:spacing w:line="240" w:lineRule="auto"/>
            </w:pPr>
          </w:p>
        </w:tc>
        <w:tc>
          <w:tcPr>
            <w:tcW w:w="810" w:type="dxa"/>
            <w:tcBorders>
              <w:top w:val="nil"/>
              <w:left w:val="nil"/>
              <w:bottom w:val="nil"/>
              <w:right w:val="nil"/>
            </w:tcBorders>
          </w:tcPr>
          <w:p w14:paraId="7400BBFA"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5B3850E4" w14:textId="77777777" w:rsidR="00C5624E" w:rsidRDefault="00C5624E" w:rsidP="00C5624E">
            <w:pPr>
              <w:widowControl w:val="0"/>
              <w:tabs>
                <w:tab w:val="decimal" w:pos="254"/>
              </w:tabs>
              <w:autoSpaceDE w:val="0"/>
              <w:autoSpaceDN w:val="0"/>
              <w:adjustRightInd w:val="0"/>
              <w:spacing w:line="240" w:lineRule="auto"/>
            </w:pPr>
          </w:p>
        </w:tc>
        <w:tc>
          <w:tcPr>
            <w:tcW w:w="720" w:type="dxa"/>
            <w:tcBorders>
              <w:top w:val="nil"/>
              <w:left w:val="nil"/>
              <w:bottom w:val="nil"/>
              <w:right w:val="nil"/>
            </w:tcBorders>
          </w:tcPr>
          <w:p w14:paraId="1A842A66"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5B5B5049" w14:textId="055B27A0" w:rsidR="00C5624E" w:rsidRDefault="00C5624E" w:rsidP="00C5624E">
            <w:pPr>
              <w:widowControl w:val="0"/>
              <w:tabs>
                <w:tab w:val="decimal" w:pos="250"/>
              </w:tabs>
              <w:autoSpaceDE w:val="0"/>
              <w:autoSpaceDN w:val="0"/>
              <w:adjustRightInd w:val="0"/>
              <w:spacing w:line="240" w:lineRule="auto"/>
            </w:pPr>
            <w:r>
              <w:t>0.13</w:t>
            </w:r>
          </w:p>
        </w:tc>
        <w:tc>
          <w:tcPr>
            <w:tcW w:w="810" w:type="dxa"/>
            <w:tcBorders>
              <w:top w:val="nil"/>
              <w:left w:val="nil"/>
              <w:bottom w:val="nil"/>
              <w:right w:val="nil"/>
            </w:tcBorders>
          </w:tcPr>
          <w:p w14:paraId="5923FA6D" w14:textId="77777777" w:rsidR="00C5624E" w:rsidRDefault="00C5624E" w:rsidP="00C5624E">
            <w:pPr>
              <w:widowControl w:val="0"/>
              <w:autoSpaceDE w:val="0"/>
              <w:autoSpaceDN w:val="0"/>
              <w:adjustRightInd w:val="0"/>
              <w:spacing w:line="240" w:lineRule="auto"/>
            </w:pPr>
            <w:r>
              <w:t>(.07)</w:t>
            </w:r>
          </w:p>
        </w:tc>
      </w:tr>
      <w:tr w:rsidR="00C5624E" w14:paraId="455C9E48" w14:textId="77777777" w:rsidTr="00E5088E">
        <w:tc>
          <w:tcPr>
            <w:tcW w:w="2700" w:type="dxa"/>
            <w:tcBorders>
              <w:top w:val="nil"/>
              <w:left w:val="nil"/>
              <w:bottom w:val="nil"/>
              <w:right w:val="nil"/>
            </w:tcBorders>
          </w:tcPr>
          <w:p w14:paraId="5F8DF44F" w14:textId="77777777" w:rsidR="00C5624E" w:rsidRPr="00506E00" w:rsidRDefault="00C5624E" w:rsidP="00C5624E">
            <w:pPr>
              <w:widowControl w:val="0"/>
              <w:autoSpaceDE w:val="0"/>
              <w:autoSpaceDN w:val="0"/>
              <w:adjustRightInd w:val="0"/>
              <w:spacing w:line="240" w:lineRule="auto"/>
              <w:rPr>
                <w:b/>
                <w:bCs/>
                <w:u w:val="single"/>
              </w:rPr>
            </w:pPr>
            <w:r>
              <w:rPr>
                <w:b/>
                <w:bCs/>
                <w:u w:val="single"/>
              </w:rPr>
              <w:t>Controls</w:t>
            </w:r>
          </w:p>
        </w:tc>
        <w:tc>
          <w:tcPr>
            <w:tcW w:w="1008" w:type="dxa"/>
            <w:tcBorders>
              <w:top w:val="nil"/>
              <w:left w:val="nil"/>
              <w:bottom w:val="nil"/>
              <w:right w:val="nil"/>
            </w:tcBorders>
          </w:tcPr>
          <w:p w14:paraId="63E2762E" w14:textId="77777777" w:rsidR="00C5624E" w:rsidRDefault="00C5624E" w:rsidP="00C5624E">
            <w:pPr>
              <w:widowControl w:val="0"/>
              <w:tabs>
                <w:tab w:val="decimal" w:pos="262"/>
              </w:tabs>
              <w:autoSpaceDE w:val="0"/>
              <w:autoSpaceDN w:val="0"/>
              <w:adjustRightInd w:val="0"/>
              <w:spacing w:line="240" w:lineRule="auto"/>
            </w:pPr>
          </w:p>
        </w:tc>
        <w:tc>
          <w:tcPr>
            <w:tcW w:w="810" w:type="dxa"/>
            <w:tcBorders>
              <w:top w:val="nil"/>
              <w:left w:val="nil"/>
              <w:bottom w:val="nil"/>
              <w:right w:val="nil"/>
            </w:tcBorders>
          </w:tcPr>
          <w:p w14:paraId="01DCA9BE"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09688823" w14:textId="77777777" w:rsidR="00C5624E" w:rsidRDefault="00C5624E" w:rsidP="00C5624E">
            <w:pPr>
              <w:widowControl w:val="0"/>
              <w:tabs>
                <w:tab w:val="decimal" w:pos="254"/>
              </w:tabs>
              <w:autoSpaceDE w:val="0"/>
              <w:autoSpaceDN w:val="0"/>
              <w:adjustRightInd w:val="0"/>
              <w:spacing w:line="240" w:lineRule="auto"/>
            </w:pPr>
          </w:p>
        </w:tc>
        <w:tc>
          <w:tcPr>
            <w:tcW w:w="720" w:type="dxa"/>
            <w:tcBorders>
              <w:top w:val="nil"/>
              <w:left w:val="nil"/>
              <w:bottom w:val="nil"/>
              <w:right w:val="nil"/>
            </w:tcBorders>
          </w:tcPr>
          <w:p w14:paraId="0A3B5D58"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2278AD09" w14:textId="77777777" w:rsidR="00C5624E" w:rsidRDefault="00C5624E" w:rsidP="00C5624E">
            <w:pPr>
              <w:widowControl w:val="0"/>
              <w:tabs>
                <w:tab w:val="decimal" w:pos="250"/>
              </w:tabs>
              <w:autoSpaceDE w:val="0"/>
              <w:autoSpaceDN w:val="0"/>
              <w:adjustRightInd w:val="0"/>
              <w:spacing w:line="240" w:lineRule="auto"/>
            </w:pPr>
          </w:p>
        </w:tc>
        <w:tc>
          <w:tcPr>
            <w:tcW w:w="810" w:type="dxa"/>
            <w:tcBorders>
              <w:top w:val="nil"/>
              <w:left w:val="nil"/>
              <w:bottom w:val="nil"/>
              <w:right w:val="nil"/>
            </w:tcBorders>
          </w:tcPr>
          <w:p w14:paraId="0A930612" w14:textId="77777777" w:rsidR="00C5624E" w:rsidRDefault="00C5624E" w:rsidP="00C5624E">
            <w:pPr>
              <w:widowControl w:val="0"/>
              <w:autoSpaceDE w:val="0"/>
              <w:autoSpaceDN w:val="0"/>
              <w:adjustRightInd w:val="0"/>
              <w:spacing w:line="240" w:lineRule="auto"/>
            </w:pPr>
          </w:p>
        </w:tc>
      </w:tr>
      <w:tr w:rsidR="00C5624E" w14:paraId="138B7F02" w14:textId="77777777" w:rsidTr="00E5088E">
        <w:tc>
          <w:tcPr>
            <w:tcW w:w="2700" w:type="dxa"/>
            <w:tcBorders>
              <w:top w:val="nil"/>
              <w:left w:val="nil"/>
              <w:bottom w:val="nil"/>
              <w:right w:val="nil"/>
            </w:tcBorders>
          </w:tcPr>
          <w:p w14:paraId="0D30FD69" w14:textId="77777777" w:rsidR="00C5624E" w:rsidRPr="002035EB" w:rsidRDefault="00C5624E" w:rsidP="00C5624E">
            <w:pPr>
              <w:widowControl w:val="0"/>
              <w:autoSpaceDE w:val="0"/>
              <w:autoSpaceDN w:val="0"/>
              <w:adjustRightInd w:val="0"/>
              <w:spacing w:line="240" w:lineRule="auto"/>
              <w:rPr>
                <w:i/>
                <w:iCs/>
              </w:rPr>
            </w:pPr>
            <w:r w:rsidRPr="002035EB">
              <w:rPr>
                <w:i/>
                <w:iCs/>
              </w:rPr>
              <w:t>Mother’s Education</w:t>
            </w:r>
          </w:p>
        </w:tc>
        <w:tc>
          <w:tcPr>
            <w:tcW w:w="1008" w:type="dxa"/>
            <w:tcBorders>
              <w:top w:val="nil"/>
              <w:left w:val="nil"/>
              <w:bottom w:val="nil"/>
              <w:right w:val="nil"/>
            </w:tcBorders>
          </w:tcPr>
          <w:p w14:paraId="2B766309" w14:textId="77777777" w:rsidR="00C5624E" w:rsidRDefault="00C5624E" w:rsidP="00C5624E">
            <w:pPr>
              <w:widowControl w:val="0"/>
              <w:tabs>
                <w:tab w:val="decimal" w:pos="262"/>
              </w:tabs>
              <w:autoSpaceDE w:val="0"/>
              <w:autoSpaceDN w:val="0"/>
              <w:adjustRightInd w:val="0"/>
              <w:spacing w:line="240" w:lineRule="auto"/>
            </w:pPr>
          </w:p>
        </w:tc>
        <w:tc>
          <w:tcPr>
            <w:tcW w:w="810" w:type="dxa"/>
            <w:tcBorders>
              <w:top w:val="nil"/>
              <w:left w:val="nil"/>
              <w:bottom w:val="nil"/>
              <w:right w:val="nil"/>
            </w:tcBorders>
          </w:tcPr>
          <w:p w14:paraId="77C22B74"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6F0A0383" w14:textId="77777777" w:rsidR="00C5624E" w:rsidRDefault="00C5624E" w:rsidP="00C5624E">
            <w:pPr>
              <w:widowControl w:val="0"/>
              <w:tabs>
                <w:tab w:val="decimal" w:pos="254"/>
              </w:tabs>
              <w:autoSpaceDE w:val="0"/>
              <w:autoSpaceDN w:val="0"/>
              <w:adjustRightInd w:val="0"/>
              <w:spacing w:line="240" w:lineRule="auto"/>
            </w:pPr>
          </w:p>
        </w:tc>
        <w:tc>
          <w:tcPr>
            <w:tcW w:w="720" w:type="dxa"/>
            <w:tcBorders>
              <w:top w:val="nil"/>
              <w:left w:val="nil"/>
              <w:bottom w:val="nil"/>
              <w:right w:val="nil"/>
            </w:tcBorders>
          </w:tcPr>
          <w:p w14:paraId="6E35BAE3"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1E4F91E0" w14:textId="77777777" w:rsidR="00C5624E" w:rsidRDefault="00C5624E" w:rsidP="00C5624E">
            <w:pPr>
              <w:widowControl w:val="0"/>
              <w:tabs>
                <w:tab w:val="decimal" w:pos="250"/>
              </w:tabs>
              <w:autoSpaceDE w:val="0"/>
              <w:autoSpaceDN w:val="0"/>
              <w:adjustRightInd w:val="0"/>
              <w:spacing w:line="240" w:lineRule="auto"/>
            </w:pPr>
          </w:p>
        </w:tc>
        <w:tc>
          <w:tcPr>
            <w:tcW w:w="810" w:type="dxa"/>
            <w:tcBorders>
              <w:top w:val="nil"/>
              <w:left w:val="nil"/>
              <w:bottom w:val="nil"/>
              <w:right w:val="nil"/>
            </w:tcBorders>
          </w:tcPr>
          <w:p w14:paraId="6D9BF824" w14:textId="77777777" w:rsidR="00C5624E" w:rsidRDefault="00C5624E" w:rsidP="00C5624E">
            <w:pPr>
              <w:widowControl w:val="0"/>
              <w:autoSpaceDE w:val="0"/>
              <w:autoSpaceDN w:val="0"/>
              <w:adjustRightInd w:val="0"/>
              <w:spacing w:line="240" w:lineRule="auto"/>
            </w:pPr>
          </w:p>
        </w:tc>
      </w:tr>
      <w:tr w:rsidR="00C5624E" w14:paraId="00E6758D" w14:textId="77777777" w:rsidTr="00E5088E">
        <w:tc>
          <w:tcPr>
            <w:tcW w:w="2700" w:type="dxa"/>
            <w:tcBorders>
              <w:top w:val="nil"/>
              <w:left w:val="nil"/>
              <w:bottom w:val="nil"/>
              <w:right w:val="nil"/>
            </w:tcBorders>
          </w:tcPr>
          <w:p w14:paraId="69942200" w14:textId="77777777" w:rsidR="00C5624E" w:rsidRDefault="00C5624E" w:rsidP="00C5624E">
            <w:pPr>
              <w:widowControl w:val="0"/>
              <w:autoSpaceDE w:val="0"/>
              <w:autoSpaceDN w:val="0"/>
              <w:adjustRightInd w:val="0"/>
              <w:spacing w:line="240" w:lineRule="auto"/>
              <w:ind w:left="90"/>
            </w:pPr>
            <w:r>
              <w:t>High School</w:t>
            </w:r>
          </w:p>
        </w:tc>
        <w:tc>
          <w:tcPr>
            <w:tcW w:w="1008" w:type="dxa"/>
            <w:tcBorders>
              <w:top w:val="nil"/>
              <w:left w:val="nil"/>
              <w:bottom w:val="nil"/>
              <w:right w:val="nil"/>
            </w:tcBorders>
          </w:tcPr>
          <w:p w14:paraId="72E955A1" w14:textId="77777777" w:rsidR="00C5624E" w:rsidRDefault="00C5624E" w:rsidP="00C5624E">
            <w:pPr>
              <w:widowControl w:val="0"/>
              <w:tabs>
                <w:tab w:val="decimal" w:pos="262"/>
              </w:tabs>
              <w:autoSpaceDE w:val="0"/>
              <w:autoSpaceDN w:val="0"/>
              <w:adjustRightInd w:val="0"/>
              <w:spacing w:line="240" w:lineRule="auto"/>
            </w:pPr>
            <w:r>
              <w:t>-0.31</w:t>
            </w:r>
            <w:r>
              <w:rPr>
                <w:vertAlign w:val="superscript"/>
              </w:rPr>
              <w:t>***</w:t>
            </w:r>
          </w:p>
        </w:tc>
        <w:tc>
          <w:tcPr>
            <w:tcW w:w="810" w:type="dxa"/>
            <w:tcBorders>
              <w:top w:val="nil"/>
              <w:left w:val="nil"/>
              <w:bottom w:val="nil"/>
              <w:right w:val="nil"/>
            </w:tcBorders>
          </w:tcPr>
          <w:p w14:paraId="7C86F673" w14:textId="77777777" w:rsidR="00C5624E" w:rsidRDefault="00C5624E" w:rsidP="00C5624E">
            <w:pPr>
              <w:widowControl w:val="0"/>
              <w:autoSpaceDE w:val="0"/>
              <w:autoSpaceDN w:val="0"/>
              <w:adjustRightInd w:val="0"/>
              <w:spacing w:line="240" w:lineRule="auto"/>
            </w:pPr>
            <w:r>
              <w:t>(.06)</w:t>
            </w:r>
          </w:p>
        </w:tc>
        <w:tc>
          <w:tcPr>
            <w:tcW w:w="1080" w:type="dxa"/>
            <w:tcBorders>
              <w:top w:val="nil"/>
              <w:left w:val="nil"/>
              <w:bottom w:val="nil"/>
              <w:right w:val="nil"/>
            </w:tcBorders>
          </w:tcPr>
          <w:p w14:paraId="60A98872" w14:textId="77777777" w:rsidR="00C5624E" w:rsidRDefault="00C5624E" w:rsidP="00C5624E">
            <w:pPr>
              <w:widowControl w:val="0"/>
              <w:tabs>
                <w:tab w:val="decimal" w:pos="254"/>
              </w:tabs>
              <w:autoSpaceDE w:val="0"/>
              <w:autoSpaceDN w:val="0"/>
              <w:adjustRightInd w:val="0"/>
              <w:spacing w:line="240" w:lineRule="auto"/>
            </w:pPr>
            <w:r>
              <w:t>-0.31</w:t>
            </w:r>
            <w:r>
              <w:rPr>
                <w:vertAlign w:val="superscript"/>
              </w:rPr>
              <w:t>***</w:t>
            </w:r>
          </w:p>
        </w:tc>
        <w:tc>
          <w:tcPr>
            <w:tcW w:w="720" w:type="dxa"/>
            <w:tcBorders>
              <w:top w:val="nil"/>
              <w:left w:val="nil"/>
              <w:bottom w:val="nil"/>
              <w:right w:val="nil"/>
            </w:tcBorders>
          </w:tcPr>
          <w:p w14:paraId="62E46231" w14:textId="77777777" w:rsidR="00C5624E" w:rsidRDefault="00C5624E" w:rsidP="00C5624E">
            <w:pPr>
              <w:widowControl w:val="0"/>
              <w:autoSpaceDE w:val="0"/>
              <w:autoSpaceDN w:val="0"/>
              <w:adjustRightInd w:val="0"/>
              <w:spacing w:line="240" w:lineRule="auto"/>
            </w:pPr>
            <w:r>
              <w:t>(.06)</w:t>
            </w:r>
          </w:p>
        </w:tc>
        <w:tc>
          <w:tcPr>
            <w:tcW w:w="1080" w:type="dxa"/>
            <w:tcBorders>
              <w:top w:val="nil"/>
              <w:left w:val="nil"/>
              <w:bottom w:val="nil"/>
              <w:right w:val="nil"/>
            </w:tcBorders>
          </w:tcPr>
          <w:p w14:paraId="6E97D767" w14:textId="77777777" w:rsidR="00C5624E" w:rsidRDefault="00C5624E" w:rsidP="00C5624E">
            <w:pPr>
              <w:widowControl w:val="0"/>
              <w:tabs>
                <w:tab w:val="decimal" w:pos="250"/>
              </w:tabs>
              <w:autoSpaceDE w:val="0"/>
              <w:autoSpaceDN w:val="0"/>
              <w:adjustRightInd w:val="0"/>
              <w:spacing w:line="240" w:lineRule="auto"/>
            </w:pPr>
            <w:r>
              <w:t>-0.31</w:t>
            </w:r>
            <w:r>
              <w:rPr>
                <w:vertAlign w:val="superscript"/>
              </w:rPr>
              <w:t>***</w:t>
            </w:r>
          </w:p>
        </w:tc>
        <w:tc>
          <w:tcPr>
            <w:tcW w:w="810" w:type="dxa"/>
            <w:tcBorders>
              <w:top w:val="nil"/>
              <w:left w:val="nil"/>
              <w:bottom w:val="nil"/>
              <w:right w:val="nil"/>
            </w:tcBorders>
          </w:tcPr>
          <w:p w14:paraId="522F6FF2" w14:textId="77777777" w:rsidR="00C5624E" w:rsidRDefault="00C5624E" w:rsidP="00C5624E">
            <w:pPr>
              <w:widowControl w:val="0"/>
              <w:autoSpaceDE w:val="0"/>
              <w:autoSpaceDN w:val="0"/>
              <w:adjustRightInd w:val="0"/>
              <w:spacing w:line="240" w:lineRule="auto"/>
            </w:pPr>
            <w:r>
              <w:t>(.06)</w:t>
            </w:r>
          </w:p>
        </w:tc>
      </w:tr>
      <w:tr w:rsidR="00C5624E" w14:paraId="499AE20F" w14:textId="77777777" w:rsidTr="00E5088E">
        <w:tc>
          <w:tcPr>
            <w:tcW w:w="2700" w:type="dxa"/>
            <w:tcBorders>
              <w:top w:val="nil"/>
              <w:left w:val="nil"/>
              <w:bottom w:val="nil"/>
              <w:right w:val="nil"/>
            </w:tcBorders>
          </w:tcPr>
          <w:p w14:paraId="24386583" w14:textId="77777777" w:rsidR="00C5624E" w:rsidRDefault="00C5624E" w:rsidP="00C5624E">
            <w:pPr>
              <w:widowControl w:val="0"/>
              <w:autoSpaceDE w:val="0"/>
              <w:autoSpaceDN w:val="0"/>
              <w:adjustRightInd w:val="0"/>
              <w:spacing w:line="240" w:lineRule="auto"/>
              <w:ind w:left="90"/>
            </w:pPr>
            <w:r>
              <w:t>Some College</w:t>
            </w:r>
          </w:p>
        </w:tc>
        <w:tc>
          <w:tcPr>
            <w:tcW w:w="1008" w:type="dxa"/>
            <w:tcBorders>
              <w:top w:val="nil"/>
              <w:left w:val="nil"/>
              <w:bottom w:val="nil"/>
              <w:right w:val="nil"/>
            </w:tcBorders>
          </w:tcPr>
          <w:p w14:paraId="229B0A6A" w14:textId="77777777" w:rsidR="00C5624E" w:rsidRDefault="00C5624E" w:rsidP="00C5624E">
            <w:pPr>
              <w:widowControl w:val="0"/>
              <w:tabs>
                <w:tab w:val="decimal" w:pos="262"/>
              </w:tabs>
              <w:autoSpaceDE w:val="0"/>
              <w:autoSpaceDN w:val="0"/>
              <w:adjustRightInd w:val="0"/>
              <w:spacing w:line="240" w:lineRule="auto"/>
            </w:pPr>
            <w:r>
              <w:t>-0.23</w:t>
            </w:r>
            <w:r>
              <w:rPr>
                <w:vertAlign w:val="superscript"/>
              </w:rPr>
              <w:t>***</w:t>
            </w:r>
          </w:p>
        </w:tc>
        <w:tc>
          <w:tcPr>
            <w:tcW w:w="810" w:type="dxa"/>
            <w:tcBorders>
              <w:top w:val="nil"/>
              <w:left w:val="nil"/>
              <w:bottom w:val="nil"/>
              <w:right w:val="nil"/>
            </w:tcBorders>
          </w:tcPr>
          <w:p w14:paraId="30EB4FD9" w14:textId="77777777" w:rsidR="00C5624E" w:rsidRDefault="00C5624E" w:rsidP="00C5624E">
            <w:pPr>
              <w:widowControl w:val="0"/>
              <w:autoSpaceDE w:val="0"/>
              <w:autoSpaceDN w:val="0"/>
              <w:adjustRightInd w:val="0"/>
              <w:spacing w:line="240" w:lineRule="auto"/>
            </w:pPr>
            <w:r>
              <w:t>(.06)</w:t>
            </w:r>
          </w:p>
        </w:tc>
        <w:tc>
          <w:tcPr>
            <w:tcW w:w="1080" w:type="dxa"/>
            <w:tcBorders>
              <w:top w:val="nil"/>
              <w:left w:val="nil"/>
              <w:bottom w:val="nil"/>
              <w:right w:val="nil"/>
            </w:tcBorders>
          </w:tcPr>
          <w:p w14:paraId="4E631707" w14:textId="77777777" w:rsidR="00C5624E" w:rsidRDefault="00C5624E" w:rsidP="00C5624E">
            <w:pPr>
              <w:widowControl w:val="0"/>
              <w:tabs>
                <w:tab w:val="decimal" w:pos="254"/>
              </w:tabs>
              <w:autoSpaceDE w:val="0"/>
              <w:autoSpaceDN w:val="0"/>
              <w:adjustRightInd w:val="0"/>
              <w:spacing w:line="240" w:lineRule="auto"/>
            </w:pPr>
            <w:r>
              <w:t>-0.23</w:t>
            </w:r>
            <w:r>
              <w:rPr>
                <w:vertAlign w:val="superscript"/>
              </w:rPr>
              <w:t>***</w:t>
            </w:r>
          </w:p>
        </w:tc>
        <w:tc>
          <w:tcPr>
            <w:tcW w:w="720" w:type="dxa"/>
            <w:tcBorders>
              <w:top w:val="nil"/>
              <w:left w:val="nil"/>
              <w:bottom w:val="nil"/>
              <w:right w:val="nil"/>
            </w:tcBorders>
          </w:tcPr>
          <w:p w14:paraId="4A774BE9" w14:textId="77777777" w:rsidR="00C5624E" w:rsidRDefault="00C5624E" w:rsidP="00C5624E">
            <w:pPr>
              <w:widowControl w:val="0"/>
              <w:autoSpaceDE w:val="0"/>
              <w:autoSpaceDN w:val="0"/>
              <w:adjustRightInd w:val="0"/>
              <w:spacing w:line="240" w:lineRule="auto"/>
            </w:pPr>
            <w:r>
              <w:t>(.06)</w:t>
            </w:r>
          </w:p>
        </w:tc>
        <w:tc>
          <w:tcPr>
            <w:tcW w:w="1080" w:type="dxa"/>
            <w:tcBorders>
              <w:top w:val="nil"/>
              <w:left w:val="nil"/>
              <w:bottom w:val="nil"/>
              <w:right w:val="nil"/>
            </w:tcBorders>
          </w:tcPr>
          <w:p w14:paraId="5DA7FC10" w14:textId="77777777" w:rsidR="00C5624E" w:rsidRDefault="00C5624E" w:rsidP="00C5624E">
            <w:pPr>
              <w:widowControl w:val="0"/>
              <w:tabs>
                <w:tab w:val="decimal" w:pos="250"/>
              </w:tabs>
              <w:autoSpaceDE w:val="0"/>
              <w:autoSpaceDN w:val="0"/>
              <w:adjustRightInd w:val="0"/>
              <w:spacing w:line="240" w:lineRule="auto"/>
            </w:pPr>
            <w:r>
              <w:t>-0.23</w:t>
            </w:r>
            <w:r>
              <w:rPr>
                <w:vertAlign w:val="superscript"/>
              </w:rPr>
              <w:t>***</w:t>
            </w:r>
          </w:p>
        </w:tc>
        <w:tc>
          <w:tcPr>
            <w:tcW w:w="810" w:type="dxa"/>
            <w:tcBorders>
              <w:top w:val="nil"/>
              <w:left w:val="nil"/>
              <w:bottom w:val="nil"/>
              <w:right w:val="nil"/>
            </w:tcBorders>
          </w:tcPr>
          <w:p w14:paraId="107DEA86" w14:textId="77777777" w:rsidR="00C5624E" w:rsidRDefault="00C5624E" w:rsidP="00C5624E">
            <w:pPr>
              <w:widowControl w:val="0"/>
              <w:autoSpaceDE w:val="0"/>
              <w:autoSpaceDN w:val="0"/>
              <w:adjustRightInd w:val="0"/>
              <w:spacing w:line="240" w:lineRule="auto"/>
            </w:pPr>
            <w:r>
              <w:t>(.06)</w:t>
            </w:r>
          </w:p>
        </w:tc>
      </w:tr>
      <w:tr w:rsidR="00C5624E" w14:paraId="5543B854" w14:textId="77777777" w:rsidTr="00E5088E">
        <w:tc>
          <w:tcPr>
            <w:tcW w:w="2700" w:type="dxa"/>
            <w:tcBorders>
              <w:top w:val="nil"/>
              <w:left w:val="nil"/>
              <w:bottom w:val="nil"/>
              <w:right w:val="nil"/>
            </w:tcBorders>
          </w:tcPr>
          <w:p w14:paraId="55DF28F2" w14:textId="77777777" w:rsidR="00C5624E" w:rsidRDefault="00C5624E" w:rsidP="00C5624E">
            <w:pPr>
              <w:widowControl w:val="0"/>
              <w:autoSpaceDE w:val="0"/>
              <w:autoSpaceDN w:val="0"/>
              <w:adjustRightInd w:val="0"/>
              <w:spacing w:line="240" w:lineRule="auto"/>
              <w:ind w:left="90"/>
            </w:pPr>
            <w:r>
              <w:t>College</w:t>
            </w:r>
          </w:p>
        </w:tc>
        <w:tc>
          <w:tcPr>
            <w:tcW w:w="1008" w:type="dxa"/>
            <w:tcBorders>
              <w:top w:val="nil"/>
              <w:left w:val="nil"/>
              <w:bottom w:val="nil"/>
              <w:right w:val="nil"/>
            </w:tcBorders>
          </w:tcPr>
          <w:p w14:paraId="6D32C166" w14:textId="77777777" w:rsidR="00C5624E" w:rsidRDefault="00C5624E" w:rsidP="00C5624E">
            <w:pPr>
              <w:widowControl w:val="0"/>
              <w:tabs>
                <w:tab w:val="decimal" w:pos="262"/>
              </w:tabs>
              <w:autoSpaceDE w:val="0"/>
              <w:autoSpaceDN w:val="0"/>
              <w:adjustRightInd w:val="0"/>
              <w:spacing w:line="240" w:lineRule="auto"/>
            </w:pPr>
            <w:r>
              <w:t>-0.27</w:t>
            </w:r>
            <w:r>
              <w:rPr>
                <w:vertAlign w:val="superscript"/>
              </w:rPr>
              <w:t>***</w:t>
            </w:r>
          </w:p>
        </w:tc>
        <w:tc>
          <w:tcPr>
            <w:tcW w:w="810" w:type="dxa"/>
            <w:tcBorders>
              <w:top w:val="nil"/>
              <w:left w:val="nil"/>
              <w:bottom w:val="nil"/>
              <w:right w:val="nil"/>
            </w:tcBorders>
          </w:tcPr>
          <w:p w14:paraId="4F325F10" w14:textId="77777777" w:rsidR="00C5624E" w:rsidRDefault="00C5624E" w:rsidP="00C5624E">
            <w:pPr>
              <w:widowControl w:val="0"/>
              <w:autoSpaceDE w:val="0"/>
              <w:autoSpaceDN w:val="0"/>
              <w:adjustRightInd w:val="0"/>
              <w:spacing w:line="240" w:lineRule="auto"/>
            </w:pPr>
            <w:r>
              <w:t>(.07)</w:t>
            </w:r>
          </w:p>
        </w:tc>
        <w:tc>
          <w:tcPr>
            <w:tcW w:w="1080" w:type="dxa"/>
            <w:tcBorders>
              <w:top w:val="nil"/>
              <w:left w:val="nil"/>
              <w:bottom w:val="nil"/>
              <w:right w:val="nil"/>
            </w:tcBorders>
          </w:tcPr>
          <w:p w14:paraId="5A75D023" w14:textId="77777777" w:rsidR="00C5624E" w:rsidRDefault="00C5624E" w:rsidP="00C5624E">
            <w:pPr>
              <w:widowControl w:val="0"/>
              <w:tabs>
                <w:tab w:val="decimal" w:pos="254"/>
              </w:tabs>
              <w:autoSpaceDE w:val="0"/>
              <w:autoSpaceDN w:val="0"/>
              <w:adjustRightInd w:val="0"/>
              <w:spacing w:line="240" w:lineRule="auto"/>
            </w:pPr>
            <w:r>
              <w:t>-0.27</w:t>
            </w:r>
            <w:r>
              <w:rPr>
                <w:vertAlign w:val="superscript"/>
              </w:rPr>
              <w:t>***</w:t>
            </w:r>
          </w:p>
        </w:tc>
        <w:tc>
          <w:tcPr>
            <w:tcW w:w="720" w:type="dxa"/>
            <w:tcBorders>
              <w:top w:val="nil"/>
              <w:left w:val="nil"/>
              <w:bottom w:val="nil"/>
              <w:right w:val="nil"/>
            </w:tcBorders>
          </w:tcPr>
          <w:p w14:paraId="74BEBB0F" w14:textId="77777777" w:rsidR="00C5624E" w:rsidRDefault="00C5624E" w:rsidP="00C5624E">
            <w:pPr>
              <w:widowControl w:val="0"/>
              <w:autoSpaceDE w:val="0"/>
              <w:autoSpaceDN w:val="0"/>
              <w:adjustRightInd w:val="0"/>
              <w:spacing w:line="240" w:lineRule="auto"/>
            </w:pPr>
            <w:r>
              <w:t>(.07)</w:t>
            </w:r>
          </w:p>
        </w:tc>
        <w:tc>
          <w:tcPr>
            <w:tcW w:w="1080" w:type="dxa"/>
            <w:tcBorders>
              <w:top w:val="nil"/>
              <w:left w:val="nil"/>
              <w:bottom w:val="nil"/>
              <w:right w:val="nil"/>
            </w:tcBorders>
          </w:tcPr>
          <w:p w14:paraId="541B2150" w14:textId="77777777" w:rsidR="00C5624E" w:rsidRDefault="00C5624E" w:rsidP="00C5624E">
            <w:pPr>
              <w:widowControl w:val="0"/>
              <w:tabs>
                <w:tab w:val="decimal" w:pos="250"/>
              </w:tabs>
              <w:autoSpaceDE w:val="0"/>
              <w:autoSpaceDN w:val="0"/>
              <w:adjustRightInd w:val="0"/>
              <w:spacing w:line="240" w:lineRule="auto"/>
            </w:pPr>
            <w:r>
              <w:t>-0.27</w:t>
            </w:r>
            <w:r>
              <w:rPr>
                <w:vertAlign w:val="superscript"/>
              </w:rPr>
              <w:t>***</w:t>
            </w:r>
          </w:p>
        </w:tc>
        <w:tc>
          <w:tcPr>
            <w:tcW w:w="810" w:type="dxa"/>
            <w:tcBorders>
              <w:top w:val="nil"/>
              <w:left w:val="nil"/>
              <w:bottom w:val="nil"/>
              <w:right w:val="nil"/>
            </w:tcBorders>
          </w:tcPr>
          <w:p w14:paraId="2FD9E570" w14:textId="77777777" w:rsidR="00C5624E" w:rsidRDefault="00C5624E" w:rsidP="00C5624E">
            <w:pPr>
              <w:widowControl w:val="0"/>
              <w:autoSpaceDE w:val="0"/>
              <w:autoSpaceDN w:val="0"/>
              <w:adjustRightInd w:val="0"/>
              <w:spacing w:line="240" w:lineRule="auto"/>
            </w:pPr>
            <w:r>
              <w:t>(.07)</w:t>
            </w:r>
          </w:p>
        </w:tc>
      </w:tr>
      <w:tr w:rsidR="00C5624E" w14:paraId="17957B91" w14:textId="77777777" w:rsidTr="00E5088E">
        <w:tc>
          <w:tcPr>
            <w:tcW w:w="2700" w:type="dxa"/>
            <w:tcBorders>
              <w:top w:val="nil"/>
              <w:left w:val="nil"/>
              <w:bottom w:val="nil"/>
              <w:right w:val="nil"/>
            </w:tcBorders>
          </w:tcPr>
          <w:p w14:paraId="220342AA" w14:textId="77777777" w:rsidR="00C5624E" w:rsidRDefault="00C5624E" w:rsidP="00C5624E">
            <w:pPr>
              <w:widowControl w:val="0"/>
              <w:autoSpaceDE w:val="0"/>
              <w:autoSpaceDN w:val="0"/>
              <w:adjustRightInd w:val="0"/>
              <w:spacing w:line="240" w:lineRule="auto"/>
              <w:ind w:left="90"/>
            </w:pPr>
            <w:r>
              <w:t>Graduate/Prof degree</w:t>
            </w:r>
          </w:p>
        </w:tc>
        <w:tc>
          <w:tcPr>
            <w:tcW w:w="1008" w:type="dxa"/>
            <w:tcBorders>
              <w:top w:val="nil"/>
              <w:left w:val="nil"/>
              <w:bottom w:val="nil"/>
              <w:right w:val="nil"/>
            </w:tcBorders>
          </w:tcPr>
          <w:p w14:paraId="7221268E" w14:textId="77777777" w:rsidR="00C5624E" w:rsidRDefault="00C5624E" w:rsidP="00C5624E">
            <w:pPr>
              <w:widowControl w:val="0"/>
              <w:tabs>
                <w:tab w:val="decimal" w:pos="262"/>
              </w:tabs>
              <w:autoSpaceDE w:val="0"/>
              <w:autoSpaceDN w:val="0"/>
              <w:adjustRightInd w:val="0"/>
              <w:spacing w:line="240" w:lineRule="auto"/>
            </w:pPr>
            <w:r>
              <w:t>-0.23</w:t>
            </w:r>
            <w:r>
              <w:rPr>
                <w:vertAlign w:val="superscript"/>
              </w:rPr>
              <w:t>**</w:t>
            </w:r>
          </w:p>
        </w:tc>
        <w:tc>
          <w:tcPr>
            <w:tcW w:w="810" w:type="dxa"/>
            <w:tcBorders>
              <w:top w:val="nil"/>
              <w:left w:val="nil"/>
              <w:bottom w:val="nil"/>
              <w:right w:val="nil"/>
            </w:tcBorders>
          </w:tcPr>
          <w:p w14:paraId="7CD11BA1" w14:textId="77777777" w:rsidR="00C5624E" w:rsidRDefault="00C5624E" w:rsidP="00C5624E">
            <w:pPr>
              <w:widowControl w:val="0"/>
              <w:autoSpaceDE w:val="0"/>
              <w:autoSpaceDN w:val="0"/>
              <w:adjustRightInd w:val="0"/>
              <w:spacing w:line="240" w:lineRule="auto"/>
            </w:pPr>
            <w:r>
              <w:t>(.08)</w:t>
            </w:r>
          </w:p>
        </w:tc>
        <w:tc>
          <w:tcPr>
            <w:tcW w:w="1080" w:type="dxa"/>
            <w:tcBorders>
              <w:top w:val="nil"/>
              <w:left w:val="nil"/>
              <w:bottom w:val="nil"/>
              <w:right w:val="nil"/>
            </w:tcBorders>
          </w:tcPr>
          <w:p w14:paraId="7D1DEE0A" w14:textId="77777777" w:rsidR="00C5624E" w:rsidRDefault="00C5624E" w:rsidP="00C5624E">
            <w:pPr>
              <w:widowControl w:val="0"/>
              <w:tabs>
                <w:tab w:val="decimal" w:pos="254"/>
              </w:tabs>
              <w:autoSpaceDE w:val="0"/>
              <w:autoSpaceDN w:val="0"/>
              <w:adjustRightInd w:val="0"/>
              <w:spacing w:line="240" w:lineRule="auto"/>
            </w:pPr>
            <w:r>
              <w:t>-0.23</w:t>
            </w:r>
            <w:r>
              <w:rPr>
                <w:vertAlign w:val="superscript"/>
              </w:rPr>
              <w:t>**</w:t>
            </w:r>
          </w:p>
        </w:tc>
        <w:tc>
          <w:tcPr>
            <w:tcW w:w="720" w:type="dxa"/>
            <w:tcBorders>
              <w:top w:val="nil"/>
              <w:left w:val="nil"/>
              <w:bottom w:val="nil"/>
              <w:right w:val="nil"/>
            </w:tcBorders>
          </w:tcPr>
          <w:p w14:paraId="0041EDE6" w14:textId="77777777" w:rsidR="00C5624E" w:rsidRDefault="00C5624E" w:rsidP="00C5624E">
            <w:pPr>
              <w:widowControl w:val="0"/>
              <w:autoSpaceDE w:val="0"/>
              <w:autoSpaceDN w:val="0"/>
              <w:adjustRightInd w:val="0"/>
              <w:spacing w:line="240" w:lineRule="auto"/>
            </w:pPr>
            <w:r>
              <w:t>(.08)</w:t>
            </w:r>
          </w:p>
        </w:tc>
        <w:tc>
          <w:tcPr>
            <w:tcW w:w="1080" w:type="dxa"/>
            <w:tcBorders>
              <w:top w:val="nil"/>
              <w:left w:val="nil"/>
              <w:bottom w:val="nil"/>
              <w:right w:val="nil"/>
            </w:tcBorders>
          </w:tcPr>
          <w:p w14:paraId="7C503232" w14:textId="77777777" w:rsidR="00C5624E" w:rsidRDefault="00C5624E" w:rsidP="00C5624E">
            <w:pPr>
              <w:widowControl w:val="0"/>
              <w:tabs>
                <w:tab w:val="decimal" w:pos="250"/>
              </w:tabs>
              <w:autoSpaceDE w:val="0"/>
              <w:autoSpaceDN w:val="0"/>
              <w:adjustRightInd w:val="0"/>
              <w:spacing w:line="240" w:lineRule="auto"/>
            </w:pPr>
            <w:r>
              <w:t>-0.23</w:t>
            </w:r>
            <w:r>
              <w:rPr>
                <w:vertAlign w:val="superscript"/>
              </w:rPr>
              <w:t>**</w:t>
            </w:r>
          </w:p>
        </w:tc>
        <w:tc>
          <w:tcPr>
            <w:tcW w:w="810" w:type="dxa"/>
            <w:tcBorders>
              <w:top w:val="nil"/>
              <w:left w:val="nil"/>
              <w:bottom w:val="nil"/>
              <w:right w:val="nil"/>
            </w:tcBorders>
          </w:tcPr>
          <w:p w14:paraId="2BA2975C" w14:textId="77777777" w:rsidR="00C5624E" w:rsidRDefault="00C5624E" w:rsidP="00C5624E">
            <w:pPr>
              <w:widowControl w:val="0"/>
              <w:autoSpaceDE w:val="0"/>
              <w:autoSpaceDN w:val="0"/>
              <w:adjustRightInd w:val="0"/>
              <w:spacing w:line="240" w:lineRule="auto"/>
            </w:pPr>
            <w:r>
              <w:t>(.08)</w:t>
            </w:r>
          </w:p>
        </w:tc>
      </w:tr>
      <w:tr w:rsidR="00C5624E" w14:paraId="7AD263D6" w14:textId="77777777" w:rsidTr="00E5088E">
        <w:tc>
          <w:tcPr>
            <w:tcW w:w="2700" w:type="dxa"/>
            <w:tcBorders>
              <w:top w:val="nil"/>
              <w:left w:val="nil"/>
              <w:bottom w:val="nil"/>
              <w:right w:val="nil"/>
            </w:tcBorders>
          </w:tcPr>
          <w:p w14:paraId="5CB226AA" w14:textId="77777777" w:rsidR="00C5624E" w:rsidRPr="002035EB" w:rsidRDefault="00C5624E" w:rsidP="00C5624E">
            <w:pPr>
              <w:widowControl w:val="0"/>
              <w:autoSpaceDE w:val="0"/>
              <w:autoSpaceDN w:val="0"/>
              <w:adjustRightInd w:val="0"/>
              <w:spacing w:line="240" w:lineRule="auto"/>
              <w:rPr>
                <w:i/>
                <w:iCs/>
              </w:rPr>
            </w:pPr>
            <w:r w:rsidRPr="002035EB">
              <w:rPr>
                <w:i/>
                <w:iCs/>
              </w:rPr>
              <w:t>Father’s Education</w:t>
            </w:r>
          </w:p>
        </w:tc>
        <w:tc>
          <w:tcPr>
            <w:tcW w:w="1008" w:type="dxa"/>
            <w:tcBorders>
              <w:top w:val="nil"/>
              <w:left w:val="nil"/>
              <w:bottom w:val="nil"/>
              <w:right w:val="nil"/>
            </w:tcBorders>
          </w:tcPr>
          <w:p w14:paraId="3982426B" w14:textId="77777777" w:rsidR="00C5624E" w:rsidRDefault="00C5624E" w:rsidP="00C5624E">
            <w:pPr>
              <w:widowControl w:val="0"/>
              <w:tabs>
                <w:tab w:val="decimal" w:pos="262"/>
              </w:tabs>
              <w:autoSpaceDE w:val="0"/>
              <w:autoSpaceDN w:val="0"/>
              <w:adjustRightInd w:val="0"/>
              <w:spacing w:line="240" w:lineRule="auto"/>
            </w:pPr>
          </w:p>
        </w:tc>
        <w:tc>
          <w:tcPr>
            <w:tcW w:w="810" w:type="dxa"/>
            <w:tcBorders>
              <w:top w:val="nil"/>
              <w:left w:val="nil"/>
              <w:bottom w:val="nil"/>
              <w:right w:val="nil"/>
            </w:tcBorders>
          </w:tcPr>
          <w:p w14:paraId="553AC39C"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4A6F0F1D" w14:textId="77777777" w:rsidR="00C5624E" w:rsidRDefault="00C5624E" w:rsidP="00C5624E">
            <w:pPr>
              <w:widowControl w:val="0"/>
              <w:tabs>
                <w:tab w:val="decimal" w:pos="254"/>
              </w:tabs>
              <w:autoSpaceDE w:val="0"/>
              <w:autoSpaceDN w:val="0"/>
              <w:adjustRightInd w:val="0"/>
              <w:spacing w:line="240" w:lineRule="auto"/>
            </w:pPr>
          </w:p>
        </w:tc>
        <w:tc>
          <w:tcPr>
            <w:tcW w:w="720" w:type="dxa"/>
            <w:tcBorders>
              <w:top w:val="nil"/>
              <w:left w:val="nil"/>
              <w:bottom w:val="nil"/>
              <w:right w:val="nil"/>
            </w:tcBorders>
          </w:tcPr>
          <w:p w14:paraId="21A3A467"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1DE6C73B" w14:textId="77777777" w:rsidR="00C5624E" w:rsidRDefault="00C5624E" w:rsidP="00C5624E">
            <w:pPr>
              <w:widowControl w:val="0"/>
              <w:tabs>
                <w:tab w:val="decimal" w:pos="250"/>
              </w:tabs>
              <w:autoSpaceDE w:val="0"/>
              <w:autoSpaceDN w:val="0"/>
              <w:adjustRightInd w:val="0"/>
              <w:spacing w:line="240" w:lineRule="auto"/>
            </w:pPr>
          </w:p>
        </w:tc>
        <w:tc>
          <w:tcPr>
            <w:tcW w:w="810" w:type="dxa"/>
            <w:tcBorders>
              <w:top w:val="nil"/>
              <w:left w:val="nil"/>
              <w:bottom w:val="nil"/>
              <w:right w:val="nil"/>
            </w:tcBorders>
          </w:tcPr>
          <w:p w14:paraId="3975E4AC" w14:textId="77777777" w:rsidR="00C5624E" w:rsidRDefault="00C5624E" w:rsidP="00C5624E">
            <w:pPr>
              <w:widowControl w:val="0"/>
              <w:autoSpaceDE w:val="0"/>
              <w:autoSpaceDN w:val="0"/>
              <w:adjustRightInd w:val="0"/>
              <w:spacing w:line="240" w:lineRule="auto"/>
            </w:pPr>
          </w:p>
        </w:tc>
      </w:tr>
      <w:tr w:rsidR="00C5624E" w14:paraId="0B2149FA" w14:textId="77777777" w:rsidTr="00E5088E">
        <w:tc>
          <w:tcPr>
            <w:tcW w:w="2700" w:type="dxa"/>
            <w:tcBorders>
              <w:top w:val="nil"/>
              <w:left w:val="nil"/>
              <w:bottom w:val="nil"/>
              <w:right w:val="nil"/>
            </w:tcBorders>
          </w:tcPr>
          <w:p w14:paraId="744D0246" w14:textId="77777777" w:rsidR="00C5624E" w:rsidRDefault="00C5624E" w:rsidP="00C5624E">
            <w:pPr>
              <w:widowControl w:val="0"/>
              <w:autoSpaceDE w:val="0"/>
              <w:autoSpaceDN w:val="0"/>
              <w:adjustRightInd w:val="0"/>
              <w:spacing w:line="240" w:lineRule="auto"/>
              <w:ind w:left="90"/>
            </w:pPr>
            <w:r>
              <w:t>High School</w:t>
            </w:r>
          </w:p>
        </w:tc>
        <w:tc>
          <w:tcPr>
            <w:tcW w:w="1008" w:type="dxa"/>
            <w:tcBorders>
              <w:top w:val="nil"/>
              <w:left w:val="nil"/>
              <w:bottom w:val="nil"/>
              <w:right w:val="nil"/>
            </w:tcBorders>
          </w:tcPr>
          <w:p w14:paraId="495D293F" w14:textId="77777777" w:rsidR="00C5624E" w:rsidRDefault="00C5624E" w:rsidP="00C5624E">
            <w:pPr>
              <w:widowControl w:val="0"/>
              <w:tabs>
                <w:tab w:val="decimal" w:pos="262"/>
              </w:tabs>
              <w:autoSpaceDE w:val="0"/>
              <w:autoSpaceDN w:val="0"/>
              <w:adjustRightInd w:val="0"/>
              <w:spacing w:line="240" w:lineRule="auto"/>
            </w:pPr>
            <w:r>
              <w:t>-0.06</w:t>
            </w:r>
          </w:p>
        </w:tc>
        <w:tc>
          <w:tcPr>
            <w:tcW w:w="810" w:type="dxa"/>
            <w:tcBorders>
              <w:top w:val="nil"/>
              <w:left w:val="nil"/>
              <w:bottom w:val="nil"/>
              <w:right w:val="nil"/>
            </w:tcBorders>
          </w:tcPr>
          <w:p w14:paraId="16042C6F" w14:textId="77777777" w:rsidR="00C5624E" w:rsidRDefault="00C5624E" w:rsidP="00C5624E">
            <w:pPr>
              <w:widowControl w:val="0"/>
              <w:autoSpaceDE w:val="0"/>
              <w:autoSpaceDN w:val="0"/>
              <w:adjustRightInd w:val="0"/>
              <w:spacing w:line="240" w:lineRule="auto"/>
            </w:pPr>
            <w:r>
              <w:t>(.05)</w:t>
            </w:r>
          </w:p>
        </w:tc>
        <w:tc>
          <w:tcPr>
            <w:tcW w:w="1080" w:type="dxa"/>
            <w:tcBorders>
              <w:top w:val="nil"/>
              <w:left w:val="nil"/>
              <w:bottom w:val="nil"/>
              <w:right w:val="nil"/>
            </w:tcBorders>
          </w:tcPr>
          <w:p w14:paraId="392949EF" w14:textId="77777777" w:rsidR="00C5624E" w:rsidRDefault="00C5624E" w:rsidP="00C5624E">
            <w:pPr>
              <w:widowControl w:val="0"/>
              <w:tabs>
                <w:tab w:val="decimal" w:pos="254"/>
              </w:tabs>
              <w:autoSpaceDE w:val="0"/>
              <w:autoSpaceDN w:val="0"/>
              <w:adjustRightInd w:val="0"/>
              <w:spacing w:line="240" w:lineRule="auto"/>
            </w:pPr>
            <w:r>
              <w:t>-0.06</w:t>
            </w:r>
          </w:p>
        </w:tc>
        <w:tc>
          <w:tcPr>
            <w:tcW w:w="720" w:type="dxa"/>
            <w:tcBorders>
              <w:top w:val="nil"/>
              <w:left w:val="nil"/>
              <w:bottom w:val="nil"/>
              <w:right w:val="nil"/>
            </w:tcBorders>
          </w:tcPr>
          <w:p w14:paraId="000624BA" w14:textId="77777777" w:rsidR="00C5624E" w:rsidRDefault="00C5624E" w:rsidP="00C5624E">
            <w:pPr>
              <w:widowControl w:val="0"/>
              <w:autoSpaceDE w:val="0"/>
              <w:autoSpaceDN w:val="0"/>
              <w:adjustRightInd w:val="0"/>
              <w:spacing w:line="240" w:lineRule="auto"/>
            </w:pPr>
            <w:r>
              <w:t>(.05)</w:t>
            </w:r>
          </w:p>
        </w:tc>
        <w:tc>
          <w:tcPr>
            <w:tcW w:w="1080" w:type="dxa"/>
            <w:tcBorders>
              <w:top w:val="nil"/>
              <w:left w:val="nil"/>
              <w:bottom w:val="nil"/>
              <w:right w:val="nil"/>
            </w:tcBorders>
          </w:tcPr>
          <w:p w14:paraId="06BBB151" w14:textId="77777777" w:rsidR="00C5624E" w:rsidRDefault="00C5624E" w:rsidP="00C5624E">
            <w:pPr>
              <w:widowControl w:val="0"/>
              <w:tabs>
                <w:tab w:val="decimal" w:pos="250"/>
              </w:tabs>
              <w:autoSpaceDE w:val="0"/>
              <w:autoSpaceDN w:val="0"/>
              <w:adjustRightInd w:val="0"/>
              <w:spacing w:line="240" w:lineRule="auto"/>
            </w:pPr>
            <w:r>
              <w:t>-0.06</w:t>
            </w:r>
          </w:p>
        </w:tc>
        <w:tc>
          <w:tcPr>
            <w:tcW w:w="810" w:type="dxa"/>
            <w:tcBorders>
              <w:top w:val="nil"/>
              <w:left w:val="nil"/>
              <w:bottom w:val="nil"/>
              <w:right w:val="nil"/>
            </w:tcBorders>
          </w:tcPr>
          <w:p w14:paraId="698E1750" w14:textId="77777777" w:rsidR="00C5624E" w:rsidRDefault="00C5624E" w:rsidP="00C5624E">
            <w:pPr>
              <w:widowControl w:val="0"/>
              <w:autoSpaceDE w:val="0"/>
              <w:autoSpaceDN w:val="0"/>
              <w:adjustRightInd w:val="0"/>
              <w:spacing w:line="240" w:lineRule="auto"/>
            </w:pPr>
            <w:r>
              <w:t>(.05)</w:t>
            </w:r>
          </w:p>
        </w:tc>
      </w:tr>
      <w:tr w:rsidR="00C5624E" w14:paraId="222761E5" w14:textId="77777777" w:rsidTr="00E5088E">
        <w:tc>
          <w:tcPr>
            <w:tcW w:w="2700" w:type="dxa"/>
            <w:tcBorders>
              <w:top w:val="nil"/>
              <w:left w:val="nil"/>
              <w:bottom w:val="nil"/>
              <w:right w:val="nil"/>
            </w:tcBorders>
          </w:tcPr>
          <w:p w14:paraId="171FAB07" w14:textId="77777777" w:rsidR="00C5624E" w:rsidRDefault="00C5624E" w:rsidP="00C5624E">
            <w:pPr>
              <w:widowControl w:val="0"/>
              <w:autoSpaceDE w:val="0"/>
              <w:autoSpaceDN w:val="0"/>
              <w:adjustRightInd w:val="0"/>
              <w:spacing w:line="240" w:lineRule="auto"/>
              <w:ind w:left="90"/>
            </w:pPr>
            <w:r>
              <w:t>Some College</w:t>
            </w:r>
          </w:p>
        </w:tc>
        <w:tc>
          <w:tcPr>
            <w:tcW w:w="1008" w:type="dxa"/>
            <w:tcBorders>
              <w:top w:val="nil"/>
              <w:left w:val="nil"/>
              <w:bottom w:val="nil"/>
              <w:right w:val="nil"/>
            </w:tcBorders>
          </w:tcPr>
          <w:p w14:paraId="34F0EFA7" w14:textId="77777777" w:rsidR="00C5624E" w:rsidRDefault="00C5624E" w:rsidP="00C5624E">
            <w:pPr>
              <w:widowControl w:val="0"/>
              <w:tabs>
                <w:tab w:val="decimal" w:pos="262"/>
              </w:tabs>
              <w:autoSpaceDE w:val="0"/>
              <w:autoSpaceDN w:val="0"/>
              <w:adjustRightInd w:val="0"/>
              <w:spacing w:line="240" w:lineRule="auto"/>
            </w:pPr>
            <w:r>
              <w:t>-0.02</w:t>
            </w:r>
          </w:p>
        </w:tc>
        <w:tc>
          <w:tcPr>
            <w:tcW w:w="810" w:type="dxa"/>
            <w:tcBorders>
              <w:top w:val="nil"/>
              <w:left w:val="nil"/>
              <w:bottom w:val="nil"/>
              <w:right w:val="nil"/>
            </w:tcBorders>
          </w:tcPr>
          <w:p w14:paraId="1A26B7C8" w14:textId="77777777" w:rsidR="00C5624E" w:rsidRDefault="00C5624E" w:rsidP="00C5624E">
            <w:pPr>
              <w:widowControl w:val="0"/>
              <w:autoSpaceDE w:val="0"/>
              <w:autoSpaceDN w:val="0"/>
              <w:adjustRightInd w:val="0"/>
              <w:spacing w:line="240" w:lineRule="auto"/>
            </w:pPr>
            <w:r>
              <w:t>(.06)</w:t>
            </w:r>
          </w:p>
        </w:tc>
        <w:tc>
          <w:tcPr>
            <w:tcW w:w="1080" w:type="dxa"/>
            <w:tcBorders>
              <w:top w:val="nil"/>
              <w:left w:val="nil"/>
              <w:bottom w:val="nil"/>
              <w:right w:val="nil"/>
            </w:tcBorders>
          </w:tcPr>
          <w:p w14:paraId="5A652C87" w14:textId="77777777" w:rsidR="00C5624E" w:rsidRDefault="00C5624E" w:rsidP="00C5624E">
            <w:pPr>
              <w:widowControl w:val="0"/>
              <w:tabs>
                <w:tab w:val="decimal" w:pos="254"/>
              </w:tabs>
              <w:autoSpaceDE w:val="0"/>
              <w:autoSpaceDN w:val="0"/>
              <w:adjustRightInd w:val="0"/>
              <w:spacing w:line="240" w:lineRule="auto"/>
            </w:pPr>
            <w:r>
              <w:t>-0.02</w:t>
            </w:r>
          </w:p>
        </w:tc>
        <w:tc>
          <w:tcPr>
            <w:tcW w:w="720" w:type="dxa"/>
            <w:tcBorders>
              <w:top w:val="nil"/>
              <w:left w:val="nil"/>
              <w:bottom w:val="nil"/>
              <w:right w:val="nil"/>
            </w:tcBorders>
          </w:tcPr>
          <w:p w14:paraId="766A0BB5" w14:textId="77777777" w:rsidR="00C5624E" w:rsidRDefault="00C5624E" w:rsidP="00C5624E">
            <w:pPr>
              <w:widowControl w:val="0"/>
              <w:autoSpaceDE w:val="0"/>
              <w:autoSpaceDN w:val="0"/>
              <w:adjustRightInd w:val="0"/>
              <w:spacing w:line="240" w:lineRule="auto"/>
            </w:pPr>
            <w:r>
              <w:t>(.06)</w:t>
            </w:r>
          </w:p>
        </w:tc>
        <w:tc>
          <w:tcPr>
            <w:tcW w:w="1080" w:type="dxa"/>
            <w:tcBorders>
              <w:top w:val="nil"/>
              <w:left w:val="nil"/>
              <w:bottom w:val="nil"/>
              <w:right w:val="nil"/>
            </w:tcBorders>
          </w:tcPr>
          <w:p w14:paraId="5D5028B2" w14:textId="77777777" w:rsidR="00C5624E" w:rsidRDefault="00C5624E" w:rsidP="00C5624E">
            <w:pPr>
              <w:widowControl w:val="0"/>
              <w:tabs>
                <w:tab w:val="decimal" w:pos="250"/>
              </w:tabs>
              <w:autoSpaceDE w:val="0"/>
              <w:autoSpaceDN w:val="0"/>
              <w:adjustRightInd w:val="0"/>
              <w:spacing w:line="240" w:lineRule="auto"/>
            </w:pPr>
            <w:r>
              <w:t>-0.02</w:t>
            </w:r>
          </w:p>
        </w:tc>
        <w:tc>
          <w:tcPr>
            <w:tcW w:w="810" w:type="dxa"/>
            <w:tcBorders>
              <w:top w:val="nil"/>
              <w:left w:val="nil"/>
              <w:bottom w:val="nil"/>
              <w:right w:val="nil"/>
            </w:tcBorders>
          </w:tcPr>
          <w:p w14:paraId="67361DF0" w14:textId="77777777" w:rsidR="00C5624E" w:rsidRDefault="00C5624E" w:rsidP="00C5624E">
            <w:pPr>
              <w:widowControl w:val="0"/>
              <w:autoSpaceDE w:val="0"/>
              <w:autoSpaceDN w:val="0"/>
              <w:adjustRightInd w:val="0"/>
              <w:spacing w:line="240" w:lineRule="auto"/>
            </w:pPr>
            <w:r>
              <w:t>(.06)</w:t>
            </w:r>
          </w:p>
        </w:tc>
      </w:tr>
      <w:tr w:rsidR="00C5624E" w14:paraId="2E8FF57E" w14:textId="77777777" w:rsidTr="00E5088E">
        <w:tc>
          <w:tcPr>
            <w:tcW w:w="2700" w:type="dxa"/>
            <w:tcBorders>
              <w:top w:val="nil"/>
              <w:left w:val="nil"/>
              <w:bottom w:val="nil"/>
              <w:right w:val="nil"/>
            </w:tcBorders>
          </w:tcPr>
          <w:p w14:paraId="5BE362A2" w14:textId="77777777" w:rsidR="00C5624E" w:rsidRDefault="00C5624E" w:rsidP="00C5624E">
            <w:pPr>
              <w:widowControl w:val="0"/>
              <w:autoSpaceDE w:val="0"/>
              <w:autoSpaceDN w:val="0"/>
              <w:adjustRightInd w:val="0"/>
              <w:spacing w:line="240" w:lineRule="auto"/>
              <w:ind w:left="90"/>
            </w:pPr>
            <w:r>
              <w:t>College</w:t>
            </w:r>
          </w:p>
        </w:tc>
        <w:tc>
          <w:tcPr>
            <w:tcW w:w="1008" w:type="dxa"/>
            <w:tcBorders>
              <w:top w:val="nil"/>
              <w:left w:val="nil"/>
              <w:bottom w:val="nil"/>
              <w:right w:val="nil"/>
            </w:tcBorders>
          </w:tcPr>
          <w:p w14:paraId="3D4BD5E4" w14:textId="77777777" w:rsidR="00C5624E" w:rsidRDefault="00C5624E" w:rsidP="00C5624E">
            <w:pPr>
              <w:widowControl w:val="0"/>
              <w:tabs>
                <w:tab w:val="decimal" w:pos="262"/>
              </w:tabs>
              <w:autoSpaceDE w:val="0"/>
              <w:autoSpaceDN w:val="0"/>
              <w:adjustRightInd w:val="0"/>
              <w:spacing w:line="240" w:lineRule="auto"/>
            </w:pPr>
            <w:r>
              <w:t>-0.09</w:t>
            </w:r>
          </w:p>
        </w:tc>
        <w:tc>
          <w:tcPr>
            <w:tcW w:w="810" w:type="dxa"/>
            <w:tcBorders>
              <w:top w:val="nil"/>
              <w:left w:val="nil"/>
              <w:bottom w:val="nil"/>
              <w:right w:val="nil"/>
            </w:tcBorders>
          </w:tcPr>
          <w:p w14:paraId="21595B08" w14:textId="77777777" w:rsidR="00C5624E" w:rsidRDefault="00C5624E" w:rsidP="00C5624E">
            <w:pPr>
              <w:widowControl w:val="0"/>
              <w:autoSpaceDE w:val="0"/>
              <w:autoSpaceDN w:val="0"/>
              <w:adjustRightInd w:val="0"/>
              <w:spacing w:line="240" w:lineRule="auto"/>
            </w:pPr>
            <w:r>
              <w:t>(.06)</w:t>
            </w:r>
          </w:p>
        </w:tc>
        <w:tc>
          <w:tcPr>
            <w:tcW w:w="1080" w:type="dxa"/>
            <w:tcBorders>
              <w:top w:val="nil"/>
              <w:left w:val="nil"/>
              <w:bottom w:val="nil"/>
              <w:right w:val="nil"/>
            </w:tcBorders>
          </w:tcPr>
          <w:p w14:paraId="7C05F527" w14:textId="77777777" w:rsidR="00C5624E" w:rsidRDefault="00C5624E" w:rsidP="00C5624E">
            <w:pPr>
              <w:widowControl w:val="0"/>
              <w:tabs>
                <w:tab w:val="decimal" w:pos="254"/>
              </w:tabs>
              <w:autoSpaceDE w:val="0"/>
              <w:autoSpaceDN w:val="0"/>
              <w:adjustRightInd w:val="0"/>
              <w:spacing w:line="240" w:lineRule="auto"/>
            </w:pPr>
            <w:r>
              <w:t>-0.09</w:t>
            </w:r>
          </w:p>
        </w:tc>
        <w:tc>
          <w:tcPr>
            <w:tcW w:w="720" w:type="dxa"/>
            <w:tcBorders>
              <w:top w:val="nil"/>
              <w:left w:val="nil"/>
              <w:bottom w:val="nil"/>
              <w:right w:val="nil"/>
            </w:tcBorders>
          </w:tcPr>
          <w:p w14:paraId="0B9AE2AA" w14:textId="77777777" w:rsidR="00C5624E" w:rsidRDefault="00C5624E" w:rsidP="00C5624E">
            <w:pPr>
              <w:widowControl w:val="0"/>
              <w:autoSpaceDE w:val="0"/>
              <w:autoSpaceDN w:val="0"/>
              <w:adjustRightInd w:val="0"/>
              <w:spacing w:line="240" w:lineRule="auto"/>
            </w:pPr>
            <w:r>
              <w:t>(.06)</w:t>
            </w:r>
          </w:p>
        </w:tc>
        <w:tc>
          <w:tcPr>
            <w:tcW w:w="1080" w:type="dxa"/>
            <w:tcBorders>
              <w:top w:val="nil"/>
              <w:left w:val="nil"/>
              <w:bottom w:val="nil"/>
              <w:right w:val="nil"/>
            </w:tcBorders>
          </w:tcPr>
          <w:p w14:paraId="4FF65339" w14:textId="77777777" w:rsidR="00C5624E" w:rsidRDefault="00C5624E" w:rsidP="00C5624E">
            <w:pPr>
              <w:widowControl w:val="0"/>
              <w:tabs>
                <w:tab w:val="decimal" w:pos="250"/>
              </w:tabs>
              <w:autoSpaceDE w:val="0"/>
              <w:autoSpaceDN w:val="0"/>
              <w:adjustRightInd w:val="0"/>
              <w:spacing w:line="240" w:lineRule="auto"/>
            </w:pPr>
            <w:r>
              <w:t>-0.09</w:t>
            </w:r>
          </w:p>
        </w:tc>
        <w:tc>
          <w:tcPr>
            <w:tcW w:w="810" w:type="dxa"/>
            <w:tcBorders>
              <w:top w:val="nil"/>
              <w:left w:val="nil"/>
              <w:bottom w:val="nil"/>
              <w:right w:val="nil"/>
            </w:tcBorders>
          </w:tcPr>
          <w:p w14:paraId="37E385C7" w14:textId="77777777" w:rsidR="00C5624E" w:rsidRDefault="00C5624E" w:rsidP="00C5624E">
            <w:pPr>
              <w:widowControl w:val="0"/>
              <w:autoSpaceDE w:val="0"/>
              <w:autoSpaceDN w:val="0"/>
              <w:adjustRightInd w:val="0"/>
              <w:spacing w:line="240" w:lineRule="auto"/>
            </w:pPr>
            <w:r>
              <w:t>(.06)</w:t>
            </w:r>
          </w:p>
        </w:tc>
      </w:tr>
      <w:tr w:rsidR="00C5624E" w14:paraId="1DFC176E" w14:textId="77777777" w:rsidTr="00E5088E">
        <w:tc>
          <w:tcPr>
            <w:tcW w:w="2700" w:type="dxa"/>
            <w:tcBorders>
              <w:top w:val="nil"/>
              <w:left w:val="nil"/>
              <w:bottom w:val="nil"/>
              <w:right w:val="nil"/>
            </w:tcBorders>
          </w:tcPr>
          <w:p w14:paraId="63C9A036" w14:textId="77777777" w:rsidR="00C5624E" w:rsidRDefault="00C5624E" w:rsidP="00C5624E">
            <w:pPr>
              <w:widowControl w:val="0"/>
              <w:autoSpaceDE w:val="0"/>
              <w:autoSpaceDN w:val="0"/>
              <w:adjustRightInd w:val="0"/>
              <w:spacing w:line="240" w:lineRule="auto"/>
              <w:ind w:left="90"/>
            </w:pPr>
            <w:r>
              <w:t>Graduate/Prof degree</w:t>
            </w:r>
          </w:p>
        </w:tc>
        <w:tc>
          <w:tcPr>
            <w:tcW w:w="1008" w:type="dxa"/>
            <w:tcBorders>
              <w:top w:val="nil"/>
              <w:left w:val="nil"/>
              <w:bottom w:val="nil"/>
              <w:right w:val="nil"/>
            </w:tcBorders>
          </w:tcPr>
          <w:p w14:paraId="491435B9" w14:textId="77777777" w:rsidR="00C5624E" w:rsidRDefault="00C5624E" w:rsidP="00C5624E">
            <w:pPr>
              <w:widowControl w:val="0"/>
              <w:tabs>
                <w:tab w:val="decimal" w:pos="262"/>
              </w:tabs>
              <w:autoSpaceDE w:val="0"/>
              <w:autoSpaceDN w:val="0"/>
              <w:adjustRightInd w:val="0"/>
              <w:spacing w:line="240" w:lineRule="auto"/>
            </w:pPr>
            <w:r>
              <w:t>-0.07</w:t>
            </w:r>
          </w:p>
        </w:tc>
        <w:tc>
          <w:tcPr>
            <w:tcW w:w="810" w:type="dxa"/>
            <w:tcBorders>
              <w:top w:val="nil"/>
              <w:left w:val="nil"/>
              <w:bottom w:val="nil"/>
              <w:right w:val="nil"/>
            </w:tcBorders>
          </w:tcPr>
          <w:p w14:paraId="275DC895" w14:textId="77777777" w:rsidR="00C5624E" w:rsidRDefault="00C5624E" w:rsidP="00C5624E">
            <w:pPr>
              <w:widowControl w:val="0"/>
              <w:autoSpaceDE w:val="0"/>
              <w:autoSpaceDN w:val="0"/>
              <w:adjustRightInd w:val="0"/>
              <w:spacing w:line="240" w:lineRule="auto"/>
            </w:pPr>
            <w:r>
              <w:t>(.07)</w:t>
            </w:r>
          </w:p>
        </w:tc>
        <w:tc>
          <w:tcPr>
            <w:tcW w:w="1080" w:type="dxa"/>
            <w:tcBorders>
              <w:top w:val="nil"/>
              <w:left w:val="nil"/>
              <w:bottom w:val="nil"/>
              <w:right w:val="nil"/>
            </w:tcBorders>
          </w:tcPr>
          <w:p w14:paraId="53E4D5D1" w14:textId="77777777" w:rsidR="00C5624E" w:rsidRDefault="00C5624E" w:rsidP="00C5624E">
            <w:pPr>
              <w:widowControl w:val="0"/>
              <w:tabs>
                <w:tab w:val="decimal" w:pos="254"/>
              </w:tabs>
              <w:autoSpaceDE w:val="0"/>
              <w:autoSpaceDN w:val="0"/>
              <w:adjustRightInd w:val="0"/>
              <w:spacing w:line="240" w:lineRule="auto"/>
            </w:pPr>
            <w:r>
              <w:t>-0.07</w:t>
            </w:r>
          </w:p>
        </w:tc>
        <w:tc>
          <w:tcPr>
            <w:tcW w:w="720" w:type="dxa"/>
            <w:tcBorders>
              <w:top w:val="nil"/>
              <w:left w:val="nil"/>
              <w:bottom w:val="nil"/>
              <w:right w:val="nil"/>
            </w:tcBorders>
          </w:tcPr>
          <w:p w14:paraId="0CEB9D07" w14:textId="77777777" w:rsidR="00C5624E" w:rsidRDefault="00C5624E" w:rsidP="00C5624E">
            <w:pPr>
              <w:widowControl w:val="0"/>
              <w:autoSpaceDE w:val="0"/>
              <w:autoSpaceDN w:val="0"/>
              <w:adjustRightInd w:val="0"/>
              <w:spacing w:line="240" w:lineRule="auto"/>
            </w:pPr>
            <w:r>
              <w:t>(.07)</w:t>
            </w:r>
          </w:p>
        </w:tc>
        <w:tc>
          <w:tcPr>
            <w:tcW w:w="1080" w:type="dxa"/>
            <w:tcBorders>
              <w:top w:val="nil"/>
              <w:left w:val="nil"/>
              <w:bottom w:val="nil"/>
              <w:right w:val="nil"/>
            </w:tcBorders>
          </w:tcPr>
          <w:p w14:paraId="45F3D0D0" w14:textId="77777777" w:rsidR="00C5624E" w:rsidRDefault="00C5624E" w:rsidP="00C5624E">
            <w:pPr>
              <w:widowControl w:val="0"/>
              <w:tabs>
                <w:tab w:val="decimal" w:pos="250"/>
              </w:tabs>
              <w:autoSpaceDE w:val="0"/>
              <w:autoSpaceDN w:val="0"/>
              <w:adjustRightInd w:val="0"/>
              <w:spacing w:line="240" w:lineRule="auto"/>
            </w:pPr>
            <w:r>
              <w:t>-0.07</w:t>
            </w:r>
          </w:p>
        </w:tc>
        <w:tc>
          <w:tcPr>
            <w:tcW w:w="810" w:type="dxa"/>
            <w:tcBorders>
              <w:top w:val="nil"/>
              <w:left w:val="nil"/>
              <w:bottom w:val="nil"/>
              <w:right w:val="nil"/>
            </w:tcBorders>
          </w:tcPr>
          <w:p w14:paraId="359E890A" w14:textId="77777777" w:rsidR="00C5624E" w:rsidRDefault="00C5624E" w:rsidP="00C5624E">
            <w:pPr>
              <w:widowControl w:val="0"/>
              <w:autoSpaceDE w:val="0"/>
              <w:autoSpaceDN w:val="0"/>
              <w:adjustRightInd w:val="0"/>
              <w:spacing w:line="240" w:lineRule="auto"/>
            </w:pPr>
            <w:r>
              <w:t>(.07)</w:t>
            </w:r>
          </w:p>
        </w:tc>
      </w:tr>
      <w:tr w:rsidR="00C5624E" w14:paraId="0D89F2BB" w14:textId="77777777" w:rsidTr="00E5088E">
        <w:tc>
          <w:tcPr>
            <w:tcW w:w="2700" w:type="dxa"/>
            <w:tcBorders>
              <w:top w:val="nil"/>
              <w:left w:val="nil"/>
              <w:bottom w:val="nil"/>
              <w:right w:val="nil"/>
            </w:tcBorders>
          </w:tcPr>
          <w:p w14:paraId="6B1BA5C8" w14:textId="77777777" w:rsidR="00C5624E" w:rsidRDefault="00C5624E" w:rsidP="00C5624E">
            <w:pPr>
              <w:widowControl w:val="0"/>
              <w:autoSpaceDE w:val="0"/>
              <w:autoSpaceDN w:val="0"/>
              <w:adjustRightInd w:val="0"/>
              <w:spacing w:line="240" w:lineRule="auto"/>
            </w:pPr>
            <w:r>
              <w:t>Race (Black)</w:t>
            </w:r>
          </w:p>
        </w:tc>
        <w:tc>
          <w:tcPr>
            <w:tcW w:w="1008" w:type="dxa"/>
            <w:tcBorders>
              <w:top w:val="nil"/>
              <w:left w:val="nil"/>
              <w:bottom w:val="nil"/>
              <w:right w:val="nil"/>
            </w:tcBorders>
          </w:tcPr>
          <w:p w14:paraId="1EB3ED28" w14:textId="77777777" w:rsidR="00C5624E" w:rsidRDefault="00C5624E" w:rsidP="00C5624E">
            <w:pPr>
              <w:widowControl w:val="0"/>
              <w:tabs>
                <w:tab w:val="decimal" w:pos="262"/>
              </w:tabs>
              <w:autoSpaceDE w:val="0"/>
              <w:autoSpaceDN w:val="0"/>
              <w:adjustRightInd w:val="0"/>
              <w:spacing w:line="240" w:lineRule="auto"/>
            </w:pPr>
            <w:r>
              <w:t>-1.16</w:t>
            </w:r>
            <w:r>
              <w:rPr>
                <w:vertAlign w:val="superscript"/>
              </w:rPr>
              <w:t>***</w:t>
            </w:r>
          </w:p>
        </w:tc>
        <w:tc>
          <w:tcPr>
            <w:tcW w:w="810" w:type="dxa"/>
            <w:tcBorders>
              <w:top w:val="nil"/>
              <w:left w:val="nil"/>
              <w:bottom w:val="nil"/>
              <w:right w:val="nil"/>
            </w:tcBorders>
          </w:tcPr>
          <w:p w14:paraId="779DE8FA" w14:textId="77777777" w:rsidR="00C5624E" w:rsidRDefault="00C5624E" w:rsidP="00C5624E">
            <w:pPr>
              <w:widowControl w:val="0"/>
              <w:autoSpaceDE w:val="0"/>
              <w:autoSpaceDN w:val="0"/>
              <w:adjustRightInd w:val="0"/>
              <w:spacing w:line="240" w:lineRule="auto"/>
            </w:pPr>
            <w:r>
              <w:t>(.08)</w:t>
            </w:r>
          </w:p>
        </w:tc>
        <w:tc>
          <w:tcPr>
            <w:tcW w:w="1080" w:type="dxa"/>
            <w:tcBorders>
              <w:top w:val="nil"/>
              <w:left w:val="nil"/>
              <w:bottom w:val="nil"/>
              <w:right w:val="nil"/>
            </w:tcBorders>
          </w:tcPr>
          <w:p w14:paraId="7FFFA9AA" w14:textId="77777777" w:rsidR="00C5624E" w:rsidRDefault="00C5624E" w:rsidP="00C5624E">
            <w:pPr>
              <w:widowControl w:val="0"/>
              <w:tabs>
                <w:tab w:val="decimal" w:pos="254"/>
              </w:tabs>
              <w:autoSpaceDE w:val="0"/>
              <w:autoSpaceDN w:val="0"/>
              <w:adjustRightInd w:val="0"/>
              <w:spacing w:line="240" w:lineRule="auto"/>
            </w:pPr>
            <w:r>
              <w:t>-1.16</w:t>
            </w:r>
            <w:r>
              <w:rPr>
                <w:vertAlign w:val="superscript"/>
              </w:rPr>
              <w:t>***</w:t>
            </w:r>
          </w:p>
        </w:tc>
        <w:tc>
          <w:tcPr>
            <w:tcW w:w="720" w:type="dxa"/>
            <w:tcBorders>
              <w:top w:val="nil"/>
              <w:left w:val="nil"/>
              <w:bottom w:val="nil"/>
              <w:right w:val="nil"/>
            </w:tcBorders>
          </w:tcPr>
          <w:p w14:paraId="0E1CDFDD" w14:textId="77777777" w:rsidR="00C5624E" w:rsidRDefault="00C5624E" w:rsidP="00C5624E">
            <w:pPr>
              <w:widowControl w:val="0"/>
              <w:autoSpaceDE w:val="0"/>
              <w:autoSpaceDN w:val="0"/>
              <w:adjustRightInd w:val="0"/>
              <w:spacing w:line="240" w:lineRule="auto"/>
            </w:pPr>
            <w:r>
              <w:t>(.08)</w:t>
            </w:r>
          </w:p>
        </w:tc>
        <w:tc>
          <w:tcPr>
            <w:tcW w:w="1080" w:type="dxa"/>
            <w:tcBorders>
              <w:top w:val="nil"/>
              <w:left w:val="nil"/>
              <w:bottom w:val="nil"/>
              <w:right w:val="nil"/>
            </w:tcBorders>
          </w:tcPr>
          <w:p w14:paraId="04C4D391" w14:textId="77777777" w:rsidR="00C5624E" w:rsidRDefault="00C5624E" w:rsidP="00C5624E">
            <w:pPr>
              <w:widowControl w:val="0"/>
              <w:tabs>
                <w:tab w:val="decimal" w:pos="250"/>
              </w:tabs>
              <w:autoSpaceDE w:val="0"/>
              <w:autoSpaceDN w:val="0"/>
              <w:adjustRightInd w:val="0"/>
              <w:spacing w:line="240" w:lineRule="auto"/>
            </w:pPr>
            <w:r>
              <w:t>-1.15</w:t>
            </w:r>
            <w:r>
              <w:rPr>
                <w:vertAlign w:val="superscript"/>
              </w:rPr>
              <w:t>***</w:t>
            </w:r>
          </w:p>
        </w:tc>
        <w:tc>
          <w:tcPr>
            <w:tcW w:w="810" w:type="dxa"/>
            <w:tcBorders>
              <w:top w:val="nil"/>
              <w:left w:val="nil"/>
              <w:bottom w:val="nil"/>
              <w:right w:val="nil"/>
            </w:tcBorders>
          </w:tcPr>
          <w:p w14:paraId="0DF51096" w14:textId="77777777" w:rsidR="00C5624E" w:rsidRDefault="00C5624E" w:rsidP="00C5624E">
            <w:pPr>
              <w:widowControl w:val="0"/>
              <w:autoSpaceDE w:val="0"/>
              <w:autoSpaceDN w:val="0"/>
              <w:adjustRightInd w:val="0"/>
              <w:spacing w:line="240" w:lineRule="auto"/>
            </w:pPr>
            <w:r>
              <w:t>(.08)</w:t>
            </w:r>
          </w:p>
        </w:tc>
      </w:tr>
      <w:tr w:rsidR="00C5624E" w14:paraId="44B27CC6" w14:textId="77777777" w:rsidTr="00266A2C">
        <w:tc>
          <w:tcPr>
            <w:tcW w:w="2700" w:type="dxa"/>
            <w:tcBorders>
              <w:top w:val="nil"/>
              <w:left w:val="nil"/>
              <w:bottom w:val="single" w:sz="4" w:space="0" w:color="auto"/>
              <w:right w:val="nil"/>
            </w:tcBorders>
          </w:tcPr>
          <w:p w14:paraId="0031B82B" w14:textId="77777777" w:rsidR="00C5624E" w:rsidRDefault="00C5624E" w:rsidP="00C5624E">
            <w:pPr>
              <w:widowControl w:val="0"/>
              <w:autoSpaceDE w:val="0"/>
              <w:autoSpaceDN w:val="0"/>
              <w:adjustRightInd w:val="0"/>
              <w:spacing w:line="240" w:lineRule="auto"/>
            </w:pPr>
            <w:r>
              <w:t>Years</w:t>
            </w:r>
          </w:p>
        </w:tc>
        <w:tc>
          <w:tcPr>
            <w:tcW w:w="1008" w:type="dxa"/>
            <w:tcBorders>
              <w:top w:val="nil"/>
              <w:left w:val="nil"/>
              <w:bottom w:val="single" w:sz="4" w:space="0" w:color="auto"/>
              <w:right w:val="nil"/>
            </w:tcBorders>
          </w:tcPr>
          <w:p w14:paraId="0E7300FF" w14:textId="77777777" w:rsidR="00C5624E" w:rsidRDefault="00C5624E" w:rsidP="00C5624E">
            <w:pPr>
              <w:widowControl w:val="0"/>
              <w:tabs>
                <w:tab w:val="decimal" w:pos="262"/>
              </w:tabs>
              <w:autoSpaceDE w:val="0"/>
              <w:autoSpaceDN w:val="0"/>
              <w:adjustRightInd w:val="0"/>
              <w:spacing w:line="240" w:lineRule="auto"/>
            </w:pPr>
            <w:r>
              <w:t>0.01</w:t>
            </w:r>
            <w:r>
              <w:rPr>
                <w:vertAlign w:val="superscript"/>
              </w:rPr>
              <w:t>***</w:t>
            </w:r>
          </w:p>
        </w:tc>
        <w:tc>
          <w:tcPr>
            <w:tcW w:w="810" w:type="dxa"/>
            <w:tcBorders>
              <w:top w:val="nil"/>
              <w:left w:val="nil"/>
              <w:bottom w:val="single" w:sz="4" w:space="0" w:color="auto"/>
              <w:right w:val="nil"/>
            </w:tcBorders>
          </w:tcPr>
          <w:p w14:paraId="6CF9F307" w14:textId="77777777" w:rsidR="00C5624E" w:rsidRDefault="00C5624E" w:rsidP="00C5624E">
            <w:pPr>
              <w:widowControl w:val="0"/>
              <w:autoSpaceDE w:val="0"/>
              <w:autoSpaceDN w:val="0"/>
              <w:adjustRightInd w:val="0"/>
              <w:spacing w:line="240" w:lineRule="auto"/>
            </w:pPr>
            <w:r>
              <w:t>(.00)</w:t>
            </w:r>
          </w:p>
        </w:tc>
        <w:tc>
          <w:tcPr>
            <w:tcW w:w="1080" w:type="dxa"/>
            <w:tcBorders>
              <w:top w:val="nil"/>
              <w:left w:val="nil"/>
              <w:bottom w:val="single" w:sz="4" w:space="0" w:color="auto"/>
              <w:right w:val="nil"/>
            </w:tcBorders>
          </w:tcPr>
          <w:p w14:paraId="4BED4B2F" w14:textId="77777777" w:rsidR="00C5624E" w:rsidRDefault="00C5624E" w:rsidP="00C5624E">
            <w:pPr>
              <w:widowControl w:val="0"/>
              <w:tabs>
                <w:tab w:val="decimal" w:pos="254"/>
              </w:tabs>
              <w:autoSpaceDE w:val="0"/>
              <w:autoSpaceDN w:val="0"/>
              <w:adjustRightInd w:val="0"/>
              <w:spacing w:line="240" w:lineRule="auto"/>
            </w:pPr>
            <w:r>
              <w:t>0.01</w:t>
            </w:r>
            <w:r>
              <w:rPr>
                <w:vertAlign w:val="superscript"/>
              </w:rPr>
              <w:t>***</w:t>
            </w:r>
          </w:p>
        </w:tc>
        <w:tc>
          <w:tcPr>
            <w:tcW w:w="720" w:type="dxa"/>
            <w:tcBorders>
              <w:top w:val="nil"/>
              <w:left w:val="nil"/>
              <w:bottom w:val="single" w:sz="4" w:space="0" w:color="auto"/>
              <w:right w:val="nil"/>
            </w:tcBorders>
          </w:tcPr>
          <w:p w14:paraId="696A2EDA" w14:textId="77777777" w:rsidR="00C5624E" w:rsidRDefault="00C5624E" w:rsidP="00C5624E">
            <w:pPr>
              <w:widowControl w:val="0"/>
              <w:autoSpaceDE w:val="0"/>
              <w:autoSpaceDN w:val="0"/>
              <w:adjustRightInd w:val="0"/>
              <w:spacing w:line="240" w:lineRule="auto"/>
            </w:pPr>
            <w:r>
              <w:t>(.00)</w:t>
            </w:r>
          </w:p>
        </w:tc>
        <w:tc>
          <w:tcPr>
            <w:tcW w:w="1080" w:type="dxa"/>
            <w:tcBorders>
              <w:top w:val="nil"/>
              <w:left w:val="nil"/>
              <w:bottom w:val="single" w:sz="4" w:space="0" w:color="auto"/>
              <w:right w:val="nil"/>
            </w:tcBorders>
          </w:tcPr>
          <w:p w14:paraId="299446CD" w14:textId="77777777" w:rsidR="00C5624E" w:rsidRDefault="00C5624E" w:rsidP="00C5624E">
            <w:pPr>
              <w:widowControl w:val="0"/>
              <w:tabs>
                <w:tab w:val="decimal" w:pos="250"/>
              </w:tabs>
              <w:autoSpaceDE w:val="0"/>
              <w:autoSpaceDN w:val="0"/>
              <w:adjustRightInd w:val="0"/>
              <w:spacing w:line="240" w:lineRule="auto"/>
            </w:pPr>
            <w:r>
              <w:t>0.01</w:t>
            </w:r>
            <w:r>
              <w:rPr>
                <w:vertAlign w:val="superscript"/>
              </w:rPr>
              <w:t>***</w:t>
            </w:r>
          </w:p>
        </w:tc>
        <w:tc>
          <w:tcPr>
            <w:tcW w:w="810" w:type="dxa"/>
            <w:tcBorders>
              <w:top w:val="nil"/>
              <w:left w:val="nil"/>
              <w:bottom w:val="single" w:sz="4" w:space="0" w:color="auto"/>
              <w:right w:val="nil"/>
            </w:tcBorders>
          </w:tcPr>
          <w:p w14:paraId="386CE5A3" w14:textId="77777777" w:rsidR="00C5624E" w:rsidRDefault="00C5624E" w:rsidP="00C5624E">
            <w:pPr>
              <w:widowControl w:val="0"/>
              <w:autoSpaceDE w:val="0"/>
              <w:autoSpaceDN w:val="0"/>
              <w:adjustRightInd w:val="0"/>
              <w:spacing w:line="240" w:lineRule="auto"/>
            </w:pPr>
            <w:r>
              <w:t>(.00)</w:t>
            </w:r>
          </w:p>
        </w:tc>
      </w:tr>
      <w:tr w:rsidR="00C5624E" w14:paraId="06C640A7" w14:textId="77777777" w:rsidTr="00266A2C">
        <w:tc>
          <w:tcPr>
            <w:tcW w:w="2700" w:type="dxa"/>
            <w:tcBorders>
              <w:top w:val="single" w:sz="4" w:space="0" w:color="auto"/>
              <w:left w:val="nil"/>
              <w:bottom w:val="single" w:sz="4" w:space="0" w:color="auto"/>
              <w:right w:val="nil"/>
            </w:tcBorders>
          </w:tcPr>
          <w:p w14:paraId="0E699A9D" w14:textId="77777777" w:rsidR="00C5624E" w:rsidRDefault="00C5624E" w:rsidP="00C5624E">
            <w:pPr>
              <w:widowControl w:val="0"/>
              <w:autoSpaceDE w:val="0"/>
              <w:autoSpaceDN w:val="0"/>
              <w:adjustRightInd w:val="0"/>
              <w:spacing w:line="240" w:lineRule="auto"/>
            </w:pPr>
            <w:r>
              <w:t>Observations</w:t>
            </w:r>
          </w:p>
        </w:tc>
        <w:tc>
          <w:tcPr>
            <w:tcW w:w="5508" w:type="dxa"/>
            <w:gridSpan w:val="6"/>
            <w:tcBorders>
              <w:top w:val="single" w:sz="4" w:space="0" w:color="auto"/>
              <w:left w:val="nil"/>
              <w:bottom w:val="single" w:sz="4" w:space="0" w:color="auto"/>
              <w:right w:val="nil"/>
            </w:tcBorders>
          </w:tcPr>
          <w:p w14:paraId="045D34FB" w14:textId="55C2EDC4" w:rsidR="00C5624E" w:rsidRDefault="00C5624E" w:rsidP="00C5624E">
            <w:pPr>
              <w:widowControl w:val="0"/>
              <w:autoSpaceDE w:val="0"/>
              <w:autoSpaceDN w:val="0"/>
              <w:adjustRightInd w:val="0"/>
              <w:spacing w:line="240" w:lineRule="auto"/>
              <w:jc w:val="center"/>
            </w:pPr>
            <w:r>
              <w:t>49,094</w:t>
            </w:r>
          </w:p>
        </w:tc>
      </w:tr>
      <w:tr w:rsidR="00C5624E" w14:paraId="1397EC42" w14:textId="77777777" w:rsidTr="00266A2C">
        <w:tc>
          <w:tcPr>
            <w:tcW w:w="2700" w:type="dxa"/>
            <w:tcBorders>
              <w:top w:val="single" w:sz="4" w:space="0" w:color="auto"/>
              <w:left w:val="nil"/>
              <w:bottom w:val="nil"/>
              <w:right w:val="nil"/>
            </w:tcBorders>
          </w:tcPr>
          <w:p w14:paraId="7EAAF45F" w14:textId="77777777" w:rsidR="00C5624E" w:rsidRDefault="00C5624E" w:rsidP="00C5624E">
            <w:pPr>
              <w:widowControl w:val="0"/>
              <w:autoSpaceDE w:val="0"/>
              <w:autoSpaceDN w:val="0"/>
              <w:adjustRightInd w:val="0"/>
              <w:spacing w:line="240" w:lineRule="auto"/>
            </w:pPr>
            <w:r>
              <w:t>AIC</w:t>
            </w:r>
          </w:p>
        </w:tc>
        <w:tc>
          <w:tcPr>
            <w:tcW w:w="1818" w:type="dxa"/>
            <w:gridSpan w:val="2"/>
            <w:tcBorders>
              <w:top w:val="single" w:sz="4" w:space="0" w:color="auto"/>
              <w:left w:val="nil"/>
              <w:bottom w:val="nil"/>
              <w:right w:val="nil"/>
            </w:tcBorders>
          </w:tcPr>
          <w:p w14:paraId="7F6DD911" w14:textId="77777777" w:rsidR="00C5624E" w:rsidRDefault="00C5624E" w:rsidP="00C5624E">
            <w:pPr>
              <w:widowControl w:val="0"/>
              <w:autoSpaceDE w:val="0"/>
              <w:autoSpaceDN w:val="0"/>
              <w:adjustRightInd w:val="0"/>
              <w:spacing w:line="240" w:lineRule="auto"/>
              <w:jc w:val="center"/>
            </w:pPr>
            <w:r>
              <w:t>29707.34</w:t>
            </w:r>
          </w:p>
        </w:tc>
        <w:tc>
          <w:tcPr>
            <w:tcW w:w="1800" w:type="dxa"/>
            <w:gridSpan w:val="2"/>
            <w:tcBorders>
              <w:top w:val="single" w:sz="4" w:space="0" w:color="auto"/>
              <w:left w:val="nil"/>
              <w:bottom w:val="nil"/>
              <w:right w:val="nil"/>
            </w:tcBorders>
          </w:tcPr>
          <w:p w14:paraId="342D6B6B" w14:textId="77777777" w:rsidR="00C5624E" w:rsidRDefault="00C5624E" w:rsidP="00C5624E">
            <w:pPr>
              <w:widowControl w:val="0"/>
              <w:autoSpaceDE w:val="0"/>
              <w:autoSpaceDN w:val="0"/>
              <w:adjustRightInd w:val="0"/>
              <w:spacing w:line="240" w:lineRule="auto"/>
              <w:jc w:val="center"/>
            </w:pPr>
            <w:r>
              <w:t>29707.91</w:t>
            </w:r>
          </w:p>
        </w:tc>
        <w:tc>
          <w:tcPr>
            <w:tcW w:w="1890" w:type="dxa"/>
            <w:gridSpan w:val="2"/>
            <w:tcBorders>
              <w:top w:val="single" w:sz="4" w:space="0" w:color="auto"/>
              <w:left w:val="nil"/>
              <w:bottom w:val="nil"/>
              <w:right w:val="nil"/>
            </w:tcBorders>
          </w:tcPr>
          <w:p w14:paraId="4D7EC6A8" w14:textId="77777777" w:rsidR="00C5624E" w:rsidRDefault="00C5624E" w:rsidP="00C5624E">
            <w:pPr>
              <w:widowControl w:val="0"/>
              <w:autoSpaceDE w:val="0"/>
              <w:autoSpaceDN w:val="0"/>
              <w:adjustRightInd w:val="0"/>
              <w:spacing w:line="240" w:lineRule="auto"/>
              <w:jc w:val="center"/>
            </w:pPr>
            <w:r>
              <w:t>29705.61</w:t>
            </w:r>
          </w:p>
        </w:tc>
      </w:tr>
      <w:tr w:rsidR="00C5624E" w14:paraId="21823D16" w14:textId="77777777" w:rsidTr="00E5088E">
        <w:tc>
          <w:tcPr>
            <w:tcW w:w="2700" w:type="dxa"/>
            <w:tcBorders>
              <w:top w:val="nil"/>
              <w:left w:val="nil"/>
              <w:bottom w:val="single" w:sz="4" w:space="0" w:color="auto"/>
              <w:right w:val="nil"/>
            </w:tcBorders>
          </w:tcPr>
          <w:p w14:paraId="464F4F8E" w14:textId="77777777" w:rsidR="00C5624E" w:rsidRDefault="00C5624E" w:rsidP="00C5624E">
            <w:pPr>
              <w:widowControl w:val="0"/>
              <w:autoSpaceDE w:val="0"/>
              <w:autoSpaceDN w:val="0"/>
              <w:adjustRightInd w:val="0"/>
              <w:spacing w:line="240" w:lineRule="auto"/>
            </w:pPr>
            <w:r>
              <w:t>BIC</w:t>
            </w:r>
          </w:p>
        </w:tc>
        <w:tc>
          <w:tcPr>
            <w:tcW w:w="1818" w:type="dxa"/>
            <w:gridSpan w:val="2"/>
            <w:tcBorders>
              <w:top w:val="nil"/>
              <w:left w:val="nil"/>
              <w:bottom w:val="single" w:sz="4" w:space="0" w:color="auto"/>
              <w:right w:val="nil"/>
            </w:tcBorders>
          </w:tcPr>
          <w:p w14:paraId="6BABE189" w14:textId="77777777" w:rsidR="00C5624E" w:rsidRDefault="00C5624E" w:rsidP="00C5624E">
            <w:pPr>
              <w:widowControl w:val="0"/>
              <w:autoSpaceDE w:val="0"/>
              <w:autoSpaceDN w:val="0"/>
              <w:adjustRightInd w:val="0"/>
              <w:spacing w:line="240" w:lineRule="auto"/>
              <w:jc w:val="center"/>
            </w:pPr>
            <w:r>
              <w:t>29830.56</w:t>
            </w:r>
          </w:p>
        </w:tc>
        <w:tc>
          <w:tcPr>
            <w:tcW w:w="1800" w:type="dxa"/>
            <w:gridSpan w:val="2"/>
            <w:tcBorders>
              <w:top w:val="nil"/>
              <w:left w:val="nil"/>
              <w:bottom w:val="single" w:sz="4" w:space="0" w:color="auto"/>
              <w:right w:val="nil"/>
            </w:tcBorders>
          </w:tcPr>
          <w:p w14:paraId="3BF834A3" w14:textId="77777777" w:rsidR="00C5624E" w:rsidRDefault="00C5624E" w:rsidP="00C5624E">
            <w:pPr>
              <w:widowControl w:val="0"/>
              <w:autoSpaceDE w:val="0"/>
              <w:autoSpaceDN w:val="0"/>
              <w:adjustRightInd w:val="0"/>
              <w:spacing w:line="240" w:lineRule="auto"/>
              <w:jc w:val="center"/>
            </w:pPr>
            <w:r>
              <w:t>29839.93</w:t>
            </w:r>
          </w:p>
        </w:tc>
        <w:tc>
          <w:tcPr>
            <w:tcW w:w="1890" w:type="dxa"/>
            <w:gridSpan w:val="2"/>
            <w:tcBorders>
              <w:top w:val="nil"/>
              <w:left w:val="nil"/>
              <w:bottom w:val="single" w:sz="4" w:space="0" w:color="auto"/>
              <w:right w:val="nil"/>
            </w:tcBorders>
          </w:tcPr>
          <w:p w14:paraId="3C083266" w14:textId="77777777" w:rsidR="00C5624E" w:rsidRDefault="00C5624E" w:rsidP="00C5624E">
            <w:pPr>
              <w:widowControl w:val="0"/>
              <w:autoSpaceDE w:val="0"/>
              <w:autoSpaceDN w:val="0"/>
              <w:adjustRightInd w:val="0"/>
              <w:spacing w:line="240" w:lineRule="auto"/>
              <w:jc w:val="center"/>
            </w:pPr>
            <w:r>
              <w:t>29837.63</w:t>
            </w:r>
          </w:p>
        </w:tc>
      </w:tr>
    </w:tbl>
    <w:p w14:paraId="1C6E3A27" w14:textId="77777777" w:rsidR="0036237B" w:rsidRDefault="0036237B" w:rsidP="00FB762D">
      <w:pPr>
        <w:widowControl w:val="0"/>
        <w:autoSpaceDE w:val="0"/>
        <w:autoSpaceDN w:val="0"/>
        <w:adjustRightInd w:val="0"/>
        <w:spacing w:line="240" w:lineRule="auto"/>
        <w:rPr>
          <w:sz w:val="20"/>
          <w:szCs w:val="20"/>
        </w:rPr>
      </w:pPr>
      <w:r>
        <w:rPr>
          <w:sz w:val="20"/>
          <w:szCs w:val="20"/>
        </w:rPr>
        <w:t>Standard errors in parentheses</w:t>
      </w:r>
    </w:p>
    <w:p w14:paraId="4BB9B6BF" w14:textId="77777777" w:rsidR="0036237B" w:rsidRDefault="0036237B" w:rsidP="00FB762D">
      <w:pPr>
        <w:widowControl w:val="0"/>
        <w:autoSpaceDE w:val="0"/>
        <w:autoSpaceDN w:val="0"/>
        <w:adjustRightInd w:val="0"/>
        <w:spacing w:line="240" w:lineRule="auto"/>
        <w:rPr>
          <w:sz w:val="20"/>
          <w:szCs w:val="20"/>
        </w:rPr>
      </w:pPr>
      <w:r>
        <w:rPr>
          <w:sz w:val="20"/>
          <w:szCs w:val="20"/>
        </w:rPr>
        <w:t>Source: Monitoring the Future (1976-2019)</w:t>
      </w:r>
    </w:p>
    <w:p w14:paraId="2EA4894A" w14:textId="77777777" w:rsidR="0036237B" w:rsidRDefault="0036237B" w:rsidP="00FB762D">
      <w:pPr>
        <w:widowControl w:val="0"/>
        <w:autoSpaceDE w:val="0"/>
        <w:autoSpaceDN w:val="0"/>
        <w:adjustRightInd w:val="0"/>
        <w:spacing w:line="240" w:lineRule="auto"/>
        <w:rPr>
          <w:sz w:val="20"/>
          <w:szCs w:val="20"/>
        </w:rPr>
      </w:pP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p>
    <w:p w14:paraId="58EE7A3F" w14:textId="4BDBFA72" w:rsidR="00E84896" w:rsidRDefault="00E84896" w:rsidP="00FB762D"/>
    <w:p w14:paraId="6FFC768E" w14:textId="378023E0" w:rsidR="00FB762D" w:rsidRDefault="00B12D32" w:rsidP="00FB762D">
      <w:r>
        <w:rPr>
          <w:noProof/>
        </w:rPr>
        <w:lastRenderedPageBreak/>
        <w:drawing>
          <wp:inline distT="0" distB="0" distL="0" distR="0" wp14:anchorId="49ED20CA" wp14:editId="07D0CCC3">
            <wp:extent cx="5943600" cy="3958590"/>
            <wp:effectExtent l="0" t="0" r="0" b="3810"/>
            <wp:docPr id="10" name="Picture 10"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ox and whisker char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943600" cy="3958590"/>
                    </a:xfrm>
                    <a:prstGeom prst="rect">
                      <a:avLst/>
                    </a:prstGeom>
                  </pic:spPr>
                </pic:pic>
              </a:graphicData>
            </a:graphic>
          </wp:inline>
        </w:drawing>
      </w:r>
    </w:p>
    <w:p w14:paraId="42E3EF00" w14:textId="3C0F1E91" w:rsidR="00F27850" w:rsidRDefault="00E8668F" w:rsidP="00170ADE">
      <w:r>
        <w:tab/>
        <w:t xml:space="preserve">Moving to Model 2, which introduces the interaction between gender and family structure, Table </w:t>
      </w:r>
      <w:r w:rsidR="004E78A8">
        <w:t>5</w:t>
      </w:r>
      <w:r>
        <w:t xml:space="preserve"> shows that young men from patriarchal families have </w:t>
      </w:r>
      <w:r w:rsidR="00A46383">
        <w:t xml:space="preserve">0.09 higher log odds of using illicit narcotics when compared to young men from egalitarian families. This relationship is displayed in Figure 11, presented in predicted probabilities. Here, I find that young men from </w:t>
      </w:r>
      <w:r w:rsidR="00C16E31">
        <w:t>patriarchal families have a 9.8 percent predicted probability of using illicit narcotics, while young men from egalitarian families have a 10.7 percent predicted probability. When testing this first</w:t>
      </w:r>
      <w:r w:rsidR="00E85140">
        <w:t>-</w:t>
      </w:r>
      <w:r w:rsidR="00C16E31">
        <w:t>order difference</w:t>
      </w:r>
      <w:r w:rsidR="009B4EF8">
        <w:t xml:space="preserve"> of 0.9 percent</w:t>
      </w:r>
      <w:r w:rsidR="00C16E31">
        <w:t xml:space="preserve">, however, </w:t>
      </w:r>
      <w:r w:rsidR="009B4EF8">
        <w:t xml:space="preserve">I find that it is </w:t>
      </w:r>
      <w:r w:rsidR="004E78A8">
        <w:t xml:space="preserve">non-statistically </w:t>
      </w:r>
      <w:r w:rsidR="009B4EF8">
        <w:t xml:space="preserve">significant. </w:t>
      </w:r>
      <w:r w:rsidR="00F24D09">
        <w:t xml:space="preserve">The </w:t>
      </w:r>
      <w:r w:rsidR="00E85140">
        <w:t>first-order difference seen between young women from patriarchal families and young women from egalitarian findings (a difference of 1.3 percent), however, is</w:t>
      </w:r>
      <w:r w:rsidR="004E78A8">
        <w:t xml:space="preserve"> statistically</w:t>
      </w:r>
      <w:r w:rsidR="00E85140">
        <w:t xml:space="preserve"> significant. </w:t>
      </w:r>
      <w:r w:rsidR="00483698">
        <w:t>The</w:t>
      </w:r>
      <w:r w:rsidR="00F17C33">
        <w:t xml:space="preserve"> 2.7 percent</w:t>
      </w:r>
      <w:r w:rsidR="008773C8">
        <w:t xml:space="preserve"> first-order</w:t>
      </w:r>
      <w:r w:rsidR="00483698">
        <w:t xml:space="preserve"> gender difference in</w:t>
      </w:r>
      <w:r w:rsidR="00F17C33">
        <w:t xml:space="preserve"> predicted narcotics use for</w:t>
      </w:r>
      <w:r w:rsidR="00483698">
        <w:t xml:space="preserve"> youth from patriarchal families</w:t>
      </w:r>
      <w:r w:rsidR="00F17C33">
        <w:t xml:space="preserve"> is a significant difference, as is the </w:t>
      </w:r>
      <w:r w:rsidR="004B0FA2">
        <w:t xml:space="preserve">2.3 percent gender difference among youth from egalitarian families. The second-order difference of 0.4 percent, however, is non-statistically </w:t>
      </w:r>
      <w:r w:rsidR="004B0FA2">
        <w:lastRenderedPageBreak/>
        <w:t xml:space="preserve">significant, </w:t>
      </w:r>
      <w:r w:rsidR="00392A33">
        <w:t xml:space="preserve">offering no support for </w:t>
      </w:r>
      <w:r w:rsidR="00E85140" w:rsidRPr="001563C8">
        <w:rPr>
          <w:i/>
          <w:iCs/>
        </w:rPr>
        <w:t>Hypothesis 2</w:t>
      </w:r>
      <w:r w:rsidR="00392A33">
        <w:rPr>
          <w:i/>
          <w:iCs/>
        </w:rPr>
        <w:t>.</w:t>
      </w:r>
      <w:r w:rsidR="00392A33" w:rsidDel="00392A33">
        <w:t xml:space="preserve"> </w:t>
      </w:r>
      <w:r w:rsidR="00392A33">
        <w:t>These results imply that</w:t>
      </w:r>
      <w:r w:rsidR="00621EF6">
        <w:t xml:space="preserve"> family structure does </w:t>
      </w:r>
      <w:r w:rsidR="00042DCD">
        <w:rPr>
          <w:noProof/>
        </w:rPr>
        <w:drawing>
          <wp:anchor distT="0" distB="0" distL="114300" distR="114300" simplePos="0" relativeHeight="251665408" behindDoc="0" locked="0" layoutInCell="1" allowOverlap="1" wp14:anchorId="723AEF05" wp14:editId="2B1465C3">
            <wp:simplePos x="0" y="0"/>
            <wp:positionH relativeFrom="margin">
              <wp:align>right</wp:align>
            </wp:positionH>
            <wp:positionV relativeFrom="paragraph">
              <wp:posOffset>1047750</wp:posOffset>
            </wp:positionV>
            <wp:extent cx="5943600" cy="3962400"/>
            <wp:effectExtent l="0" t="0" r="0" b="0"/>
            <wp:wrapTopAndBottom/>
            <wp:docPr id="23" name="Picture 2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box and whisker char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14:sizeRelH relativeFrom="margin">
              <wp14:pctWidth>0</wp14:pctWidth>
            </wp14:sizeRelH>
            <wp14:sizeRelV relativeFrom="margin">
              <wp14:pctHeight>0</wp14:pctHeight>
            </wp14:sizeRelV>
          </wp:anchor>
        </w:drawing>
      </w:r>
      <w:r w:rsidR="00621EF6">
        <w:t xml:space="preserve">not have a significant effect on the gender gap in illicit narcotics use. </w:t>
      </w:r>
    </w:p>
    <w:p w14:paraId="2BF71FC2" w14:textId="2E743B2E" w:rsidR="00F27850" w:rsidRDefault="00F27850" w:rsidP="006E7BBC"/>
    <w:p w14:paraId="50A8154A" w14:textId="29A1555D" w:rsidR="00176A0E" w:rsidRDefault="00C52726" w:rsidP="00C52726">
      <w:r>
        <w:tab/>
      </w:r>
      <w:r w:rsidR="00BF10E2">
        <w:t xml:space="preserve">The interaction between gender and patriarchal norms featured in Model 3 for this </w:t>
      </w:r>
      <w:r w:rsidR="00B700A7">
        <w:t xml:space="preserve">subgroup </w:t>
      </w:r>
      <w:r w:rsidR="00BF10E2">
        <w:t xml:space="preserve">is displayed in Figure 12, presented in predicted probabilities. </w:t>
      </w:r>
      <w:r w:rsidR="0086797E">
        <w:t xml:space="preserve">For young men, there is a significant difference for those who agree with patriarchal norms compared to those who do not. Those who agree have a 10.8 percent predicted probability of using illicit narcotics, while those young men who disagree with patriarchal norms have a 10 percent predicted probability. For young women who agree with patriarchal norms, there is a 7.8 percent predicted probability of using illicit narcotics, while women who disagree with such norms have an 8.1 percent predicted probability. This first-order difference amongst women, however, is </w:t>
      </w:r>
      <w:r w:rsidR="00AE339E">
        <w:t xml:space="preserve">non-statistically </w:t>
      </w:r>
      <w:r w:rsidR="0086797E">
        <w:t xml:space="preserve">significant. </w:t>
      </w:r>
      <w:r w:rsidR="00D63243">
        <w:t>From these results, I gather that young</w:t>
      </w:r>
      <w:r w:rsidR="0080076C">
        <w:t xml:space="preserve"> men who agree with patriarchal norms have </w:t>
      </w:r>
      <w:r w:rsidR="0080076C">
        <w:lastRenderedPageBreak/>
        <w:t xml:space="preserve">significantly higher predicted probabilities of using narcotics compared to </w:t>
      </w:r>
      <w:r w:rsidR="00F02525">
        <w:t xml:space="preserve">young men who disagree with such norms, though there is no significant effect of patriarchal beliefs on young women’s predictions. </w:t>
      </w:r>
    </w:p>
    <w:p w14:paraId="28E46C4F" w14:textId="36251461" w:rsidR="00A46383" w:rsidRDefault="00A733FC" w:rsidP="00FB762D">
      <w:r>
        <w:rPr>
          <w:noProof/>
        </w:rPr>
        <w:drawing>
          <wp:inline distT="0" distB="0" distL="0" distR="0" wp14:anchorId="478B9D43" wp14:editId="61FC44F7">
            <wp:extent cx="5943600" cy="3958590"/>
            <wp:effectExtent l="0" t="0" r="0" b="3810"/>
            <wp:docPr id="11" name="Picture 1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box and whisker char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943600" cy="3958590"/>
                    </a:xfrm>
                    <a:prstGeom prst="rect">
                      <a:avLst/>
                    </a:prstGeom>
                  </pic:spPr>
                </pic:pic>
              </a:graphicData>
            </a:graphic>
          </wp:inline>
        </w:drawing>
      </w:r>
    </w:p>
    <w:p w14:paraId="6D80FA93" w14:textId="4CC35E94" w:rsidR="00AE5B0E" w:rsidRDefault="00A125D0" w:rsidP="006E7BBC">
      <w:r>
        <w:tab/>
      </w:r>
      <w:r w:rsidR="00D63243">
        <w:t xml:space="preserve">Looking now at the gender differences among these youth, I find support for </w:t>
      </w:r>
      <w:r w:rsidR="00A733FC">
        <w:rPr>
          <w:i/>
          <w:iCs/>
        </w:rPr>
        <w:t>Hypothesis</w:t>
      </w:r>
      <w:r w:rsidR="00D63243">
        <w:rPr>
          <w:i/>
          <w:iCs/>
        </w:rPr>
        <w:t xml:space="preserve"> 3. </w:t>
      </w:r>
      <w:r w:rsidR="000B71F5">
        <w:t xml:space="preserve">While there is no significant difference among women in this model, </w:t>
      </w:r>
      <w:r w:rsidR="006959F1">
        <w:t xml:space="preserve">the second-order difference between youth who agree and disagree with patriarchal norms is statistically significant. This significant </w:t>
      </w:r>
      <w:r>
        <w:t xml:space="preserve">change in the gender differences brought on by the significant change in predicted probabilities for young men. For youth who agree with patriarchal norms, there is a gender difference of 3 percent. Youth who disagree with patriarchal norms, however, display a gender difference of 1.9 percent. This results in a second-order difference of 1.1 percent, which is a </w:t>
      </w:r>
      <w:r w:rsidR="006959F1">
        <w:t xml:space="preserve">statistically </w:t>
      </w:r>
      <w:r>
        <w:t xml:space="preserve">significant difference. This suggests that a belief in patriarchal norms does significantly affect the gender differences in illicit narcotic use, even if there is no </w:t>
      </w:r>
      <w:r>
        <w:lastRenderedPageBreak/>
        <w:t>significant difference seen amongst young women. Instead, the significant drop in predicted probabilities seen in young men who disagree with patriarchal norms compared to those who agree creates a large enough difference in the gender gap, that the two gender gaps are now significantly different. Thus, a belief in patriarchal norms leads to a significantly larger gender difference in the use of illicit narcotics.</w:t>
      </w:r>
    </w:p>
    <w:p w14:paraId="686151D6" w14:textId="4491B280" w:rsidR="0090504E" w:rsidRPr="00170ADE" w:rsidRDefault="0090504E" w:rsidP="002035EB">
      <w:pPr>
        <w:pStyle w:val="Heading2"/>
      </w:pPr>
      <w:r>
        <w:tab/>
      </w:r>
      <w:bookmarkStart w:id="27" w:name="_Toc102664121"/>
      <w:r>
        <w:t>Summary</w:t>
      </w:r>
      <w:bookmarkEnd w:id="27"/>
    </w:p>
    <w:p w14:paraId="159D5600" w14:textId="74125E25" w:rsidR="0045557D" w:rsidRPr="00170ADE" w:rsidRDefault="0045557D" w:rsidP="006E7BBC">
      <w:r>
        <w:tab/>
      </w:r>
      <w:r w:rsidR="004876CC">
        <w:t>T</w:t>
      </w:r>
      <w:r w:rsidR="009B7D1D">
        <w:t xml:space="preserve">here </w:t>
      </w:r>
      <w:r w:rsidR="004876CC">
        <w:t>are</w:t>
      </w:r>
      <w:r w:rsidR="00573AB1">
        <w:t xml:space="preserve"> statistically significant gender difference</w:t>
      </w:r>
      <w:r w:rsidR="004876CC">
        <w:t>s</w:t>
      </w:r>
      <w:r w:rsidR="00573AB1">
        <w:t xml:space="preserve"> in</w:t>
      </w:r>
      <w:r w:rsidR="00BF5DE0">
        <w:t xml:space="preserve"> predictions of substance use</w:t>
      </w:r>
      <w:r w:rsidR="004876CC">
        <w:t xml:space="preserve"> across all substances analyzed </w:t>
      </w:r>
      <w:r w:rsidR="00BF5DE0">
        <w:t>in</w:t>
      </w:r>
      <w:r w:rsidR="00573AB1">
        <w:t xml:space="preserve"> that young men have </w:t>
      </w:r>
      <w:r w:rsidR="00434562">
        <w:t>significantly higher predicted probabilities for using each substance compared to young women.</w:t>
      </w:r>
      <w:r w:rsidR="00204A2D">
        <w:t xml:space="preserve"> These findings support </w:t>
      </w:r>
      <w:r w:rsidR="00204A2D">
        <w:rPr>
          <w:i/>
          <w:iCs/>
        </w:rPr>
        <w:t>Hypothesis 1a</w:t>
      </w:r>
      <w:r w:rsidR="006F0951">
        <w:rPr>
          <w:i/>
          <w:iCs/>
        </w:rPr>
        <w:t>,</w:t>
      </w:r>
      <w:r w:rsidR="006F0951">
        <w:t xml:space="preserve"> but do not support </w:t>
      </w:r>
      <w:r w:rsidR="006F0951">
        <w:rPr>
          <w:i/>
          <w:iCs/>
        </w:rPr>
        <w:t xml:space="preserve">Hypothesis 1b. </w:t>
      </w:r>
      <w:r w:rsidR="006F0951">
        <w:t xml:space="preserve">Across all </w:t>
      </w:r>
      <w:r w:rsidR="00B700A7">
        <w:t>subgroups</w:t>
      </w:r>
      <w:r w:rsidR="006F0951">
        <w:t xml:space="preserve">, </w:t>
      </w:r>
      <w:r w:rsidR="006F0951">
        <w:rPr>
          <w:i/>
          <w:iCs/>
        </w:rPr>
        <w:t>Hypothesis 2</w:t>
      </w:r>
      <w:r w:rsidR="006F0951">
        <w:t xml:space="preserve"> is not supported. While</w:t>
      </w:r>
      <w:r w:rsidR="00A23E00">
        <w:t xml:space="preserve"> family structure has a significant effect on young women’s predictions for </w:t>
      </w:r>
      <w:r w:rsidR="00F104FD">
        <w:t>marijuana, cocaine, and narcotics</w:t>
      </w:r>
      <w:r w:rsidR="00550712">
        <w:t xml:space="preserve"> use, and young men’s predictions for marijuana</w:t>
      </w:r>
      <w:r w:rsidR="00547187">
        <w:t xml:space="preserve"> use, there are </w:t>
      </w:r>
      <w:proofErr w:type="gramStart"/>
      <w:r w:rsidR="00547187">
        <w:t>no</w:t>
      </w:r>
      <w:proofErr w:type="gramEnd"/>
      <w:r w:rsidR="00547187">
        <w:t xml:space="preserve"> statistically significant second-order differences </w:t>
      </w:r>
      <w:r w:rsidR="00A044E2">
        <w:t xml:space="preserve">that support </w:t>
      </w:r>
      <w:r w:rsidR="00A044E2">
        <w:rPr>
          <w:i/>
          <w:iCs/>
        </w:rPr>
        <w:t>Hypothesis 2’s</w:t>
      </w:r>
      <w:r w:rsidR="00A044E2">
        <w:t xml:space="preserve"> claim that patriarchal families contribute to a larger gender gap in substance use when compared to egalitarian families. </w:t>
      </w:r>
      <w:r w:rsidR="00A044E2">
        <w:rPr>
          <w:i/>
          <w:iCs/>
        </w:rPr>
        <w:t>Hypothesis 3,</w:t>
      </w:r>
      <w:r w:rsidR="00A044E2">
        <w:t xml:space="preserve"> however, is supported </w:t>
      </w:r>
      <w:r w:rsidR="004876CC">
        <w:t>in</w:t>
      </w:r>
      <w:r w:rsidR="00A044E2">
        <w:t xml:space="preserve"> three out of the four </w:t>
      </w:r>
      <w:r w:rsidR="00B700A7">
        <w:t>subgroups.</w:t>
      </w:r>
      <w:r w:rsidR="00A044E2">
        <w:t xml:space="preserve"> In the </w:t>
      </w:r>
      <w:r w:rsidR="00875AEF">
        <w:t xml:space="preserve">marijuana, cocaine, and narcotics </w:t>
      </w:r>
      <w:r w:rsidR="00B700A7">
        <w:t>subgroups,</w:t>
      </w:r>
      <w:r w:rsidR="00875AEF">
        <w:t xml:space="preserve"> youth who agree with patriarchal norms have significantly larger gender differences in substance use predictions when compared to youth who disagree with such norms. In the heroin </w:t>
      </w:r>
      <w:r w:rsidR="00B700A7">
        <w:t>subgroup</w:t>
      </w:r>
      <w:r w:rsidR="00875AEF">
        <w:t>, no such second-order difference is found</w:t>
      </w:r>
      <w:r w:rsidR="0012687C">
        <w:t>. Possible explanations for this inconsistency are discussed below.</w:t>
      </w:r>
    </w:p>
    <w:p w14:paraId="506D33F4" w14:textId="63683E6C" w:rsidR="00CF2155" w:rsidRDefault="00CF2155" w:rsidP="00EF36D7">
      <w:pPr>
        <w:pStyle w:val="Heading1"/>
      </w:pPr>
      <w:bookmarkStart w:id="28" w:name="_Toc102664122"/>
      <w:r>
        <w:t>DISCUSSION</w:t>
      </w:r>
      <w:bookmarkEnd w:id="28"/>
    </w:p>
    <w:p w14:paraId="28110250" w14:textId="16018B06" w:rsidR="00672530" w:rsidRDefault="00672530" w:rsidP="006E7BBC">
      <w:r>
        <w:tab/>
      </w:r>
      <w:proofErr w:type="gramStart"/>
      <w:r w:rsidR="00C40B44">
        <w:t>Similar to</w:t>
      </w:r>
      <w:proofErr w:type="gramEnd"/>
      <w:r w:rsidR="00C40B44">
        <w:t xml:space="preserve"> the results section above, this discussion </w:t>
      </w:r>
      <w:r w:rsidR="00811213">
        <w:t>is organized by each</w:t>
      </w:r>
      <w:r w:rsidR="00C40B44">
        <w:t xml:space="preserve"> </w:t>
      </w:r>
      <w:r w:rsidR="00E43DB5">
        <w:t xml:space="preserve">substance </w:t>
      </w:r>
      <w:r w:rsidR="00811213">
        <w:t xml:space="preserve">analyzed, followed by a conclusion discussing the findings as a whole. </w:t>
      </w:r>
    </w:p>
    <w:p w14:paraId="4D853CD2" w14:textId="0663ABBD" w:rsidR="00A96F0E" w:rsidRDefault="004438F4" w:rsidP="00EF36D7">
      <w:pPr>
        <w:pStyle w:val="Heading2"/>
      </w:pPr>
      <w:bookmarkStart w:id="29" w:name="_Toc102664123"/>
      <w:r>
        <w:lastRenderedPageBreak/>
        <w:t>Marijuana</w:t>
      </w:r>
      <w:bookmarkEnd w:id="29"/>
    </w:p>
    <w:p w14:paraId="69BC0216" w14:textId="5B91DC26" w:rsidR="006E2F93" w:rsidRDefault="004438F4" w:rsidP="001073B2">
      <w:r>
        <w:tab/>
        <w:t xml:space="preserve">The hypotheses proposed around </w:t>
      </w:r>
      <w:r w:rsidR="0040587C">
        <w:t xml:space="preserve">gender differences in marijuana use posit that there will be no significant gender difference in marijuana use, but that patriarchal families and beliefs in patriarchal norms will contribute to a larger gender difference in marijuana use when compared to egalitarian families and a disagreement with patriarchal norms. </w:t>
      </w:r>
      <w:r w:rsidR="0071123D">
        <w:t xml:space="preserve">The first hypothesis, </w:t>
      </w:r>
      <w:r w:rsidR="0071123D">
        <w:rPr>
          <w:i/>
          <w:iCs/>
        </w:rPr>
        <w:t>Hypothesis 1b</w:t>
      </w:r>
      <w:r w:rsidR="0071123D">
        <w:t>, is not supported by th</w:t>
      </w:r>
      <w:r w:rsidR="00B32267">
        <w:t xml:space="preserve">ese findings. The findings indicate that there is a significant gender gap in marijuana use among high school seniors, holding other factors constant. </w:t>
      </w:r>
      <w:r w:rsidR="001D11FD">
        <w:t xml:space="preserve">While the </w:t>
      </w:r>
      <w:r w:rsidR="0055445E">
        <w:t>reasoning</w:t>
      </w:r>
      <w:r w:rsidR="00422175">
        <w:t xml:space="preserve"> behind </w:t>
      </w:r>
      <w:r w:rsidR="00422175">
        <w:rPr>
          <w:i/>
          <w:iCs/>
        </w:rPr>
        <w:t>Hypothesis 1b</w:t>
      </w:r>
      <w:r w:rsidR="00422175">
        <w:t xml:space="preserve"> </w:t>
      </w:r>
      <w:r w:rsidR="0055478B">
        <w:t>is based on the idea that the gender differences in marijuana use have decreased</w:t>
      </w:r>
      <w:r w:rsidR="006E2F93">
        <w:t xml:space="preserve"> due to the drug’s legalization, </w:t>
      </w:r>
      <w:r w:rsidR="00D263E7">
        <w:t>it is possible that these data do not accurately represent that change.</w:t>
      </w:r>
      <w:r w:rsidR="00F43FF9">
        <w:t xml:space="preserve"> Previous research examining the gender gap in marijuana use have </w:t>
      </w:r>
      <w:r w:rsidR="00C807D9">
        <w:t xml:space="preserve">predicted a shrink in the gender gap as attitudes toward </w:t>
      </w:r>
      <w:r w:rsidR="008661A3">
        <w:t xml:space="preserve">marijuana become more liberal and as marijuana use becomes more normalized </w:t>
      </w:r>
      <w:r w:rsidR="008661A3">
        <w:fldChar w:fldCharType="begin"/>
      </w:r>
      <w:r w:rsidR="008661A3">
        <w:instrText xml:space="preserve"> ADDIN ZOTERO_ITEM CSL_CITATION {"citationID":"tImwkkOV","properties":{"formattedCitation":"(Dahl and Sandberg 2015; Elder and Greene 2019; Haines et al. 2009; Kolar 2021)","plainCitation":"(Dahl and Sandberg 2015; Elder and Greene 2019; Haines et al. 2009; Kolar 2021)","noteIndex":0},"citationItems":[{"id":165,"uris":["http://zotero.org/users/9138993/items/724NCNBS"],"itemData":{"id":165,"type":"article-journal","abstract":"Cannabis is sometimes associated with feminine or gender neutral values. Still, most cannabis users are male, and in our data cannabis use is associated with masculinity. In qualitative interviews with 19 female users and a larger sample of male users in Norway, four aspects of cannabis using practices were described as feminine: not providing cannabis, being less involved in cannabis user networks, not handling the drug effects and being concerned about control. Some women challenged gendered expectations and presented themselves as alternative, tough and rebellious through cannabis use. We explore how women navigate through a gendered drug culture, and study how femininities and masculinities are enacted, challenged and recast in a Scandinavian context characterized by gender equality and an anti-drugs culture. We argue that a new egalitarian form of masculinity is getting increasingly important. Still, female users often end up enacting traditional femininities when using cannabis.","container-title":"Sociology","ISSN":"0038-0385","issue":"4","note":"publisher: Sage Publications, Ltd.","page":"696-711","source":"JSTOR","title":"Female Cannabis Users and New Masculinities: The Gendering of Cannabis Use","title-short":"Female Cannabis Users and New Masculinities","volume":"49","author":[{"family":"Dahl","given":"Silje Louise"},{"family":"Sandberg","given":"Sveinung"}],"issued":{"date-parts":[["2015"]]}}},{"id":314,"uris":["http://zotero.org/users/9138993/items/IYUZRWYF"],"itemData":{"id":314,"type":"article-journal","abstract":"Objectives: The objectives of this study were to understand why, even though women are more liberal than men on a broad range of issues, when it comes to the increasingly prominent issue of marijuana legalization, the direction of the gender gap is reversed, with women more conservative than men. Methods: Relying on a 2013 Pew survey—unique for the extensiveness of its marijuana questions, including marijuana usage—we explore and attempt to explain the nature of this unusual gender gap. We test several hypotheses rooted in the different life experiences of women and men. Results: We find that women's role as mothers cannot explain this gap, and that mothers are in fact no different from those without children in terms of their support for marijuana policy, as well as their reported use of marijuana. The greater religiosity of women does play a prominent role in the gender gap on marijuana policy, but does not account for the full difference of opinion between women and men. Our findings suggest that men's greater propensity relative to women to use marijuana is a major driver behind the gender gap. Conclusions: Not only are attitudes on marijuana legalization likely to continue to liberalize, but as marijuana legalization and marijuana use become normalized, rather than viewed as immoral and dangerous behavior, the existing gender gap should shrink.","container-title":"Social Science Quarterly (Wiley-Blackwell)","DOI":"10.1111/ssqu.12558","ISSN":"00384941","issue":"1","note":"publisher: Wiley-Blackwell","page":"109-122","source":"EBSCOhost","title":"Gender and the Politics of Marijuana","volume":"100","author":[{"family":"Elder","given":"Laurel"},{"family":"Greene","given":"Steven"}],"issued":{"date-parts":[["2019",2]]}}},{"id":9,"uris":["http://zotero.org/users/9138993/items/ZE7E6FAE"],"itemData":{"id":9,"type":"article-journal","abstract":"In this paper we report on findings from a qualitative study of marijuana use by adolescents in two communities in British Columbia, Canada. During 2005 and 2006, 45 interviews were carried out at schools with students aged 13–18, with an aim of understanding how adolescents perceive their experiences with marijuana to be shaped by gender. While it has been established that patterns of use differ for girls and boys, there is relatively little qualitative research addressing marijuana smoking as gendered social practice. Drawing from contemporary social theories of gender our analysis explores the normative functions of gender discourse within adolescents' narratives, situating their descriptions of marijuana use within the context of the research interview and within the social contexts of drug use. The results highlight the challenges we encountered in asking about gender during one-to-one interviews, juxtaposed with examples from the narratives that illustrate how boys and girls use marijuana as a way of “doing” gender. To conclude, we suggest how our findings can inform the design of gender-specific health messaging on adolescent marijuana use.","container-title":"Social Science &amp; Medicine","DOI":"10.1016/j.socscimed.2009.03.003","ISSN":"0277-9536","issue":"11","journalAbbreviation":"Social Science &amp; Medicine","language":"en","page":"2029-2036","source":"ScienceDirect","title":"“I couldn't say, I'm not a girl” – Adolescents talk about gender and marijuana use","volume":"68","author":[{"family":"Haines","given":"Rebecca J."},{"family":"Johnson","given":"Joy L."},{"family":"Carter","given":"Connie I."},{"family":"Arora","given":"Kamal"}],"issued":{"date-parts":[["2009",6,1]]}}},{"id":19,"uris":["http://zotero.org/users/9138993/items/DH2G2MC9"],"itemData":{"id":19,"type":"article-journal","abstract":"In the present study, I investigate how often unacknowledged gendered norms shape young women’s use of and access to illicit cannabis. I apply a “doing gender” approach to analyse 58 interviews conducted with cannabis using and non-using female and male college students in Canada in 2012, a time when nonmedical cannabis possession and supply were illegal. I identify prominent gendered norms and stereotypes that are critical of women’s use and that create barriers to women’s participation as either buyers or dealers in the illicit cannabis market. I show how these norms reinforce associations of cannabis use with masculinity and how they may direct social pressure against women’s use. I engage with Deutsch's (2007) concept of “undoing” gender to provide a novel contribution to research on cannabis by illustrating women’s strategies for resisting derogatory stereotypes. I highlight how women resist stigmatization of their use in the university context by drawing on presentations of social belonging, particularly scholastic success. However, I show that women may reinforce other stereotypes when appealing to such strategies. Legalization of nonmedical cannabis will create regulated commercial access alternatives to the highly gendered barriers that characterize illicit cannabis markets. My analysis suggests some increase in women’s cannabis use may be expected as a result, although deeply embedded gender norms are likely to maintain downward social pressure on women’s rates of use.","container-title":"Sex Roles","DOI":"10.1007/s11199-020-01176-4","ISSN":"1573-2762","issue":"7","journalAbbreviation":"Sex Roles","language":"en","page":"418-438","source":"Springer Link","title":"Women’s Use of and Access to Illicit Cannabis: An Investigation of Gendered Norms among College Students in Canada","title-short":"Women’s Use of and Access to Illicit Cannabis","volume":"84","author":[{"family":"Kolar","given":"Kat"}],"issued":{"date-parts":[["2021",4,1]]}}}],"schema":"https://github.com/citation-style-language/schema/raw/master/csl-citation.json"} </w:instrText>
      </w:r>
      <w:r w:rsidR="008661A3">
        <w:fldChar w:fldCharType="separate"/>
      </w:r>
      <w:r w:rsidR="008661A3" w:rsidRPr="008661A3">
        <w:t>(Dahl and Sandberg 2015; Elder and Greene 2019; Haines et al. 2009; Kolar 2021)</w:t>
      </w:r>
      <w:r w:rsidR="008661A3">
        <w:fldChar w:fldCharType="end"/>
      </w:r>
      <w:r w:rsidR="00BB2A7A">
        <w:t>.</w:t>
      </w:r>
      <w:r w:rsidR="00D263E7">
        <w:t xml:space="preserve"> </w:t>
      </w:r>
      <w:r w:rsidR="00BB2A7A">
        <w:t xml:space="preserve">While this </w:t>
      </w:r>
      <w:r w:rsidR="008D1B2E">
        <w:t xml:space="preserve">I formed </w:t>
      </w:r>
      <w:r w:rsidR="008D1B2E">
        <w:rPr>
          <w:i/>
          <w:iCs/>
        </w:rPr>
        <w:t xml:space="preserve">Hypothesis 1b </w:t>
      </w:r>
      <w:r w:rsidR="00CE13C9">
        <w:t>off</w:t>
      </w:r>
      <w:r w:rsidR="008D1B2E">
        <w:t xml:space="preserve"> these predictions from previous literature, </w:t>
      </w:r>
      <w:r w:rsidR="00041966">
        <w:t>this expected narrowing of the gender gap may not ha</w:t>
      </w:r>
      <w:r w:rsidR="003042AA">
        <w:t xml:space="preserve">ve </w:t>
      </w:r>
      <w:r w:rsidR="00CE13C9">
        <w:t xml:space="preserve">yet </w:t>
      </w:r>
      <w:r w:rsidR="003042AA">
        <w:t xml:space="preserve">occurred, and perhaps future years of these data will reveal a smaller gender gap. </w:t>
      </w:r>
      <w:r w:rsidR="00D263E7">
        <w:t xml:space="preserve">Future research </w:t>
      </w:r>
      <w:r w:rsidR="00AC6109">
        <w:t xml:space="preserve">can utilize </w:t>
      </w:r>
      <w:r w:rsidR="00360C3E">
        <w:t>trend analyses</w:t>
      </w:r>
      <w:r w:rsidR="0022257A">
        <w:t xml:space="preserve"> </w:t>
      </w:r>
      <w:r w:rsidR="00AC6109">
        <w:t xml:space="preserve">to better explore the relationship between gender differences in marijuana </w:t>
      </w:r>
      <w:r w:rsidR="00241ED9">
        <w:t>use</w:t>
      </w:r>
      <w:r w:rsidR="0055445E">
        <w:t xml:space="preserve"> through its legalization</w:t>
      </w:r>
      <w:r w:rsidR="003042AA">
        <w:t xml:space="preserve"> and observe any possible narrowing of the gender gap in marijuana use</w:t>
      </w:r>
      <w:r w:rsidR="00AC6109">
        <w:t>.</w:t>
      </w:r>
    </w:p>
    <w:p w14:paraId="65D27779" w14:textId="7C3F399B" w:rsidR="00D56FF3" w:rsidRDefault="006E2F93" w:rsidP="001073B2">
      <w:r>
        <w:tab/>
      </w:r>
      <w:r>
        <w:rPr>
          <w:i/>
          <w:iCs/>
        </w:rPr>
        <w:t>Hypothesis 2</w:t>
      </w:r>
      <w:r>
        <w:t xml:space="preserve"> is </w:t>
      </w:r>
      <w:r w:rsidR="007F08F4">
        <w:t>not supported by the analyses</w:t>
      </w:r>
      <w:r>
        <w:t xml:space="preserve">. While </w:t>
      </w:r>
      <w:r w:rsidR="003C3047">
        <w:rPr>
          <w:i/>
          <w:iCs/>
        </w:rPr>
        <w:t>Hypothesis 2</w:t>
      </w:r>
      <w:r w:rsidR="003C3047">
        <w:t xml:space="preserve"> posits that </w:t>
      </w:r>
      <w:r w:rsidR="00952601">
        <w:t xml:space="preserve">patriarchal family structures will increase the gender differences in marijuana </w:t>
      </w:r>
      <w:r w:rsidR="00981D12">
        <w:t>use</w:t>
      </w:r>
      <w:r w:rsidR="00B044F8">
        <w:t xml:space="preserve">, </w:t>
      </w:r>
      <w:r w:rsidR="0061727C">
        <w:t xml:space="preserve">the results </w:t>
      </w:r>
      <w:r w:rsidR="00450ED6">
        <w:t xml:space="preserve">reveal that </w:t>
      </w:r>
      <w:r w:rsidR="00C97D5D">
        <w:t>egalitarian families raise the predicted probabilities of both young men’s and young women’s marijuana use</w:t>
      </w:r>
      <w:r w:rsidR="00084711">
        <w:t>, and that there is no significant difference between the gender difference of youth from patriarchal families and youth from egalitarian families.</w:t>
      </w:r>
      <w:r w:rsidR="00C97D5D">
        <w:t xml:space="preserve"> </w:t>
      </w:r>
      <w:r w:rsidR="00981D12">
        <w:t xml:space="preserve">Perhaps this is because </w:t>
      </w:r>
      <w:r w:rsidR="00B13BD2">
        <w:t xml:space="preserve">youth from </w:t>
      </w:r>
      <w:r w:rsidR="00981D12">
        <w:t>egalitarian families may be more li</w:t>
      </w:r>
      <w:r w:rsidR="00B13BD2">
        <w:t xml:space="preserve">beral than youth from patriarchal families, thus making them </w:t>
      </w:r>
      <w:r w:rsidR="00B13BD2">
        <w:lastRenderedPageBreak/>
        <w:t>more likely to use marijuana due to the politics surrounding its legalization.</w:t>
      </w:r>
      <w:r w:rsidR="00731518">
        <w:t xml:space="preserve"> </w:t>
      </w:r>
      <w:r w:rsidR="00027DDF">
        <w:t>Research ex</w:t>
      </w:r>
      <w:r w:rsidR="00052A33">
        <w:t xml:space="preserve">amining political opinions of </w:t>
      </w:r>
      <w:r w:rsidR="00A5729C">
        <w:t xml:space="preserve">U.S. </w:t>
      </w:r>
      <w:r w:rsidR="00CB2FA8">
        <w:t>h</w:t>
      </w:r>
      <w:r w:rsidR="003F64F8">
        <w:t>igh school seniors</w:t>
      </w:r>
      <w:r w:rsidR="0066126F">
        <w:t xml:space="preserve"> using data from Monitoring the Future (N</w:t>
      </w:r>
      <w:r w:rsidR="006F239C">
        <w:t xml:space="preserve"> = 11,594)</w:t>
      </w:r>
      <w:r w:rsidR="003F64F8">
        <w:t xml:space="preserve"> finds that youth with more liberal views are more likely to support the </w:t>
      </w:r>
      <w:r w:rsidR="00531440">
        <w:t xml:space="preserve">liberal policies, including the legalization of marijuana </w:t>
      </w:r>
      <w:r w:rsidR="00531440">
        <w:fldChar w:fldCharType="begin"/>
      </w:r>
      <w:r w:rsidR="00531440">
        <w:instrText xml:space="preserve"> ADDIN ZOTERO_ITEM CSL_CITATION {"citationID":"c4doCLLl","properties":{"formattedCitation":"(Palamar 2014)","plainCitation":"(Palamar 2014)","noteIndex":0},"citationItems":[{"id":316,"uris":["http://zotero.org/users/9138993/items/YPDYG6HY"],"itemData":{"id":316,"type":"article-journal","abstract":"Support for marijuana (cannabis) legalization is increasing in the US, and state-level marijuana policies are rapidly changing. Research is needed to examine correlates of opinions toward legalization among adolescents approaching adulthood as they are at high risk for use. Data were examined from a national representative sample of high school seniors in the Monitoring the Future study (years 2007-2011; N = 11,594) to delineate correlates of opinions toward legalization. A third of students felt marijuana should be entirely legal and 28.5% felt it should be treated as a minor violation; 48.0% felt that if legal to sell it should be sold to adults only, and 10.4% felt it should be sold to anyone. Females, conservatives, religious students, and those with friends who disapprove of marijuana use tended to be at lower odds for supporting legalization, and Black, liberal, and urban students were at higher odds for supporting more liberal policies. Recent and frequent marijuana use strongly increased odds for support for legalization; however, 16.7% of non-lifetime marijuana users also reported support for legalization. Findings should be interpreted with caution as state-level data were not available, but results suggest that support for marijuana legalization is common among specific subgroups of adolescents.","container-title":"Journal of Psychoactive Drugs","DOI":"10.1080/02791072.2014.962716","ISSN":"0279-1072","issue":"5","note":"publisher: Taylor &amp; Francis\n_eprint: https://doi.org/10.1080/02791072.2014.962716\nPMID: 25364985","page":"351-361","source":"Taylor and Francis+NEJM","title":"An Examination of Opinions Toward Marijuana Policies Among High School Seniors in the United States","volume":"46","author":[{"family":"Palamar","given":"Joseph J."}],"issued":{"date-parts":[["2014",10,20]]}}}],"schema":"https://github.com/citation-style-language/schema/raw/master/csl-citation.json"} </w:instrText>
      </w:r>
      <w:r w:rsidR="00531440">
        <w:fldChar w:fldCharType="separate"/>
      </w:r>
      <w:r w:rsidR="00531440" w:rsidRPr="00531440">
        <w:t>(Palamar 2014)</w:t>
      </w:r>
      <w:r w:rsidR="00531440">
        <w:fldChar w:fldCharType="end"/>
      </w:r>
      <w:r w:rsidR="00FC42B2">
        <w:t>.</w:t>
      </w:r>
      <w:r w:rsidR="000B5BF5">
        <w:t xml:space="preserve"> </w:t>
      </w:r>
      <w:r w:rsidR="000B5BF5">
        <w:fldChar w:fldCharType="begin"/>
      </w:r>
      <w:r w:rsidR="00490F42">
        <w:instrText xml:space="preserve"> ADDIN ZOTERO_ITEM CSL_CITATION {"citationID":"OmPdZDTu","properties":{"formattedCitation":"(Elder and Greene 2019)","plainCitation":"(Elder and Greene 2019)","dontUpdate":true,"noteIndex":0},"citationItems":[{"id":314,"uris":["http://zotero.org/users/9138993/items/IYUZRWYF"],"itemData":{"id":314,"type":"article-journal","abstract":"Objectives: The objectives of this study were to understand why, even though women are more liberal than men on a broad range of issues, when it comes to the increasingly prominent issue of marijuana legalization, the direction of the gender gap is reversed, with women more conservative than men. Methods: Relying on a 2013 Pew survey—unique for the extensiveness of its marijuana questions, including marijuana usage—we explore and attempt to explain the nature of this unusual gender gap. We test several hypotheses rooted in the different life experiences of women and men. Results: We find that women's role as mothers cannot explain this gap, and that mothers are in fact no different from those without children in terms of their support for marijuana policy, as well as their reported use of marijuana. The greater religiosity of women does play a prominent role in the gender gap on marijuana policy, but does not account for the full difference of opinion between women and men. Our findings suggest that men's greater propensity relative to women to use marijuana is a major driver behind the gender gap. Conclusions: Not only are attitudes on marijuana legalization likely to continue to liberalize, but as marijuana legalization and marijuana use become normalized, rather than viewed as immoral and dangerous behavior, the existing gender gap should shrink.","container-title":"Social Science Quarterly (Wiley-Blackwell)","DOI":"10.1111/ssqu.12558","ISSN":"00384941","issue":"1","note":"publisher: Wiley-Blackwell","page":"109-122","source":"EBSCOhost","title":"Gender and the Politics of Marijuana","volume":"100","author":[{"family":"Elder","given":"Laurel"},{"family":"Greene","given":"Steven"}],"issued":{"date-parts":[["2019",2]]}}}],"schema":"https://github.com/citation-style-language/schema/raw/master/csl-citation.json"} </w:instrText>
      </w:r>
      <w:r w:rsidR="000B5BF5">
        <w:fldChar w:fldCharType="separate"/>
      </w:r>
      <w:r w:rsidR="000B5BF5" w:rsidRPr="000B5BF5">
        <w:t xml:space="preserve">Elder and Greene </w:t>
      </w:r>
      <w:r w:rsidR="000B5BF5">
        <w:t>(</w:t>
      </w:r>
      <w:r w:rsidR="000B5BF5" w:rsidRPr="000B5BF5">
        <w:t>2019)</w:t>
      </w:r>
      <w:r w:rsidR="000B5BF5">
        <w:fldChar w:fldCharType="end"/>
      </w:r>
      <w:r w:rsidR="000B5BF5">
        <w:t xml:space="preserve"> </w:t>
      </w:r>
      <w:r w:rsidR="00C558EE">
        <w:t xml:space="preserve">state that attitudes toward marijuana use and legalization have become more liberal </w:t>
      </w:r>
      <w:r w:rsidR="004F3699">
        <w:t xml:space="preserve">in recent </w:t>
      </w:r>
      <w:r w:rsidR="00AB325D">
        <w:t>years and</w:t>
      </w:r>
      <w:r w:rsidR="004F3699">
        <w:t xml:space="preserve"> </w:t>
      </w:r>
      <w:r w:rsidR="000B5BF5">
        <w:t xml:space="preserve">predict that </w:t>
      </w:r>
      <w:r w:rsidR="00C558EE">
        <w:t xml:space="preserve">attitudes toward marijuana </w:t>
      </w:r>
      <w:proofErr w:type="gramStart"/>
      <w:r w:rsidR="00C558EE">
        <w:t>use</w:t>
      </w:r>
      <w:proofErr w:type="gramEnd"/>
      <w:r w:rsidR="00C558EE">
        <w:t xml:space="preserve"> and legalization </w:t>
      </w:r>
      <w:r w:rsidR="004F3699">
        <w:t xml:space="preserve">will continue to liberalize. The data in this research may </w:t>
      </w:r>
      <w:r w:rsidR="001653DA">
        <w:t>be beginning to reflect that continued liberalization, as predictions for both young men and young women increase when coming from egalitarian families.</w:t>
      </w:r>
      <w:r w:rsidR="00BD5C47">
        <w:t xml:space="preserve"> </w:t>
      </w:r>
      <w:r w:rsidR="005C2094">
        <w:t>Further</w:t>
      </w:r>
      <w:r w:rsidR="000D381B">
        <w:t xml:space="preserve"> research can examine if political </w:t>
      </w:r>
      <w:r w:rsidR="00CC1FB6">
        <w:t>opinions</w:t>
      </w:r>
      <w:r w:rsidR="001653DA">
        <w:t xml:space="preserve"> are related to family structure and if those aspects</w:t>
      </w:r>
      <w:r w:rsidR="00CC1FB6">
        <w:t xml:space="preserve"> influence the gender gap in marijuana use. </w:t>
      </w:r>
    </w:p>
    <w:p w14:paraId="1F6E3B21" w14:textId="7F6B69E6" w:rsidR="00C846C4" w:rsidRDefault="00CC1FB6" w:rsidP="00CC1FB6">
      <w:r>
        <w:tab/>
      </w:r>
      <w:r>
        <w:rPr>
          <w:i/>
          <w:iCs/>
        </w:rPr>
        <w:t>Hypothesis 3</w:t>
      </w:r>
      <w:r>
        <w:t xml:space="preserve">, unlike the previous two hypotheses, is fully supported. </w:t>
      </w:r>
      <w:r w:rsidR="00C846C4">
        <w:t xml:space="preserve">The gender difference </w:t>
      </w:r>
      <w:r w:rsidR="00F12115">
        <w:t xml:space="preserve">among youth who disagree with patriarchal norms is significantly smaller than the gender difference among youth who agree with such norms. </w:t>
      </w:r>
      <w:r w:rsidR="001A7BBF">
        <w:t>This significant second-order difference is contributed to</w:t>
      </w:r>
      <w:r w:rsidR="00F12115">
        <w:t xml:space="preserve"> by</w:t>
      </w:r>
      <w:r w:rsidR="005D6C95">
        <w:t xml:space="preserve"> both</w:t>
      </w:r>
      <w:r w:rsidR="00F12115">
        <w:t xml:space="preserve"> a significant </w:t>
      </w:r>
      <w:r w:rsidR="005D6C95">
        <w:t>decrease in young men’s use of marijuana and a</w:t>
      </w:r>
      <w:r w:rsidR="00C846C4">
        <w:t xml:space="preserve"> </w:t>
      </w:r>
      <w:r w:rsidR="005D6C95">
        <w:t xml:space="preserve">significant increase in young women’s use. Here, </w:t>
      </w:r>
      <w:r w:rsidR="006B5E62">
        <w:t>the argument for illicit masculinity is supported by the data, and I argue that when youth disagree with patriarchal norms, they are less like</w:t>
      </w:r>
      <w:r w:rsidR="00262828">
        <w:t>ly to see substance use as a gendered activity</w:t>
      </w:r>
      <w:r w:rsidR="00675891">
        <w:t xml:space="preserve">. </w:t>
      </w:r>
      <w:r w:rsidR="00745827">
        <w:fldChar w:fldCharType="begin"/>
      </w:r>
      <w:r w:rsidR="00490F42">
        <w:instrText xml:space="preserve"> ADDIN ZOTERO_ITEM CSL_CITATION {"citationID":"3yKspCH7","properties":{"formattedCitation":"(Dahl and Sandberg 2015)","plainCitation":"(Dahl and Sandberg 2015)","dontUpdate":true,"noteIndex":0},"citationItems":[{"id":165,"uris":["http://zotero.org/users/9138993/items/724NCNBS"],"itemData":{"id":165,"type":"article-journal","abstract":"Cannabis is sometimes associated with feminine or gender neutral values. Still, most cannabis users are male, and in our data cannabis use is associated with masculinity. In qualitative interviews with 19 female users and a larger sample of male users in Norway, four aspects of cannabis using practices were described as feminine: not providing cannabis, being less involved in cannabis user networks, not handling the drug effects and being concerned about control. Some women challenged gendered expectations and presented themselves as alternative, tough and rebellious through cannabis use. We explore how women navigate through a gendered drug culture, and study how femininities and masculinities are enacted, challenged and recast in a Scandinavian context characterized by gender equality and an anti-drugs culture. We argue that a new egalitarian form of masculinity is getting increasingly important. Still, female users often end up enacting traditional femininities when using cannabis.","container-title":"Sociology","ISSN":"0038-0385","issue":"4","note":"publisher: Sage Publications, Ltd.","page":"696-711","source":"JSTOR","title":"Female Cannabis Users and New Masculinities: The Gendering of Cannabis Use","title-short":"Female Cannabis Users and New Masculinities","volume":"49","author":[{"family":"Dahl","given":"Silje Louise"},{"family":"Sandberg","given":"Sveinung"}],"issued":{"date-parts":[["2015"]]}}}],"schema":"https://github.com/citation-style-language/schema/raw/master/csl-citation.json"} </w:instrText>
      </w:r>
      <w:r w:rsidR="00745827">
        <w:fldChar w:fldCharType="separate"/>
      </w:r>
      <w:r w:rsidR="00745827" w:rsidRPr="00745827">
        <w:t>Dahl and Sandberg</w:t>
      </w:r>
      <w:r w:rsidR="00745827">
        <w:t>'s</w:t>
      </w:r>
      <w:r w:rsidR="00745827" w:rsidRPr="00745827">
        <w:t xml:space="preserve"> </w:t>
      </w:r>
      <w:r w:rsidR="00745827">
        <w:t>(</w:t>
      </w:r>
      <w:r w:rsidR="00745827" w:rsidRPr="00745827">
        <w:t>2015)</w:t>
      </w:r>
      <w:r w:rsidR="00745827">
        <w:fldChar w:fldCharType="end"/>
      </w:r>
      <w:r w:rsidR="000956EF">
        <w:t xml:space="preserve"> </w:t>
      </w:r>
      <w:r w:rsidR="00745827">
        <w:t xml:space="preserve">research on masculinities and marijuana </w:t>
      </w:r>
      <w:r w:rsidR="00CD1050">
        <w:t>argues</w:t>
      </w:r>
      <w:r w:rsidR="00EE3332">
        <w:t xml:space="preserve"> that</w:t>
      </w:r>
      <w:r w:rsidR="00CD1050">
        <w:t xml:space="preserve"> some women who use marijuana are challenging gendered expectations</w:t>
      </w:r>
      <w:r w:rsidR="00EE3332">
        <w:t xml:space="preserve"> and use marijuana </w:t>
      </w:r>
      <w:r w:rsidR="00F82532">
        <w:t xml:space="preserve">despite the masculinity surrounding the substance. They also discuss that </w:t>
      </w:r>
      <w:r w:rsidR="00880A92">
        <w:t>an egalitarian form of masculinity</w:t>
      </w:r>
      <w:r w:rsidR="00B17158">
        <w:t xml:space="preserve">, a masculinity that </w:t>
      </w:r>
      <w:r w:rsidR="003A07F4">
        <w:t xml:space="preserve">protests hegemonic masculinity, may be contributing to the increase in women’s use of marijuana </w:t>
      </w:r>
      <w:r w:rsidR="003A07F4">
        <w:fldChar w:fldCharType="begin"/>
      </w:r>
      <w:r w:rsidR="003A07F4">
        <w:instrText xml:space="preserve"> ADDIN ZOTERO_ITEM CSL_CITATION {"citationID":"jreltRr6","properties":{"formattedCitation":"(Dahl and Sandberg 2015)","plainCitation":"(Dahl and Sandberg 2015)","noteIndex":0},"citationItems":[{"id":165,"uris":["http://zotero.org/users/9138993/items/724NCNBS"],"itemData":{"id":165,"type":"article-journal","abstract":"Cannabis is sometimes associated with feminine or gender neutral values. Still, most cannabis users are male, and in our data cannabis use is associated with masculinity. In qualitative interviews with 19 female users and a larger sample of male users in Norway, four aspects of cannabis using practices were described as feminine: not providing cannabis, being less involved in cannabis user networks, not handling the drug effects and being concerned about control. Some women challenged gendered expectations and presented themselves as alternative, tough and rebellious through cannabis use. We explore how women navigate through a gendered drug culture, and study how femininities and masculinities are enacted, challenged and recast in a Scandinavian context characterized by gender equality and an anti-drugs culture. We argue that a new egalitarian form of masculinity is getting increasingly important. Still, female users often end up enacting traditional femininities when using cannabis.","container-title":"Sociology","ISSN":"0038-0385","issue":"4","note":"publisher: Sage Publications, Ltd.","page":"696-711","source":"JSTOR","title":"Female Cannabis Users and New Masculinities: The Gendering of Cannabis Use","title-short":"Female Cannabis Users and New Masculinities","volume":"49","author":[{"family":"Dahl","given":"Silje Louise"},{"family":"Sandberg","given":"Sveinung"}],"issued":{"date-parts":[["2015"]]}}}],"schema":"https://github.com/citation-style-language/schema/raw/master/csl-citation.json"} </w:instrText>
      </w:r>
      <w:r w:rsidR="003A07F4">
        <w:fldChar w:fldCharType="separate"/>
      </w:r>
      <w:r w:rsidR="003A07F4" w:rsidRPr="003A07F4">
        <w:t>(Dahl and Sandberg 2015)</w:t>
      </w:r>
      <w:r w:rsidR="003A07F4">
        <w:fldChar w:fldCharType="end"/>
      </w:r>
      <w:r w:rsidR="00692D15">
        <w:t>.</w:t>
      </w:r>
      <w:r w:rsidR="00436CBD">
        <w:t xml:space="preserve"> </w:t>
      </w:r>
      <w:r w:rsidR="00436CBD">
        <w:fldChar w:fldCharType="begin"/>
      </w:r>
      <w:r w:rsidR="00490F42">
        <w:instrText xml:space="preserve"> ADDIN ZOTERO_ITEM CSL_CITATION {"citationID":"tahuNpty","properties":{"formattedCitation":"(Kolar 2021)","plainCitation":"(Kolar 2021)","dontUpdate":true,"noteIndex":0},"citationItems":[{"id":19,"uris":["http://zotero.org/users/9138993/items/DH2G2MC9"],"itemData":{"id":19,"type":"article-journal","abstract":"In the present study, I investigate how often unacknowledged gendered norms shape young women’s use of and access to illicit cannabis. I apply a “doing gender” approach to analyse 58 interviews conducted with cannabis using and non-using female and male college students in Canada in 2012, a time when nonmedical cannabis possession and supply were illegal. I identify prominent gendered norms and stereotypes that are critical of women’s use and that create barriers to women’s participation as either buyers or dealers in the illicit cannabis market. I show how these norms reinforce associations of cannabis use with masculinity and how they may direct social pressure against women’s use. I engage with Deutsch's (2007) concept of “undoing” gender to provide a novel contribution to research on cannabis by illustrating women’s strategies for resisting derogatory stereotypes. I highlight how women resist stigmatization of their use in the university context by drawing on presentations of social belonging, particularly scholastic success. However, I show that women may reinforce other stereotypes when appealing to such strategies. Legalization of nonmedical cannabis will create regulated commercial access alternatives to the highly gendered barriers that characterize illicit cannabis markets. My analysis suggests some increase in women’s cannabis use may be expected as a result, although deeply embedded gender norms are likely to maintain downward social pressure on women’s rates of use.","container-title":"Sex Roles","DOI":"10.1007/s11199-020-01176-4","ISSN":"1573-2762","issue":"7","journalAbbreviation":"Sex Roles","language":"en","page":"418-438","source":"Springer Link","title":"Women’s Use of and Access to Illicit Cannabis: An Investigation of Gendered Norms among College Students in Canada","title-short":"Women’s Use of and Access to Illicit Cannabis","volume":"84","author":[{"family":"Kolar","given":"Kat"}],"issued":{"date-parts":[["2021",4,1]]}}}],"schema":"https://github.com/citation-style-language/schema/raw/master/csl-citation.json"} </w:instrText>
      </w:r>
      <w:r w:rsidR="00436CBD">
        <w:fldChar w:fldCharType="separate"/>
      </w:r>
      <w:r w:rsidR="00436CBD" w:rsidRPr="00436CBD">
        <w:t>Kolar</w:t>
      </w:r>
      <w:r w:rsidR="00436CBD">
        <w:t>'s</w:t>
      </w:r>
      <w:r w:rsidR="00436CBD" w:rsidRPr="00436CBD">
        <w:t xml:space="preserve"> </w:t>
      </w:r>
      <w:r w:rsidR="00436CBD">
        <w:t>(</w:t>
      </w:r>
      <w:r w:rsidR="00436CBD" w:rsidRPr="00436CBD">
        <w:t>2021)</w:t>
      </w:r>
      <w:r w:rsidR="00436CBD">
        <w:fldChar w:fldCharType="end"/>
      </w:r>
      <w:r w:rsidR="00436CBD">
        <w:t xml:space="preserve"> research also supports the idea that an adherence to gender norms deters </w:t>
      </w:r>
      <w:r w:rsidR="00A15562">
        <w:t xml:space="preserve">women from using marijuana, and that when gendered barriers are removed, </w:t>
      </w:r>
      <w:r w:rsidR="00A15562">
        <w:lastRenderedPageBreak/>
        <w:t xml:space="preserve">women may be more likely to use marijuana. </w:t>
      </w:r>
      <w:r w:rsidR="00156E4B">
        <w:fldChar w:fldCharType="begin"/>
      </w:r>
      <w:r w:rsidR="00490F42">
        <w:instrText xml:space="preserve"> ADDIN ZOTERO_ITEM CSL_CITATION {"citationID":"w40zPthO","properties":{"formattedCitation":"(Haines et al. 2009)","plainCitation":"(Haines et al. 2009)","dontUpdate":true,"noteIndex":0},"citationItems":[{"id":9,"uris":["http://zotero.org/users/9138993/items/ZE7E6FAE"],"itemData":{"id":9,"type":"article-journal","abstract":"In this paper we report on findings from a qualitative study of marijuana use by adolescents in two communities in British Columbia, Canada. During 2005 and 2006, 45 interviews were carried out at schools with students aged 13–18, with an aim of understanding how adolescents perceive their experiences with marijuana to be shaped by gender. While it has been established that patterns of use differ for girls and boys, there is relatively little qualitative research addressing marijuana smoking as gendered social practice. Drawing from contemporary social theories of gender our analysis explores the normative functions of gender discourse within adolescents' narratives, situating their descriptions of marijuana use within the context of the research interview and within the social contexts of drug use. The results highlight the challenges we encountered in asking about gender during one-to-one interviews, juxtaposed with examples from the narratives that illustrate how boys and girls use marijuana as a way of “doing” gender. To conclude, we suggest how our findings can inform the design of gender-specific health messaging on adolescent marijuana use.","container-title":"Social Science &amp; Medicine","DOI":"10.1016/j.socscimed.2009.03.003","ISSN":"0277-9536","issue":"11","journalAbbreviation":"Social Science &amp; Medicine","language":"en","page":"2029-2036","source":"ScienceDirect","title":"“I couldn't say, I'm not a girl” – Adolescents talk about gender and marijuana use","volume":"68","author":[{"family":"Haines","given":"Rebecca J."},{"family":"Johnson","given":"Joy L."},{"family":"Carter","given":"Connie I."},{"family":"Arora","given":"Kamal"}],"issued":{"date-parts":[["2009",6,1]]}}}],"schema":"https://github.com/citation-style-language/schema/raw/master/csl-citation.json"} </w:instrText>
      </w:r>
      <w:r w:rsidR="00156E4B">
        <w:fldChar w:fldCharType="separate"/>
      </w:r>
      <w:r w:rsidR="00156E4B" w:rsidRPr="00156E4B">
        <w:t xml:space="preserve">Haines et al. </w:t>
      </w:r>
      <w:r w:rsidR="00156E4B">
        <w:t>(</w:t>
      </w:r>
      <w:r w:rsidR="00156E4B" w:rsidRPr="00156E4B">
        <w:t>2009)</w:t>
      </w:r>
      <w:r w:rsidR="00156E4B">
        <w:fldChar w:fldCharType="end"/>
      </w:r>
      <w:r w:rsidR="00156E4B">
        <w:t xml:space="preserve"> establishes a link between hegemonic gender ideals and </w:t>
      </w:r>
      <w:r w:rsidR="00492AFF">
        <w:t xml:space="preserve">marijuana use, explaining that young men and young women often link masculinity to marijuana, thus increasing the likelihood of young men using </w:t>
      </w:r>
      <w:r w:rsidR="00713934">
        <w:t xml:space="preserve">marijuana and decreasing the likelihood for young women. </w:t>
      </w:r>
      <w:r w:rsidR="00A15562">
        <w:t xml:space="preserve">This, too, supports the </w:t>
      </w:r>
      <w:r w:rsidR="0084200E">
        <w:t xml:space="preserve">argument for illicit masculinity. If women disagree with patriarchal norms, they may be more likely to use </w:t>
      </w:r>
      <w:r w:rsidR="005205DD">
        <w:t>marijuana, while if men disagree with patriarchal norms, they may be less likely to use</w:t>
      </w:r>
      <w:r w:rsidR="001A6F27">
        <w:t xml:space="preserve"> marijuana, </w:t>
      </w:r>
      <w:r w:rsidR="00345552">
        <w:t xml:space="preserve">as the masculine </w:t>
      </w:r>
      <w:r w:rsidR="0080079E">
        <w:t xml:space="preserve">stereotypes surrounding marijuana use may have less importance to them. </w:t>
      </w:r>
    </w:p>
    <w:p w14:paraId="6C1A52C0" w14:textId="56CA9FC1" w:rsidR="00A96F0E" w:rsidRDefault="00A96F0E" w:rsidP="00EF36D7">
      <w:pPr>
        <w:pStyle w:val="Heading2"/>
      </w:pPr>
      <w:bookmarkStart w:id="30" w:name="_Toc102664124"/>
      <w:r w:rsidRPr="00675891">
        <w:t>Cocaine</w:t>
      </w:r>
      <w:bookmarkEnd w:id="30"/>
    </w:p>
    <w:p w14:paraId="380D0965" w14:textId="497523B2" w:rsidR="0013527E" w:rsidRDefault="003A27E5" w:rsidP="00C37238">
      <w:r>
        <w:rPr>
          <w:i/>
          <w:iCs/>
        </w:rPr>
        <w:tab/>
      </w:r>
      <w:r>
        <w:t xml:space="preserve">The results for the analyses performed on the cocaine </w:t>
      </w:r>
      <w:r w:rsidR="00B700A7">
        <w:t xml:space="preserve">subgroup </w:t>
      </w:r>
      <w:r>
        <w:t xml:space="preserve">reveal </w:t>
      </w:r>
      <w:r w:rsidR="005A3C40">
        <w:t xml:space="preserve">support for two </w:t>
      </w:r>
      <w:r w:rsidR="00C959CE">
        <w:t>hypotheses</w:t>
      </w:r>
      <w:r w:rsidR="005A3C40">
        <w:t xml:space="preserve">, but partial support for one. </w:t>
      </w:r>
      <w:r w:rsidR="005A3C40">
        <w:rPr>
          <w:i/>
          <w:iCs/>
        </w:rPr>
        <w:t>Hypothesis 1a</w:t>
      </w:r>
      <w:r w:rsidR="005A3C40">
        <w:t xml:space="preserve"> is supported by the findings, as there is a significant gender difference in cocaine use amongst adolescents. Young men are significantly </w:t>
      </w:r>
      <w:r w:rsidR="00F60766">
        <w:t xml:space="preserve">more likely to try cocaine than young women. When examining how family structure affects this gender difference, I find </w:t>
      </w:r>
      <w:r w:rsidR="00285046">
        <w:t>n</w:t>
      </w:r>
      <w:r w:rsidR="00574535">
        <w:t>o</w:t>
      </w:r>
      <w:r w:rsidR="00F60766">
        <w:t xml:space="preserve"> support for </w:t>
      </w:r>
      <w:r w:rsidR="00F60766">
        <w:rPr>
          <w:i/>
          <w:iCs/>
        </w:rPr>
        <w:t>Hypothesis 2.</w:t>
      </w:r>
      <w:r w:rsidR="00F60766">
        <w:t xml:space="preserve"> While </w:t>
      </w:r>
      <w:r w:rsidR="005D55A5">
        <w:t xml:space="preserve">having a patriarchal family structure makes young women significantly less likely to try cocaine, there is no significant difference for young men. The gender differences between the </w:t>
      </w:r>
      <w:proofErr w:type="spellStart"/>
      <w:r w:rsidR="00A66BF3">
        <w:t>to</w:t>
      </w:r>
      <w:proofErr w:type="spellEnd"/>
      <w:r w:rsidR="00A66BF3">
        <w:t xml:space="preserve"> family structures are also not significantly different. </w:t>
      </w:r>
      <w:r w:rsidR="00B42C72">
        <w:t>This</w:t>
      </w:r>
      <w:r w:rsidR="00574535">
        <w:t xml:space="preserve"> lack of</w:t>
      </w:r>
      <w:r w:rsidR="00B42C72">
        <w:t xml:space="preserve"> support is consistent with the pattern seen in the marijuana </w:t>
      </w:r>
      <w:r w:rsidR="004867B4">
        <w:t>subgroup</w:t>
      </w:r>
      <w:r w:rsidR="00B42C72">
        <w:t xml:space="preserve">, which may mean that a patriarchal family structure may not be an accurate measurement of </w:t>
      </w:r>
      <w:r w:rsidR="00E95101">
        <w:t xml:space="preserve">masculinity. </w:t>
      </w:r>
    </w:p>
    <w:p w14:paraId="640F0443" w14:textId="59303C11" w:rsidR="00840A5A" w:rsidRDefault="00A66BF3" w:rsidP="0013527E">
      <w:pPr>
        <w:ind w:firstLine="720"/>
      </w:pPr>
      <w:r>
        <w:rPr>
          <w:i/>
          <w:iCs/>
        </w:rPr>
        <w:t>Hypothesis 3</w:t>
      </w:r>
      <w:r>
        <w:t>, however, is fully supported by th</w:t>
      </w:r>
      <w:r w:rsidR="00B42C72">
        <w:t xml:space="preserve">e results. </w:t>
      </w:r>
      <w:r w:rsidR="00E95101">
        <w:t xml:space="preserve">Youth who disagree with patriarchal norms have a significantly smaller gender difference in cocaine use than youth who agree with such norms. </w:t>
      </w:r>
      <w:proofErr w:type="gramStart"/>
      <w:r w:rsidR="00E95101">
        <w:t>Similar to</w:t>
      </w:r>
      <w:proofErr w:type="gramEnd"/>
      <w:r w:rsidR="00E95101">
        <w:t xml:space="preserve"> the marijuana </w:t>
      </w:r>
      <w:r w:rsidR="004867B4">
        <w:t xml:space="preserve">subgroup, </w:t>
      </w:r>
      <w:r w:rsidR="00E95101">
        <w:t xml:space="preserve">this is due to predictions for young men significantly lowering while predictions for young women </w:t>
      </w:r>
      <w:r w:rsidR="005C2094">
        <w:t xml:space="preserve">raise significantly. It is important </w:t>
      </w:r>
      <w:r w:rsidR="005C2094">
        <w:lastRenderedPageBreak/>
        <w:t>to note, however, that while the difference</w:t>
      </w:r>
      <w:r w:rsidR="008735D9">
        <w:t xml:space="preserve"> between young women </w:t>
      </w:r>
      <w:r w:rsidR="00420361">
        <w:t>who agree with patriarchal norms</w:t>
      </w:r>
      <w:r w:rsidR="008735D9">
        <w:t xml:space="preserve"> and young women </w:t>
      </w:r>
      <w:r w:rsidR="00420361">
        <w:t>who disagree</w:t>
      </w:r>
      <w:r w:rsidR="008735D9">
        <w:t xml:space="preserve"> is significant, </w:t>
      </w:r>
      <w:r w:rsidR="005B20B5">
        <w:t xml:space="preserve">the predicted probability of young women using cocaine regardless </w:t>
      </w:r>
      <w:r w:rsidR="0067589B">
        <w:t>of their attitudes towards patriarchal norms</w:t>
      </w:r>
      <w:r w:rsidR="005B20B5">
        <w:t xml:space="preserve"> is 7.4 percent, while the predicted probability of young women </w:t>
      </w:r>
      <w:r w:rsidR="0067589B">
        <w:t>who disagree</w:t>
      </w:r>
      <w:r w:rsidR="005B20B5">
        <w:t xml:space="preserve"> is 7.7 percent. </w:t>
      </w:r>
      <w:r w:rsidR="009249D9">
        <w:t>This is a much smaller change in predictions compared to young men</w:t>
      </w:r>
      <w:r w:rsidR="008B41B5">
        <w:t xml:space="preserve">, which may suggest that the </w:t>
      </w:r>
      <w:r w:rsidR="00420361">
        <w:t xml:space="preserve">effect of having </w:t>
      </w:r>
      <w:r w:rsidR="0094262F">
        <w:t xml:space="preserve">negative attitudes towards patriarchal norms may have a stronger effect on young men than it does for young women. </w:t>
      </w:r>
      <w:r w:rsidR="00E17D0F">
        <w:t xml:space="preserve">Darcy’s </w:t>
      </w:r>
      <w:r w:rsidR="00E17D0F">
        <w:fldChar w:fldCharType="begin"/>
      </w:r>
      <w:r w:rsidR="00490F42">
        <w:instrText xml:space="preserve"> ADDIN ZOTERO_ITEM CSL_CITATION {"citationID":"1mbE4k03","properties":{"formattedCitation":"(Darcy 2018, 2020)","plainCitation":"(Darcy 2018, 2020)","dontUpdate":true,"noteIndex":0},"citationItems":[{"id":112,"uris":["http://zotero.org/users/9138993/items/LJ77884B"],"itemData":{"id":112,"type":"article-journal","abstract":"This paper highlights a significant gender disparity within Ireland?s illicit drug landscape, which is predominantly composed of men. Irish men?s historical gender invisibility contributed to their predominance as drug users being overlooked. Thus, this paper focuses a masculinities lens on Irish men?s recreational use of illicit drugs, making their drug taking visible as a gendered activity. The study utilised a qualitative methodology, with masculinities theory forming the primary theoretical and analytical lens. Nine focus groups were conducted with Irish men exploring their views on illicit drugs. Twenty in-depth interviews were completed with men who identified as illicit recreational drug users, exploring their drug-taking histories and experiences. Findings demonstrate how the use of illicit drugs can symbolically communicate messages about the drug taker. The study reveals masculinities are an interpretative lens employed by men when trying to understand their own or other men?s drug taking. It is argued that men?s drug taking and masculinities intersect. In homosocial contexts, men?s recreational use of illicit drugs can contribute to them demonstrating masculinities to other drug-taking men; however, outside of these contexts, the same behaviours can be viewed by non-drug takers as emasculating.","container-title":"Irish Journal of Sociology","DOI":"10.1177/0791603517735772","ISSN":"0791-6035","issue":"1","journalAbbreviation":"Irish Journal of Sociology","note":"publisher: SAGE Publications Ltd","page":"5-24","source":"SAGE Journals","title":"Making the invisible visible: Masculinities and men’s illicit recreational drug use","title-short":"Making the invisible visible","volume":"26","author":[{"family":"Darcy","given":"Clay"}],"issued":{"date-parts":[["2018",4,1]]}}},{"id":110,"uris":["http://zotero.org/users/9138993/items/XTD3HEAU"],"itemData":{"id":110,"type":"article-journal","abstract":"The purpose of this article is to explore the motivations behind some men’s recreational use of illicit drugs from a gender standpoint. The rationale for this analysis stems from men’s predominance as illicit drug users and their likelihood of experiencing problem drug use and becoming a part of an over-represented population in drug treatment services. Explanations for men’s problematic/addicted patterns of drug use often point to marginalisation, disadvantage, and/or men’s tendency towards problematic health behaviours. This article argues that men’s illicit recreational drug use is often glossed over as a gendered activity and receives less scrutiny than problematic/addicted patterns of drug taking. It examines the drug-taking motivations of 20 Irish men who identified as illicit recreational drug users to expand on and deepen current explanations for men’s illicit recreational drug use. The article demonstrates how men engage in drug use for complex and contradictory reasons that include embodied quests for pleasure and excitement, achieving connection with other men, and performing or contravening masculinities in homosocial contexts.","container-title":"Sociological Research Online","DOI":"10.1177/1360780419879940","ISSN":"1360-7804","issue":"3","journalAbbreviation":"Sociological Research Online","language":"en","note":"publisher: SAGE Publications Ltd","page":"421-437","source":"SAGE Journals","title":"Men and the Drug Buzz: Masculinity and Men’s Motivations for Illicit Recreational Drug Use","title-short":"Men and the Drug Buzz","volume":"25","author":[{"family":"Darcy","given":"Clay"}],"issued":{"date-parts":[["2020",9,1]]}}}],"schema":"https://github.com/citation-style-language/schema/raw/master/csl-citation.json"} </w:instrText>
      </w:r>
      <w:r w:rsidR="00E17D0F">
        <w:fldChar w:fldCharType="separate"/>
      </w:r>
      <w:r w:rsidR="00E17D0F" w:rsidRPr="00E17D0F">
        <w:t>(2018, 2020)</w:t>
      </w:r>
      <w:r w:rsidR="00E17D0F">
        <w:fldChar w:fldCharType="end"/>
      </w:r>
      <w:r w:rsidR="004E424F">
        <w:t xml:space="preserve"> work on masculinities and illicit substance use explains that, for some men, using stimulants such as cocaine </w:t>
      </w:r>
      <w:r w:rsidR="00FD7F3E">
        <w:t>enabled them to feel and appear more masculine</w:t>
      </w:r>
      <w:r w:rsidR="00D222F2">
        <w:t xml:space="preserve">. For the men in Darcy’s (2018, 2020) research, cocaine enhanced their masculinity, made them more impressive to other men, </w:t>
      </w:r>
      <w:r w:rsidR="00291A06">
        <w:t xml:space="preserve">and </w:t>
      </w:r>
      <w:r w:rsidR="00FF4D7D">
        <w:t>allowed them to display their masculinity by out-drinking other men</w:t>
      </w:r>
      <w:r w:rsidR="00291A06">
        <w:t xml:space="preserve">. </w:t>
      </w:r>
      <w:r w:rsidR="00FC58BD">
        <w:t xml:space="preserve">With cocaine being so strongly related to masculinity, </w:t>
      </w:r>
      <w:r w:rsidR="00CF79A2">
        <w:t xml:space="preserve">women may face </w:t>
      </w:r>
      <w:r w:rsidR="001C33AC">
        <w:t xml:space="preserve">gendered </w:t>
      </w:r>
      <w:r w:rsidR="00330154">
        <w:t xml:space="preserve">barriers that are harder to dismantle than those surrounding other substances, such as marijuana. The strong link between masculinity and cocaine may also </w:t>
      </w:r>
      <w:r w:rsidR="00AF1FF9">
        <w:t>contribute to the</w:t>
      </w:r>
      <w:r w:rsidR="00BA7423">
        <w:t xml:space="preserve"> strong effect that disagreeing with patriarchal norms has on young men’s predictions of using cocaine. If young men disagree with patriarchal norms, they may not feel a need to prove or perform their masculinity</w:t>
      </w:r>
      <w:r w:rsidR="00A55C56">
        <w:t xml:space="preserve">, thus lowering their likelihood of using cocaine; or, conversely, young men who agree with patriarchal norms may feel more pressured to prove their masculinity, thus </w:t>
      </w:r>
      <w:r w:rsidR="00FF7F87">
        <w:t>increasing their likelihood of using cocaine.</w:t>
      </w:r>
      <w:r w:rsidR="00FF4D7D">
        <w:t xml:space="preserve"> </w:t>
      </w:r>
      <w:r w:rsidR="0094262F">
        <w:t xml:space="preserve">Future research can examine that possibility further </w:t>
      </w:r>
      <w:r w:rsidR="005029F5">
        <w:t>using</w:t>
      </w:r>
      <w:r w:rsidR="0094262F">
        <w:t xml:space="preserve"> </w:t>
      </w:r>
      <w:r w:rsidR="00C37238">
        <w:t xml:space="preserve">second-order differences. </w:t>
      </w:r>
    </w:p>
    <w:p w14:paraId="6A90C976" w14:textId="367E4E0B" w:rsidR="0060120E" w:rsidRDefault="0060120E" w:rsidP="00EF36D7">
      <w:pPr>
        <w:pStyle w:val="Heading2"/>
      </w:pPr>
      <w:bookmarkStart w:id="31" w:name="_Toc102664125"/>
      <w:r w:rsidRPr="00D836A8">
        <w:t>Heroin</w:t>
      </w:r>
      <w:bookmarkEnd w:id="31"/>
    </w:p>
    <w:p w14:paraId="5738FFB5" w14:textId="0E36FB67" w:rsidR="00C959CE" w:rsidRDefault="002142D6" w:rsidP="00840A5A">
      <w:r>
        <w:tab/>
        <w:t xml:space="preserve">For this </w:t>
      </w:r>
      <w:r w:rsidR="001E3FAA">
        <w:t>subgroup,</w:t>
      </w:r>
      <w:r>
        <w:t xml:space="preserve"> only </w:t>
      </w:r>
      <w:r>
        <w:rPr>
          <w:i/>
          <w:iCs/>
        </w:rPr>
        <w:t>Hypothesis 1a</w:t>
      </w:r>
      <w:r>
        <w:t xml:space="preserve"> is supported by the results. While young men are significantly more likely to try heroin than young women, there is no signific</w:t>
      </w:r>
      <w:r w:rsidR="006448DB">
        <w:t xml:space="preserve">ant effect on these predicted probabilities for youth from </w:t>
      </w:r>
      <w:r w:rsidR="003D73CC">
        <w:t>egalitarian or patriarchal families</w:t>
      </w:r>
      <w:r w:rsidR="001E4C82">
        <w:t xml:space="preserve">, thus offering no support </w:t>
      </w:r>
      <w:r w:rsidR="001E4C82">
        <w:lastRenderedPageBreak/>
        <w:t xml:space="preserve">for </w:t>
      </w:r>
      <w:r w:rsidR="001E4C82">
        <w:rPr>
          <w:i/>
          <w:iCs/>
        </w:rPr>
        <w:t>Hypothesis 2.</w:t>
      </w:r>
      <w:r w:rsidR="00EB4AFE">
        <w:rPr>
          <w:i/>
          <w:iCs/>
        </w:rPr>
        <w:t xml:space="preserve"> </w:t>
      </w:r>
      <w:r w:rsidR="00EB4AFE">
        <w:t xml:space="preserve">In fact, when examining the gender differences </w:t>
      </w:r>
      <w:r w:rsidR="00C815F2">
        <w:t>among youth from egalitarian or patriarchal homes, a significant gender difference is only seen in youth from egalitarian homes.</w:t>
      </w:r>
      <w:r w:rsidR="001E4C82">
        <w:t xml:space="preserve"> </w:t>
      </w:r>
      <w:r w:rsidR="005B4BD6">
        <w:t>Attitudes toward patriarchal norms also have no significant effect on either young men’s or young women’s predicted probabilities of using cocaine</w:t>
      </w:r>
      <w:r w:rsidR="009C3CBF">
        <w:t xml:space="preserve">, offering no support for </w:t>
      </w:r>
      <w:r w:rsidR="009C3CBF">
        <w:rPr>
          <w:i/>
          <w:iCs/>
        </w:rPr>
        <w:t>Hypothesis 3</w:t>
      </w:r>
      <w:r w:rsidR="005B4BD6">
        <w:t xml:space="preserve">. </w:t>
      </w:r>
      <w:r w:rsidR="009A1C7F">
        <w:t xml:space="preserve">These results, outside of the findings for </w:t>
      </w:r>
      <w:r w:rsidR="009A1C7F">
        <w:rPr>
          <w:i/>
          <w:iCs/>
        </w:rPr>
        <w:t>Hypothesis 1a</w:t>
      </w:r>
      <w:r w:rsidR="009A1C7F">
        <w:t xml:space="preserve">, are inconsistent with the results for the other </w:t>
      </w:r>
      <w:r w:rsidR="001E3FAA">
        <w:t>subgroups.</w:t>
      </w:r>
      <w:r w:rsidR="00A26B4C">
        <w:t xml:space="preserve"> I suspect that this is related to the low number of students who report using heroin. With less than one percent of the entire </w:t>
      </w:r>
      <w:r w:rsidR="001E3FAA">
        <w:t xml:space="preserve">subgroup </w:t>
      </w:r>
      <w:r w:rsidR="00A26B4C">
        <w:t>reporting any heroin use</w:t>
      </w:r>
      <w:r w:rsidR="009E03D2">
        <w:t xml:space="preserve"> (n = 456)</w:t>
      </w:r>
      <w:r w:rsidR="00A26B4C">
        <w:t xml:space="preserve">, </w:t>
      </w:r>
      <w:r w:rsidR="00D61B06">
        <w:t>it is possible that the data do not contain enough information to analyze this relationship properly. It is evident from these results, however, that heroin should be studie</w:t>
      </w:r>
      <w:r w:rsidR="003A2463">
        <w:t>d</w:t>
      </w:r>
      <w:r w:rsidR="00D61B06">
        <w:t xml:space="preserve"> separately from the other illicit substances here, since significantly fewer </w:t>
      </w:r>
      <w:r w:rsidR="00FC3634">
        <w:t>youth report using the substance. Perhaps it is more difficult to obtain, or perhaps there is a stronger stigma surrounding its use.</w:t>
      </w:r>
      <w:r w:rsidR="00170ADE">
        <w:t xml:space="preserve"> Darcy’s </w:t>
      </w:r>
      <w:r w:rsidR="00170ADE">
        <w:fldChar w:fldCharType="begin"/>
      </w:r>
      <w:r w:rsidR="00490F42">
        <w:instrText xml:space="preserve"> ADDIN ZOTERO_ITEM CSL_CITATION {"citationID":"Vt5rI36D","properties":{"formattedCitation":"(Darcy 2018)","plainCitation":"(Darcy 2018)","dontUpdate":true,"noteIndex":0},"citationItems":[{"id":112,"uris":["http://zotero.org/users/9138993/items/LJ77884B"],"itemData":{"id":112,"type":"article-journal","abstract":"This paper highlights a significant gender disparity within Ireland?s illicit drug landscape, which is predominantly composed of men. Irish men?s historical gender invisibility contributed to their predominance as drug users being overlooked. Thus, this paper focuses a masculinities lens on Irish men?s recreational use of illicit drugs, making their drug taking visible as a gendered activity. The study utilised a qualitative methodology, with masculinities theory forming the primary theoretical and analytical lens. Nine focus groups were conducted with Irish men exploring their views on illicit drugs. Twenty in-depth interviews were completed with men who identified as illicit recreational drug users, exploring their drug-taking histories and experiences. Findings demonstrate how the use of illicit drugs can symbolically communicate messages about the drug taker. The study reveals masculinities are an interpretative lens employed by men when trying to understand their own or other men?s drug taking. It is argued that men?s drug taking and masculinities intersect. In homosocial contexts, men?s recreational use of illicit drugs can contribute to them demonstrating masculinities to other drug-taking men; however, outside of these contexts, the same behaviours can be viewed by non-drug takers as emasculating.","container-title":"Irish Journal of Sociology","DOI":"10.1177/0791603517735772","ISSN":"0791-6035","issue":"1","journalAbbreviation":"Irish Journal of Sociology","note":"publisher: SAGE Publications Ltd","page":"5-24","source":"SAGE Journals","title":"Making the invisible visible: Masculinities and men’s illicit recreational drug use","title-short":"Making the invisible visible","volume":"26","author":[{"family":"Darcy","given":"Clay"}],"issued":{"date-parts":[["2018",4,1]]}}}],"schema":"https://github.com/citation-style-language/schema/raw/master/csl-citation.json"} </w:instrText>
      </w:r>
      <w:r w:rsidR="00170ADE">
        <w:fldChar w:fldCharType="separate"/>
      </w:r>
      <w:r w:rsidR="00170ADE" w:rsidRPr="00170ADE">
        <w:t>(2018)</w:t>
      </w:r>
      <w:r w:rsidR="00170ADE">
        <w:fldChar w:fldCharType="end"/>
      </w:r>
      <w:r w:rsidR="00FC3634">
        <w:t xml:space="preserve"> </w:t>
      </w:r>
      <w:r w:rsidR="00955185">
        <w:t>research on masculinity and illicit substance use also discusses the st</w:t>
      </w:r>
      <w:r w:rsidR="0090160F">
        <w:t>ereotypes surrounding heroin. Men in Darcy’s (2018) study explain that heroin is deemed a “harder” drug than cocaine</w:t>
      </w:r>
      <w:r w:rsidR="001060F2">
        <w:t xml:space="preserve"> and marijuana and is met with greater disapproval and harsher stereotypes. </w:t>
      </w:r>
      <w:r w:rsidR="0073503C">
        <w:t xml:space="preserve">While men who used cocaine were often lauded as being rich, masculine, and impressive, </w:t>
      </w:r>
      <w:r w:rsidR="00EB0F14">
        <w:t>heroin use was deemed as unacceptable and men who used heroin</w:t>
      </w:r>
      <w:r w:rsidR="00BE06B0">
        <w:t xml:space="preserve"> were referred to as scumbags, junkies</w:t>
      </w:r>
      <w:r w:rsidR="009922FE">
        <w:t xml:space="preserve">, and </w:t>
      </w:r>
      <w:r w:rsidR="009922FE">
        <w:rPr>
          <w:i/>
          <w:iCs/>
        </w:rPr>
        <w:t>less</w:t>
      </w:r>
      <w:r w:rsidR="009922FE">
        <w:t xml:space="preserve"> masculine than men who used “softer” drugs like cocaine or marijuana</w:t>
      </w:r>
      <w:r w:rsidR="00B218C4">
        <w:t xml:space="preserve"> </w:t>
      </w:r>
      <w:r w:rsidR="00B218C4">
        <w:fldChar w:fldCharType="begin"/>
      </w:r>
      <w:r w:rsidR="00B218C4">
        <w:instrText xml:space="preserve"> ADDIN ZOTERO_ITEM CSL_CITATION {"citationID":"N58cj0x3","properties":{"formattedCitation":"(Darcy 2018)","plainCitation":"(Darcy 2018)","noteIndex":0},"citationItems":[{"id":112,"uris":["http://zotero.org/users/9138993/items/LJ77884B"],"itemData":{"id":112,"type":"article-journal","abstract":"This paper highlights a significant gender disparity within Ireland?s illicit drug landscape, which is predominantly composed of men. Irish men?s historical gender invisibility contributed to their predominance as drug users being overlooked. Thus, this paper focuses a masculinities lens on Irish men?s recreational use of illicit drugs, making their drug taking visible as a gendered activity. The study utilised a qualitative methodology, with masculinities theory forming the primary theoretical and analytical lens. Nine focus groups were conducted with Irish men exploring their views on illicit drugs. Twenty in-depth interviews were completed with men who identified as illicit recreational drug users, exploring their drug-taking histories and experiences. Findings demonstrate how the use of illicit drugs can symbolically communicate messages about the drug taker. The study reveals masculinities are an interpretative lens employed by men when trying to understand their own or other men?s drug taking. It is argued that men?s drug taking and masculinities intersect. In homosocial contexts, men?s recreational use of illicit drugs can contribute to them demonstrating masculinities to other drug-taking men; however, outside of these contexts, the same behaviours can be viewed by non-drug takers as emasculating.","container-title":"Irish Journal of Sociology","DOI":"10.1177/0791603517735772","ISSN":"0791-6035","issue":"1","journalAbbreviation":"Irish Journal of Sociology","note":"publisher: SAGE Publications Ltd","page":"5-24","source":"SAGE Journals","title":"Making the invisible visible: Masculinities and men’s illicit recreational drug use","title-short":"Making the invisible visible","volume":"26","author":[{"family":"Darcy","given":"Clay"}],"issued":{"date-parts":[["2018",4,1]]}}}],"schema":"https://github.com/citation-style-language/schema/raw/master/csl-citation.json"} </w:instrText>
      </w:r>
      <w:r w:rsidR="00B218C4">
        <w:fldChar w:fldCharType="separate"/>
      </w:r>
      <w:r w:rsidR="00B218C4" w:rsidRPr="00B218C4">
        <w:t>(Darcy 2018)</w:t>
      </w:r>
      <w:r w:rsidR="00B218C4">
        <w:fldChar w:fldCharType="end"/>
      </w:r>
      <w:r w:rsidR="00B218C4">
        <w:t>.</w:t>
      </w:r>
      <w:r w:rsidR="00EB0F14">
        <w:t xml:space="preserve"> </w:t>
      </w:r>
      <w:r w:rsidR="00490C4F">
        <w:t xml:space="preserve">Thus, the stigmas and stereotypes surrounding heroin use may be deterring youth from using the substance. </w:t>
      </w:r>
      <w:r w:rsidR="00FC3634">
        <w:t>Fu</w:t>
      </w:r>
      <w:r w:rsidR="00C959CE">
        <w:t>ture</w:t>
      </w:r>
      <w:r w:rsidR="00FC3634">
        <w:t xml:space="preserve"> research can examine the patterns of heroin use amongst youth </w:t>
      </w:r>
      <w:r w:rsidR="00C959CE">
        <w:t xml:space="preserve">further. </w:t>
      </w:r>
    </w:p>
    <w:p w14:paraId="4E99E80D" w14:textId="0EC09F46" w:rsidR="00840A5A" w:rsidRDefault="00840A5A" w:rsidP="00EF36D7">
      <w:pPr>
        <w:pStyle w:val="Heading2"/>
      </w:pPr>
      <w:bookmarkStart w:id="32" w:name="_Toc102664126"/>
      <w:r w:rsidRPr="00C959CE">
        <w:t>Narcotics</w:t>
      </w:r>
      <w:bookmarkEnd w:id="32"/>
    </w:p>
    <w:p w14:paraId="08FAF262" w14:textId="00320B21" w:rsidR="00C959CE" w:rsidRDefault="00C959CE" w:rsidP="00840A5A">
      <w:r>
        <w:tab/>
      </w:r>
      <w:r w:rsidR="00A83F82">
        <w:t xml:space="preserve">Finally, results from the narcotics </w:t>
      </w:r>
      <w:r w:rsidR="001E3FAA">
        <w:t xml:space="preserve">subgroup </w:t>
      </w:r>
      <w:r w:rsidR="00A83F82">
        <w:t xml:space="preserve">are </w:t>
      </w:r>
      <w:proofErr w:type="gramStart"/>
      <w:r w:rsidR="00A83F82">
        <w:t>similar to</w:t>
      </w:r>
      <w:proofErr w:type="gramEnd"/>
      <w:r w:rsidR="00A83F82">
        <w:t xml:space="preserve"> the results seen in the marijuana and cocaine </w:t>
      </w:r>
      <w:r w:rsidR="001E3FAA">
        <w:t>subgroups</w:t>
      </w:r>
      <w:r w:rsidR="00A83F82">
        <w:t xml:space="preserve">. </w:t>
      </w:r>
      <w:r w:rsidR="00A83F82">
        <w:rPr>
          <w:i/>
          <w:iCs/>
        </w:rPr>
        <w:t>Hypothesis 1a</w:t>
      </w:r>
      <w:r w:rsidR="00A83F82">
        <w:t xml:space="preserve"> is supported, as there are significant gender differences in the use of illicit narcotics. </w:t>
      </w:r>
      <w:r w:rsidR="00BB322E">
        <w:rPr>
          <w:i/>
          <w:iCs/>
        </w:rPr>
        <w:t>Hypothesis 2</w:t>
      </w:r>
      <w:r w:rsidR="00BB322E">
        <w:t xml:space="preserve"> is </w:t>
      </w:r>
      <w:r w:rsidR="009E03D2">
        <w:t>not supported.</w:t>
      </w:r>
      <w:r w:rsidR="00BB322E">
        <w:t xml:space="preserve"> Coming from a </w:t>
      </w:r>
      <w:r w:rsidR="00BB322E">
        <w:lastRenderedPageBreak/>
        <w:t xml:space="preserve">patriarchal family has a significantly negative effect on the predicted probabilities for young women’s use of narcotics, but family structure has no significant effect on young men’s predictions. </w:t>
      </w:r>
      <w:r w:rsidR="0073334B">
        <w:t>Despite the statistically significant effect of family structure on young women’s use of narcotics, there is no statistically significant effect on the second-order gender differences</w:t>
      </w:r>
      <w:r w:rsidR="00326BBA">
        <w:t xml:space="preserve">. </w:t>
      </w:r>
      <w:r w:rsidR="0089353E">
        <w:t>Here, I suspect</w:t>
      </w:r>
      <w:r w:rsidR="002343D3">
        <w:t>, as mentioned above, that family structure may not be an accurate measure of masculinity</w:t>
      </w:r>
      <w:r w:rsidR="00326BBA">
        <w:t xml:space="preserve">. </w:t>
      </w:r>
      <w:r w:rsidR="00766648">
        <w:t>Previous research on</w:t>
      </w:r>
      <w:r w:rsidR="00523586">
        <w:t xml:space="preserve"> the intersection of</w:t>
      </w:r>
      <w:r w:rsidR="00766648">
        <w:t xml:space="preserve"> mas</w:t>
      </w:r>
      <w:r w:rsidR="00DE05CB">
        <w:t>culinity and illicit substance use has been primarily</w:t>
      </w:r>
      <w:r w:rsidR="001659FB">
        <w:t xml:space="preserve"> </w:t>
      </w:r>
      <w:r w:rsidR="00DE05CB">
        <w:t>qualitative</w:t>
      </w:r>
      <w:r w:rsidR="00523586">
        <w:t xml:space="preserve"> </w:t>
      </w:r>
      <w:r w:rsidR="00523586">
        <w:fldChar w:fldCharType="begin"/>
      </w:r>
      <w:r w:rsidR="00523586">
        <w:instrText xml:space="preserve"> ADDIN ZOTERO_ITEM CSL_CITATION {"citationID":"UOJaFe4d","properties":{"formattedCitation":"(Dahl and Sandberg 2015; Darcy 2020, 2020; Haines et al. 2009; Kolar 2021)","plainCitation":"(Dahl and Sandberg 2015; Darcy 2020, 2020; Haines et al. 2009; Kolar 2021)","noteIndex":0},"citationItems":[{"id":165,"uris":["http://zotero.org/users/9138993/items/724NCNBS"],"itemData":{"id":165,"type":"article-journal","abstract":"Cannabis is sometimes associated with feminine or gender neutral values. Still, most cannabis users are male, and in our data cannabis use is associated with masculinity. In qualitative interviews with 19 female users and a larger sample of male users in Norway, four aspects of cannabis using practices were described as feminine: not providing cannabis, being less involved in cannabis user networks, not handling the drug effects and being concerned about control. Some women challenged gendered expectations and presented themselves as alternative, tough and rebellious through cannabis use. We explore how women navigate through a gendered drug culture, and study how femininities and masculinities are enacted, challenged and recast in a Scandinavian context characterized by gender equality and an anti-drugs culture. We argue that a new egalitarian form of masculinity is getting increasingly important. Still, female users often end up enacting traditional femininities when using cannabis.","container-title":"Sociology","ISSN":"0038-0385","issue":"4","note":"publisher: Sage Publications, Ltd.","page":"696-711","source":"JSTOR","title":"Female Cannabis Users and New Masculinities: The Gendering of Cannabis Use","title-short":"Female Cannabis Users and New Masculinities","volume":"49","author":[{"family":"Dahl","given":"Silje Louise"},{"family":"Sandberg","given":"Sveinung"}],"issued":{"date-parts":[["2015"]]}}},{"id":110,"uris":["http://zotero.org/users/9138993/items/XTD3HEAU"],"itemData":{"id":110,"type":"article-journal","abstract":"The purpose of this article is to explore the motivations behind some men’s recreational use of illicit drugs from a gender standpoint. The rationale for this analysis stems from men’s predominance as illicit drug users and their likelihood of experiencing problem drug use and becoming a part of an over-represented population in drug treatment services. Explanations for men’s problematic/addicted patterns of drug use often point to marginalisation, disadvantage, and/or men’s tendency towards problematic health behaviours. This article argues that men’s illicit recreational drug use is often glossed over as a gendered activity and receives less scrutiny than problematic/addicted patterns of drug taking. It examines the drug-taking motivations of 20 Irish men who identified as illicit recreational drug users to expand on and deepen current explanations for men’s illicit recreational drug use. The article demonstrates how men engage in drug use for complex and contradictory reasons that include embodied quests for pleasure and excitement, achieving connection with other men, and performing or contravening masculinities in homosocial contexts.","container-title":"Sociological Research Online","DOI":"10.1177/1360780419879940","ISSN":"1360-7804","issue":"3","journalAbbreviation":"Sociological Research Online","language":"en","note":"publisher: SAGE Publications Ltd","page":"421-437","source":"SAGE Journals","title":"Men and the Drug Buzz: Masculinity and Men’s Motivations for Illicit Recreational Drug Use","title-short":"Men and the Drug Buzz","volume":"25","author":[{"family":"Darcy","given":"Clay"}],"issued":{"date-parts":[["2020",9,1]]}}},{"id":110,"uris":["http://zotero.org/users/9138993/items/XTD3HEAU"],"itemData":{"id":110,"type":"article-journal","abstract":"The purpose of this article is to explore the motivations behind some men’s recreational use of illicit drugs from a gender standpoint. The rationale for this analysis stems from men’s predominance as illicit drug users and their likelihood of experiencing problem drug use and becoming a part of an over-represented population in drug treatment services. Explanations for men’s problematic/addicted patterns of drug use often point to marginalisation, disadvantage, and/or men’s tendency towards problematic health behaviours. This article argues that men’s illicit recreational drug use is often glossed over as a gendered activity and receives less scrutiny than problematic/addicted patterns of drug taking. It examines the drug-taking motivations of 20 Irish men who identified as illicit recreational drug users to expand on and deepen current explanations for men’s illicit recreational drug use. The article demonstrates how men engage in drug use for complex and contradictory reasons that include embodied quests for pleasure and excitement, achieving connection with other men, and performing or contravening masculinities in homosocial contexts.","container-title":"Sociological Research Online","DOI":"10.1177/1360780419879940","ISSN":"1360-7804","issue":"3","journalAbbreviation":"Sociological Research Online","language":"en","note":"publisher: SAGE Publications Ltd","page":"421-437","source":"SAGE Journals","title":"Men and the Drug Buzz: Masculinity and Men’s Motivations for Illicit Recreational Drug Use","title-short":"Men and the Drug Buzz","volume":"25","author":[{"family":"Darcy","given":"Clay"}],"issued":{"date-parts":[["2020",9,1]]}}},{"id":9,"uris":["http://zotero.org/users/9138993/items/ZE7E6FAE"],"itemData":{"id":9,"type":"article-journal","abstract":"In this paper we report on findings from a qualitative study of marijuana use by adolescents in two communities in British Columbia, Canada. During 2005 and 2006, 45 interviews were carried out at schools with students aged 13–18, with an aim of understanding how adolescents perceive their experiences with marijuana to be shaped by gender. While it has been established that patterns of use differ for girls and boys, there is relatively little qualitative research addressing marijuana smoking as gendered social practice. Drawing from contemporary social theories of gender our analysis explores the normative functions of gender discourse within adolescents' narratives, situating their descriptions of marijuana use within the context of the research interview and within the social contexts of drug use. The results highlight the challenges we encountered in asking about gender during one-to-one interviews, juxtaposed with examples from the narratives that illustrate how boys and girls use marijuana as a way of “doing” gender. To conclude, we suggest how our findings can inform the design of gender-specific health messaging on adolescent marijuana use.","container-title":"Social Science &amp; Medicine","DOI":"10.1016/j.socscimed.2009.03.003","ISSN":"0277-9536","issue":"11","journalAbbreviation":"Social Science &amp; Medicine","language":"en","page":"2029-2036","source":"ScienceDirect","title":"“I couldn't say, I'm not a girl” – Adolescents talk about gender and marijuana use","volume":"68","author":[{"family":"Haines","given":"Rebecca J."},{"family":"Johnson","given":"Joy L."},{"family":"Carter","given":"Connie I."},{"family":"Arora","given":"Kamal"}],"issued":{"date-parts":[["2009",6,1]]}}},{"id":19,"uris":["http://zotero.org/users/9138993/items/DH2G2MC9"],"itemData":{"id":19,"type":"article-journal","abstract":"In the present study, I investigate how often unacknowledged gendered norms shape young women’s use of and access to illicit cannabis. I apply a “doing gender” approach to analyse 58 interviews conducted with cannabis using and non-using female and male college students in Canada in 2012, a time when nonmedical cannabis possession and supply were illegal. I identify prominent gendered norms and stereotypes that are critical of women’s use and that create barriers to women’s participation as either buyers or dealers in the illicit cannabis market. I show how these norms reinforce associations of cannabis use with masculinity and how they may direct social pressure against women’s use. I engage with Deutsch's (2007) concept of “undoing” gender to provide a novel contribution to research on cannabis by illustrating women’s strategies for resisting derogatory stereotypes. I highlight how women resist stigmatization of their use in the university context by drawing on presentations of social belonging, particularly scholastic success. However, I show that women may reinforce other stereotypes when appealing to such strategies. Legalization of nonmedical cannabis will create regulated commercial access alternatives to the highly gendered barriers that characterize illicit cannabis markets. My analysis suggests some increase in women’s cannabis use may be expected as a result, although deeply embedded gender norms are likely to maintain downward social pressure on women’s rates of use.","container-title":"Sex Roles","DOI":"10.1007/s11199-020-01176-4","ISSN":"1573-2762","issue":"7","journalAbbreviation":"Sex Roles","language":"en","page":"418-438","source":"Springer Link","title":"Women’s Use of and Access to Illicit Cannabis: An Investigation of Gendered Norms among College Students in Canada","title-short":"Women’s Use of and Access to Illicit Cannabis","volume":"84","author":[{"family":"Kolar","given":"Kat"}],"issued":{"date-parts":[["2021",4,1]]}}}],"schema":"https://github.com/citation-style-language/schema/raw/master/csl-citation.json"} </w:instrText>
      </w:r>
      <w:r w:rsidR="00523586">
        <w:fldChar w:fldCharType="separate"/>
      </w:r>
      <w:r w:rsidR="00523586" w:rsidRPr="00523586">
        <w:t>(Dahl and Sandberg 2015; Darcy 2020, 2020; Haines et al. 2009; Kolar 2021)</w:t>
      </w:r>
      <w:r w:rsidR="00523586">
        <w:fldChar w:fldCharType="end"/>
      </w:r>
      <w:r w:rsidR="005045EF">
        <w:t xml:space="preserve">. </w:t>
      </w:r>
      <w:r w:rsidR="00804966">
        <w:t>These qualitative projects allow for a more conceptualized idea of masculinity and can explore its intersection with illicit substance use more freely than quantitative work</w:t>
      </w:r>
      <w:r w:rsidR="005B642C">
        <w:t>. While some research has quantified masculinity</w:t>
      </w:r>
      <w:r w:rsidR="007730BE">
        <w:t xml:space="preserve">, </w:t>
      </w:r>
      <w:r w:rsidR="006E50E5">
        <w:t>the data in these studies w</w:t>
      </w:r>
      <w:r w:rsidR="00482531">
        <w:t>ere</w:t>
      </w:r>
      <w:r w:rsidR="006E50E5">
        <w:t xml:space="preserve"> gathered from surveys tailored to gather information specifically related to masculinity </w:t>
      </w:r>
      <w:r w:rsidR="006E50E5">
        <w:fldChar w:fldCharType="begin"/>
      </w:r>
      <w:r w:rsidR="006E50E5">
        <w:instrText xml:space="preserve"> ADDIN ZOTERO_ITEM CSL_CITATION {"citationID":"fNc9lESl","properties":{"formattedCitation":"(Offer and Kaplan 2021; Willer et al. 2013)","plainCitation":"(Offer and Kaplan 2021; Willer et al. 2013)","noteIndex":0},"citationItems":[{"id":319,"uris":["http://zotero.org/users/9138993/items/MQGW2ERE"],"itemData":{"id":319,"type":"article-journal","abstract":"Current research demonstrates a gap between widely shared ideals of new fatherhood and men’s limited participation in childcare. Previous studies treat gender attitudes primarily in terms of work and family roles. In contrast, this study centers on perceptions of masculinity as a broader cultural-ideological construct. Specifically, it focuses on “new masculinity ideology,” a previously unexplored masculinity perspective associated with values such as authenticity, emotional expressivity, and holistic self-awareness. Using a sample of around 1,400 employed fathers in the United States drawn from the AmeriSpeak Panel conducted by the National Opinion Research Center, we examined how identification with new masculinity relates to gender role attitudes and three childcare involvement outcomes. Results from moderation analyses based on the computation of simple slopes show that new masculinity played an important role in emotional engagement and parental responsibility but not in routine care. New masculinity moderated the association between father involvement attitudes and childcare outcomes, suggesting that fathers who endorse this ideology are more likely to act in ways that are congruent with their inner beliefs. The breadwinning role appeared to remain important. This study highlights the ways in which the often confounded images of the “new man” and “new father” are conceptually distinct.","container-title":"Social Problems","DOI":"10.1093/socpro/spab015","ISSN":"0037-7791","issue":"4","journalAbbreviation":"Social Problems","page":"986-1009","source":"Silverchair","title":"The “New Father” Between Ideals and Practices: New Masculinity Ideology, Gender Role Attitudes, and Fathers’ Involvement in Childcare","title-short":"The “New Father” Between Ideals and Practices","volume":"68","author":[{"family":"Offer","given":"Shira"},{"family":"Kaplan","given":"Danny"}],"issued":{"date-parts":[["2021",11,1]]}}},{"id":74,"uris":["http://zotero.org/users/9138993/items/IJS4676L"],"itemData":{"id":74,"type":"article-journal","container-title":"American Journal of Sociology","issue":"4","page":"980-1022","title":"Overdoing Gender: A Test of the Masculine Overcompensation Thesis","volume":"118","author":[{"family":"Willer","given":"Robb"},{"family":"Rogalin","given":"Christabel L"},{"family":"Conlon","given":"Bridget"},{"family":"Wojnowicz","given":"Michael T."}],"issued":{"date-parts":[["2013"]]}}}],"schema":"https://github.com/citation-style-language/schema/raw/master/csl-citation.json"} </w:instrText>
      </w:r>
      <w:r w:rsidR="006E50E5">
        <w:fldChar w:fldCharType="separate"/>
      </w:r>
      <w:r w:rsidR="006E50E5" w:rsidRPr="006E50E5">
        <w:t>(Offer and Kaplan 2021; Willer et al. 2013)</w:t>
      </w:r>
      <w:r w:rsidR="006E50E5">
        <w:fldChar w:fldCharType="end"/>
      </w:r>
      <w:r w:rsidR="00CA143F">
        <w:t xml:space="preserve">. No studies to my knowledge explore the intersection of masculinity and </w:t>
      </w:r>
      <w:r w:rsidR="005B0653">
        <w:t xml:space="preserve">illicit </w:t>
      </w:r>
      <w:r w:rsidR="00CA143F">
        <w:t xml:space="preserve">substance use using quantitative data. The survey </w:t>
      </w:r>
      <w:r w:rsidR="007A04EF">
        <w:t>used in this research incl</w:t>
      </w:r>
      <w:r w:rsidR="005E3AF8">
        <w:t>udes questions about</w:t>
      </w:r>
      <w:r w:rsidR="007A04EF">
        <w:t xml:space="preserve"> gender ideology and family structure, and while family structure may influence </w:t>
      </w:r>
      <w:r w:rsidR="00AF7311">
        <w:t>youths’</w:t>
      </w:r>
      <w:r w:rsidR="00FF34B8">
        <w:t xml:space="preserve"> concepts of masculinity, it is an indirect and imperfect measure. </w:t>
      </w:r>
    </w:p>
    <w:p w14:paraId="4DC8B54A" w14:textId="089BC624" w:rsidR="00530E08" w:rsidRDefault="0056006C" w:rsidP="00530E08">
      <w:r>
        <w:tab/>
        <w:t xml:space="preserve">The results surrounding </w:t>
      </w:r>
      <w:r>
        <w:rPr>
          <w:i/>
          <w:iCs/>
        </w:rPr>
        <w:t>Hypothesis 3</w:t>
      </w:r>
      <w:r>
        <w:t xml:space="preserve"> are intriguing, as they support the claim of the hypothesis, but not in the way I anticipated. </w:t>
      </w:r>
      <w:r w:rsidR="007B51CC">
        <w:t>Attitudes towards patriarchal norms have no significant effect on young women’s pred</w:t>
      </w:r>
      <w:r w:rsidR="00581B3E">
        <w:t xml:space="preserve">icted probabilities; however, the significant effect that attitudes towards </w:t>
      </w:r>
      <w:r w:rsidR="008B1E0C">
        <w:t xml:space="preserve">patriarchal </w:t>
      </w:r>
      <w:r w:rsidR="00581B3E">
        <w:t xml:space="preserve">norms </w:t>
      </w:r>
      <w:r w:rsidR="00581B3E">
        <w:rPr>
          <w:i/>
          <w:iCs/>
        </w:rPr>
        <w:t xml:space="preserve">do </w:t>
      </w:r>
      <w:r w:rsidR="00581B3E">
        <w:t>have on young men are so strong that they create a significant second-ord</w:t>
      </w:r>
      <w:r w:rsidR="00026E05">
        <w:t xml:space="preserve">er difference. </w:t>
      </w:r>
      <w:r w:rsidR="008B1E0C">
        <w:t xml:space="preserve">In other words, the </w:t>
      </w:r>
      <w:r w:rsidR="00BB77D0">
        <w:t xml:space="preserve">negative effect that disagreeing with patriarchal norms has on young men’s predictions for trying illicit narcotics is so strong that </w:t>
      </w:r>
      <w:r w:rsidR="000064DF">
        <w:t xml:space="preserve">it creates a significantly smaller gender difference in the use of narcotics when compared to youth who agree with patriarchal norms. In the previous </w:t>
      </w:r>
      <w:r w:rsidR="00496713">
        <w:t xml:space="preserve">subgroups </w:t>
      </w:r>
      <w:r w:rsidR="000064DF">
        <w:t xml:space="preserve">(excluding the results of the heroin </w:t>
      </w:r>
      <w:r w:rsidR="00496713">
        <w:lastRenderedPageBreak/>
        <w:t>subgroup</w:t>
      </w:r>
      <w:r w:rsidR="000064DF">
        <w:t xml:space="preserve">), </w:t>
      </w:r>
      <w:r w:rsidR="0054442C">
        <w:t xml:space="preserve">the significant difference in the gender gaps is </w:t>
      </w:r>
      <w:r w:rsidR="008846D8">
        <w:t xml:space="preserve">contributed to </w:t>
      </w:r>
      <w:r w:rsidR="0054442C">
        <w:t xml:space="preserve">by both a significant decrease in predictions for young men and a significant increase in young women who </w:t>
      </w:r>
      <w:r w:rsidR="00A13F89">
        <w:t xml:space="preserve">disagree with gender norms when compared to youth who agree with such norms. For the narcotics </w:t>
      </w:r>
      <w:r w:rsidR="00496713">
        <w:t>subgroup</w:t>
      </w:r>
      <w:r w:rsidR="00A13F89">
        <w:t xml:space="preserve">, however, this significant second-order difference is due entirely to the effect that beliefs in patriarchal norms have on young men. </w:t>
      </w:r>
      <w:r w:rsidR="005C0FDF">
        <w:t xml:space="preserve">Very little research on </w:t>
      </w:r>
      <w:r w:rsidR="00820F74">
        <w:t>masculinity</w:t>
      </w:r>
      <w:r w:rsidR="004C003F">
        <w:t xml:space="preserve"> and narcotics use </w:t>
      </w:r>
      <w:r w:rsidR="00B65185">
        <w:t xml:space="preserve">exists, </w:t>
      </w:r>
      <w:r w:rsidR="003F4D31">
        <w:t xml:space="preserve">though one study examining gender differences in narcotics use </w:t>
      </w:r>
      <w:r w:rsidR="00820F74">
        <w:t xml:space="preserve">finds that </w:t>
      </w:r>
      <w:r w:rsidR="00285AF5">
        <w:t xml:space="preserve">adolescent use of </w:t>
      </w:r>
      <w:r w:rsidR="009156A9">
        <w:t>nonmedical prescription opioid</w:t>
      </w:r>
      <w:r w:rsidR="00DC3ADF">
        <w:t>s is influenced by peer</w:t>
      </w:r>
      <w:r w:rsidR="00BC6168">
        <w:t xml:space="preserve"> and parent pressure </w:t>
      </w:r>
      <w:r w:rsidR="00BC6168">
        <w:fldChar w:fldCharType="begin"/>
      </w:r>
      <w:r w:rsidR="00BC6168">
        <w:instrText xml:space="preserve"> ADDIN ZOTERO_ITEM CSL_CITATION {"citationID":"wR0XGXaf","properties":{"formattedCitation":"(Egan et al. 2019)","plainCitation":"(Egan et al. 2019)","noteIndex":0},"citationItems":[{"id":322,"uris":["http://zotero.org/users/9138993/items/XDHGUTX7"],"itemData":{"id":322,"type":"article-journal","abstract":"This study examined risk factors of nonmedical prescription opioid use (NMPOU) among adolescents and how risk factors differ by gender. In the fall of 2017, adolescents attending 6th through 12th grades across 44 schools in 10 south central Kentucky counties were invited to participate in an anonymous, school-based survey. A total of 11,761 adolescents completed the survey. Logistic regression was conducted to examine the association between NMPOU and constructs of the Theory of Reasoned Action (i.e., attitudes and subjective norms), descriptive norms (i.e., peer use), and parental control of prescription medications in the home. There were 297 (2.7%) adolescents who reported NMPOU in the past 12 months. In the adjusted multivariate logistic regression model, for both males and females, the adolescents who perceived that more of their peers engaged in NMPOU were significantly more likely to endorse NMPOU, whereas male and female adolescents who perceived their peers disapproved of use were significantly less likely to report NMPOU. Parent disapproval was significantly associated with decreased NMPOU for females only. Moderated regression analyses revealed that gender moderated the relationship between parental disapproval and NMPOU. We found that during adolescence, NMPOU is influenced by peer norms for both genders and parental norms for females. These results indicate that prevention efforts should focus on changing adolescents’ peer and parental norms related to NMPOU.","container-title":"Prevention Science","DOI":"10.1007/s11121-019-0982-1","ISSN":"1573-6695","issue":"5","journalAbbreviation":"Prev Sci","language":"en","page":"665-673","source":"Springer Link","title":"Power of the Peer and Parent: Gender Differences, Norms, and Nonmedical Prescription Opioid Use Among Adolescents in South Central Kentucky","title-short":"Power of the Peer and Parent","volume":"20","author":[{"family":"Egan","given":"Kathleen L."},{"family":"Gregory","given":"Eric"},{"family":"Osborne","given":"Vicki L."},{"family":"Cottler","given":"Linda B."}],"issued":{"date-parts":[["2019",7,1]]}}}],"schema":"https://github.com/citation-style-language/schema/raw/master/csl-citation.json"} </w:instrText>
      </w:r>
      <w:r w:rsidR="00BC6168">
        <w:fldChar w:fldCharType="separate"/>
      </w:r>
      <w:r w:rsidR="00BC6168" w:rsidRPr="00BC6168">
        <w:t>(Egan et al. 2019)</w:t>
      </w:r>
      <w:r w:rsidR="00BC6168">
        <w:fldChar w:fldCharType="end"/>
      </w:r>
      <w:r w:rsidR="00BC6168">
        <w:t>. Youth whose peers engaged in using</w:t>
      </w:r>
      <w:r w:rsidR="007939D9">
        <w:t xml:space="preserve"> such substances were more likely to report using prescription opi</w:t>
      </w:r>
      <w:r w:rsidR="00A21183">
        <w:t xml:space="preserve">oids, while youth whose peers did not use opioids were less likely to </w:t>
      </w:r>
      <w:r w:rsidR="00261D9B">
        <w:t xml:space="preserve">report using opioids. Parental disapproval, however, was a stronger deterrent for young women than it was for young men </w:t>
      </w:r>
      <w:r w:rsidR="00261D9B">
        <w:fldChar w:fldCharType="begin"/>
      </w:r>
      <w:r w:rsidR="00261D9B">
        <w:instrText xml:space="preserve"> ADDIN ZOTERO_ITEM CSL_CITATION {"citationID":"tPKgg9bM","properties":{"formattedCitation":"(Egan et al. 2019)","plainCitation":"(Egan et al. 2019)","noteIndex":0},"citationItems":[{"id":322,"uris":["http://zotero.org/users/9138993/items/XDHGUTX7"],"itemData":{"id":322,"type":"article-journal","abstract":"This study examined risk factors of nonmedical prescription opioid use (NMPOU) among adolescents and how risk factors differ by gender. In the fall of 2017, adolescents attending 6th through 12th grades across 44 schools in 10 south central Kentucky counties were invited to participate in an anonymous, school-based survey. A total of 11,761 adolescents completed the survey. Logistic regression was conducted to examine the association between NMPOU and constructs of the Theory of Reasoned Action (i.e., attitudes and subjective norms), descriptive norms (i.e., peer use), and parental control of prescription medications in the home. There were 297 (2.7%) adolescents who reported NMPOU in the past 12 months. In the adjusted multivariate logistic regression model, for both males and females, the adolescents who perceived that more of their peers engaged in NMPOU were significantly more likely to endorse NMPOU, whereas male and female adolescents who perceived their peers disapproved of use were significantly less likely to report NMPOU. Parent disapproval was significantly associated with decreased NMPOU for females only. Moderated regression analyses revealed that gender moderated the relationship between parental disapproval and NMPOU. We found that during adolescence, NMPOU is influenced by peer norms for both genders and parental norms for females. These results indicate that prevention efforts should focus on changing adolescents’ peer and parental norms related to NMPOU.","container-title":"Prevention Science","DOI":"10.1007/s11121-019-0982-1","ISSN":"1573-6695","issue":"5","journalAbbreviation":"Prev Sci","language":"en","page":"665-673","source":"Springer Link","title":"Power of the Peer and Parent: Gender Differences, Norms, and Nonmedical Prescription Opioid Use Among Adolescents in South Central Kentucky","title-short":"Power of the Peer and Parent","volume":"20","author":[{"family":"Egan","given":"Kathleen L."},{"family":"Gregory","given":"Eric"},{"family":"Osborne","given":"Vicki L."},{"family":"Cottler","given":"Linda B."}],"issued":{"date-parts":[["2019",7,1]]}}}],"schema":"https://github.com/citation-style-language/schema/raw/master/csl-citation.json"} </w:instrText>
      </w:r>
      <w:r w:rsidR="00261D9B">
        <w:fldChar w:fldCharType="separate"/>
      </w:r>
      <w:r w:rsidR="00261D9B" w:rsidRPr="00261D9B">
        <w:t>(Egan et al. 2019)</w:t>
      </w:r>
      <w:r w:rsidR="00261D9B">
        <w:fldChar w:fldCharType="end"/>
      </w:r>
      <w:r w:rsidR="00C01BEF">
        <w:t>. It is possible that peer use amongst boys may involve aspects of masculinity that are not measured in the study. Future research can examine how gender norms and masculinity influence adolescents use of narcotics</w:t>
      </w:r>
      <w:r w:rsidR="0064738C">
        <w:t xml:space="preserve">. </w:t>
      </w:r>
    </w:p>
    <w:p w14:paraId="1B566A9F" w14:textId="7D0409C3" w:rsidR="00010240" w:rsidRDefault="00010240" w:rsidP="00EF36D7">
      <w:pPr>
        <w:pStyle w:val="Heading2"/>
      </w:pPr>
      <w:bookmarkStart w:id="33" w:name="_Toc102664127"/>
      <w:r>
        <w:t>Summary of Overall Findings</w:t>
      </w:r>
      <w:bookmarkEnd w:id="33"/>
    </w:p>
    <w:p w14:paraId="6C48E73E" w14:textId="6171E9D3" w:rsidR="000769D8" w:rsidRDefault="00010240" w:rsidP="00530E08">
      <w:r>
        <w:tab/>
        <w:t xml:space="preserve">Overall, </w:t>
      </w:r>
      <w:r w:rsidR="000769D8">
        <w:t xml:space="preserve">across all </w:t>
      </w:r>
      <w:r w:rsidR="00496713">
        <w:t>subgroups</w:t>
      </w:r>
      <w:r w:rsidR="000769D8">
        <w:t xml:space="preserve">, there is a significant gender difference in substance use, despite the change in marijuana’s illicitness in recent years. </w:t>
      </w:r>
      <w:r w:rsidR="00200E91">
        <w:rPr>
          <w:i/>
          <w:iCs/>
        </w:rPr>
        <w:t>Hypothesis 1a</w:t>
      </w:r>
      <w:r w:rsidR="00200E91">
        <w:t xml:space="preserve"> is supported across all corresponding </w:t>
      </w:r>
      <w:r w:rsidR="008A0B13">
        <w:t>subgroups</w:t>
      </w:r>
      <w:r w:rsidR="00200E91">
        <w:t xml:space="preserve">, while </w:t>
      </w:r>
      <w:r w:rsidR="00200E91">
        <w:rPr>
          <w:i/>
          <w:iCs/>
        </w:rPr>
        <w:t>Hypothesis 1b</w:t>
      </w:r>
      <w:r w:rsidR="00200E91">
        <w:t xml:space="preserve"> is not supported. </w:t>
      </w:r>
      <w:r w:rsidR="00200E91">
        <w:rPr>
          <w:i/>
          <w:iCs/>
        </w:rPr>
        <w:t>Hypothesis 2</w:t>
      </w:r>
      <w:r w:rsidR="00200E91">
        <w:t xml:space="preserve"> is</w:t>
      </w:r>
      <w:r w:rsidR="0042586D">
        <w:t xml:space="preserve"> not supported</w:t>
      </w:r>
      <w:r w:rsidR="00200E91">
        <w:t xml:space="preserve">. </w:t>
      </w:r>
      <w:r w:rsidR="00012C26">
        <w:t xml:space="preserve">I argue that family structure is not an accurate measure of illicit masculinity, as </w:t>
      </w:r>
      <w:r w:rsidR="00223BBD">
        <w:t xml:space="preserve">findings from all four </w:t>
      </w:r>
      <w:r w:rsidR="008A0B13">
        <w:t xml:space="preserve">subgroups </w:t>
      </w:r>
      <w:r w:rsidR="00223BBD">
        <w:t>find no significant difference between the gender differences seen in youth from egalitarian and patriarchal families</w:t>
      </w:r>
      <w:r w:rsidR="006D7F16">
        <w:t xml:space="preserve">. </w:t>
      </w:r>
      <w:r w:rsidR="00851442">
        <w:t xml:space="preserve">As discussed above, most </w:t>
      </w:r>
      <w:r w:rsidR="003C4BA9">
        <w:t xml:space="preserve">research examining the intersection of masculinity and illicit substance use utilize qualitative data that is specifically tailored to gather information on the respondents’ ideas and conceptualizations of masculinity as </w:t>
      </w:r>
      <w:r w:rsidR="003C4BA9">
        <w:lastRenderedPageBreak/>
        <w:t xml:space="preserve">it relates to substance use </w:t>
      </w:r>
      <w:r w:rsidR="003C4BA9">
        <w:fldChar w:fldCharType="begin"/>
      </w:r>
      <w:r w:rsidR="003C4BA9">
        <w:instrText xml:space="preserve"> ADDIN ZOTERO_ITEM CSL_CITATION {"citationID":"KwddKsF5","properties":{"formattedCitation":"(Dahl and Sandberg 2015; Darcy 2020, 2020; Haines et al. 2009; Kolar 2021)","plainCitation":"(Dahl and Sandberg 2015; Darcy 2020, 2020; Haines et al. 2009; Kolar 2021)","noteIndex":0},"citationItems":[{"id":165,"uris":["http://zotero.org/users/9138993/items/724NCNBS"],"itemData":{"id":165,"type":"article-journal","abstract":"Cannabis is sometimes associated with feminine or gender neutral values. Still, most cannabis users are male, and in our data cannabis use is associated with masculinity. In qualitative interviews with 19 female users and a larger sample of male users in Norway, four aspects of cannabis using practices were described as feminine: not providing cannabis, being less involved in cannabis user networks, not handling the drug effects and being concerned about control. Some women challenged gendered expectations and presented themselves as alternative, tough and rebellious through cannabis use. We explore how women navigate through a gendered drug culture, and study how femininities and masculinities are enacted, challenged and recast in a Scandinavian context characterized by gender equality and an anti-drugs culture. We argue that a new egalitarian form of masculinity is getting increasingly important. Still, female users often end up enacting traditional femininities when using cannabis.","container-title":"Sociology","ISSN":"0038-0385","issue":"4","note":"publisher: Sage Publications, Ltd.","page":"696-711","source":"JSTOR","title":"Female Cannabis Users and New Masculinities: The Gendering of Cannabis Use","title-short":"Female Cannabis Users and New Masculinities","volume":"49","author":[{"family":"Dahl","given":"Silje Louise"},{"family":"Sandberg","given":"Sveinung"}],"issued":{"date-parts":[["2015"]]}}},{"id":110,"uris":["http://zotero.org/users/9138993/items/XTD3HEAU"],"itemData":{"id":110,"type":"article-journal","abstract":"The purpose of this article is to explore the motivations behind some men’s recreational use of illicit drugs from a gender standpoint. The rationale for this analysis stems from men’s predominance as illicit drug users and their likelihood of experiencing problem drug use and becoming a part of an over-represented population in drug treatment services. Explanations for men’s problematic/addicted patterns of drug use often point to marginalisation, disadvantage, and/or men’s tendency towards problematic health behaviours. This article argues that men’s illicit recreational drug use is often glossed over as a gendered activity and receives less scrutiny than problematic/addicted patterns of drug taking. It examines the drug-taking motivations of 20 Irish men who identified as illicit recreational drug users to expand on and deepen current explanations for men’s illicit recreational drug use. The article demonstrates how men engage in drug use for complex and contradictory reasons that include embodied quests for pleasure and excitement, achieving connection with other men, and performing or contravening masculinities in homosocial contexts.","container-title":"Sociological Research Online","DOI":"10.1177/1360780419879940","ISSN":"1360-7804","issue":"3","journalAbbreviation":"Sociological Research Online","language":"en","note":"publisher: SAGE Publications Ltd","page":"421-437","source":"SAGE Journals","title":"Men and the Drug Buzz: Masculinity and Men’s Motivations for Illicit Recreational Drug Use","title-short":"Men and the Drug Buzz","volume":"25","author":[{"family":"Darcy","given":"Clay"}],"issued":{"date-parts":[["2020",9,1]]}}},{"id":110,"uris":["http://zotero.org/users/9138993/items/XTD3HEAU"],"itemData":{"id":110,"type":"article-journal","abstract":"The purpose of this article is to explore the motivations behind some men’s recreational use of illicit drugs from a gender standpoint. The rationale for this analysis stems from men’s predominance as illicit drug users and their likelihood of experiencing problem drug use and becoming a part of an over-represented population in drug treatment services. Explanations for men’s problematic/addicted patterns of drug use often point to marginalisation, disadvantage, and/or men’s tendency towards problematic health behaviours. This article argues that men’s illicit recreational drug use is often glossed over as a gendered activity and receives less scrutiny than problematic/addicted patterns of drug taking. It examines the drug-taking motivations of 20 Irish men who identified as illicit recreational drug users to expand on and deepen current explanations for men’s illicit recreational drug use. The article demonstrates how men engage in drug use for complex and contradictory reasons that include embodied quests for pleasure and excitement, achieving connection with other men, and performing or contravening masculinities in homosocial contexts.","container-title":"Sociological Research Online","DOI":"10.1177/1360780419879940","ISSN":"1360-7804","issue":"3","journalAbbreviation":"Sociological Research Online","language":"en","note":"publisher: SAGE Publications Ltd","page":"421-437","source":"SAGE Journals","title":"Men and the Drug Buzz: Masculinity and Men’s Motivations for Illicit Recreational Drug Use","title-short":"Men and the Drug Buzz","volume":"25","author":[{"family":"Darcy","given":"Clay"}],"issued":{"date-parts":[["2020",9,1]]}}},{"id":9,"uris":["http://zotero.org/users/9138993/items/ZE7E6FAE"],"itemData":{"id":9,"type":"article-journal","abstract":"In this paper we report on findings from a qualitative study of marijuana use by adolescents in two communities in British Columbia, Canada. During 2005 and 2006, 45 interviews were carried out at schools with students aged 13–18, with an aim of understanding how adolescents perceive their experiences with marijuana to be shaped by gender. While it has been established that patterns of use differ for girls and boys, there is relatively little qualitative research addressing marijuana smoking as gendered social practice. Drawing from contemporary social theories of gender our analysis explores the normative functions of gender discourse within adolescents' narratives, situating their descriptions of marijuana use within the context of the research interview and within the social contexts of drug use. The results highlight the challenges we encountered in asking about gender during one-to-one interviews, juxtaposed with examples from the narratives that illustrate how boys and girls use marijuana as a way of “doing” gender. To conclude, we suggest how our findings can inform the design of gender-specific health messaging on adolescent marijuana use.","container-title":"Social Science &amp; Medicine","DOI":"10.1016/j.socscimed.2009.03.003","ISSN":"0277-9536","issue":"11","journalAbbreviation":"Social Science &amp; Medicine","language":"en","page":"2029-2036","source":"ScienceDirect","title":"“I couldn't say, I'm not a girl” – Adolescents talk about gender and marijuana use","volume":"68","author":[{"family":"Haines","given":"Rebecca J."},{"family":"Johnson","given":"Joy L."},{"family":"Carter","given":"Connie I."},{"family":"Arora","given":"Kamal"}],"issued":{"date-parts":[["2009",6,1]]}}},{"id":19,"uris":["http://zotero.org/users/9138993/items/DH2G2MC9"],"itemData":{"id":19,"type":"article-journal","abstract":"In the present study, I investigate how often unacknowledged gendered norms shape young women’s use of and access to illicit cannabis. I apply a “doing gender” approach to analyse 58 interviews conducted with cannabis using and non-using female and male college students in Canada in 2012, a time when nonmedical cannabis possession and supply were illegal. I identify prominent gendered norms and stereotypes that are critical of women’s use and that create barriers to women’s participation as either buyers or dealers in the illicit cannabis market. I show how these norms reinforce associations of cannabis use with masculinity and how they may direct social pressure against women’s use. I engage with Deutsch's (2007) concept of “undoing” gender to provide a novel contribution to research on cannabis by illustrating women’s strategies for resisting derogatory stereotypes. I highlight how women resist stigmatization of their use in the university context by drawing on presentations of social belonging, particularly scholastic success. However, I show that women may reinforce other stereotypes when appealing to such strategies. Legalization of nonmedical cannabis will create regulated commercial access alternatives to the highly gendered barriers that characterize illicit cannabis markets. My analysis suggests some increase in women’s cannabis use may be expected as a result, although deeply embedded gender norms are likely to maintain downward social pressure on women’s rates of use.","container-title":"Sex Roles","DOI":"10.1007/s11199-020-01176-4","ISSN":"1573-2762","issue":"7","journalAbbreviation":"Sex Roles","language":"en","page":"418-438","source":"Springer Link","title":"Women’s Use of and Access to Illicit Cannabis: An Investigation of Gendered Norms among College Students in Canada","title-short":"Women’s Use of and Access to Illicit Cannabis","volume":"84","author":[{"family":"Kolar","given":"Kat"}],"issued":{"date-parts":[["2021",4,1]]}}}],"schema":"https://github.com/citation-style-language/schema/raw/master/csl-citation.json"} </w:instrText>
      </w:r>
      <w:r w:rsidR="003C4BA9">
        <w:fldChar w:fldCharType="separate"/>
      </w:r>
      <w:r w:rsidR="003C4BA9" w:rsidRPr="003C4BA9">
        <w:t>(Dahl and Sandberg 2015; Darcy 2020, 2020; Haines et al. 2009; Kolar 2021)</w:t>
      </w:r>
      <w:r w:rsidR="003C4BA9">
        <w:fldChar w:fldCharType="end"/>
      </w:r>
      <w:r w:rsidR="00CB713E">
        <w:t xml:space="preserve">. </w:t>
      </w:r>
    </w:p>
    <w:p w14:paraId="71BCD627" w14:textId="7C7349DD" w:rsidR="00092D27" w:rsidRPr="00092D27" w:rsidRDefault="00092D27" w:rsidP="00530E08">
      <w:r>
        <w:tab/>
      </w:r>
      <w:r>
        <w:rPr>
          <w:i/>
          <w:iCs/>
        </w:rPr>
        <w:t>Hypothesis 3</w:t>
      </w:r>
      <w:r>
        <w:t xml:space="preserve">, however, is strongly supported throughout the results, </w:t>
      </w:r>
      <w:r w:rsidR="003632FB">
        <w:t xml:space="preserve">except for the results presented in the heroin </w:t>
      </w:r>
      <w:r w:rsidR="008A0B13">
        <w:t>subgroup</w:t>
      </w:r>
      <w:r w:rsidR="003632FB">
        <w:t xml:space="preserve">. In the marijuana, cocaine, and narcotics </w:t>
      </w:r>
      <w:r w:rsidR="008A0B13">
        <w:t>subgroup</w:t>
      </w:r>
      <w:r w:rsidR="003632FB">
        <w:t xml:space="preserve">, </w:t>
      </w:r>
      <w:r w:rsidR="00B274B5">
        <w:t>there are significant second-order differences in the gender differences for youth who agree or disagree with patriarchal norms.</w:t>
      </w:r>
      <w:r w:rsidR="00266C7F">
        <w:t xml:space="preserve"> Here, it </w:t>
      </w:r>
      <w:r w:rsidR="009112B2">
        <w:t>appears</w:t>
      </w:r>
      <w:r w:rsidR="00266C7F">
        <w:t xml:space="preserve"> that such attitudes </w:t>
      </w:r>
      <w:r w:rsidR="009112B2">
        <w:t xml:space="preserve">may </w:t>
      </w:r>
      <w:r w:rsidR="00E13104">
        <w:t>measure illicit masculinity</w:t>
      </w:r>
      <w:r w:rsidR="008058BB">
        <w:t>.</w:t>
      </w:r>
      <w:r w:rsidR="005C3723" w:rsidRPr="005C3723">
        <w:t xml:space="preserve"> </w:t>
      </w:r>
      <w:r w:rsidR="005C3723">
        <w:t xml:space="preserve">While a belief in patriarchal norms is not a direct measure of masculinity, the concept of illicit masculinity links ideas of hegemonic masculinity to illicit activities </w:t>
      </w:r>
      <w:r w:rsidR="005C3723">
        <w:fldChar w:fldCharType="begin"/>
      </w:r>
      <w:r w:rsidR="005C3723">
        <w:instrText xml:space="preserve"> ADDIN ZOTERO_ITEM CSL_CITATION {"citationID":"w2p7RWhM","properties":{"formattedCitation":"(Connell 1995)","plainCitation":"(Connell 1995)","noteIndex":0},"citationItems":[{"id":313,"uris":["http://zotero.org/users/9138993/items/NR78S2UQ"],"itemData":{"id":313,"type":"book","event-place":"Cambridge, UK","publisher":"Polity Press","publisher-place":"Cambridge, UK","title":"Masculinities","author":[{"family":"Connell","given":"R. W."}],"issued":{"date-parts":[["1995"]]}}}],"schema":"https://github.com/citation-style-language/schema/raw/master/csl-citation.json"} </w:instrText>
      </w:r>
      <w:r w:rsidR="005C3723">
        <w:fldChar w:fldCharType="separate"/>
      </w:r>
      <w:r w:rsidR="005C3723" w:rsidRPr="00E832FA">
        <w:t>(Connell 1995)</w:t>
      </w:r>
      <w:r w:rsidR="005C3723">
        <w:fldChar w:fldCharType="end"/>
      </w:r>
      <w:r w:rsidR="005C3723">
        <w:t xml:space="preserve">. Hegemonic masculinity implies a gender order – men are superior to women under the assumption of hegemony, and certain behaviors are expected from men and women that reflect this gender order </w:t>
      </w:r>
      <w:r w:rsidR="005C3723">
        <w:fldChar w:fldCharType="begin"/>
      </w:r>
      <w:r w:rsidR="005C3723">
        <w:instrText xml:space="preserve"> ADDIN ZOTERO_ITEM CSL_CITATION {"citationID":"rNdPDscL","properties":{"formattedCitation":"(Connell 1995; Schippers 2007)","plainCitation":"(Connell 1995; Schippers 2007)","noteIndex":0},"citationItems":[{"id":313,"uris":["http://zotero.org/users/9138993/items/NR78S2UQ"],"itemData":{"id":313,"type":"book","event-place":"Cambridge, UK","publisher":"Polity Press","publisher-place":"Cambridge, UK","title":"Masculinities","author":[{"family":"Connell","given":"R. W."}],"issued":{"date-parts":[["1995"]]}}},{"id":296,"uris":["http://zotero.org/users/9138993/items/7CHIU7X3"],"itemData":{"id":296,"type":"article-journal","abstract":"R. W. Connell's path-breaking notion of multiple masculinities (Connell, 1995) and hegemonic masculinity (Connell, 1987, 1995) have been taken up as central constructs in the sociology of gender. Although there has been a great deal of empirical research and theory published that has built upon and utilized Connell's concepts, an adequate conceptualization of hegemonic femininity and multiple femininities has not yet been developed. To redress this, the author presents a theoretical framework that builds upon the insights of Connell and others, offers a definition of hegemonic masculinity and hegemonic femininity that allows for multiple configurations within each, and that can be used empirically across settings and groups. The author also outlines how hegemonic masculinity and hegemonic femininity are implicated in and intersect with other systems of inequality such as class, race, and ethnicity.","container-title":"Theory and society","DOI":"10.1007/s11186-007-9022-4","ISSN":"0304-2421","issue":"1","language":"eng","note":"publisher-place: Dordrecht\npublisher: Kluwer","page":"85–102","source":"ou-primo.com","title":"Recovering the Feminine Other: Masculinity, Femininity, and Gender Hegemony","title-short":"Recovering the Feminine Other","volume":"36","author":[{"family":"Schippers","given":"Mimi"}],"issued":{"date-parts":[["2007"]]}}}],"schema":"https://github.com/citation-style-language/schema/raw/master/csl-citation.json"} </w:instrText>
      </w:r>
      <w:r w:rsidR="005C3723">
        <w:fldChar w:fldCharType="separate"/>
      </w:r>
      <w:r w:rsidR="005C3723" w:rsidRPr="001F1A80">
        <w:t>(Connell 1995; Schippers 2007)</w:t>
      </w:r>
      <w:r w:rsidR="005C3723">
        <w:fldChar w:fldCharType="end"/>
      </w:r>
      <w:r w:rsidR="005C3723">
        <w:t xml:space="preserve">. With illicit masculinity, I argue that, because masculinity is associated with illicit substance use, young men are more likely to use illicit substances in order to display their masculinity, and young women are less likely to use illicit substances in order to </w:t>
      </w:r>
      <w:r w:rsidR="005C3723">
        <w:rPr>
          <w:i/>
          <w:iCs/>
        </w:rPr>
        <w:t>refrain</w:t>
      </w:r>
      <w:r w:rsidR="005C3723">
        <w:t xml:space="preserve"> from being seen as masculine </w:t>
      </w:r>
      <w:r w:rsidR="005C3723">
        <w:fldChar w:fldCharType="begin"/>
      </w:r>
      <w:r w:rsidR="005C3723">
        <w:instrText xml:space="preserve"> ADDIN ZOTERO_ITEM CSL_CITATION {"citationID":"EsDPPwbc","properties":{"formattedCitation":"(Darcy 2020, 2020; Kolar 2021)","plainCitation":"(Darcy 2020, 2020; Kolar 2021)","noteIndex":0},"citationItems":[{"id":110,"uris":["http://zotero.org/users/9138993/items/XTD3HEAU"],"itemData":{"id":110,"type":"article-journal","abstract":"The purpose of this article is to explore the motivations behind some men’s recreational use of illicit drugs from a gender standpoint. The rationale for this analysis stems from men’s predominance as illicit drug users and their likelihood of experiencing problem drug use and becoming a part of an over-represented population in drug treatment services. Explanations for men’s problematic/addicted patterns of drug use often point to marginalisation, disadvantage, and/or men’s tendency towards problematic health behaviours. This article argues that men’s illicit recreational drug use is often glossed over as a gendered activity and receives less scrutiny than problematic/addicted patterns of drug taking. It examines the drug-taking motivations of 20 Irish men who identified as illicit recreational drug users to expand on and deepen current explanations for men’s illicit recreational drug use. The article demonstrates how men engage in drug use for complex and contradictory reasons that include embodied quests for pleasure and excitement, achieving connection with other men, and performing or contravening masculinities in homosocial contexts.","container-title":"Sociological Research Online","DOI":"10.1177/1360780419879940","ISSN":"1360-7804","issue":"3","journalAbbreviation":"Sociological Research Online","language":"en","note":"publisher: SAGE Publications Ltd","page":"421-437","source":"SAGE Journals","title":"Men and the Drug Buzz: Masculinity and Men’s Motivations for Illicit Recreational Drug Use","title-short":"Men and the Drug Buzz","volume":"25","author":[{"family":"Darcy","given":"Clay"}],"issued":{"date-parts":[["2020",9,1]]}}},{"id":110,"uris":["http://zotero.org/users/9138993/items/XTD3HEAU"],"itemData":{"id":110,"type":"article-journal","abstract":"The purpose of this article is to explore the motivations behind some men’s recreational use of illicit drugs from a gender standpoint. The rationale for this analysis stems from men’s predominance as illicit drug users and their likelihood of experiencing problem drug use and becoming a part of an over-represented population in drug treatment services. Explanations for men’s problematic/addicted patterns of drug use often point to marginalisation, disadvantage, and/or men’s tendency towards problematic health behaviours. This article argues that men’s illicit recreational drug use is often glossed over as a gendered activity and receives less scrutiny than problematic/addicted patterns of drug taking. It examines the drug-taking motivations of 20 Irish men who identified as illicit recreational drug users to expand on and deepen current explanations for men’s illicit recreational drug use. The article demonstrates how men engage in drug use for complex and contradictory reasons that include embodied quests for pleasure and excitement, achieving connection with other men, and performing or contravening masculinities in homosocial contexts.","container-title":"Sociological Research Online","DOI":"10.1177/1360780419879940","ISSN":"1360-7804","issue":"3","journalAbbreviation":"Sociological Research Online","language":"en","note":"publisher: SAGE Publications Ltd","page":"421-437","source":"SAGE Journals","title":"Men and the Drug Buzz: Masculinity and Men’s Motivations for Illicit Recreational Drug Use","title-short":"Men and the Drug Buzz","volume":"25","author":[{"family":"Darcy","given":"Clay"}],"issued":{"date-parts":[["2020",9,1]]}}},{"id":19,"uris":["http://zotero.org/users/9138993/items/DH2G2MC9"],"itemData":{"id":19,"type":"article-journal","abstract":"In the present study, I investigate how often unacknowledged gendered norms shape young women’s use of and access to illicit cannabis. I apply a “doing gender” approach to analyse 58 interviews conducted with cannabis using and non-using female and male college students in Canada in 2012, a time when nonmedical cannabis possession and supply were illegal. I identify prominent gendered norms and stereotypes that are critical of women’s use and that create barriers to women’s participation as either buyers or dealers in the illicit cannabis market. I show how these norms reinforce associations of cannabis use with masculinity and how they may direct social pressure against women’s use. I engage with Deutsch's (2007) concept of “undoing” gender to provide a novel contribution to research on cannabis by illustrating women’s strategies for resisting derogatory stereotypes. I highlight how women resist stigmatization of their use in the university context by drawing on presentations of social belonging, particularly scholastic success. However, I show that women may reinforce other stereotypes when appealing to such strategies. Legalization of nonmedical cannabis will create regulated commercial access alternatives to the highly gendered barriers that characterize illicit cannabis markets. My analysis suggests some increase in women’s cannabis use may be expected as a result, although deeply embedded gender norms are likely to maintain downward social pressure on women’s rates of use.","container-title":"Sex Roles","DOI":"10.1007/s11199-020-01176-4","ISSN":"1573-2762","issue":"7","journalAbbreviation":"Sex Roles","language":"en","page":"418-438","source":"Springer Link","title":"Women’s Use of and Access to Illicit Cannabis: An Investigation of Gendered Norms among College Students in Canada","title-short":"Women’s Use of and Access to Illicit Cannabis","volume":"84","author":[{"family":"Kolar","given":"Kat"}],"issued":{"date-parts":[["2021",4,1]]}}}],"schema":"https://github.com/citation-style-language/schema/raw/master/csl-citation.json"} </w:instrText>
      </w:r>
      <w:r w:rsidR="005C3723">
        <w:fldChar w:fldCharType="separate"/>
      </w:r>
      <w:r w:rsidR="005C3723" w:rsidRPr="00F211A5">
        <w:t>(Darcy 2020, 2020; Kolar 2021)</w:t>
      </w:r>
      <w:r w:rsidR="005C3723">
        <w:fldChar w:fldCharType="end"/>
      </w:r>
      <w:r w:rsidR="005C3723">
        <w:t xml:space="preserve">. Thus: illicit masculinity contributes to the gender gap in illicit substance use. The results that support </w:t>
      </w:r>
      <w:r w:rsidR="005C3723">
        <w:rPr>
          <w:i/>
          <w:iCs/>
        </w:rPr>
        <w:t>Hypothesis 3</w:t>
      </w:r>
      <w:r w:rsidR="005C3723">
        <w:t xml:space="preserve"> reflect this pattern, as they illustrate that young men and young women who agree with patriarchal norms – norms that are related to hegemony – have a significantly larger gender gap in marijuana, cocaine, and narcotics use when compared to youth who disagree with such norms </w:t>
      </w:r>
      <w:r w:rsidR="005C3723">
        <w:fldChar w:fldCharType="begin"/>
      </w:r>
      <w:r w:rsidR="005C3723">
        <w:instrText xml:space="preserve"> ADDIN ZOTERO_ITEM CSL_CITATION {"citationID":"iHfOOwp6","properties":{"formattedCitation":"(Connell 1995; Schippers 2007)","plainCitation":"(Connell 1995; Schippers 2007)","noteIndex":0},"citationItems":[{"id":313,"uris":["http://zotero.org/users/9138993/items/NR78S2UQ"],"itemData":{"id":313,"type":"book","event-place":"Cambridge, UK","publisher":"Polity Press","publisher-place":"Cambridge, UK","title":"Masculinities","author":[{"family":"Connell","given":"R. W."}],"issued":{"date-parts":[["1995"]]}}},{"id":296,"uris":["http://zotero.org/users/9138993/items/7CHIU7X3"],"itemData":{"id":296,"type":"article-journal","abstract":"R. W. Connell's path-breaking notion of multiple masculinities (Connell, 1995) and hegemonic masculinity (Connell, 1987, 1995) have been taken up as central constructs in the sociology of gender. Although there has been a great deal of empirical research and theory published that has built upon and utilized Connell's concepts, an adequate conceptualization of hegemonic femininity and multiple femininities has not yet been developed. To redress this, the author presents a theoretical framework that builds upon the insights of Connell and others, offers a definition of hegemonic masculinity and hegemonic femininity that allows for multiple configurations within each, and that can be used empirically across settings and groups. The author also outlines how hegemonic masculinity and hegemonic femininity are implicated in and intersect with other systems of inequality such as class, race, and ethnicity.","container-title":"Theory and society","DOI":"10.1007/s11186-007-9022-4","ISSN":"0304-2421","issue":"1","language":"eng","note":"publisher-place: Dordrecht\npublisher: Kluwer","page":"85–102","source":"ou-primo.com","title":"Recovering the Feminine Other: Masculinity, Femininity, and Gender Hegemony","title-short":"Recovering the Feminine Other","volume":"36","author":[{"family":"Schippers","given":"Mimi"}],"issued":{"date-parts":[["2007"]]}}}],"schema":"https://github.com/citation-style-language/schema/raw/master/csl-citation.json"} </w:instrText>
      </w:r>
      <w:r w:rsidR="005C3723">
        <w:fldChar w:fldCharType="separate"/>
      </w:r>
      <w:r w:rsidR="005C3723" w:rsidRPr="00CA7433">
        <w:t>(Connell 1995; Schippers 2007)</w:t>
      </w:r>
      <w:r w:rsidR="005C3723">
        <w:fldChar w:fldCharType="end"/>
      </w:r>
      <w:r w:rsidR="005C3723">
        <w:t xml:space="preserve">. </w:t>
      </w:r>
      <w:r w:rsidR="00DB095F">
        <w:t xml:space="preserve"> </w:t>
      </w:r>
    </w:p>
    <w:p w14:paraId="09E2186D" w14:textId="797C00ED" w:rsidR="00F1626D" w:rsidRDefault="00CC7992" w:rsidP="00EF36D7">
      <w:pPr>
        <w:pStyle w:val="Heading1"/>
      </w:pPr>
      <w:bookmarkStart w:id="34" w:name="_Toc102664128"/>
      <w:r>
        <w:t>CONCLUSION</w:t>
      </w:r>
      <w:bookmarkEnd w:id="34"/>
    </w:p>
    <w:p w14:paraId="75AABE31" w14:textId="13BA37B3" w:rsidR="00F007DC" w:rsidRDefault="001864A5" w:rsidP="00F007DC">
      <w:r>
        <w:tab/>
        <w:t>The purpose of this research wa</w:t>
      </w:r>
      <w:r w:rsidR="00F007DC">
        <w:t>s to</w:t>
      </w:r>
      <w:r w:rsidR="00F672D8">
        <w:t xml:space="preserve"> </w:t>
      </w:r>
      <w:r w:rsidR="00881587">
        <w:t xml:space="preserve">examine previous </w:t>
      </w:r>
      <w:r w:rsidR="00461F72">
        <w:t>definitions and conceptualization of masculinit</w:t>
      </w:r>
      <w:r w:rsidR="0026560B">
        <w:t>ies</w:t>
      </w:r>
      <w:r w:rsidR="00461F72">
        <w:t>, summarize</w:t>
      </w:r>
      <w:r w:rsidR="00DE71BD">
        <w:t xml:space="preserve"> existing literature linking masculinity to gender differences in illicit substance use, and posit </w:t>
      </w:r>
      <w:r w:rsidR="0026560B">
        <w:t xml:space="preserve">and test </w:t>
      </w:r>
      <w:r w:rsidR="00DE71BD">
        <w:t>the concept of illicit masculinity</w:t>
      </w:r>
      <w:r w:rsidR="003D2EA9">
        <w:t xml:space="preserve">: </w:t>
      </w:r>
      <w:r w:rsidR="00DE71BD">
        <w:t xml:space="preserve">the </w:t>
      </w:r>
      <w:r w:rsidR="001F5BD9">
        <w:t>idea that</w:t>
      </w:r>
      <w:r w:rsidR="00B07EB5">
        <w:t xml:space="preserve"> norms associated </w:t>
      </w:r>
      <w:r w:rsidR="00B07EB5">
        <w:lastRenderedPageBreak/>
        <w:t>with</w:t>
      </w:r>
      <w:r w:rsidR="003D2EA9">
        <w:t xml:space="preserve"> traditional views of</w:t>
      </w:r>
      <w:r w:rsidR="001F5BD9">
        <w:t xml:space="preserve"> </w:t>
      </w:r>
      <w:r w:rsidR="00B07EB5">
        <w:t xml:space="preserve">manliness/masculinity are linked to illicit activities, including illicit substance use. </w:t>
      </w:r>
      <w:r w:rsidR="00F007DC">
        <w:t xml:space="preserve"> Masculinity has already been linked to substance use, and there have been consistent gender differences in illicit substance use throughout recent years </w:t>
      </w:r>
      <w:r w:rsidR="00F007DC">
        <w:fldChar w:fldCharType="begin"/>
      </w:r>
      <w:r w:rsidR="00F007DC">
        <w:instrText xml:space="preserve"> ADDIN ZOTERO_ITEM CSL_CITATION {"citationID":"hJgjkOv0","properties":{"formattedCitation":"(Dahl and Sandberg 2015; Darcy 2020, 2020; Haines et al. 2009; Kasperski et al. 2011; Kolar 2021; Marsh et al. 2018; Palamar 2014; Schneider et al. 2018)","plainCitation":"(Dahl and Sandberg 2015; Darcy 2020, 2020; Haines et al. 2009; Kasperski et al. 2011; Kolar 2021; Marsh et al. 2018; Palamar 2014; Schneider et al. 2018)","noteIndex":0},"citationItems":[{"id":165,"uris":["http://zotero.org/users/9138993/items/724NCNBS"],"itemData":{"id":165,"type":"article-journal","abstract":"Cannabis is sometimes associated with feminine or gender neutral values. Still, most cannabis users are male, and in our data cannabis use is associated with masculinity. In qualitative interviews with 19 female users and a larger sample of male users in Norway, four aspects of cannabis using practices were described as feminine: not providing cannabis, being less involved in cannabis user networks, not handling the drug effects and being concerned about control. Some women challenged gendered expectations and presented themselves as alternative, tough and rebellious through cannabis use. We explore how women navigate through a gendered drug culture, and study how femininities and masculinities are enacted, challenged and recast in a Scandinavian context characterized by gender equality and an anti-drugs culture. We argue that a new egalitarian form of masculinity is getting increasingly important. Still, female users often end up enacting traditional femininities when using cannabis.","container-title":"Sociology","ISSN":"0038-0385","issue":"4","note":"publisher: Sage Publications, Ltd.","page":"696-711","source":"JSTOR","title":"Female Cannabis Users and New Masculinities: The Gendering of Cannabis Use","title-short":"Female Cannabis Users and New Masculinities","volume":"49","author":[{"family":"Dahl","given":"Silje Louise"},{"family":"Sandberg","given":"Sveinung"}],"issued":{"date-parts":[["2015"]]}}},{"id":110,"uris":["http://zotero.org/users/9138993/items/XTD3HEAU"],"itemData":{"id":110,"type":"article-journal","abstract":"The purpose of this article is to explore the motivations behind some men’s recreational use of illicit drugs from a gender standpoint. The rationale for this analysis stems from men’s predominance as illicit drug users and their likelihood of experiencing problem drug use and becoming a part of an over-represented population in drug treatment services. Explanations for men’s problematic/addicted patterns of drug use often point to marginalisation, disadvantage, and/or men’s tendency towards problematic health behaviours. This article argues that men’s illicit recreational drug use is often glossed over as a gendered activity and receives less scrutiny than problematic/addicted patterns of drug taking. It examines the drug-taking motivations of 20 Irish men who identified as illicit recreational drug users to expand on and deepen current explanations for men’s illicit recreational drug use. The article demonstrates how men engage in drug use for complex and contradictory reasons that include embodied quests for pleasure and excitement, achieving connection with other men, and performing or contravening masculinities in homosocial contexts.","container-title":"Sociological Research Online","DOI":"10.1177/1360780419879940","ISSN":"1360-7804","issue":"3","journalAbbreviation":"Sociological Research Online","language":"en","note":"publisher: SAGE Publications Ltd","page":"421-437","source":"SAGE Journals","title":"Men and the Drug Buzz: Masculinity and Men’s Motivations for Illicit Recreational Drug Use","title-short":"Men and the Drug Buzz","volume":"25","author":[{"family":"Darcy","given":"Clay"}],"issued":{"date-parts":[["2020",9,1]]}}},{"id":110,"uris":["http://zotero.org/users/9138993/items/XTD3HEAU"],"itemData":{"id":110,"type":"article-journal","abstract":"The purpose of this article is to explore the motivations behind some men’s recreational use of illicit drugs from a gender standpoint. The rationale for this analysis stems from men’s predominance as illicit drug users and their likelihood of experiencing problem drug use and becoming a part of an over-represented population in drug treatment services. Explanations for men’s problematic/addicted patterns of drug use often point to marginalisation, disadvantage, and/or men’s tendency towards problematic health behaviours. This article argues that men’s illicit recreational drug use is often glossed over as a gendered activity and receives less scrutiny than problematic/addicted patterns of drug taking. It examines the drug-taking motivations of 20 Irish men who identified as illicit recreational drug users to expand on and deepen current explanations for men’s illicit recreational drug use. The article demonstrates how men engage in drug use for complex and contradictory reasons that include embodied quests for pleasure and excitement, achieving connection with other men, and performing or contravening masculinities in homosocial contexts.","container-title":"Sociological Research Online","DOI":"10.1177/1360780419879940","ISSN":"1360-7804","issue":"3","journalAbbreviation":"Sociological Research Online","language":"en","note":"publisher: SAGE Publications Ltd","page":"421-437","source":"SAGE Journals","title":"Men and the Drug Buzz: Masculinity and Men’s Motivations for Illicit Recreational Drug Use","title-short":"Men and the Drug Buzz","volume":"25","author":[{"family":"Darcy","given":"Clay"}],"issued":{"date-parts":[["2020",9,1]]}}},{"id":9,"uris":["http://zotero.org/users/9138993/items/ZE7E6FAE"],"itemData":{"id":9,"type":"article-journal","abstract":"In this paper we report on findings from a qualitative study of marijuana use by adolescents in two communities in British Columbia, Canada. During 2005 and 2006, 45 interviews were carried out at schools with students aged 13–18, with an aim of understanding how adolescents perceive their experiences with marijuana to be shaped by gender. While it has been established that patterns of use differ for girls and boys, there is relatively little qualitative research addressing marijuana smoking as gendered social practice. Drawing from contemporary social theories of gender our analysis explores the normative functions of gender discourse within adolescents' narratives, situating their descriptions of marijuana use within the context of the research interview and within the social contexts of drug use. The results highlight the challenges we encountered in asking about gender during one-to-one interviews, juxtaposed with examples from the narratives that illustrate how boys and girls use marijuana as a way of “doing” gender. To conclude, we suggest how our findings can inform the design of gender-specific health messaging on adolescent marijuana use.","container-title":"Social Science &amp; Medicine","DOI":"10.1016/j.socscimed.2009.03.003","ISSN":"0277-9536","issue":"11","journalAbbreviation":"Social Science &amp; Medicine","language":"en","page":"2029-2036","source":"ScienceDirect","title":"“I couldn't say, I'm not a girl” – Adolescents talk about gender and marijuana use","volume":"68","author":[{"family":"Haines","given":"Rebecca J."},{"family":"Johnson","given":"Joy L."},{"family":"Carter","given":"Connie I."},{"family":"Arora","given":"Kamal"}],"issued":{"date-parts":[["2009",6,1]]}}},{"id":107,"uris":["http://zotero.org/users/9138993/items/62WB75FC"],"itemData":{"id":107,"type":"article-journal","abstract":"College students have high rates of heavy drinking and other risky behaviors, but little is known about trends in their use of cocaine. In this longitudinal study of 1253 college students at one large, public university in the mid-Atlantic region, annual interviews assessed opportunity to use cocaine, cocaine use, and DSM-IV criteria for cocaine abuse and dependence. Follow-up rates exceeded 87% annually. Data from the first four years of college were analyzed to detect changes over time and possible gender differences. By their fourth year of college, 36%wt of students had been offered cocaine at least once in their lifetime, and 13%wt had used cocaine. Annual prevalence of cocaine use increased significantly over time (4%wt in Year 1 to 10%wt in Year 4) and remained similar across genders. Opportunities to use cocaine were significantly more prevalent for males than females during Years 2 through 4. Cocaine use given opportunity increased significantly over time for both males and females. Among 243 cocaine users, females (n=113) had more serious use patterns than males, with higher average frequency of use (18.39 vs. 8.83days during the peak year of use, p&lt;.05) and greater likelihood of meeting criteria for cocaine dependence (9.3% vs. 2.5%, p&lt;.05). Gender differences in typical cocaine dosage were not apparent. College administrators and health providers should be aware of the prevalence of cocaine use among student populations and design strategies to address the problem.","container-title":"Addictive Behaviors","DOI":"10.1016/j.addbeh.2010.12.002","ISSN":"0306-4603","issue":"4","journalAbbreviation":"Addictive Behaviors","language":"en","page":"408-411","source":"ScienceDirect","title":"College students' use of cocaine: Results from a longitudinal study","title-short":"College students' use of cocaine","volume":"36","author":[{"family":"Kasperski","given":"Sarah J."},{"family":"Vincent","given":"Kathryn B."},{"family":"Caldeira","given":"Kimberly M."},{"family":"Garnier-Dykstra","given":"Laura M."},{"family":"O'Grady","given":"Kevin E."},{"family":"Arria","given":"Amelia M."}],"issued":{"date-parts":[["2011",4,1]]}}},{"id":19,"uris":["http://zotero.org/users/9138993/items/DH2G2MC9"],"itemData":{"id":19,"type":"article-journal","abstract":"In the present study, I investigate how often unacknowledged gendered norms shape young women’s use of and access to illicit cannabis. I apply a “doing gender” approach to analyse 58 interviews conducted with cannabis using and non-using female and male college students in Canada in 2012, a time when nonmedical cannabis possession and supply were illegal. I identify prominent gendered norms and stereotypes that are critical of women’s use and that create barriers to women’s participation as either buyers or dealers in the illicit cannabis market. I show how these norms reinforce associations of cannabis use with masculinity and how they may direct social pressure against women’s use. I engage with Deutsch's (2007) concept of “undoing” gender to provide a novel contribution to research on cannabis by illustrating women’s strategies for resisting derogatory stereotypes. I highlight how women resist stigmatization of their use in the university context by drawing on presentations of social belonging, particularly scholastic success. However, I show that women may reinforce other stereotypes when appealing to such strategies. Legalization of nonmedical cannabis will create regulated commercial access alternatives to the highly gendered barriers that characterize illicit cannabis markets. My analysis suggests some increase in women’s cannabis use may be expected as a result, although deeply embedded gender norms are likely to maintain downward social pressure on women’s rates of use.","container-title":"Sex Roles","DOI":"10.1007/s11199-020-01176-4","ISSN":"1573-2762","issue":"7","journalAbbreviation":"Sex Roles","language":"en","page":"418-438","source":"Springer Link","title":"Women’s Use of and Access to Illicit Cannabis: An Investigation of Gendered Norms among College Students in Canada","title-short":"Women’s Use of and Access to Illicit Cannabis","volume":"84","author":[{"family":"Kolar","given":"Kat"}],"issued":{"date-parts":[["2021",4,1]]}}},{"id":106,"uris":["http://zotero.org/users/9138993/items/ASQZXMR6"],"itemData":{"id":106,"type":"article-journal","abstract":"Background\nTrends in the current opioid epidemic in the United States show that use of heroin is increasing while nonmedical use of prescription opioids is slowing. Understanding gender differences in these trends is essential to efforts to address the opioid epidemic. This study compared gender difference in trends in heroin and nonmedical prescription opioid use in the U.S. between 2007 and 2014.\nMethods\nData from the National Survey on Drug Use and Health (NSDUH) were used to trace prevalence and to estimate risk for heroin and nonmedical prescription opioid use in the last year for women and men.\nResults\nPrevalence rates in the total sample (N = 447,188) indicate a notable increase in heroin use and a steady decline in the nonmedical use of prescription opioids between 2007 and 2014 for both women and men. Women are increasing heroin use at a faster rate than men but decreasing nonmedical prescription opioid use at a slower rate than men. Overall, risk factors for both heroin use and nonmedical prescription opioid use are similar to other illicit substances, but the magnitude of associations indicates that women may be at greater risk for the nonmedical use of prescription opioids than for the use of heroin.\nConclusions\nTrend analyses reveal a linear increase in heroin use and a quadratic decline in nonmedical prescription opioid use at the population level. The differential rates of change between men and women in use of both opioids highlight the need for comprehensive, gender-sensitive approaches to prevention and treatment for both heroin and nonmedical prescription opioid use. Future research should continue to explore gender differences in treatment access, including access to medication-assisted treatments and treatments integrated with health and social services, especially for women.","container-title":"Journal of Substance Abuse Treatment","DOI":"10.1016/j.jsat.2018.01.001","ISSN":"0740-5472","journalAbbreviation":"Journal of Substance Abuse Treatment","language":"en","page":"79-85","source":"ScienceDirect","title":"Gender differences in trends for heroin use and nonmedical prescription opioid use, 2007–2014","volume":"87","author":[{"family":"Marsh","given":"Jeanne C."},{"family":"Park","given":"Keunhye"},{"family":"Lin","given":"Yu-An"},{"family":"Bersamira","given":"Cliff"}],"issued":{"date-parts":[["2018",4,1]]}}},{"id":316,"uris":["http://zotero.org/users/9138993/items/YPDYG6HY"],"itemData":{"id":316,"type":"article-journal","abstract":"Support for marijuana (cannabis) legalization is increasing in the US, and state-level marijuana policies are rapidly changing. Research is needed to examine correlates of opinions toward legalization among adolescents approaching adulthood as they are at high risk for use. Data were examined from a national representative sample of high school seniors in the Monitoring the Future study (years 2007-2011; N = 11,594) to delineate correlates of opinions toward legalization. A third of students felt marijuana should be entirely legal and 28.5% felt it should be treated as a minor violation; 48.0% felt that if legal to sell it should be sold to adults only, and 10.4% felt it should be sold to anyone. Females, conservatives, religious students, and those with friends who disapprove of marijuana use tended to be at lower odds for supporting legalization, and Black, liberal, and urban students were at higher odds for supporting more liberal policies. Recent and frequent marijuana use strongly increased odds for support for legalization; however, 16.7% of non-lifetime marijuana users also reported support for legalization. Findings should be interpreted with caution as state-level data were not available, but results suggest that support for marijuana legalization is common among specific subgroups of adolescents.","container-title":"Journal of Psychoactive Drugs","DOI":"10.1080/02791072.2014.962716","ISSN":"0279-1072","issue":"5","note":"publisher: Taylor &amp; Francis\n_eprint: https://doi.org/10.1080/02791072.2014.962716\nPMID: 25364985","page":"351-361","source":"Taylor and Francis+NEJM","title":"An Examination of Opinions Toward Marijuana Policies Among High School Seniors in the United States","volume":"46","author":[{"family":"Palamar","given":"Joseph J."}],"issued":{"date-parts":[["2014",10,20]]}}},{"id":111,"uris":["http://zotero.org/users/9138993/items/K6KMTS82"],"itemData":{"id":111,"type":"article-journal","container-title":"Drug and Alcohol Dependence","DOI":"10.1016/j.drugalcdep.2017.10.028","language":"en","page":"69-72","title":"Past 15-year trends in lifetime cocaine use among US high school students | Elsevier Enhanced Reader","volume":"183","author":[{"family":"Schneider","given":"Kristen E."},{"family":"Krawczyk","given":"Noa"},{"family":"Ziming","given":"Xuan"},{"family":"Johnson","given":"Renee M."}],"issued":{"date-parts":[["2018"]]}}}],"schema":"https://github.com/citation-style-language/schema/raw/master/csl-citation.json"} </w:instrText>
      </w:r>
      <w:r w:rsidR="00F007DC">
        <w:fldChar w:fldCharType="separate"/>
      </w:r>
      <w:r w:rsidR="00F007DC" w:rsidRPr="000C27DF">
        <w:t>(Dahl and Sandberg 2015; Darcy 2020, 2020; Haines et al. 2009; Kasperski et al. 2011; Kolar 2021; Marsh et al. 2018; Palamar 2014; Schneider et al. 2018)</w:t>
      </w:r>
      <w:r w:rsidR="00F007DC">
        <w:fldChar w:fldCharType="end"/>
      </w:r>
      <w:r w:rsidR="00F007DC">
        <w:t xml:space="preserve">. While some sociologists have examined how gender norms influence the gender differences in substance use, the literature has primarily focused on gender differences in alcohol consumption </w:t>
      </w:r>
      <w:r w:rsidR="00F007DC">
        <w:fldChar w:fldCharType="begin"/>
      </w:r>
      <w:r w:rsidR="00182057">
        <w:instrText xml:space="preserve"> ADDIN ZOTERO_ITEM CSL_CITATION {"citationID":"G8yXDzLl","properties":{"formattedCitation":"(Christie-Mizell and Peralta 2009; Huselid and Cooper 1992; Whaley et al. 2013; Wilkinson et al. 2018)","plainCitation":"(Christie-Mizell and Peralta 2009; Huselid and Cooper 1992; Whaley et al. 2013; Wilkinson et al. 2018)","noteIndex":0},"citationItems":[{"id":62,"uris":["http://zotero.org/users/9138993/items/TJCQFKPB"],"itemData":{"id":62,"type":"article-journal","abstract":"We utilize data from the National Longitudinal Survey of Youth young adult sample (N = 1,488) to investigate whether gender role attitudes and the occupation of and transition to three adult roles (i.e., employment, marriage, and parenthood) contribute to the maintenance of the gender gap in the frequency and quantity of alcohol use. Our results indicate that traditional gender role attitudes are related to less frequent drinking for both men and women, but role attitudes are not associated with the number of drinks consumed. We also find that employment and transitions to employment increase the frequency and quantity of drinking, but less so for women compared to men. Furthermore, marriage, parenthood, and transitions to parenthood are related to less frequent drinking for women only. In terms of the number of drinks consumed, only employment and transitions to employment distinguish men and women. Employment is related to increased quantity of drinking for men, but decreased drinking for women, while transitions to employment have no effect on men, but do decrease the amount of drinking for women. Marriage decreases the number of drinks consumed equally for both men and women.","container-title":"Journal of Health and Social Behavior","ISSN":"0022-1465","issue":"4","note":"publisher: [American Sociological Association, Sage Publications, Inc.]","page":"410-426","source":"JSTOR","title":"The Gender Gap in Alcohol Consumption during Late Adolescence and Young Adulthood: Gendered Attitudes and Adult Roles","title-short":"The Gender Gap in Alcohol Consumption during Late Adolescence and Young Adulthood","volume":"50","author":[{"family":"Christie-Mizell","given":"C. André"},{"family":"Peralta","given":"Robert L."}],"issued":{"date-parts":[["2009"]]}}},{"id":57,"uris":["http://zotero.org/users/9138993/items/EWGMYFTM"],"itemData":{"id":57,"type":"article-journal","abstract":"This study tested the hypothesis that internalized gender-role personality attributes and gender-role ideology mediate sex differences in alcohol use and drinking problems in a random sample of 1,077 adolescents aged 13 to 19. Results indicated that gender roles substantially, although not completely, mediated the effects of sex on drinking patterns. The relationships between gender roles and alcohol use were largely consistent with the hypothesis that individuals with conventional gender identities conform more closely to cultural norms that condone drinking among males but not among females. However, effects of the gender-linked attributes of expressivity, emotional control, and instrumentality on drinking also may be interpreted within a framework that views them as functional coping styles. Finally, differences between Black and White teens in the relationships between alcohol use and the masculine attributes of instrumentality and emotional control suggest possible race differences in the functional value of these attributes.","container-title":"Journal of health and social behavior","DOI":"10.2307/2137313","ISSN":"0022-1465","issue":"4","language":"eng","note":"publisher-place: Washington, DC\npublisher: American Sociological Association","page":"348–362","source":"ou-primo.com","title":"Gender Roles as Mediators of Sex Differences in Adolescent Alcohol Use and Abuse","volume":"33","author":[{"family":"Huselid","given":"Rebecca Farmer"},{"family":"Cooper","given":"M Lynne"}],"issued":{"date-parts":[["1992"]]}}},{"id":47,"uris":["http://zotero.org/users/9138993/items/ESKB7SBI"],"itemData":{"id":47,"type":"article-journal","abstract":"A gender gap in alcohol and drug use exists but is somewhat smaller than the gender gap in other forms of delinquency. This article extends studies that examine the gender–delinquency relationship to substance use in particular and estimate the extent to which major risk and protective factors mediate the association between gender and alcohol and marijuana use. The authors simultaneously draw on two traditional delinquency theories, social learning and social control, and the feminist pathways perspective regarding victimizations. This gendered pathways approach highlights the extent to which gender influences life experiences and thus the trajectories of girls and boys. In a large sample of 8th to 12th graders, school bonds and victimizations accounted for much of the gender–substance use relationship, especially in the case of casual and binge drinking.","container-title":"Crime &amp; Delinquency","DOI":"10.1177/0011128710389581","ISSN":"0011-1287","issue":"5","journalAbbreviation":"Crime &amp; Delinquency","language":"en","note":"publisher: SAGE Publications Inc","page":"651-669","source":"SAGE Journals","title":"Gendered Pathways? Gender, Mediating Factors, and the Gap in Boys’ and Girls’ Substance Use","title-short":"Gendered Pathways?","volume":"59","author":[{"family":"Whaley","given":"Rachel Bridges"},{"family":"Hayes-Smith","given":"Justin"},{"family":"Hayes-Smith","given":"Rebecca"}],"issued":{"date-parts":[["2013",8,1]]}}},{"id":50,"uris":["http://zotero.org/users/9138993/items/EG2W57XF"],"itemData":{"id":50,"type":"article-journal","abstract":"Substance use is prevalent among adolescents in the U.S., especially males. Understanding the cross-sectional and longitudinal associations between gender norms and substance use is necessary to tailor substance use prevention messages and efforts appropriately. This study investigates the relationship between adherence to gender-typical behavior (AGB) and substance use from adolescence into young adulthood. Participants in the National Longitudinal Study of Adolescent to Adult Health completed self-report measures on the frequency of binge drinking, cigarette smoking and marijuana use as well as various behaviors and emotional states that captured the latent construct of AGB. Sex-stratified logistic regression models revealed cross-sectional and longitudinal relationships between AGB and high frequency substance use. For example, an adolescent male who is more gender-adherent, compared to less adherent males, has 75% higher odds of high frequency binge drinking in adolescence and 22% higher odds of high frequency binge drinking in young adulthood. Sex-stratified multinomial logistic regression models also revealed cross-sectional and longitudinal relationships between AGB and patterns of use. For example, a more gender-adherent adolescent male, compared to 1 who is less adherent, is 256% more likely to use all 3 substances in adolescence and 66% more likely to use all 3 in young adulthood. Cross-sectional and longitudinal results for females indicate greater gender-adherence is associated with lower odds of high frequency substance use. These findings indicate adherence to gender norms may influence substance use behaviors across the developmental trajectory, and inform strategies for prevention efforts. (PsycInfo Database Record (c) 2020 APA, all rights reserved) (Source: journal abstract)","container-title":"Psychology of Men &amp; Masculinities","DOI":"http://dx.doi.org.ezproxy.lib.ou.edu/10.1037/men0000088","ISSN":"1524-9220","issue":"1","language":"English","note":"number-of-pages: 145-155\npublisher: Educational Publishing Foundation\n(US)","page":"145-155","source":"ProQuest","title":"Adherence to gender-typical behavior and high-frequency substance use from adolescence into young adulthood","volume":"19","author":[{"family":"Wilkinson","given":"Andra L."},{"family":"Fleming","given":"Paul J."},{"family":"Link to external site","given":"this","dropping-particle":"link will open in a new window"},{"family":"Halpern","given":"Carolyn Tucker"},{"family":"Herring","given":"Amy H."},{"family":"Harris","given":"Kathleen Mullan"}],"issued":{"date-parts":[["2018",1]]}}}],"schema":"https://github.com/citation-style-language/schema/raw/master/csl-citation.json"} </w:instrText>
      </w:r>
      <w:r w:rsidR="00F007DC">
        <w:fldChar w:fldCharType="separate"/>
      </w:r>
      <w:r w:rsidR="00182057" w:rsidRPr="00182057">
        <w:t>(Christie-Mizell and Peralta 2009; Huselid and Cooper 1992; Whaley et al. 2013; Wilkinson et al. 2018)</w:t>
      </w:r>
      <w:r w:rsidR="00F007DC">
        <w:fldChar w:fldCharType="end"/>
      </w:r>
      <w:r w:rsidR="00F007DC">
        <w:t xml:space="preserve">. This research expands the exploration of how gender norms influence gender differences in substance use by examining the intersection of masculinity and </w:t>
      </w:r>
      <w:r w:rsidR="00AE28A4">
        <w:t xml:space="preserve">the use of illicit substances, which I refer to as illicit masculinity. </w:t>
      </w:r>
    </w:p>
    <w:p w14:paraId="2CF2B231" w14:textId="7C20BF8A" w:rsidR="00F007DC" w:rsidRPr="0011512D" w:rsidRDefault="00A34800" w:rsidP="00585204">
      <w:r>
        <w:tab/>
        <w:t xml:space="preserve">This research </w:t>
      </w:r>
      <w:r w:rsidR="001B6B38">
        <w:t xml:space="preserve">draws on previous literature examining </w:t>
      </w:r>
      <w:r w:rsidR="008030F9">
        <w:t>masculinity, gender norms, and gender differences in behaviors and delinquency to propose</w:t>
      </w:r>
      <w:r>
        <w:t xml:space="preserve"> two possible avenues for </w:t>
      </w:r>
      <w:r w:rsidR="00C44A46">
        <w:t>measuring illicit masculinity</w:t>
      </w:r>
      <w:r w:rsidR="00AE28A4">
        <w:t>: family structure and an agreement with patriarchal norms</w:t>
      </w:r>
      <w:r w:rsidR="00C8050F">
        <w:t xml:space="preserve"> </w:t>
      </w:r>
      <w:r w:rsidR="00C8050F">
        <w:fldChar w:fldCharType="begin"/>
      </w:r>
      <w:r w:rsidR="00C8050F">
        <w:instrText xml:space="preserve"> ADDIN ZOTERO_ITEM CSL_CITATION {"citationID":"kQfTuRgF","properties":{"formattedCitation":"(Blackwell 2000; Connell 1995; Connell and Messerschmidt 2005; Grasmick et al. 1996; Hadjar et al. 2007)","plainCitation":"(Blackwell 2000; Connell 1995; Connell and Messerschmidt 2005; Grasmick et al. 1996; Hadjar et al. 2007)","noteIndex":0},"citationItems":[{"id":43,"uris":["http://zotero.org/users/9138993/items/U27MWAUF"],"itemData":{"id":43,"type":"article-journal","container-title":"Criminology","issue":"2","journalAbbreviation":"Criminology","language":"eng","page":"439-488","source":"HeinOnline","title":"Perceived Sanction Threats, Gender, and Crime: A Test and Elaboration of Power-Control Theory","title-short":"Perceived Sanction Threats, Gender, and Crime","volume":"38","author":[{"family":"Blackwell","given":"Brenda Sims"}],"issued":{"date-parts":[["2000"]]}}},{"id":313,"uris":["http://zotero.org/users/9138993/items/NR78S2UQ"],"itemData":{"id":313,"type":"book","event-place":"Cambridge, UK","publisher":"Polity Press","publisher-place":"Cambridge, UK","title":"Masculinities","author":[{"family":"Connell","given":"R. W."}],"issued":{"date-parts":[["1995"]]}}},{"id":36,"uris":["http://zotero.org/users/9138993/items/FRRFNZST"],"itemData":{"id":36,"type":"article-journal","abstract":"The concept of hegemonic masculinity has influenced gender studies across many academic fields but has also attracted serious criticism. The authors trace the origin of the concept in a convergence of ideas in the early 1980s and map the ways it was applied when research on men and masculinities expanded. Evaluating the principal criticisms, the authors defend the underlying concept of masculinity, which in most research use is neither reified nor essentialist. However, the criticism of trait models of gender and rigid typologies is sound. The treatment of the subject in research on hegemonic masculinity can be improved with the aid of recent psychological models, although limits to discursive flexibility must be recognized. The concept of hegemonic masculinity does not equate to a model of social reproduction; we need to recognize social struggles in which subordinated masculinities influence dominant forms. Finally, the authors review what has been confirmed from early formulations (the idea of multiple masculinities, the concept of hegemony, and the emphasis on change) and what needs to be discarded (one-dimensional treatment of hierarchy and trait conceptions of gender). The authors suggest reformulation of the concept in four areas: a more complex model of gender hierarchy, emphasizing the agency of women; explicit recognition of the geography of masculinities, emphasizing the interplay among local, regional, and global levels; a more specific treatment of embodiment in contexts of privilege and power; and a stronger emphasis on the dynamics of hegemonic masculinity, recognizing internal contradictions and the possibilities of movement toward gender democracy.","container-title":"Gender and Society","ISSN":"0891-2432","issue":"6","note":"publisher: Sage Publications, Inc.","page":"829-859","source":"JSTOR","title":"Hegemonic Masculinity: Rethinking the Concept","title-short":"Hegemonic Masculinity","volume":"19","author":[{"family":"Connell","given":"R. W."},{"family":"Messerschmidt","given":"James W."}],"issued":{"date-parts":[["2005"]]}}},{"id":93,"uris":["http://zotero.org/users/9138993/items/JA5A7KJF"],"itemData":{"id":93,"type":"article-journal","abstract":"Power-control theory, at its most abstract level, links gender differences in risk preference to patriarchal family structures. In previous studies, direct tests have focused on adolescent delinquency, which is a specific form of risk-taking, and have used measures of risk preference specific to delinquency. In the present article, we introduce evidence for more general power-control theory hypotheses by employing a more global measure of risk preference and analyzing data from a sample of adults. We have found that among adults who were raised in more patriarchal families, females have a significantly lower taste for risk, globally defined, than males, and that such a gender difference does not appear among adults who were raised in less patriarchal families. The findings provide a basis for expanding the scope of power-control theory beyond adolescent delinquency to include the gender patterning, and changes over time in that patterning, of a wide range of risk-taking behaviors among adults, including risks that are socially and culturally valued.","container-title":"Social Forces","DOI":"10.2307/2580761","ISSN":"0037-7732","issue":"1","note":"publisher: Oxford University Press","page":"177-199","source":"JSTOR","title":"Risk Preferences and Patriarchy: Extending Power-Control Theory","title-short":"Risk Preferences and Patriarchy","volume":"75","author":[{"family":"Grasmick","given":"Harold G."},{"family":"Hagan","given":"John"},{"family":"Blackwell","given":"Brenda Sims"},{"family":"Arneklev","given":"Bruce J."}],"issued":{"date-parts":[["1996"]]}}},{"id":41,"uris":["http://zotero.org/users/9138993/items/5ILJNGSI"],"itemData":{"id":41,"type":"article-journal","abstract":"Cross-cultural evidence on the gender gap in delinquency is presented. Based on power-control theory (PCT), gender differences in aggressive behaviour are analysed. We assume that differences in labour force participation between father and mother lead to differences in parental control behaviour towards boys and girls, which in turn lead to different risk-taking preferences and eventually produce gender differences in aggressive behaviour. A revised PCT acknowledges that dominance ideologies also play a role in the genesis of gender differences in delinquency. This proposition is also tested. Analyses are based on data from 319 families (father, mother and two adolescent opposite-sex siblings) from West Berlin, East Berlin and Toronto. The findings support assumptions of PCT but differ substantially between the three cities. Evidence of the link between structural patriarchy and parental style ? postulated in the original PCT ? is found in East Berlin, whereas the West Berlin and Toronto results fit a modified version of PCT featuring gender-role attitudes (ideological patriarchy).","container-title":"European Journal of Criminology","DOI":"10.1177/1477370807071729","ISSN":"1477-3708","issue":"1","journalAbbreviation":"European Journal of Criminology","note":"publisher: SAGE Publications","page":"33-58","source":"SAGE Journals","title":"Juvenile Delinquency and Gender Revisited: The Family and Power-Control Theory Reconceived","title-short":"Juvenile Delinquency and Gender Revisited","volume":"4","author":[{"family":"Hadjar","given":"Andreas"},{"family":"Baier","given":"Dirk"},{"family":"Boehnke","given":"Klaus"},{"family":"Hagan","given":"John"}],"issued":{"date-parts":[["2007",1,1]]}}}],"schema":"https://github.com/citation-style-language/schema/raw/master/csl-citation.json"} </w:instrText>
      </w:r>
      <w:r w:rsidR="00C8050F">
        <w:fldChar w:fldCharType="separate"/>
      </w:r>
      <w:r w:rsidR="00C8050F" w:rsidRPr="00C8050F">
        <w:t>(Blackwell 2000; Connell 1995; Connell and Messerschmidt 2005; Grasmick et al. 1996; Hadjar et al. 2007)</w:t>
      </w:r>
      <w:r w:rsidR="00C8050F">
        <w:fldChar w:fldCharType="end"/>
      </w:r>
      <w:r w:rsidR="00AE28A4">
        <w:t>.</w:t>
      </w:r>
      <w:r w:rsidR="00C8050F">
        <w:t xml:space="preserve"> Drawing from power-control theory,</w:t>
      </w:r>
      <w:r w:rsidR="00AE28A4">
        <w:t xml:space="preserve"> </w:t>
      </w:r>
      <w:r w:rsidR="006044B7">
        <w:rPr>
          <w:i/>
          <w:iCs/>
        </w:rPr>
        <w:t>Hypothesis 2</w:t>
      </w:r>
      <w:r w:rsidR="006044B7">
        <w:t xml:space="preserve"> is centered around patriarchal family </w:t>
      </w:r>
      <w:r w:rsidR="003C37F5">
        <w:t>structure and posits that</w:t>
      </w:r>
      <w:r w:rsidR="008D73F2">
        <w:t xml:space="preserve"> a patriarchal</w:t>
      </w:r>
      <w:r w:rsidR="003C37F5">
        <w:t xml:space="preserve"> family structure alone will contribute to a larger gender difference in illicit substance use</w:t>
      </w:r>
      <w:r w:rsidR="00443FFB">
        <w:t xml:space="preserve"> </w:t>
      </w:r>
      <w:r w:rsidR="00443FFB">
        <w:fldChar w:fldCharType="begin"/>
      </w:r>
      <w:r w:rsidR="00443FFB">
        <w:instrText xml:space="preserve"> ADDIN ZOTERO_ITEM CSL_CITATION {"citationID":"iSxVvXPl","properties":{"formattedCitation":"(Blackwell 2000)","plainCitation":"(Blackwell 2000)","noteIndex":0},"citationItems":[{"id":43,"uris":["http://zotero.org/users/9138993/items/U27MWAUF"],"itemData":{"id":43,"type":"article-journal","container-title":"Criminology","issue":"2","journalAbbreviation":"Criminology","language":"eng","page":"439-488","source":"HeinOnline","title":"Perceived Sanction Threats, Gender, and Crime: A Test and Elaboration of Power-Control Theory","title-short":"Perceived Sanction Threats, Gender, and Crime","volume":"38","author":[{"family":"Blackwell","given":"Brenda Sims"}],"issued":{"date-parts":[["2000"]]}}}],"schema":"https://github.com/citation-style-language/schema/raw/master/csl-citation.json"} </w:instrText>
      </w:r>
      <w:r w:rsidR="00443FFB">
        <w:fldChar w:fldCharType="separate"/>
      </w:r>
      <w:r w:rsidR="00443FFB" w:rsidRPr="00443FFB">
        <w:t>(Blackwell 2000)</w:t>
      </w:r>
      <w:r w:rsidR="00443FFB">
        <w:fldChar w:fldCharType="end"/>
      </w:r>
      <w:r w:rsidR="003C37F5">
        <w:t xml:space="preserve">. </w:t>
      </w:r>
      <w:r w:rsidR="00347443">
        <w:rPr>
          <w:i/>
          <w:iCs/>
        </w:rPr>
        <w:t>Hypothesis 2</w:t>
      </w:r>
      <w:r w:rsidR="00347443">
        <w:t>, however, is not supported by the results</w:t>
      </w:r>
      <w:r w:rsidR="00CB38F8">
        <w:t xml:space="preserve">. Here, while patriarchal families may perpetuate a </w:t>
      </w:r>
      <w:r w:rsidR="00CA7572">
        <w:t xml:space="preserve">hegemonic gender order, it does not appear to be an accurate measure of individual levels of masculinity </w:t>
      </w:r>
      <w:r w:rsidR="00CA7572">
        <w:fldChar w:fldCharType="begin"/>
      </w:r>
      <w:r w:rsidR="00672813">
        <w:instrText xml:space="preserve"> ADDIN ZOTERO_ITEM CSL_CITATION {"citationID":"JtP3S4N1","properties":{"formattedCitation":"(Blackwell 2000; Connell 1995; Schippers 2007)","plainCitation":"(Blackwell 2000; Connell 1995; Schippers 2007)","noteIndex":0},"citationItems":[{"id":43,"uris":["http://zotero.org/users/9138993/items/U27MWAUF"],"itemData":{"id":43,"type":"article-journal","container-title":"Criminology","issue":"2","journalAbbreviation":"Criminology","language":"eng","page":"439-488","source":"HeinOnline","title":"Perceived Sanction Threats, Gender, and Crime: A Test and Elaboration of Power-Control Theory","title-short":"Perceived Sanction Threats, Gender, and Crime","volume":"38","author":[{"family":"Blackwell","given":"Brenda Sims"}],"issued":{"date-parts":[["2000"]]}}},{"id":313,"uris":["http://zotero.org/users/9138993/items/NR78S2UQ"],"itemData":{"id":313,"type":"book","event-place":"Cambridge, UK","publisher":"Polity Press","publisher-place":"Cambridge, UK","title":"Masculinities","author":[{"family":"Connell","given":"R. W."}],"issued":{"date-parts":[["1995"]]}}},{"id":296,"uris":["http://zotero.org/users/9138993/items/7CHIU7X3"],"itemData":{"id":296,"type":"article-journal","abstract":"R. W. Connell's path-breaking notion of multiple masculinities (Connell, 1995) and hegemonic masculinity (Connell, 1987, 1995) have been taken up as central constructs in the sociology of gender. Although there has been a great deal of empirical research and theory published that has built upon and utilized Connell's concepts, an adequate conceptualization of hegemonic femininity and multiple femininities has not yet been developed. To redress this, the author presents a theoretical framework that builds upon the insights of Connell and others, offers a definition of hegemonic masculinity and hegemonic femininity that allows for multiple configurations within each, and that can be used empirically across settings and groups. The author also outlines how hegemonic masculinity and hegemonic femininity are implicated in and intersect with other systems of inequality such as class, race, and ethnicity.","container-title":"Theory and society","DOI":"10.1007/s11186-007-9022-4","ISSN":"0304-2421","issue":"1","language":"eng","note":"publisher-place: Dordrecht\npublisher: Kluwer","page":"85–102","source":"ou-primo.com","title":"Recovering the Feminine Other: Masculinity, Femininity, and Gender Hegemony","title-short":"Recovering the Feminine Other","volume":"36","author":[{"family":"Schippers","given":"Mimi"}],"issued":{"date-parts":[["2007"]]}}}],"schema":"https://github.com/citation-style-language/schema/raw/master/csl-citation.json"} </w:instrText>
      </w:r>
      <w:r w:rsidR="00CA7572">
        <w:fldChar w:fldCharType="separate"/>
      </w:r>
      <w:r w:rsidR="00672813" w:rsidRPr="00672813">
        <w:t>(Blackwell 2000; Connell 1995; Schippers 2007)</w:t>
      </w:r>
      <w:r w:rsidR="00CA7572">
        <w:fldChar w:fldCharType="end"/>
      </w:r>
      <w:r w:rsidR="00A54C20">
        <w:t xml:space="preserve">. </w:t>
      </w:r>
      <w:r w:rsidR="00A54C20">
        <w:rPr>
          <w:i/>
          <w:iCs/>
        </w:rPr>
        <w:t>Hypothesis 3</w:t>
      </w:r>
      <w:r w:rsidR="00A54C20">
        <w:t xml:space="preserve">, which </w:t>
      </w:r>
      <w:r w:rsidR="00672813">
        <w:t xml:space="preserve">draws from literature linking </w:t>
      </w:r>
      <w:r w:rsidR="005332AD">
        <w:t xml:space="preserve">dominant patriarchal norms to traditional ideas of masculinity </w:t>
      </w:r>
      <w:r w:rsidR="009202B1">
        <w:t xml:space="preserve">focuses on </w:t>
      </w:r>
      <w:r w:rsidR="00697576">
        <w:t xml:space="preserve">patriarchal norms and </w:t>
      </w:r>
      <w:r w:rsidR="00C17D7B">
        <w:t xml:space="preserve">asserts that an agreement with patriarchal norms </w:t>
      </w:r>
      <w:r w:rsidR="00FA2A03">
        <w:t>will contribute to a larger gender difference in illicit substances</w:t>
      </w:r>
      <w:r w:rsidR="005332AD">
        <w:t xml:space="preserve"> </w:t>
      </w:r>
      <w:r w:rsidR="005332AD">
        <w:fldChar w:fldCharType="begin"/>
      </w:r>
      <w:r w:rsidR="005332AD">
        <w:instrText xml:space="preserve"> ADDIN ZOTERO_ITEM CSL_CITATION {"citationID":"vHIPIK8b","properties":{"formattedCitation":"(Connell 1995; Connell and Messerschmidt 2005; Messerschmidt and Messner 2019)","plainCitation":"(Connell 1995; Connell and Messerschmidt 2005; Messerschmidt and Messner 2019)","noteIndex":0},"citationItems":[{"id":313,"uris":["http://zotero.org/users/9138993/items/NR78S2UQ"],"itemData":{"id":313,"type":"book","event-place":"Cambridge, UK","publisher":"Polity Press","publisher-place":"Cambridge, UK","title":"Masculinities","author":[{"family":"Connell","given":"R. W."}],"issued":{"date-parts":[["1995"]]}}},{"id":36,"uris":["http://zotero.org/users/9138993/items/FRRFNZST"],"itemData":{"id":36,"type":"article-journal","abstract":"The concept of hegemonic masculinity has influenced gender studies across many academic fields but has also attracted serious criticism. The authors trace the origin of the concept in a convergence of ideas in the early 1980s and map the ways it was applied when research on men and masculinities expanded. Evaluating the principal criticisms, the authors defend the underlying concept of masculinity, which in most research use is neither reified nor essentialist. However, the criticism of trait models of gender and rigid typologies is sound. The treatment of the subject in research on hegemonic masculinity can be improved with the aid of recent psychological models, although limits to discursive flexibility must be recognized. The concept of hegemonic masculinity does not equate to a model of social reproduction; we need to recognize social struggles in which subordinated masculinities influence dominant forms. Finally, the authors review what has been confirmed from early formulations (the idea of multiple masculinities, the concept of hegemony, and the emphasis on change) and what needs to be discarded (one-dimensional treatment of hierarchy and trait conceptions of gender). The authors suggest reformulation of the concept in four areas: a more complex model of gender hierarchy, emphasizing the agency of women; explicit recognition of the geography of masculinities, emphasizing the interplay among local, regional, and global levels; a more specific treatment of embodiment in contexts of privilege and power; and a stronger emphasis on the dynamics of hegemonic masculinity, recognizing internal contradictions and the possibilities of movement toward gender democracy.","container-title":"Gender and Society","ISSN":"0891-2432","issue":"6","note":"publisher: Sage Publications, Inc.","page":"829-859","source":"JSTOR","title":"Hegemonic Masculinity: Rethinking the Concept","title-short":"Hegemonic Masculinity","volume":"19","author":[{"family":"Connell","given":"R. W."},{"family":"Messerschmidt","given":"James W."}],"issued":{"date-parts":[["2005"]]}}},{"id":295,"uris":["http://zotero.org/users/9138993/items/N727CN8J"],"itemData":{"id":295,"type":"chapter","container-title":"Gender Reckonings: New Social Theory and Research","event-place":"New York","note":"Edited by James W. Messerschmidt, Paricia Yancey Martin, Michael A. Messner, and Raewyn Connell.","page":"35-56","publisher":"New York University Press","publisher-place":"New York","title":"Hegemonic, Nonhegemonic, and \"New\" Masculinities","author":[{"family":"Messerschmidt","given":"James W."},{"family":"Messner","given":"Michael A."}],"issued":{"date-parts":[["2019"]]}}}],"schema":"https://github.com/citation-style-language/schema/raw/master/csl-citation.json"} </w:instrText>
      </w:r>
      <w:r w:rsidR="005332AD">
        <w:fldChar w:fldCharType="separate"/>
      </w:r>
      <w:r w:rsidR="005332AD" w:rsidRPr="005332AD">
        <w:t>(Connell 1995; Connell and Messerschmidt 2005; Messerschmidt and Messner 2019)</w:t>
      </w:r>
      <w:r w:rsidR="005332AD">
        <w:fldChar w:fldCharType="end"/>
      </w:r>
      <w:r w:rsidR="00FA2A03">
        <w:t xml:space="preserve">. This </w:t>
      </w:r>
      <w:r w:rsidR="00A63594">
        <w:t xml:space="preserve">is supported in </w:t>
      </w:r>
      <w:r w:rsidR="00A63594">
        <w:lastRenderedPageBreak/>
        <w:t xml:space="preserve">three out of the four </w:t>
      </w:r>
      <w:r w:rsidR="008A0B13">
        <w:t xml:space="preserve">subgroups </w:t>
      </w:r>
      <w:r w:rsidR="00A63594">
        <w:t xml:space="preserve">used in the study. </w:t>
      </w:r>
      <w:r w:rsidR="00BF338C">
        <w:t xml:space="preserve">An individual’s level of agreement with </w:t>
      </w:r>
      <w:r w:rsidR="00D62BCE">
        <w:t xml:space="preserve">norms rooted in the patriarchy and hegemonic gender order may be a more accurate measure of masculinity, as the results support the </w:t>
      </w:r>
      <w:r w:rsidR="00351CC5">
        <w:t xml:space="preserve">argument put forth by </w:t>
      </w:r>
      <w:r w:rsidR="00351CC5">
        <w:rPr>
          <w:i/>
          <w:iCs/>
        </w:rPr>
        <w:t xml:space="preserve">Hypothesis 3 </w:t>
      </w:r>
      <w:r w:rsidR="00351CC5">
        <w:rPr>
          <w:i/>
          <w:iCs/>
        </w:rPr>
        <w:fldChar w:fldCharType="begin"/>
      </w:r>
      <w:r w:rsidR="00537FD9">
        <w:rPr>
          <w:i/>
          <w:iCs/>
        </w:rPr>
        <w:instrText xml:space="preserve"> ADDIN ZOTERO_ITEM CSL_CITATION {"citationID":"74p8t7F3","properties":{"formattedCitation":"(Connell 1995; Schippers 2007)","plainCitation":"(Connell 1995; Schippers 2007)","noteIndex":0},"citationItems":[{"id":313,"uris":["http://zotero.org/users/9138993/items/NR78S2UQ"],"itemData":{"id":313,"type":"book","event-place":"Cambridge, UK","publisher":"Polity Press","publisher-place":"Cambridge, UK","title":"Masculinities","author":[{"family":"Connell","given":"R. W."}],"issued":{"date-parts":[["1995"]]}}},{"id":296,"uris":["http://zotero.org/users/9138993/items/7CHIU7X3"],"itemData":{"id":296,"type":"article-journal","abstract":"R. W. Connell's path-breaking notion of multiple masculinities (Connell, 1995) and hegemonic masculinity (Connell, 1987, 1995) have been taken up as central constructs in the sociology of gender. Although there has been a great deal of empirical research and theory published that has built upon and utilized Connell's concepts, an adequate conceptualization of hegemonic femininity and multiple femininities has not yet been developed. To redress this, the author presents a theoretical framework that builds upon the insights of Connell and others, offers a definition of hegemonic masculinity and hegemonic femininity that allows for multiple configurations within each, and that can be used empirically across settings and groups. The author also outlines how hegemonic masculinity and hegemonic femininity are implicated in and intersect with other systems of inequality such as class, race, and ethnicity.","container-title":"Theory and society","DOI":"10.1007/s11186-007-9022-4","ISSN":"0304-2421","issue":"1","language":"eng","note":"publisher-place: Dordrecht\npublisher: Kluwer","page":"85–102","source":"ou-primo.com","title":"Recovering the Feminine Other: Masculinity, Femininity, and Gender Hegemony","title-short":"Recovering the Feminine Other","volume":"36","author":[{"family":"Schippers","given":"Mimi"}],"issued":{"date-parts":[["2007"]]}}}],"schema":"https://github.com/citation-style-language/schema/raw/master/csl-citation.json"} </w:instrText>
      </w:r>
      <w:r w:rsidR="00351CC5">
        <w:rPr>
          <w:i/>
          <w:iCs/>
        </w:rPr>
        <w:fldChar w:fldCharType="separate"/>
      </w:r>
      <w:r w:rsidR="00537FD9" w:rsidRPr="00537FD9">
        <w:t>(Connell 1995; Schippers 2007)</w:t>
      </w:r>
      <w:r w:rsidR="00351CC5">
        <w:rPr>
          <w:i/>
          <w:iCs/>
        </w:rPr>
        <w:fldChar w:fldCharType="end"/>
      </w:r>
      <w:r w:rsidR="003F0235">
        <w:t xml:space="preserve">. </w:t>
      </w:r>
    </w:p>
    <w:p w14:paraId="64A25024" w14:textId="16D87144" w:rsidR="00F45FB5" w:rsidRDefault="00F45FB5" w:rsidP="00EF36D7">
      <w:pPr>
        <w:pStyle w:val="Heading2"/>
      </w:pPr>
      <w:bookmarkStart w:id="35" w:name="_Toc102664129"/>
      <w:r>
        <w:t>Future Research</w:t>
      </w:r>
      <w:bookmarkEnd w:id="35"/>
      <w:r>
        <w:t xml:space="preserve"> </w:t>
      </w:r>
    </w:p>
    <w:p w14:paraId="198CFBE6" w14:textId="2E2430BF" w:rsidR="009B666D" w:rsidRDefault="00DB095F" w:rsidP="00840A5A">
      <w:r>
        <w:tab/>
        <w:t xml:space="preserve">As discussed briefly above, there are several avenues for future research. </w:t>
      </w:r>
      <w:r w:rsidR="00341B6A">
        <w:t xml:space="preserve">When looking at substances individually, as done in this piece, future research can examine </w:t>
      </w:r>
      <w:r w:rsidR="0006297C">
        <w:t xml:space="preserve">historical trends in substance use, how the gender differences have changed over time, and how those gender differences have been affected by </w:t>
      </w:r>
      <w:r w:rsidR="00F259E6">
        <w:t>masculinity, patriarchal norms, or other gender ideologies</w:t>
      </w:r>
      <w:r w:rsidR="008F1FF8">
        <w:t xml:space="preserve"> </w:t>
      </w:r>
      <w:r w:rsidR="00BA2ABD">
        <w:fldChar w:fldCharType="begin"/>
      </w:r>
      <w:r w:rsidR="00BA2ABD">
        <w:instrText xml:space="preserve"> ADDIN ZOTERO_ITEM CSL_CITATION {"citationID":"enA3SyJm","properties":{"formattedCitation":"(Kasperski et al. 2011; Marsh et al. 2018; Palamar 2014; Schneider et al. 2018; Yu et al. 2020)","plainCitation":"(Kasperski et al. 2011; Marsh et al. 2018; Palamar 2014; Schneider et al. 2018; Yu et al. 2020)","noteIndex":0},"citationItems":[{"id":107,"uris":["http://zotero.org/users/9138993/items/62WB75FC"],"itemData":{"id":107,"type":"article-journal","abstract":"College students have high rates of heavy drinking and other risky behaviors, but little is known about trends in their use of cocaine. In this longitudinal study of 1253 college students at one large, public university in the mid-Atlantic region, annual interviews assessed opportunity to use cocaine, cocaine use, and DSM-IV criteria for cocaine abuse and dependence. Follow-up rates exceeded 87% annually. Data from the first four years of college were analyzed to detect changes over time and possible gender differences. By their fourth year of college, 36%wt of students had been offered cocaine at least once in their lifetime, and 13%wt had used cocaine. Annual prevalence of cocaine use increased significantly over time (4%wt in Year 1 to 10%wt in Year 4) and remained similar across genders. Opportunities to use cocaine were significantly more prevalent for males than females during Years 2 through 4. Cocaine use given opportunity increased significantly over time for both males and females. Among 243 cocaine users, females (n=113) had more serious use patterns than males, with higher average frequency of use (18.39 vs. 8.83days during the peak year of use, p&lt;.05) and greater likelihood of meeting criteria for cocaine dependence (9.3% vs. 2.5%, p&lt;.05). Gender differences in typical cocaine dosage were not apparent. College administrators and health providers should be aware of the prevalence of cocaine use among student populations and design strategies to address the problem.","container-title":"Addictive Behaviors","DOI":"10.1016/j.addbeh.2010.12.002","ISSN":"0306-4603","issue":"4","journalAbbreviation":"Addictive Behaviors","language":"en","page":"408-411","source":"ScienceDirect","title":"College students' use of cocaine: Results from a longitudinal study","title-short":"College students' use of cocaine","volume":"36","author":[{"family":"Kasperski","given":"Sarah J."},{"family":"Vincent","given":"Kathryn B."},{"family":"Caldeira","given":"Kimberly M."},{"family":"Garnier-Dykstra","given":"Laura M."},{"family":"O'Grady","given":"Kevin E."},{"family":"Arria","given":"Amelia M."}],"issued":{"date-parts":[["2011",4,1]]}}},{"id":106,"uris":["http://zotero.org/users/9138993/items/ASQZXMR6"],"itemData":{"id":106,"type":"article-journal","abstract":"Background\nTrends in the current opioid epidemic in the United States show that use of heroin is increasing while nonmedical use of prescription opioids is slowing. Understanding gender differences in these trends is essential to efforts to address the opioid epidemic. This study compared gender difference in trends in heroin and nonmedical prescription opioid use in the U.S. between 2007 and 2014.\nMethods\nData from the National Survey on Drug Use and Health (NSDUH) were used to trace prevalence and to estimate risk for heroin and nonmedical prescription opioid use in the last year for women and men.\nResults\nPrevalence rates in the total sample (N = 447,188) indicate a notable increase in heroin use and a steady decline in the nonmedical use of prescription opioids between 2007 and 2014 for both women and men. Women are increasing heroin use at a faster rate than men but decreasing nonmedical prescription opioid use at a slower rate than men. Overall, risk factors for both heroin use and nonmedical prescription opioid use are similar to other illicit substances, but the magnitude of associations indicates that women may be at greater risk for the nonmedical use of prescription opioids than for the use of heroin.\nConclusions\nTrend analyses reveal a linear increase in heroin use and a quadratic decline in nonmedical prescription opioid use at the population level. The differential rates of change between men and women in use of both opioids highlight the need for comprehensive, gender-sensitive approaches to prevention and treatment for both heroin and nonmedical prescription opioid use. Future research should continue to explore gender differences in treatment access, including access to medication-assisted treatments and treatments integrated with health and social services, especially for women.","container-title":"Journal of Substance Abuse Treatment","DOI":"10.1016/j.jsat.2018.01.001","ISSN":"0740-5472","journalAbbreviation":"Journal of Substance Abuse Treatment","language":"en","page":"79-85","source":"ScienceDirect","title":"Gender differences in trends for heroin use and nonmedical prescription opioid use, 2007–2014","volume":"87","author":[{"family":"Marsh","given":"Jeanne C."},{"family":"Park","given":"Keunhye"},{"family":"Lin","given":"Yu-An"},{"family":"Bersamira","given":"Cliff"}],"issued":{"date-parts":[["2018",4,1]]}}},{"id":316,"uris":["http://zotero.org/users/9138993/items/YPDYG6HY"],"itemData":{"id":316,"type":"article-journal","abstract":"Support for marijuana (cannabis) legalization is increasing in the US, and state-level marijuana policies are rapidly changing. Research is needed to examine correlates of opinions toward legalization among adolescents approaching adulthood as they are at high risk for use. Data were examined from a national representative sample of high school seniors in the Monitoring the Future study (years 2007-2011; N = 11,594) to delineate correlates of opinions toward legalization. A third of students felt marijuana should be entirely legal and 28.5% felt it should be treated as a minor violation; 48.0% felt that if legal to sell it should be sold to adults only, and 10.4% felt it should be sold to anyone. Females, conservatives, religious students, and those with friends who disapprove of marijuana use tended to be at lower odds for supporting legalization, and Black, liberal, and urban students were at higher odds for supporting more liberal policies. Recent and frequent marijuana use strongly increased odds for support for legalization; however, 16.7% of non-lifetime marijuana users also reported support for legalization. Findings should be interpreted with caution as state-level data were not available, but results suggest that support for marijuana legalization is common among specific subgroups of adolescents.","container-title":"Journal of Psychoactive Drugs","DOI":"10.1080/02791072.2014.962716","ISSN":"0279-1072","issue":"5","note":"publisher: Taylor &amp; Francis\n_eprint: https://doi.org/10.1080/02791072.2014.962716\nPMID: 25364985","page":"351-361","source":"Taylor and Francis+NEJM","title":"An Examination of Opinions Toward Marijuana Policies Among High School Seniors in the United States","volume":"46","author":[{"family":"Palamar","given":"Joseph J."}],"issued":{"date-parts":[["2014",10,20]]}}},{"id":111,"uris":["http://zotero.org/users/9138993/items/K6KMTS82"],"itemData":{"id":111,"type":"article-journal","container-title":"Drug and Alcohol Dependence","DOI":"10.1016/j.drugalcdep.2017.10.028","language":"en","page":"69-72","title":"Past 15-year trends in lifetime cocaine use among US high school students | Elsevier Enhanced Reader","volume":"183","author":[{"family":"Schneider","given":"Kristen E."},{"family":"Krawczyk","given":"Noa"},{"family":"Ziming","given":"Xuan"},{"family":"Johnson","given":"Renee M."}],"issued":{"date-parts":[["2018"]]}}},{"id":334,"uris":["http://zotero.org/users/9138993/items/RRPB223P"],"itemData":{"id":334,"type":"article-journal","abstract":"Marijuana is the most commonly used illicit drug in the United States. More and more states legalized medical and recreational marijuana use. Adolescents and emerging adults are at high risk for marijuana use. This ecological study aims to examine historical trends in marijuana use among youth along with marijuana legalization.","container-title":"BMC Public Health","DOI":"10.1186/s12889-020-8253-4","ISSN":"1471-2458","issue":"1","journalAbbreviation":"BMC Public Health","language":"en","page":"156","source":"Springer Link","title":"Marijuana legalization and historical trends in marijuana use among US residents aged 12–25: results from the 1979–2016 National Survey on drug use and health","title-short":"Marijuana legalization and historical trends in marijuana use among US residents aged 12–25","volume":"20","author":[{"family":"Yu","given":"Bin"},{"family":"Chen","given":"Xinguang"},{"family":"Chen","given":"Xiangfan"},{"family":"Yan","given":"Hong"}],"issued":{"date-parts":[["2020",2,4]]}}}],"schema":"https://github.com/citation-style-language/schema/raw/master/csl-citation.json"} </w:instrText>
      </w:r>
      <w:r w:rsidR="00BA2ABD">
        <w:fldChar w:fldCharType="separate"/>
      </w:r>
      <w:r w:rsidR="00BA2ABD" w:rsidRPr="00BA2ABD">
        <w:t>(Kasperski et al. 2011; Marsh et al. 2018; Palamar 2014; Schneider et al. 2018; Yu et al. 2020)</w:t>
      </w:r>
      <w:r w:rsidR="00BA2ABD">
        <w:fldChar w:fldCharType="end"/>
      </w:r>
      <w:r w:rsidR="00F259E6">
        <w:t xml:space="preserve">. For marijuana specifically, a historical analysis may </w:t>
      </w:r>
      <w:r w:rsidR="00A709DF">
        <w:t>shed light on how the legalization of the drug has affected the gender differences</w:t>
      </w:r>
      <w:r w:rsidR="00B90697">
        <w:t xml:space="preserve"> </w:t>
      </w:r>
      <w:r w:rsidR="00B90697">
        <w:fldChar w:fldCharType="begin"/>
      </w:r>
      <w:r w:rsidR="00B90697">
        <w:instrText xml:space="preserve"> ADDIN ZOTERO_ITEM CSL_CITATION {"citationID":"nXScsFEf","properties":{"formattedCitation":"(Yu et al. 2020)","plainCitation":"(Yu et al. 2020)","noteIndex":0},"citationItems":[{"id":334,"uris":["http://zotero.org/users/9138993/items/RRPB223P"],"itemData":{"id":334,"type":"article-journal","abstract":"Marijuana is the most commonly used illicit drug in the United States. More and more states legalized medical and recreational marijuana use. Adolescents and emerging adults are at high risk for marijuana use. This ecological study aims to examine historical trends in marijuana use among youth along with marijuana legalization.","container-title":"BMC Public Health","DOI":"10.1186/s12889-020-8253-4","ISSN":"1471-2458","issue":"1","journalAbbreviation":"BMC Public Health","language":"en","page":"156","source":"Springer Link","title":"Marijuana legalization and historical trends in marijuana use among US residents aged 12–25: results from the 1979–2016 National Survey on drug use and health","title-short":"Marijuana legalization and historical trends in marijuana use among US residents aged 12–25","volume":"20","author":[{"family":"Yu","given":"Bin"},{"family":"Chen","given":"Xinguang"},{"family":"Chen","given":"Xiangfan"},{"family":"Yan","given":"Hong"}],"issued":{"date-parts":[["2020",2,4]]}}}],"schema":"https://github.com/citation-style-language/schema/raw/master/csl-citation.json"} </w:instrText>
      </w:r>
      <w:r w:rsidR="00B90697">
        <w:fldChar w:fldCharType="separate"/>
      </w:r>
      <w:r w:rsidR="00B90697" w:rsidRPr="00B90697">
        <w:t>(Yu et al. 2020)</w:t>
      </w:r>
      <w:r w:rsidR="00B90697">
        <w:fldChar w:fldCharType="end"/>
      </w:r>
      <w:r w:rsidR="00A709DF">
        <w:t>.</w:t>
      </w:r>
      <w:r w:rsidR="00F259E6">
        <w:t xml:space="preserve"> Future research </w:t>
      </w:r>
      <w:r w:rsidR="006F31AD">
        <w:t>focusing on cocaine use can examine the possibility of illicit masculinity having a stronger effect on young men than it does for young women</w:t>
      </w:r>
      <w:r w:rsidR="00AD72B9">
        <w:t xml:space="preserve"> </w:t>
      </w:r>
      <w:r w:rsidR="00AD72B9">
        <w:fldChar w:fldCharType="begin"/>
      </w:r>
      <w:r w:rsidR="00AD72B9">
        <w:instrText xml:space="preserve"> ADDIN ZOTERO_ITEM CSL_CITATION {"citationID":"YOkzktZG","properties":{"formattedCitation":"(Darcy 2018, 2020)","plainCitation":"(Darcy 2018, 2020)","noteIndex":0},"citationItems":[{"id":112,"uris":["http://zotero.org/users/9138993/items/LJ77884B"],"itemData":{"id":112,"type":"article-journal","abstract":"This paper highlights a significant gender disparity within Ireland?s illicit drug landscape, which is predominantly composed of men. Irish men?s historical gender invisibility contributed to their predominance as drug users being overlooked. Thus, this paper focuses a masculinities lens on Irish men?s recreational use of illicit drugs, making their drug taking visible as a gendered activity. The study utilised a qualitative methodology, with masculinities theory forming the primary theoretical and analytical lens. Nine focus groups were conducted with Irish men exploring their views on illicit drugs. Twenty in-depth interviews were completed with men who identified as illicit recreational drug users, exploring their drug-taking histories and experiences. Findings demonstrate how the use of illicit drugs can symbolically communicate messages about the drug taker. The study reveals masculinities are an interpretative lens employed by men when trying to understand their own or other men?s drug taking. It is argued that men?s drug taking and masculinities intersect. In homosocial contexts, men?s recreational use of illicit drugs can contribute to them demonstrating masculinities to other drug-taking men; however, outside of these contexts, the same behaviours can be viewed by non-drug takers as emasculating.","container-title":"Irish Journal of Sociology","DOI":"10.1177/0791603517735772","ISSN":"0791-6035","issue":"1","journalAbbreviation":"Irish Journal of Sociology","note":"publisher: SAGE Publications Ltd","page":"5-24","source":"SAGE Journals","title":"Making the invisible visible: Masculinities and men’s illicit recreational drug use","title-short":"Making the invisible visible","volume":"26","author":[{"family":"Darcy","given":"Clay"}],"issued":{"date-parts":[["2018",4,1]]}}},{"id":110,"uris":["http://zotero.org/users/9138993/items/XTD3HEAU"],"itemData":{"id":110,"type":"article-journal","abstract":"The purpose of this article is to explore the motivations behind some men’s recreational use of illicit drugs from a gender standpoint. The rationale for this analysis stems from men’s predominance as illicit drug users and their likelihood of experiencing problem drug use and becoming a part of an over-represented population in drug treatment services. Explanations for men’s problematic/addicted patterns of drug use often point to marginalisation, disadvantage, and/or men’s tendency towards problematic health behaviours. This article argues that men’s illicit recreational drug use is often glossed over as a gendered activity and receives less scrutiny than problematic/addicted patterns of drug taking. It examines the drug-taking motivations of 20 Irish men who identified as illicit recreational drug users to expand on and deepen current explanations for men’s illicit recreational drug use. The article demonstrates how men engage in drug use for complex and contradictory reasons that include embodied quests for pleasure and excitement, achieving connection with other men, and performing or contravening masculinities in homosocial contexts.","container-title":"Sociological Research Online","DOI":"10.1177/1360780419879940","ISSN":"1360-7804","issue":"3","journalAbbreviation":"Sociological Research Online","language":"en","note":"publisher: SAGE Publications Ltd","page":"421-437","source":"SAGE Journals","title":"Men and the Drug Buzz: Masculinity and Men’s Motivations for Illicit Recreational Drug Use","title-short":"Men and the Drug Buzz","volume":"25","author":[{"family":"Darcy","given":"Clay"}],"issued":{"date-parts":[["2020",9,1]]}}}],"schema":"https://github.com/citation-style-language/schema/raw/master/csl-citation.json"} </w:instrText>
      </w:r>
      <w:r w:rsidR="00AD72B9">
        <w:fldChar w:fldCharType="separate"/>
      </w:r>
      <w:r w:rsidR="00AD72B9" w:rsidRPr="00AD72B9">
        <w:t>(Darcy 2018, 2020)</w:t>
      </w:r>
      <w:r w:rsidR="00AD72B9">
        <w:fldChar w:fldCharType="end"/>
      </w:r>
      <w:r w:rsidR="006F31AD">
        <w:t xml:space="preserve">. As already mentioned, </w:t>
      </w:r>
      <w:r w:rsidR="00FC306D">
        <w:t>future research into heroin use amongst youth using data with a larger sample of reported heroin</w:t>
      </w:r>
      <w:r w:rsidR="00C43D2C">
        <w:t xml:space="preserve"> users may reveal a more accurate interpretation of how masculinity affects the gender differences in its use</w:t>
      </w:r>
      <w:r w:rsidR="00AD72B9">
        <w:t xml:space="preserve"> </w:t>
      </w:r>
      <w:r w:rsidR="00781C87">
        <w:fldChar w:fldCharType="begin"/>
      </w:r>
      <w:r w:rsidR="006353DD">
        <w:instrText xml:space="preserve"> ADDIN ZOTERO_ITEM CSL_CITATION {"citationID":"4fUWEipK","properties":{"formattedCitation":"(Darcy 2018; Marsh et al. 2018)","plainCitation":"(Darcy 2018; Marsh et al. 2018)","noteIndex":0},"citationItems":[{"id":112,"uris":["http://zotero.org/users/9138993/items/LJ77884B"],"itemData":{"id":112,"type":"article-journal","abstract":"This paper highlights a significant gender disparity within Ireland?s illicit drug landscape, which is predominantly composed of men. Irish men?s historical gender invisibility contributed to their predominance as drug users being overlooked. Thus, this paper focuses a masculinities lens on Irish men?s recreational use of illicit drugs, making their drug taking visible as a gendered activity. The study utilised a qualitative methodology, with masculinities theory forming the primary theoretical and analytical lens. Nine focus groups were conducted with Irish men exploring their views on illicit drugs. Twenty in-depth interviews were completed with men who identified as illicit recreational drug users, exploring their drug-taking histories and experiences. Findings demonstrate how the use of illicit drugs can symbolically communicate messages about the drug taker. The study reveals masculinities are an interpretative lens employed by men when trying to understand their own or other men?s drug taking. It is argued that men?s drug taking and masculinities intersect. In homosocial contexts, men?s recreational use of illicit drugs can contribute to them demonstrating masculinities to other drug-taking men; however, outside of these contexts, the same behaviours can be viewed by non-drug takers as emasculating.","container-title":"Irish Journal of Sociology","DOI":"10.1177/0791603517735772","ISSN":"0791-6035","issue":"1","journalAbbreviation":"Irish Journal of Sociology","note":"publisher: SAGE Publications Ltd","page":"5-24","source":"SAGE Journals","title":"Making the invisible visible: Masculinities and men’s illicit recreational drug use","title-short":"Making the invisible visible","volume":"26","author":[{"family":"Darcy","given":"Clay"}],"issued":{"date-parts":[["2018",4,1]]}}},{"id":106,"uris":["http://zotero.org/users/9138993/items/ASQZXMR6"],"itemData":{"id":106,"type":"article-journal","abstract":"Background\nTrends in the current opioid epidemic in the United States show that use of heroin is increasing while nonmedical use of prescription opioids is slowing. Understanding gender differences in these trends is essential to efforts to address the opioid epidemic. This study compared gender difference in trends in heroin and nonmedical prescription opioid use in the U.S. between 2007 and 2014.\nMethods\nData from the National Survey on Drug Use and Health (NSDUH) were used to trace prevalence and to estimate risk for heroin and nonmedical prescription opioid use in the last year for women and men.\nResults\nPrevalence rates in the total sample (N = 447,188) indicate a notable increase in heroin use and a steady decline in the nonmedical use of prescription opioids between 2007 and 2014 for both women and men. Women are increasing heroin use at a faster rate than men but decreasing nonmedical prescription opioid use at a slower rate than men. Overall, risk factors for both heroin use and nonmedical prescription opioid use are similar to other illicit substances, but the magnitude of associations indicates that women may be at greater risk for the nonmedical use of prescription opioids than for the use of heroin.\nConclusions\nTrend analyses reveal a linear increase in heroin use and a quadratic decline in nonmedical prescription opioid use at the population level. The differential rates of change between men and women in use of both opioids highlight the need for comprehensive, gender-sensitive approaches to prevention and treatment for both heroin and nonmedical prescription opioid use. Future research should continue to explore gender differences in treatment access, including access to medication-assisted treatments and treatments integrated with health and social services, especially for women.","container-title":"Journal of Substance Abuse Treatment","DOI":"10.1016/j.jsat.2018.01.001","ISSN":"0740-5472","journalAbbreviation":"Journal of Substance Abuse Treatment","language":"en","page":"79-85","source":"ScienceDirect","title":"Gender differences in trends for heroin use and nonmedical prescription opioid use, 2007–2014","volume":"87","author":[{"family":"Marsh","given":"Jeanne C."},{"family":"Park","given":"Keunhye"},{"family":"Lin","given":"Yu-An"},{"family":"Bersamira","given":"Cliff"}],"issued":{"date-parts":[["2018",4,1]]}}}],"schema":"https://github.com/citation-style-language/schema/raw/master/csl-citation.json"} </w:instrText>
      </w:r>
      <w:r w:rsidR="00781C87">
        <w:fldChar w:fldCharType="separate"/>
      </w:r>
      <w:r w:rsidR="006353DD" w:rsidRPr="006353DD">
        <w:t>(Darcy 2018; Marsh et al. 2018)</w:t>
      </w:r>
      <w:r w:rsidR="00781C87">
        <w:fldChar w:fldCharType="end"/>
      </w:r>
      <w:r w:rsidR="00C43D2C">
        <w:t>.</w:t>
      </w:r>
      <w:r w:rsidR="00370936">
        <w:t xml:space="preserve"> I believe that the </w:t>
      </w:r>
      <w:r w:rsidR="00DE16BE">
        <w:t xml:space="preserve">non-statistically significant </w:t>
      </w:r>
      <w:r w:rsidR="00370936">
        <w:t xml:space="preserve">findings from the heroin </w:t>
      </w:r>
      <w:r w:rsidR="004867B4">
        <w:t xml:space="preserve">subgroup </w:t>
      </w:r>
      <w:r w:rsidR="00DE16BE">
        <w:t>may be</w:t>
      </w:r>
      <w:r w:rsidR="00370936">
        <w:t xml:space="preserve"> due to the low percentage of reports of using the substance. Should further research be performed looking more closely at heroin use among youth, perhaps oversampling youth who use heroin, </w:t>
      </w:r>
      <w:r w:rsidR="00DE16BE">
        <w:t xml:space="preserve">to examine </w:t>
      </w:r>
      <w:r w:rsidR="00370936">
        <w:t xml:space="preserve">support for the idea of illicit masculinity and its effects on the gender differences in heroin use </w:t>
      </w:r>
      <w:r w:rsidR="006353DD">
        <w:fldChar w:fldCharType="begin"/>
      </w:r>
      <w:r w:rsidR="006353DD">
        <w:instrText xml:space="preserve"> ADDIN ZOTERO_ITEM CSL_CITATION {"citationID":"BY0IYc9v","properties":{"formattedCitation":"(Darcy 2018; Marsh et al. 2018)","plainCitation":"(Darcy 2018; Marsh et al. 2018)","noteIndex":0},"citationItems":[{"id":112,"uris":["http://zotero.org/users/9138993/items/LJ77884B"],"itemData":{"id":112,"type":"article-journal","abstract":"This paper highlights a significant gender disparity within Ireland?s illicit drug landscape, which is predominantly composed of men. Irish men?s historical gender invisibility contributed to their predominance as drug users being overlooked. Thus, this paper focuses a masculinities lens on Irish men?s recreational use of illicit drugs, making their drug taking visible as a gendered activity. The study utilised a qualitative methodology, with masculinities theory forming the primary theoretical and analytical lens. Nine focus groups were conducted with Irish men exploring their views on illicit drugs. Twenty in-depth interviews were completed with men who identified as illicit recreational drug users, exploring their drug-taking histories and experiences. Findings demonstrate how the use of illicit drugs can symbolically communicate messages about the drug taker. The study reveals masculinities are an interpretative lens employed by men when trying to understand their own or other men?s drug taking. It is argued that men?s drug taking and masculinities intersect. In homosocial contexts, men?s recreational use of illicit drugs can contribute to them demonstrating masculinities to other drug-taking men; however, outside of these contexts, the same behaviours can be viewed by non-drug takers as emasculating.","container-title":"Irish Journal of Sociology","DOI":"10.1177/0791603517735772","ISSN":"0791-6035","issue":"1","journalAbbreviation":"Irish Journal of Sociology","note":"publisher: SAGE Publications Ltd","page":"5-24","source":"SAGE Journals","title":"Making the invisible visible: Masculinities and men’s illicit recreational drug use","title-short":"Making the invisible visible","volume":"26","author":[{"family":"Darcy","given":"Clay"}],"issued":{"date-parts":[["2018",4,1]]}}},{"id":106,"uris":["http://zotero.org/users/9138993/items/ASQZXMR6"],"itemData":{"id":106,"type":"article-journal","abstract":"Background\nTrends in the current opioid epidemic in the United States show that use of heroin is increasing while nonmedical use of prescription opioids is slowing. Understanding gender differences in these trends is essential to efforts to address the opioid epidemic. This study compared gender difference in trends in heroin and nonmedical prescription opioid use in the U.S. between 2007 and 2014.\nMethods\nData from the National Survey on Drug Use and Health (NSDUH) were used to trace prevalence and to estimate risk for heroin and nonmedical prescription opioid use in the last year for women and men.\nResults\nPrevalence rates in the total sample (N = 447,188) indicate a notable increase in heroin use and a steady decline in the nonmedical use of prescription opioids between 2007 and 2014 for both women and men. Women are increasing heroin use at a faster rate than men but decreasing nonmedical prescription opioid use at a slower rate than men. Overall, risk factors for both heroin use and nonmedical prescription opioid use are similar to other illicit substances, but the magnitude of associations indicates that women may be at greater risk for the nonmedical use of prescription opioids than for the use of heroin.\nConclusions\nTrend analyses reveal a linear increase in heroin use and a quadratic decline in nonmedical prescription opioid use at the population level. The differential rates of change between men and women in use of both opioids highlight the need for comprehensive, gender-sensitive approaches to prevention and treatment for both heroin and nonmedical prescription opioid use. Future research should continue to explore gender differences in treatment access, including access to medication-assisted treatments and treatments integrated with health and social services, especially for women.","container-title":"Journal of Substance Abuse Treatment","DOI":"10.1016/j.jsat.2018.01.001","ISSN":"0740-5472","journalAbbreviation":"Journal of Substance Abuse Treatment","language":"en","page":"79-85","source":"ScienceDirect","title":"Gender differences in trends for heroin use and nonmedical prescription opioid use, 2007–2014","volume":"87","author":[{"family":"Marsh","given":"Jeanne C."},{"family":"Park","given":"Keunhye"},{"family":"Lin","given":"Yu-An"},{"family":"Bersamira","given":"Cliff"}],"issued":{"date-parts":[["2018",4,1]]}}}],"schema":"https://github.com/citation-style-language/schema/raw/master/csl-citation.json"} </w:instrText>
      </w:r>
      <w:r w:rsidR="006353DD">
        <w:fldChar w:fldCharType="separate"/>
      </w:r>
      <w:r w:rsidR="006353DD" w:rsidRPr="006353DD">
        <w:t>(Darcy 2018; Marsh et al. 2018)</w:t>
      </w:r>
      <w:r w:rsidR="006353DD">
        <w:fldChar w:fldCharType="end"/>
      </w:r>
      <w:r w:rsidR="00370936">
        <w:t>.</w:t>
      </w:r>
      <w:r w:rsidR="00C43D2C">
        <w:t xml:space="preserve"> </w:t>
      </w:r>
      <w:r w:rsidR="00692E05">
        <w:t xml:space="preserve">As for narcotics, </w:t>
      </w:r>
      <w:r w:rsidR="006D5C3F">
        <w:t>it is possible that</w:t>
      </w:r>
      <w:r w:rsidR="00401BC3">
        <w:t xml:space="preserve"> it is more socially acceptable for young women to use narcotics than it is for young men</w:t>
      </w:r>
      <w:r w:rsidR="007F0433">
        <w:t>, meaning that illicit masculinity would not apply to young women using narcotics</w:t>
      </w:r>
      <w:r w:rsidR="002330D1">
        <w:t xml:space="preserve"> </w:t>
      </w:r>
      <w:r w:rsidR="002330D1">
        <w:fldChar w:fldCharType="begin"/>
      </w:r>
      <w:r w:rsidR="00147E2E">
        <w:instrText xml:space="preserve"> ADDIN ZOTERO_ITEM CSL_CITATION {"citationID":"k9BQQ2HV","properties":{"formattedCitation":"(Egan et al. 2019; Kapetanovic et al. 2022)","plainCitation":"(Egan et al. 2019; Kapetanovic et al. 2022)","noteIndex":0},"citationItems":[{"id":322,"uris":["http://zotero.org/users/9138993/items/XDHGUTX7"],"itemData":{"id":322,"type":"article-journal","abstract":"This study examined risk factors of nonmedical prescription opioid use (NMPOU) among adolescents and how risk factors differ by gender. In the fall of 2017, adolescents attending 6th through 12th grades across 44 schools in 10 south central Kentucky counties were invited to participate in an anonymous, school-based survey. A total of 11,761 adolescents completed the survey. Logistic regression was conducted to examine the association between NMPOU and constructs of the Theory of Reasoned Action (i.e., attitudes and subjective norms), descriptive norms (i.e., peer use), and parental control of prescription medications in the home. There were 297 (2.7%) adolescents who reported NMPOU in the past 12 months. In the adjusted multivariate logistic regression model, for both males and females, the adolescents who perceived that more of their peers engaged in NMPOU were significantly more likely to endorse NMPOU, whereas male and female adolescents who perceived their peers disapproved of use were significantly less likely to report NMPOU. Parent disapproval was significantly associated with decreased NMPOU for females only. Moderated regression analyses revealed that gender moderated the relationship between parental disapproval and NMPOU. We found that during adolescence, NMPOU is influenced by peer norms for both genders and parental norms for females. These results indicate that prevention efforts should focus on changing adolescents’ peer and parental norms related to NMPOU.","container-title":"Prevention Science","DOI":"10.1007/s11121-019-0982-1","ISSN":"1573-6695","issue":"5","journalAbbreviation":"Prev Sci","language":"en","page":"665-673","source":"Springer Link","title":"Power of the Peer and Parent: Gender Differences, Norms, and Nonmedical Prescription Opioid Use Among Adolescents in South Central Kentucky","title-short":"Power of the Peer and Parent","volume":"20","author":[{"family":"Egan","given":"Kathleen L."},{"family":"Gregory","given":"Eric"},{"family":"Osborne","given":"Vicki L."},{"family":"Cottler","given":"Linda B."}],"issued":{"date-parts":[["2019",7,1]]}}},{"id":336,"uris":["http://zotero.org/users/9138993/items/BM7UJEDV"],"itemData":{"id":336,"type":"article-journal","abstract":"The aim of the study was to investigate how general family relations, reported changes in family interaction and involvement with peers during the Covid-19 pandemic, and following rules and recommendations during the pandemic relate to adolescent smoking, alcohol use, inebriation, and use of narcotics during Covid-19.","container-title":"BMC Psychology","DOI":"10.1186/s40359-022-00756-1","ISSN":"2050-7283","issue":"1","journalAbbreviation":"BMC Psychol","language":"en","page":"44","source":"Springer Link","title":"Adolescent smoking, alcohol use, inebriation, and use of narcotics during the Covid-19 pandemic","volume":"10","author":[{"family":"Kapetanovic","given":"Sabina"},{"family":"Ander","given":"Birgitta"},{"family":"Gurdal","given":"Sevtap"},{"family":"Sorbring","given":"Emma"}],"issued":{"date-parts":[["2022",2,26]]}}}],"schema":"https://github.com/citation-style-language/schema/raw/master/csl-citation.json"} </w:instrText>
      </w:r>
      <w:r w:rsidR="002330D1">
        <w:fldChar w:fldCharType="separate"/>
      </w:r>
      <w:r w:rsidR="00147E2E" w:rsidRPr="00147E2E">
        <w:t xml:space="preserve">(Egan et al. </w:t>
      </w:r>
      <w:r w:rsidR="00147E2E" w:rsidRPr="00147E2E">
        <w:lastRenderedPageBreak/>
        <w:t>2019; Kapetanovic et al. 2022)</w:t>
      </w:r>
      <w:r w:rsidR="002330D1">
        <w:fldChar w:fldCharType="end"/>
      </w:r>
      <w:r w:rsidR="007F0433">
        <w:t xml:space="preserve">. </w:t>
      </w:r>
      <w:r w:rsidR="00BE2987">
        <w:t>For all substances studied here, future research can explore youth’s reasoning behind using such substance. Youth who use substances to impress their friends or spite their parents may be more inclined to be affected by illicit masculinity than youth who use substances as a coping mechanism.</w:t>
      </w:r>
      <w:r w:rsidR="00AC2E66">
        <w:t xml:space="preserve"> Research on peer influence and parent disapproval of illicit substances </w:t>
      </w:r>
      <w:r w:rsidR="00D47160">
        <w:t xml:space="preserve">imply that youth may associate with delinquent peers </w:t>
      </w:r>
      <w:r w:rsidR="008B0707">
        <w:t xml:space="preserve">to rebel against their </w:t>
      </w:r>
      <w:proofErr w:type="spellStart"/>
      <w:r w:rsidR="008B0707">
        <w:t>parents</w:t>
      </w:r>
      <w:proofErr w:type="spellEnd"/>
      <w:r w:rsidR="008B0707">
        <w:t xml:space="preserve"> wishes and may participate in delinquent behavior in order to fit in with their peer group </w:t>
      </w:r>
      <w:r w:rsidR="00490F42">
        <w:fldChar w:fldCharType="begin"/>
      </w:r>
      <w:r w:rsidR="009B666D">
        <w:instrText xml:space="preserve"> ADDIN ZOTERO_ITEM CSL_CITATION {"citationID":"UTX6sBjJ","properties":{"formattedCitation":"(Egan et al. 2019; Kapetanovic et al. 2022; Keijsers et al. 2012; Litt, Stock, and Lewis 2012)","plainCitation":"(Egan et al. 2019; Kapetanovic et al. 2022; Keijsers et al. 2012; Litt, Stock, and Lewis 2012)","noteIndex":0},"citationItems":[{"id":322,"uris":["http://zotero.org/users/9138993/items/XDHGUTX7"],"itemData":{"id":322,"type":"article-journal","abstract":"This study examined risk factors of nonmedical prescription opioid use (NMPOU) among adolescents and how risk factors differ by gender. In the fall of 2017, adolescents attending 6th through 12th grades across 44 schools in 10 south central Kentucky counties were invited to participate in an anonymous, school-based survey. A total of 11,761 adolescents completed the survey. Logistic regression was conducted to examine the association between NMPOU and constructs of the Theory of Reasoned Action (i.e., attitudes and subjective norms), descriptive norms (i.e., peer use), and parental control of prescription medications in the home. There were 297 (2.7%) adolescents who reported NMPOU in the past 12 months. In the adjusted multivariate logistic regression model, for both males and females, the adolescents who perceived that more of their peers engaged in NMPOU were significantly more likely to endorse NMPOU, whereas male and female adolescents who perceived their peers disapproved of use were significantly less likely to report NMPOU. Parent disapproval was significantly associated with decreased NMPOU for females only. Moderated regression analyses revealed that gender moderated the relationship between parental disapproval and NMPOU. We found that during adolescence, NMPOU is influenced by peer norms for both genders and parental norms for females. These results indicate that prevention efforts should focus on changing adolescents’ peer and parental norms related to NMPOU.","container-title":"Prevention Science","DOI":"10.1007/s11121-019-0982-1","ISSN":"1573-6695","issue":"5","journalAbbreviation":"Prev Sci","language":"en","page":"665-673","source":"Springer Link","title":"Power of the Peer and Parent: Gender Differences, Norms, and Nonmedical Prescription Opioid Use Among Adolescents in South Central Kentucky","title-short":"Power of the Peer and Parent","volume":"20","author":[{"family":"Egan","given":"Kathleen L."},{"family":"Gregory","given":"Eric"},{"family":"Osborne","given":"Vicki L."},{"family":"Cottler","given":"Linda B."}],"issued":{"date-parts":[["2019",7,1]]}}},{"id":336,"uris":["http://zotero.org/users/9138993/items/BM7UJEDV"],"itemData":{"id":336,"type":"article-journal","abstract":"The aim of the study was to investigate how general family relations, reported changes in family interaction and involvement with peers during the Covid-19 pandemic, and following rules and recommendations during the pandemic relate to adolescent smoking, alcohol use, inebriation, and use of narcotics during Covid-19.","container-title":"BMC Psychology","DOI":"10.1186/s40359-022-00756-1","ISSN":"2050-7283","issue":"1","journalAbbreviation":"BMC Psychol","language":"en","page":"44","source":"Springer Link","title":"Adolescent smoking, alcohol use, inebriation, and use of narcotics during the Covid-19 pandemic","volume":"10","author":[{"family":"Kapetanovic","given":"Sabina"},{"family":"Ander","given":"Birgitta"},{"family":"Gurdal","given":"Sevtap"},{"family":"Sorbring","given":"Emma"}],"issued":{"date-parts":[["2022",2,26]]}}},{"id":328,"uris":["http://zotero.org/users/9138993/items/658JGTUM"],"itemData":{"id":328,"type":"article-journal","abstract":"Spending leisure time with deviant peers may have strong influences on adolescents' delinquency. The current 3-wave multi-informant study examined how parental control and parental prohibition of friendships relate to these undesirable peer influences. To this end, annual questionnaires were administered to 497 Dutch youths (283 boys, mean age = 13 years at baseline), their best friends, and both parents. Cross-lagged panel analyses revealed strong longitudinal links from contacts with deviant peers to adolescent delinquency, but not vice versa. Parent-reported prohibition of friendships positively predicted contacts with deviant peers and indirectly predicted higher adolescent delinquency. Similar indirect effects were not found for parental control. The results suggest that forbidden friends may become \"forbidden fruit\" leading to unintended increases in adolescents' own delinquency.","container-title":"Child Development","ISSN":"0009-3920","issue":"2","note":"publisher: Wiley","page":"651-666","source":"JSTOR","title":"Forbidden Friends as Forbidden Fruit: Parental Supervision of Friendships, Contact With Deviant Peers, and Adolescent Delinquency","title-short":"Forbidden Friends as Forbidden Fruit","volume":"83","author":[{"family":"Keijsers","given":"Loes"},{"family":"Branje","given":"Susan"},{"family":"Hawk","given":"Skyler T."},{"family":"Frijns","given":"Tom"},{"family":"Koot","given":"Hans M."},{"family":"Lier","given":"Pol","non-dropping-particle":"van"},{"family":"Schwartz","given":"Seth J."},{"family":"Meeus","given":"Wim"}],"issued":{"date-parts":[["2012"]]}}},{"id":329,"uris":["http://zotero.org/users/9138993/items/XZ4CXARL"],"itemData":{"id":329,"type":"article-journal","abstract":"The primary objective of the present study was to examine whether the need to belong moderates the relation between perceived descriptive norms for best friend alcohol use and alcohol-related cognitions outlined in the Prototype Willingness model (i.e., willingness, attitudes, and prototype favorability) among college students. Three hundred forty-six college students (197 female) completed the survey. Regression results indicated that the effect of perceptions of best friend alcohol use on risk cognitions was stronger among students reporting a greater need to belong. The findings suggest that interventions utilizing descriptive norms may be more efficacious among those higher in a need to belong.","container-title":"Basic and Applied Social Psychology","DOI":"10.1080/01973533.2012.693357","ISSN":"0197-3533","issue":"4","note":"publisher: Routledge\n_eprint: https://doi.org/10.1080/01973533.2012.693357\nPMID: 28690349","page":"313-321","source":"Taylor and Francis+NEJM","title":"Drinking to Fit in: Examining the Need to Belong as a Moderator of Perceptions of Best Friends’ Alcohol Use and Related Risk Cognitions Among College Students","title-short":"Drinking to Fit in","volume":"34","author":[{"family":"Litt","given":"Dana M."},{"family":"Stock","given":"Michelle L."},{"family":"Lewis","given":"Melissa A."}],"issued":{"date-parts":[["2012",7,1]]}}}],"schema":"https://github.com/citation-style-language/schema/raw/master/csl-citation.json"} </w:instrText>
      </w:r>
      <w:r w:rsidR="00490F42">
        <w:fldChar w:fldCharType="separate"/>
      </w:r>
      <w:r w:rsidR="009B666D" w:rsidRPr="009B666D">
        <w:t>(Egan et al. 2019; Kapetanovic et al. 2022; Keijsers et al. 2012; Litt, Stock, and Lewis 2012)</w:t>
      </w:r>
      <w:r w:rsidR="00490F42">
        <w:fldChar w:fldCharType="end"/>
      </w:r>
      <w:r w:rsidR="00490F42">
        <w:t>.</w:t>
      </w:r>
      <w:r w:rsidR="00047416">
        <w:t xml:space="preserve"> </w:t>
      </w:r>
    </w:p>
    <w:p w14:paraId="009AC5F1" w14:textId="117F17F6" w:rsidR="00BE2987" w:rsidRPr="00DB095F" w:rsidRDefault="00DE71DE" w:rsidP="00585204">
      <w:pPr>
        <w:ind w:firstLine="720"/>
      </w:pPr>
      <w:r>
        <w:t>Future research can also expand on the theories surrounding masculinity and crime and tes</w:t>
      </w:r>
      <w:r w:rsidR="00521F68">
        <w:t>t the concept of illicit masculinity against such theories.</w:t>
      </w:r>
      <w:r w:rsidR="00C55335">
        <w:t xml:space="preserve"> For example, it could be argued that</w:t>
      </w:r>
      <w:r w:rsidR="007A3175">
        <w:t xml:space="preserve"> the social pressures of masculinity could act as a source of strain, causing adolescents to have negative emotions</w:t>
      </w:r>
      <w:r w:rsidR="000B0B8D">
        <w:t xml:space="preserve"> and leading them to illegitimate coping mechanisms </w:t>
      </w:r>
      <w:r w:rsidR="000B0B8D">
        <w:fldChar w:fldCharType="begin"/>
      </w:r>
      <w:r w:rsidR="00095153">
        <w:instrText xml:space="preserve"> ADDIN ZOTERO_ITEM CSL_CITATION {"citationID":"gFS5BIuH","properties":{"formattedCitation":"(Agnew 1992, 2001; Baron 2007; Broidy and Agnew 1997)","plainCitation":"(Agnew 1992, 2001; Baron 2007; Broidy and Agnew 1997)","noteIndex":0},"citationItems":[{"id":123,"uris":["http://zotero.org/users/9138993/items/8XLCGPFK"],"itemData":{"id":123,"type":"article-journal","container-title":"Criminology","issue":"1","journalAbbreviation":"Criminology","language":"eng","page":"47-88","source":"HeinOnline","title":"Foundation for a Generalism Strain Theory of Crime and Delinquency","volume":"30","author":[{"family":"Agnew","given":"Robert"}],"issued":{"date-parts":[["1992"]]}}},{"id":120,"uris":["http://zotero.org/users/9138993/items/24ETPDS4"],"itemData":{"id":120,"type":"article-journal","abstract":"General strain theory (GST) is usually tested by examining the effect of strain on crime. Researchers, however, have little guidance when it comes to selecting among the many hundreds of types of strain and have trouble explaining why only some of them are related to crime. This article builds on GST by describing the characteristics of strainful events and conditions that influence their relationship to crime. Strains are said to be most likely to result in crime when they (1) are seen as unjust, (2) are seen as high in magnitude, (3) are associated with low social control, and (4) create some pressure or incentive to engage in criminal coping. Drawing on these characteristics, it is predicted that some types of strain will not be related to crime, including types that have dominated the research on strain theory, and that others will be related to crime, including types that have been neglected by empirical researchers.","container-title":"Journal of Research in Crime and Delinquency","DOI":"10.1177/0022427801038004001","ISSN":"0022-4278","issue":"4","journalAbbreviation":"Journal of Research in Crime and Delinquency","note":"publisher: SAGE Publications Inc","page":"319-361","source":"SAGE Journals","title":"Building on the Foundation of General Strain Theory: Specifying the Types of Strain Most Likely to Lead to Crime and Delinquency","title-short":"Building on the Foundation of General Strain Theory","volume":"38","author":[{"family":"Agnew","given":"Robert"}],"issued":{"date-parts":[["2001",11,1]]}}},{"id":169,"uris":["http://zotero.org/users/9138993/items/XF9JBDSR"],"itemData":{"id":169,"type":"article-journal","abstract":"General strain theory posits that adversive circumstances experienced by youths increase the likelihood of criminal behavior. Broidy and Agnew argue that while the underlying process identified in the general strain model will be applicable to both male and female crime different models of strain may be required to highlight gender differences in the underlying process. Utilizing a “high risk” sample of 400 homeless street youths the study examines how socioeconomic strain in the forms of homelessness, monetary dissatisfaction, and relative deprivation may be differentially linked to property and violent crime depending on gender. The conditioning effects of deviant attitudes, deviant peers, attributions, self-efficacy, and self-esteem are also examined. The results reveal few gender differences in the main effects of the different types of strain on crime. There are, however, gender differences in the way the conditioning variables impact the link between forms of strain and crime.","container-title":"Deviant Behavior","DOI":"10.1080/01639620701233217","ISSN":"0163-9625","issue":"3","note":"publisher: Routledge\n_eprint: https://doi.org/10.1080/01639620701233217","page":"273-302","source":"Taylor and Francis+NEJM","title":"Street Youth, Gender, Financial Strain, and Crime: Exploring Broidy and Agnew's Extension to General Strain Theory","title-short":"Street Youth, Gender, Financial Strain, and Crime","volume":"28","author":[{"family":"Baron","given":"Stephen W."}],"issued":{"date-parts":[["2007",3,19]]}}},{"id":171,"uris":["http://zotero.org/users/9138993/items/VDYEACTQ"],"itemData":{"id":171,"type":"article-journal","abstract":"This study applies Agnew's general strain theory (GST) to two fundamental questions about gender and crime: (1) How can we explain the higher rate of crime among males? (2) How can we explain why females engage in crime? With respect to the first question, the authors suggest that gender differences in types of strain and the reaction to strain help one understand the gender gap in criminal behavior. With respect to the second question, it is argued that several types of strain may lead to female crime under the proper circumstances. In this area, GST has much in common with numerous accounts that explain female crime in terms of oppression.","container-title":"Journal of Research in Crime and Delinquency","DOI":"10.1177/0022427897034003001","ISSN":"0022-4278","issue":"3","journalAbbreviation":"Journal of Research in Crime and Delinquency","note":"publisher: SAGE Publications Inc","page":"275-306","source":"SAGE Journals","title":"Gender and Crime: A General Strain Theory Perspective","title-short":"Gender and Crime","volume":"34","author":[{"family":"Broidy","given":"Lisa"},{"family":"Agnew","given":"Robert"}],"issued":{"date-parts":[["1997",8,1]]}}}],"schema":"https://github.com/citation-style-language/schema/raw/master/csl-citation.json"} </w:instrText>
      </w:r>
      <w:r w:rsidR="000B0B8D">
        <w:fldChar w:fldCharType="separate"/>
      </w:r>
      <w:r w:rsidR="00095153" w:rsidRPr="00095153">
        <w:t>(Agnew 1992, 2001; Baron 2007; Broidy and Agnew 1997)</w:t>
      </w:r>
      <w:r w:rsidR="000B0B8D">
        <w:fldChar w:fldCharType="end"/>
      </w:r>
      <w:r w:rsidR="000B0B8D">
        <w:t xml:space="preserve">. Following the </w:t>
      </w:r>
      <w:r w:rsidR="009B35FE">
        <w:t xml:space="preserve">concept that family structure plays a role in adolescent’s delinquent behaviors, a power-control theory </w:t>
      </w:r>
      <w:r w:rsidR="00E830CC">
        <w:t>perspective</w:t>
      </w:r>
      <w:r w:rsidR="000826FC">
        <w:t xml:space="preserve"> may also assist in explaining the intersection of masculinity and </w:t>
      </w:r>
      <w:r w:rsidR="006A7993">
        <w:t xml:space="preserve">illicit substance use </w:t>
      </w:r>
      <w:r w:rsidR="006A7993">
        <w:fldChar w:fldCharType="begin"/>
      </w:r>
      <w:r w:rsidR="00FA089F">
        <w:instrText xml:space="preserve"> ADDIN ZOTERO_ITEM CSL_CITATION {"citationID":"XYsbCZf1","properties":{"formattedCitation":"(Blackwell 1995, 2000; Eitle and Eitle 2015; Grasmick et al. 1996; Hadjar et al. 2007)","plainCitation":"(Blackwell 1995, 2000; Eitle and Eitle 2015; Grasmick et al. 1996; Hadjar et al. 2007)","noteIndex":0},"citationItems":[{"id":32,"uris":["http://zotero.org/users/9138993/items/TFNDA7VV"],"itemData":{"id":32,"type":"thesis","abstract":"This study proposes that additional links may be made to Hagan's power-control theory of gender differences in delinquency. Specifically, this research posits that the effect of gender on the theoretical variables of attachment, commitment, involvement, and belief, perceived threats of shame and embarrassment, and self-control, is structured by the level of patriarchy in the family of origin. Furthermore, the variables of maternal and paternal controls should account for these differences.\nData gathered in the 1994 Oklahoma City Survey generally do not provide support for the inclusion of the social bonding variables of commitment, involvement, and belief, or the perceived threat of shame in the power-control model. Revisions of power-control theory should consider further exploration of parental attachment, as well as other attachments, perceived threats of embarrassment as well as legal sanctions, and a refined measure of risk preferences. Furthermore, the relevance of power-control theory in the explanation of gender differences in adult proclivities toward criminal behavior also should be explored.","event-place":"United States -- Oklahoma","genre":"Ph.D.","language":"English","number-of-pages":"247","publisher":"The University of Oklahoma","publisher-place":"United States -- Oklahoma","source":"ProQuest","title":"Elaborating power-control theory: Predicting gender differences in social bonds, perceived sanction threats, and low self-control","title-short":"Elaborating power-control theory","URL":"https://www.proquest.com/docview/304211641/abstract/192322B060F543AFPQ/1","author":[{"family":"Blackwell","given":"Brenda Sims"}],"accessed":{"date-parts":[["2021",2,19]]},"issued":{"date-parts":[["1995"]]}}},{"id":43,"uris":["http://zotero.org/users/9138993/items/U27MWAUF"],"itemData":{"id":43,"type":"article-journal","container-title":"Criminology","issue":"2","journalAbbreviation":"Criminology","language":"eng","page":"439-488","source":"HeinOnline","title":"Perceived Sanction Threats, Gender, and Crime: A Test and Elaboration of Power-Control Theory","title-short":"Perceived Sanction Threats, Gender, and Crime","volume":"38","author":[{"family":"Blackwell","given":"Brenda Sims"}],"issued":{"date-parts":[["2000"]]}}},{"id":92,"uris":["http://zotero.org/users/9138993/items/GAHQQP4K"],"itemData":{"id":92,"type":"article-journal","abstract":"This study evaluates the utility of Hagan's power-control theory for explaining substance use behaviors for a sample of American Indian (AI) adolescent males and females. Consistent with the theory, we found that patriarchal family form and the affective bond between father and daughter were significant predictors of female substance use behaviors. Compared with results from an analysis of non-Hispanic (NH) whites, these results reveal the importance of testing generalist explanations of deviant behavior across racial and ethnic groups. Our findings encourage a more in-depth consideration of the gendered nature of work, its association with socialization and control in AI families, and its impact on gender differences in substance use and delinquent behaviors.","container-title":"Sociological Perspectives","ISSN":"0731-1214","issue":"4","note":"publisher: Sage Publications, Inc.","page":"686-710","source":"JSTOR","title":"Explaining the Association between Gender and Substance Use among American Indian Adolescents: An Application of Power-control Theory","title-short":"Explaining the Association between Gender and Substance Use among American Indian Adolescents","volume":"58","author":[{"family":"Eitle","given":"Tamela McNulty"},{"family":"Eitle","given":"David"}],"issued":{"date-parts":[["2015"]]}}},{"id":93,"uris":["http://zotero.org/users/9138993/items/JA5A7KJF"],"itemData":{"id":93,"type":"article-journal","abstract":"Power-control theory, at its most abstract level, links gender differences in risk preference to patriarchal family structures. In previous studies, direct tests have focused on adolescent delinquency, which is a specific form of risk-taking, and have used measures of risk preference specific to delinquency. In the present article, we introduce evidence for more general power-control theory hypotheses by employing a more global measure of risk preference and analyzing data from a sample of adults. We have found that among adults who were raised in more patriarchal families, females have a significantly lower taste for risk, globally defined, than males, and that such a gender difference does not appear among adults who were raised in less patriarchal families. The findings provide a basis for expanding the scope of power-control theory beyond adolescent delinquency to include the gender patterning, and changes over time in that patterning, of a wide range of risk-taking behaviors among adults, including risks that are socially and culturally valued.","container-title":"Social Forces","DOI":"10.2307/2580761","ISSN":"0037-7732","issue":"1","note":"publisher: Oxford University Press","page":"177-199","source":"JSTOR","title":"Risk Preferences and Patriarchy: Extending Power-Control Theory","title-short":"Risk Preferences and Patriarchy","volume":"75","author":[{"family":"Grasmick","given":"Harold G."},{"family":"Hagan","given":"John"},{"family":"Blackwell","given":"Brenda Sims"},{"family":"Arneklev","given":"Bruce J."}],"issued":{"date-parts":[["1996"]]}}},{"id":41,"uris":["http://zotero.org/users/9138993/items/5ILJNGSI"],"itemData":{"id":41,"type":"article-journal","abstract":"Cross-cultural evidence on the gender gap in delinquency is presented. Based on power-control theory (PCT), gender differences in aggressive behaviour are analysed. We assume that differences in labour force participation between father and mother lead to differences in parental control behaviour towards boys and girls, which in turn lead to different risk-taking preferences and eventually produce gender differences in aggressive behaviour. A revised PCT acknowledges that dominance ideologies also play a role in the genesis of gender differences in delinquency. This proposition is also tested. Analyses are based on data from 319 families (father, mother and two adolescent opposite-sex siblings) from West Berlin, East Berlin and Toronto. The findings support assumptions of PCT but differ substantially between the three cities. Evidence of the link between structural patriarchy and parental style ? postulated in the original PCT ? is found in East Berlin, whereas the West Berlin and Toronto results fit a modified version of PCT featuring gender-role attitudes (ideological patriarchy).","container-title":"European Journal of Criminology","DOI":"10.1177/1477370807071729","ISSN":"1477-3708","issue":"1","journalAbbreviation":"European Journal of Criminology","note":"publisher: SAGE Publications","page":"33-58","source":"SAGE Journals","title":"Juvenile Delinquency and Gender Revisited: The Family and Power-Control Theory Reconceived","title-short":"Juvenile Delinquency and Gender Revisited","volume":"4","author":[{"family":"Hadjar","given":"Andreas"},{"family":"Baier","given":"Dirk"},{"family":"Boehnke","given":"Klaus"},{"family":"Hagan","given":"John"}],"issued":{"date-parts":[["2007",1,1]]}}}],"schema":"https://github.com/citation-style-language/schema/raw/master/csl-citation.json"} </w:instrText>
      </w:r>
      <w:r w:rsidR="006A7993">
        <w:fldChar w:fldCharType="separate"/>
      </w:r>
      <w:r w:rsidR="00FA089F" w:rsidRPr="00FA089F">
        <w:t>(Blackwell 1995, 2000; Eitle and Eitle 2015; Grasmick et al. 1996; Hadjar et al. 2007)</w:t>
      </w:r>
      <w:r w:rsidR="006A7993">
        <w:fldChar w:fldCharType="end"/>
      </w:r>
      <w:r w:rsidR="00BD6D07">
        <w:t xml:space="preserve">. Masculinity could also act as a </w:t>
      </w:r>
      <w:r w:rsidR="00AA30FD">
        <w:t xml:space="preserve">social </w:t>
      </w:r>
      <w:r w:rsidR="00BD6D07">
        <w:t xml:space="preserve">control, and tests </w:t>
      </w:r>
      <w:r w:rsidR="00330DDA">
        <w:t xml:space="preserve">of illicit masculinity </w:t>
      </w:r>
      <w:r w:rsidR="00BD6D07">
        <w:t xml:space="preserve">could apply </w:t>
      </w:r>
      <w:r w:rsidR="00301432">
        <w:fldChar w:fldCharType="begin"/>
      </w:r>
      <w:r w:rsidR="00834EDC">
        <w:instrText xml:space="preserve"> ADDIN ZOTERO_ITEM CSL_CITATION {"citationID":"dzfzSeER","properties":{"formattedCitation":"(Hirschi 1969)","plainCitation":"(Hirschi 1969)","dontUpdate":true,"noteIndex":0},"citationItems":[{"id":44,"uris":["http://zotero.org/users/9138993/items/82XMSJMB"],"itemData":{"id":44,"type":"book","language":"English","number-of-pages":"309","publisher":"Berkeley, University of California Press","title":"Causes of Delinquency","author":[{"family":"Hirschi","given":"Travis"}],"issued":{"date-parts":[["1969"]]}}}],"schema":"https://github.com/citation-style-language/schema/raw/master/csl-citation.json"} </w:instrText>
      </w:r>
      <w:r w:rsidR="00301432">
        <w:fldChar w:fldCharType="separate"/>
      </w:r>
      <w:r w:rsidR="00301432" w:rsidRPr="00301432">
        <w:t>Hirschi</w:t>
      </w:r>
      <w:r w:rsidR="00330DDA">
        <w:t>'s</w:t>
      </w:r>
      <w:r w:rsidR="00301432" w:rsidRPr="00301432">
        <w:t xml:space="preserve"> </w:t>
      </w:r>
      <w:r w:rsidR="00330DDA">
        <w:t>(</w:t>
      </w:r>
      <w:r w:rsidR="00301432" w:rsidRPr="00301432">
        <w:t>1969)</w:t>
      </w:r>
      <w:r w:rsidR="00301432">
        <w:fldChar w:fldCharType="end"/>
      </w:r>
      <w:r w:rsidR="00330DDA">
        <w:t xml:space="preserve"> social control theory </w:t>
      </w:r>
      <w:r w:rsidR="00E830CC">
        <w:t xml:space="preserve">to continue the development of illicit masculinity </w:t>
      </w:r>
      <w:r w:rsidR="00AE5E87">
        <w:fldChar w:fldCharType="begin"/>
      </w:r>
      <w:r w:rsidR="00AE5E87">
        <w:instrText xml:space="preserve"> ADDIN ZOTERO_ITEM CSL_CITATION {"citationID":"O2ypf0wF","properties":{"formattedCitation":"(Chapple and McQuillan 2019; Chapple, McQuillan, and Berdahl 2005)","plainCitation":"(Chapple and McQuillan 2019; Chapple, McQuillan, and Berdahl 2005)","noteIndex":0},"citationItems":[{"id":45,"uris":["http://zotero.org/users/9138993/items/E5J26RPW"],"itemData":{"id":45,"type":"chapter","abstract":"Hirschi’s social control theory, with its emphasis on social controls and social bonds, is well suited for analyses of gender differences in delinquency. Prior explanations of the gender gap in crime have examined differences in internal and external control by gender. Authors suggest that boys and girls are either differentially exposed to internal and external controls, or that processes from internal and external controls to delinquency differ by gender. These assumptions are at the heart of the debate surrounding gender-specific and gender-neutral criminological theories. Using data from the 1979 wave of the National Longitudinal Survey of Youth, we investigate the extent to which gender differences in delinquency are explained by different levels of internal and external controls, gender-specific causal processes, or a combination of both levels and processes. We conclude that gender differences in offending are best explained by girls’ higher levels of internal and external controls rather than by gendered causal processes or pathways to offending.","container-title":"Fifty Years of Causes of Delinquency","edition":"1st","page":"257-276","title":"A Matter Of Control: Social Controls and the Gender Gap in Delinquency","author":[{"family":"Chapple","given":"Constance"},{"family":"McQuillan","given":"Julia"}],"issued":{"date-parts":[["2019"]]}}},{"id":55,"uris":["http://zotero.org/users/9138993/items/MKRL2TGL"],"itemData":{"id":55,"type":"article-journal","abstract":"Past research has assessed gender differences in delinquency due to differential social controls, yet important questions remain regarding gender and social bonding. As much of this work was premised on Hirschi's measurement of the social bond, we examine whether gender moderates two parts of the social bond: the measurement of the social bond and structural differences between the social bond and delinquency. Using multiple-group structural equation modeling, we find that neither the measures of the social bond nor their relationships with property crime are gender-specific. The structural relationship between the elements of the social bond and violent delinquency differs slightly for boys and girls. We discuss implications of this research for social control theory, measuring the social bond and for gender-specific theories of social bonding and control.","container-title":"Social Science Research","DOI":"10.1016/j.ssresearch.2004.04.003","ISSN":"0049-089X","issue":"2","journalAbbreviation":"Social Science Research","language":"en","page":"357-383","source":"ScienceDirect","title":"Gender, social bonds, and delinquency: a comparison of boys' and girls' models","title-short":"Gender, social bonds, and delinquency","volume":"34","author":[{"family":"Chapple","given":"Constance L."},{"family":"McQuillan","given":"Julia A."},{"family":"Berdahl","given":"Terceira A."}],"issued":{"date-parts":[["2005",6,1]]}}}],"schema":"https://github.com/citation-style-language/schema/raw/master/csl-citation.json"} </w:instrText>
      </w:r>
      <w:r w:rsidR="00AE5E87">
        <w:fldChar w:fldCharType="separate"/>
      </w:r>
      <w:r w:rsidR="00AE5E87" w:rsidRPr="00AE5E87">
        <w:t>(Chapple and McQuillan 2019; Chapple, McQuillan, and Berdahl 2005)</w:t>
      </w:r>
      <w:r w:rsidR="00AE5E87">
        <w:fldChar w:fldCharType="end"/>
      </w:r>
      <w:r w:rsidR="00FA089F">
        <w:t xml:space="preserve">. </w:t>
      </w:r>
    </w:p>
    <w:p w14:paraId="6149F283" w14:textId="2B7F2B60" w:rsidR="00F45FB5" w:rsidRDefault="00F45FB5" w:rsidP="00EF36D7">
      <w:pPr>
        <w:pStyle w:val="Heading2"/>
      </w:pPr>
      <w:bookmarkStart w:id="36" w:name="_Toc102664130"/>
      <w:r>
        <w:t>Limitations</w:t>
      </w:r>
      <w:bookmarkEnd w:id="36"/>
    </w:p>
    <w:p w14:paraId="14D3EF6A" w14:textId="727BFE24" w:rsidR="0017144A" w:rsidRDefault="00047416" w:rsidP="00840A5A">
      <w:r>
        <w:tab/>
        <w:t xml:space="preserve">This study is not without its limitations. </w:t>
      </w:r>
      <w:r w:rsidR="007C65BA">
        <w:t xml:space="preserve">A limitation already mentioned, but worth mentioning one final time, is the measurement of gender. Gender does not exist as a binary, nor is it equivalent to sex. For the purposes of this </w:t>
      </w:r>
      <w:r w:rsidR="008B3A4E">
        <w:t>research and due to the limitations of the data, however, sex and gender are treated as the same thing and are examined only as me</w:t>
      </w:r>
      <w:r w:rsidR="00A74BDA">
        <w:t xml:space="preserve">n and </w:t>
      </w:r>
      <w:r w:rsidR="00A74BDA">
        <w:lastRenderedPageBreak/>
        <w:t>women, excluding any nonbinary respondents from the analysis</w:t>
      </w:r>
      <w:r w:rsidR="003D306E">
        <w:t xml:space="preserve"> </w:t>
      </w:r>
      <w:r w:rsidR="003D306E">
        <w:fldChar w:fldCharType="begin"/>
      </w:r>
      <w:r w:rsidR="003D306E">
        <w:instrText xml:space="preserve"> ADDIN ZOTERO_ITEM CSL_CITATION {"citationID":"quJSkyJ1","properties":{"formattedCitation":"(Westbrook and Saperstein 2015)","plainCitation":"(Westbrook and Saperstein 2015)","noteIndex":0},"citationItems":[{"id":125,"uris":["http://zotero.org/users/9138993/items/CLUHXWNH"],"itemData":{"id":125,"type":"article-journal","abstract":"Recently, scholars and activists have turned their attention toward improving the measurement of sex and gender in survey research. The focus of this effort has been on including answer options beyond ?male? and ?female? to questions about the respondent?s gender. This is an important step toward both reflecting the diversity of gendered lives and better aligning survey measurement practice with contemporary gender theory. However, our systematic examination of questionnaires, manuals, and other technical materials from four of the largest and longest-running surveys in the United States indicates that there are a number of other issues with how gender is conceptualized and measured in social surveys that also deserve attention, including essentialist practices that treat sex and gender as synonymous, easily determined by others, obvious, and unchanging over the life course. We find that these understandings extend well beyond direct questions about the respondent?s gender, permeating the surveys. A hyper-gendered world of ?males? and ?females,? ?brothers? and ?sisters,? and ?husbands? and ?wives? shapes what we can see in survey data. If not altered, surveys will continue to reproduce statistical representations that erase important dimensions of variation and likely limit understanding of the processes that perpetuate social inequality.","container-title":"Gender &amp; Society","DOI":"10.1177/0891243215584758","ISSN":"0891-2432","issue":"4","journalAbbreviation":"Gender &amp; Society","note":"publisher: SAGE Publications Inc","page":"534-560","source":"SAGE Journals","title":"New Categories Are Not Enough: Rethinking the Measurement of Sex and Gender in Social Surveys","title-short":"New Categories Are Not Enough","volume":"29","author":[{"family":"Westbrook","given":"Laurel"},{"family":"Saperstein","given":"Aliya"}],"issued":{"date-parts":[["2015",8,1]]}}}],"schema":"https://github.com/citation-style-language/schema/raw/master/csl-citation.json"} </w:instrText>
      </w:r>
      <w:r w:rsidR="003D306E">
        <w:fldChar w:fldCharType="separate"/>
      </w:r>
      <w:r w:rsidR="003D306E" w:rsidRPr="003D306E">
        <w:t>(Westbrook and Saperstein 2015)</w:t>
      </w:r>
      <w:r w:rsidR="003D306E">
        <w:fldChar w:fldCharType="end"/>
      </w:r>
      <w:r w:rsidR="00A74BDA">
        <w:t xml:space="preserve">. </w:t>
      </w:r>
      <w:r w:rsidR="0017144A">
        <w:tab/>
        <w:t xml:space="preserve">Other measurements in the study have limitations as well. With no direct measure of masculinity available in </w:t>
      </w:r>
      <w:r w:rsidR="001F16AF">
        <w:t xml:space="preserve">the MTF dataset, I focused on family structure and patriarchal norms. The family structure </w:t>
      </w:r>
      <w:r w:rsidR="0039460B">
        <w:t xml:space="preserve">variable only includes </w:t>
      </w:r>
      <w:r w:rsidR="00C46049">
        <w:t>dual-parent</w:t>
      </w:r>
      <w:r w:rsidR="00C26A71">
        <w:t xml:space="preserve"> (mother and father) families, excluding any single-parent homes and gay or lesbian families from the study</w:t>
      </w:r>
      <w:r w:rsidR="00B86FB8">
        <w:t xml:space="preserve"> </w:t>
      </w:r>
      <w:r w:rsidR="00B86FB8">
        <w:fldChar w:fldCharType="begin"/>
      </w:r>
      <w:r w:rsidR="00B86FB8">
        <w:instrText xml:space="preserve"> ADDIN ZOTERO_ITEM CSL_CITATION {"citationID":"O6dU2xlm","properties":{"formattedCitation":"(Blackwell 2000)","plainCitation":"(Blackwell 2000)","noteIndex":0},"citationItems":[{"id":43,"uris":["http://zotero.org/users/9138993/items/U27MWAUF"],"itemData":{"id":43,"type":"article-journal","container-title":"Criminology","issue":"2","journalAbbreviation":"Criminology","language":"eng","page":"439-488","source":"HeinOnline","title":"Perceived Sanction Threats, Gender, and Crime: A Test and Elaboration of Power-Control Theory","title-short":"Perceived Sanction Threats, Gender, and Crime","volume":"38","author":[{"family":"Blackwell","given":"Brenda Sims"}],"issued":{"date-parts":[["2000"]]}}}],"schema":"https://github.com/citation-style-language/schema/raw/master/csl-citation.json"} </w:instrText>
      </w:r>
      <w:r w:rsidR="00B86FB8">
        <w:fldChar w:fldCharType="separate"/>
      </w:r>
      <w:r w:rsidR="00B86FB8" w:rsidRPr="00B86FB8">
        <w:t>(Blackwell 2000)</w:t>
      </w:r>
      <w:r w:rsidR="00B86FB8">
        <w:fldChar w:fldCharType="end"/>
      </w:r>
      <w:r w:rsidR="001A75B1">
        <w:t xml:space="preserve">. The patriarchal norm measure is also limited in that there is only one question </w:t>
      </w:r>
      <w:r w:rsidR="00C26558">
        <w:t xml:space="preserve">in the questionnaire used for this study that pertains to patriarchal norms. </w:t>
      </w:r>
      <w:r w:rsidR="00B01F45">
        <w:t xml:space="preserve">A patriarchal gender norm scale may </w:t>
      </w:r>
      <w:r w:rsidR="00D141FB">
        <w:t>allow</w:t>
      </w:r>
      <w:r w:rsidR="00107E09">
        <w:t xml:space="preserve"> for a broader understanding of how patriarchal norms influence masculinity and adolescent substance use </w:t>
      </w:r>
      <w:r w:rsidR="00871632">
        <w:fldChar w:fldCharType="begin"/>
      </w:r>
      <w:r w:rsidR="00834EDC">
        <w:instrText xml:space="preserve"> ADDIN ZOTERO_ITEM CSL_CITATION {"citationID":"uFbLrQne","properties":{"formattedCitation":"(Worthen 2021)","plainCitation":"(Worthen 2021)","dontUpdate":true,"noteIndex":0},"citationItems":[{"id":338,"uris":["http://zotero.org/users/9138993/items/PK4X7EMN"],"itemData":{"id":338,"type":"article-journal","abstract":"Although there is a wealth of existing research on various correlates and patterns of rape myth acceptance (RMA), including how RMA relates to homophobia (i.e., antigay and antilesbian perspectives) and negativity toward lesbian, gay, and bisexual (LGB) men and women rape victims, no research to date has specifically focused on RMA among LGB and “mostly heterosexual” men and women. The current study examines how gender, sexual identity, personal experiences with rape (i.e., knowing/being a survivor), feminist identity, patriarchal gender norms, attitudes toward lesbian, gay, bisexual, and transgender (LGBT) people, and the interactions among these relate to LGB college students’ (n = 389; 24% gay/lesbian, 19% bisexual, 57% mostly heterosexual) RMA using the Illinois Rape Myth Acceptance Scale–Short Form. Findings show that being a woman, being LGB, identifying as a feminist, and knowing/being a survivor are all negatively related to RMA, whereas patriarchal gender norms are positively related to RMA. Attitudes toward LGBT people had differing effects whereby attitudes toward gay men were unassociated with RMA, attitudes toward lesbian women and trans men were negatively associated with RMA, and attitudes toward bisexual men and women and trans women differed depending on the comparison reference group (exclusive heterosexuals, n = 1,551, mostly heterosexuals, n = 222). Furthermore, the interacting effects of these identities, experiences, and perspectives also revealed significant findings that add complexity to these relationships. Overall, this research seeks to fill the gaps in the literature, expand our knowledge about rape myths, and contribute to new lines of inquiry that focus on LGB people’s perspectives to work toward a deeper understanding of rape myths, so that ultimately, these damaging perspectives can be dispelled.","container-title":"Journal of Interpersonal Violence","DOI":"10.1177/0886260517733282","ISSN":"0886-2605","issue":"1-2","journalAbbreviation":"J Interpers Violence","language":"en","note":"publisher: SAGE Publications Inc","page":"NP232-NP262","source":"SAGE Journals","title":"Rape Myth Acceptance Among Lesbian, Gay, Bisexual, and Mostly Heterosexual College Students","volume":"36","author":[{"family":"Worthen","given":"Meredith G. F."}],"issued":{"date-parts":[["2021",1,1]]}}}],"schema":"https://github.com/citation-style-language/schema/raw/master/csl-citation.json"} </w:instrText>
      </w:r>
      <w:r w:rsidR="00871632">
        <w:fldChar w:fldCharType="separate"/>
      </w:r>
      <w:r w:rsidR="00871632" w:rsidRPr="00871632">
        <w:t>(</w:t>
      </w:r>
      <w:r w:rsidR="00871632">
        <w:t xml:space="preserve">see </w:t>
      </w:r>
      <w:r w:rsidR="00871632" w:rsidRPr="00871632">
        <w:t>Worthen 2021)</w:t>
      </w:r>
      <w:r w:rsidR="00871632">
        <w:fldChar w:fldCharType="end"/>
      </w:r>
      <w:r w:rsidR="00871632">
        <w:t xml:space="preserve">. </w:t>
      </w:r>
    </w:p>
    <w:p w14:paraId="69890D26" w14:textId="2091E83F" w:rsidR="00020E8E" w:rsidRDefault="00020E8E" w:rsidP="00840A5A">
      <w:r>
        <w:tab/>
        <w:t>My controls are also limited, as I focused primarily on</w:t>
      </w:r>
      <w:r w:rsidR="0033176A">
        <w:t xml:space="preserve"> three measures:</w:t>
      </w:r>
      <w:r>
        <w:t xml:space="preserve"> parent education </w:t>
      </w:r>
      <w:r w:rsidR="0033176A">
        <w:t>(</w:t>
      </w:r>
      <w:r>
        <w:t>as a proxy for family income</w:t>
      </w:r>
      <w:r w:rsidR="0033176A">
        <w:t>)</w:t>
      </w:r>
      <w:r w:rsidR="007E10E1">
        <w:t>,</w:t>
      </w:r>
      <w:r>
        <w:t xml:space="preserve"> race</w:t>
      </w:r>
      <w:r w:rsidR="007E10E1">
        <w:t>, and time</w:t>
      </w:r>
      <w:r>
        <w:t>.</w:t>
      </w:r>
      <w:r w:rsidR="007E10E1">
        <w:t xml:space="preserve"> The measurement of race is a limitation, as the MTF creators only included Black and White respondents in their public use data until 2005, when they included non-White Hispanics as well. But for the purposes of the research, non-White Hispanic respondents were dropped to remain consistent with the data from years prior to 2005. </w:t>
      </w:r>
      <w:r>
        <w:t xml:space="preserve"> </w:t>
      </w:r>
      <w:r w:rsidR="003A03F9">
        <w:t xml:space="preserve">Some controls that were not included in this study but may affect the results in future analyses include region and environmental factors. The region of the </w:t>
      </w:r>
      <w:r w:rsidR="00A5729C">
        <w:t xml:space="preserve">U.S. </w:t>
      </w:r>
      <w:r w:rsidR="003A03F9">
        <w:t>in which the respondent lives</w:t>
      </w:r>
      <w:r w:rsidR="00036598">
        <w:t xml:space="preserve"> may also play a role in their predictions of substance use, and controlling for </w:t>
      </w:r>
      <w:r w:rsidR="0042580B">
        <w:t xml:space="preserve">location </w:t>
      </w:r>
      <w:r w:rsidR="00132EF8">
        <w:t xml:space="preserve">would provide more validity to the findings </w:t>
      </w:r>
      <w:r w:rsidR="00132EF8">
        <w:fldChar w:fldCharType="begin"/>
      </w:r>
      <w:r w:rsidR="00834EDC">
        <w:instrText xml:space="preserve"> ADDIN ZOTERO_ITEM CSL_CITATION {"citationID":"CtkSJsyM","properties":{"formattedCitation":"(Levy, Phillips, and Sampson 2020; Robert J Sampson 2019)","plainCitation":"(Levy, Phillips, and Sampson 2020; Robert J Sampson 2019)","dontUpdate":true,"noteIndex":0},"citationItems":[{"id":340,"uris":["http://zotero.org/users/9138993/items/2IYJLV7I"],"itemData":{"id":340,"type":"article-journal","abstract":"This article develops and assesses the concept of triple neighborhood disadvantage. We argue that a neighborhood’s well-being depends not only on its own socioeconomic conditions but also on the conditions of neighborhoods its residents visit and are visited by, connections that form through networks of everyday urban mobility. We construct measures of mobility-based disadvantage using geocoded patterns of movement estimated from hundreds of millions of tweets sent by nearly 400,000 Twitter users over 18 months. Analyzing nearly 32,000 neighborhoods and 9,700 homicides in 37 of the largest U.S. cities, we show that neighborhood triple disadvantage independently predicts homicides, adjusting for traditional neighborhood correlates of violence, spatial proximity to disadvantage, prior homicides, and city fixed effects. Not only is triple disadvantage a stronger predictor than traditional measures, it accounts for a sizable portion of the association between residential neighborhood disadvantage and homicides. In turn, potential mechanisms such as neighborhood drug activity, interpersonal friction, and gun crime prevalence account for much of the association between triple disadvantage and homicides. These findings implicate structural mobility patterns as an important source of triple (dis)advantage for neighborhoods and have implications for a broad range of phenomena beyond crime, including community capacity, gentrification, transmission in a pandemic, and racial inequality.","container-title":"American Sociological Review","DOI":"10.1177/0003122420972323","ISSN":"0003-1224","issue":"6","journalAbbreviation":"Am Sociol Rev","language":"en","note":"publisher: SAGE Publications Inc","page":"925-956","source":"SAGE Journals","title":"Triple Disadvantage: Neighborhood Networks of Everyday Urban Mobility and Violence in U.S. Cities","title-short":"Triple Disadvantage","volume":"85","author":[{"family":"Levy","given":"Brian L."},{"family":"Phillips","given":"Nolan E."},{"family":"Sampson","given":"Robert J."}],"issued":{"date-parts":[["2020",12,1]]}}},{"id":130,"uris":["http://zotero.org/users/9138993/items/RZ76YUNW"],"itemData":{"id":130,"type":"article-journal","container-title":"Urban Studes","issue":"1","page":"3-32","title":"Neighbourhood Effects and Beyond: Explaining the paradoxes of inequality in the changing American Metropolise","volume":"56","author":[{"literal":"Robert J Sampson"}],"issued":{"date-parts":[["2019"]]}}}],"schema":"https://github.com/citation-style-language/schema/raw/master/csl-citation.json"} </w:instrText>
      </w:r>
      <w:r w:rsidR="00132EF8">
        <w:fldChar w:fldCharType="separate"/>
      </w:r>
      <w:r w:rsidR="00132EF8" w:rsidRPr="00132EF8">
        <w:t>(Levy, Phillips, and Sampson 2020; Sampson 2019)</w:t>
      </w:r>
      <w:r w:rsidR="00132EF8">
        <w:fldChar w:fldCharType="end"/>
      </w:r>
      <w:r w:rsidR="00F016A9">
        <w:t xml:space="preserve">. </w:t>
      </w:r>
      <w:r w:rsidR="00B654FC">
        <w:t>Family members</w:t>
      </w:r>
      <w:r w:rsidR="006F6150">
        <w:t>’</w:t>
      </w:r>
      <w:r w:rsidR="00B654FC">
        <w:t xml:space="preserve"> substance use, such as parents or siblings use of illicit substances, is also not controlled for in this study. The environmental </w:t>
      </w:r>
      <w:r w:rsidR="00A21AD6">
        <w:t xml:space="preserve">and family </w:t>
      </w:r>
      <w:r w:rsidR="00B654FC">
        <w:t xml:space="preserve">factors that contribute to </w:t>
      </w:r>
      <w:r w:rsidR="00A21AD6">
        <w:t xml:space="preserve">the risk of substance use that youth face were not considered in this study </w:t>
      </w:r>
      <w:r w:rsidR="00A21AD6">
        <w:fldChar w:fldCharType="begin"/>
      </w:r>
      <w:r w:rsidR="00834EDC">
        <w:instrText xml:space="preserve"> ADDIN ZOTERO_ITEM CSL_CITATION {"citationID":"nxysYMFC","properties":{"formattedCitation":"(Levy et al. 2020; William J Wilson 1987)","plainCitation":"(Levy et al. 2020; William J Wilson 1987)","dontUpdate":true,"noteIndex":0},"citationItems":[{"id":340,"uris":["http://zotero.org/users/9138993/items/2IYJLV7I"],"itemData":{"id":340,"type":"article-journal","abstract":"This article develops and assesses the concept of triple neighborhood disadvantage. We argue that a neighborhood’s well-being depends not only on its own socioeconomic conditions but also on the conditions of neighborhoods its residents visit and are visited by, connections that form through networks of everyday urban mobility. We construct measures of mobility-based disadvantage using geocoded patterns of movement estimated from hundreds of millions of tweets sent by nearly 400,000 Twitter users over 18 months. Analyzing nearly 32,000 neighborhoods and 9,700 homicides in 37 of the largest U.S. cities, we show that neighborhood triple disadvantage independently predicts homicides, adjusting for traditional neighborhood correlates of violence, spatial proximity to disadvantage, prior homicides, and city fixed effects. Not only is triple disadvantage a stronger predictor than traditional measures, it accounts for a sizable portion of the association between residential neighborhood disadvantage and homicides. In turn, potential mechanisms such as neighborhood drug activity, interpersonal friction, and gun crime prevalence account for much of the association between triple disadvantage and homicides. These findings implicate structural mobility patterns as an important source of triple (dis)advantage for neighborhoods and have implications for a broad range of phenomena beyond crime, including community capacity, gentrification, transmission in a pandemic, and racial inequality.","container-title":"American Sociological Review","DOI":"10.1177/0003122420972323","ISSN":"0003-1224","issue":"6","journalAbbreviation":"Am Sociol Rev","language":"en","note":"publisher: SAGE Publications Inc","page":"925-956","source":"SAGE Journals","title":"Triple Disadvantage: Neighborhood Networks of Everyday Urban Mobility and Violence in U.S. Cities","title-short":"Triple Disadvantage","volume":"85","author":[{"family":"Levy","given":"Brian L."},{"family":"Phillips","given":"Nolan E."},{"family":"Sampson","given":"Robert J."}],"issued":{"date-parts":[["2020",12,1]]}}},{"id":129,"uris":["http://zotero.org/users/9138993/items/5PHHVSG6"],"itemData":{"id":129,"type":"book","publisher":"University of Chicago Press","title":"The Truly Disadvantaged","author":[{"literal":"William J Wilson"}],"issued":{"date-parts":[["1987"]]}}}],"schema":"https://github.com/citation-style-language/schema/raw/master/csl-citation.json"} </w:instrText>
      </w:r>
      <w:r w:rsidR="00A21AD6">
        <w:fldChar w:fldCharType="separate"/>
      </w:r>
      <w:r w:rsidR="00A21AD6" w:rsidRPr="00A21AD6">
        <w:t>(Levy et al. 2020; Wilson 1987)</w:t>
      </w:r>
      <w:r w:rsidR="00A21AD6">
        <w:fldChar w:fldCharType="end"/>
      </w:r>
      <w:r w:rsidR="00FB24BF">
        <w:t xml:space="preserve">. </w:t>
      </w:r>
    </w:p>
    <w:p w14:paraId="5893F825" w14:textId="14E33707" w:rsidR="00EC7479" w:rsidRDefault="005052C1" w:rsidP="00585204">
      <w:r>
        <w:lastRenderedPageBreak/>
        <w:tab/>
      </w:r>
      <w:r w:rsidR="0033176A">
        <w:t>Another limitation is t</w:t>
      </w:r>
      <w:r w:rsidR="00AA2B87">
        <w:t xml:space="preserve">he </w:t>
      </w:r>
      <w:r w:rsidR="0033176A">
        <w:t xml:space="preserve">low </w:t>
      </w:r>
      <w:r w:rsidR="00640D91">
        <w:t xml:space="preserve">number </w:t>
      </w:r>
      <w:r w:rsidR="00AA2B87">
        <w:t xml:space="preserve">of </w:t>
      </w:r>
      <w:r w:rsidR="00891CD0">
        <w:t>youths</w:t>
      </w:r>
      <w:r w:rsidR="00AA2B87">
        <w:t xml:space="preserve"> who reported using heroin at least once in their lives. </w:t>
      </w:r>
      <w:r w:rsidR="00640D91">
        <w:t>With only 456</w:t>
      </w:r>
      <w:r w:rsidR="00634B48">
        <w:t xml:space="preserve"> </w:t>
      </w:r>
      <w:r w:rsidR="00640D91">
        <w:t xml:space="preserve">youth in the </w:t>
      </w:r>
      <w:r w:rsidR="004867B4">
        <w:t xml:space="preserve">subgroup </w:t>
      </w:r>
      <w:r w:rsidR="00640D91">
        <w:t>reporting having tired heroin, t</w:t>
      </w:r>
      <w:r w:rsidR="00634B48">
        <w:t>his limits the validity of the findings</w:t>
      </w:r>
      <w:r w:rsidR="00151041">
        <w:t xml:space="preserve"> in the heroin</w:t>
      </w:r>
      <w:r w:rsidR="008A0B13">
        <w:t xml:space="preserve"> subgroup</w:t>
      </w:r>
      <w:r w:rsidR="00151041">
        <w:t xml:space="preserve">. </w:t>
      </w:r>
      <w:r w:rsidR="00891CD0">
        <w:t xml:space="preserve">Also, this study examines </w:t>
      </w:r>
      <w:r w:rsidR="00A5729C">
        <w:t xml:space="preserve">U.S. </w:t>
      </w:r>
      <w:r w:rsidR="00891CD0">
        <w:t>high school seniors. Behaviors may change</w:t>
      </w:r>
      <w:r w:rsidR="00444ED2">
        <w:t xml:space="preserve"> </w:t>
      </w:r>
      <w:r w:rsidR="002613C7">
        <w:t>based on the age of the respondents</w:t>
      </w:r>
      <w:r w:rsidR="00C44F85">
        <w:t xml:space="preserve">, and </w:t>
      </w:r>
      <w:r w:rsidR="00D42039">
        <w:t xml:space="preserve">research observing young adults in college or </w:t>
      </w:r>
      <w:r w:rsidR="00B96F61">
        <w:t xml:space="preserve">in the work force may reveal different patterns of illicit masculinity </w:t>
      </w:r>
      <w:r w:rsidR="00B96F61">
        <w:fldChar w:fldCharType="begin"/>
      </w:r>
      <w:r w:rsidR="00B96F61">
        <w:instrText xml:space="preserve"> ADDIN ZOTERO_ITEM CSL_CITATION {"citationID":"g25lwqtr","properties":{"formattedCitation":"(Hirschi 1969; Sampson 1993)","plainCitation":"(Hirschi 1969; Sampson 1993)","noteIndex":0},"citationItems":[{"id":44,"uris":["http://zotero.org/users/9138993/items/82XMSJMB"],"itemData":{"id":44,"type":"book","language":"English","number-of-pages":"309","publisher":"Berkeley, University of California Press","title":"Causes of Delinquency","author":[{"family":"Hirschi","given":"Travis"}],"issued":{"date-parts":[["1969"]]}}},{"id":342,"uris":["http://zotero.org/users/9138993/items/YW2A7GR4"],"itemData":{"id":342,"type":"book","call-number":"HV 9069 .S246 1993","event-place":"Cambridge, Mass.","ISBN":"978-0-674-17604-1","language":"eng","number-of-pages":"ix+309","publisher":"Harvard University Press","publisher-place":"Cambridge, Mass.","source":"ou-primo.com","title":"Crime in the making: pathways and turning points through life / Robert J. Sampson and John H. Laub.","title-short":"Crime in the making","author":[{"family":"Sampson","given":"Robert J."}],"issued":{"date-parts":[["1993"]]}}}],"schema":"https://github.com/citation-style-language/schema/raw/master/csl-citation.json"} </w:instrText>
      </w:r>
      <w:r w:rsidR="00B96F61">
        <w:fldChar w:fldCharType="separate"/>
      </w:r>
      <w:r w:rsidR="00B96F61" w:rsidRPr="00B96F61">
        <w:t>(Hirschi 1969; Sampson 1993)</w:t>
      </w:r>
      <w:r w:rsidR="00B96F61">
        <w:fldChar w:fldCharType="end"/>
      </w:r>
      <w:r w:rsidR="00BE0998">
        <w:t xml:space="preserve">. </w:t>
      </w:r>
    </w:p>
    <w:p w14:paraId="1A007606" w14:textId="5A5615AC" w:rsidR="00F45FB5" w:rsidRDefault="000176B0" w:rsidP="00EF36D7">
      <w:pPr>
        <w:pStyle w:val="Heading2"/>
      </w:pPr>
      <w:bookmarkStart w:id="37" w:name="_Toc102664131"/>
      <w:r>
        <w:t>Contributions</w:t>
      </w:r>
      <w:bookmarkEnd w:id="37"/>
    </w:p>
    <w:p w14:paraId="65A13BD3" w14:textId="2A8B1F4F" w:rsidR="004C2159" w:rsidRDefault="004C2159" w:rsidP="004C2159">
      <w:r>
        <w:tab/>
        <w:t xml:space="preserve">This research brings forth several contributions to the existing literature. While previous research has linked masculinity to </w:t>
      </w:r>
      <w:r w:rsidR="00886340">
        <w:t xml:space="preserve">both risky behaviors and </w:t>
      </w:r>
      <w:r>
        <w:t xml:space="preserve">illicit substances, </w:t>
      </w:r>
      <w:r w:rsidR="00681440">
        <w:t>this research begins to solidify the concept of illicit masculinity by exploring it further</w:t>
      </w:r>
      <w:r w:rsidR="00721395">
        <w:t xml:space="preserve"> and offering quantitative measurements</w:t>
      </w:r>
      <w:r w:rsidR="00F01518">
        <w:t xml:space="preserve"> of masculinity and substance use</w:t>
      </w:r>
      <w:r w:rsidR="00721395">
        <w:t>, where past literature exploring this link have been primarily qualitative pieces</w:t>
      </w:r>
      <w:r w:rsidR="00681440">
        <w:t xml:space="preserve"> </w:t>
      </w:r>
      <w:r w:rsidR="00681440">
        <w:fldChar w:fldCharType="begin"/>
      </w:r>
      <w:r w:rsidR="00681440">
        <w:instrText xml:space="preserve"> ADDIN ZOTERO_ITEM CSL_CITATION {"citationID":"5nSRvtcV","properties":{"formattedCitation":"(Dahl and Sandberg 2015; Darcy 2018, 2020; Kolar 2021)","plainCitation":"(Dahl and Sandberg 2015; Darcy 2018, 2020; Kolar 2021)","noteIndex":0},"citationItems":[{"id":165,"uris":["http://zotero.org/users/9138993/items/724NCNBS"],"itemData":{"id":165,"type":"article-journal","abstract":"Cannabis is sometimes associated with feminine or gender neutral values. Still, most cannabis users are male, and in our data cannabis use is associated with masculinity. In qualitative interviews with 19 female users and a larger sample of male users in Norway, four aspects of cannabis using practices were described as feminine: not providing cannabis, being less involved in cannabis user networks, not handling the drug effects and being concerned about control. Some women challenged gendered expectations and presented themselves as alternative, tough and rebellious through cannabis use. We explore how women navigate through a gendered drug culture, and study how femininities and masculinities are enacted, challenged and recast in a Scandinavian context characterized by gender equality and an anti-drugs culture. We argue that a new egalitarian form of masculinity is getting increasingly important. Still, female users often end up enacting traditional femininities when using cannabis.","container-title":"Sociology","ISSN":"0038-0385","issue":"4","note":"publisher: Sage Publications, Ltd.","page":"696-711","source":"JSTOR","title":"Female Cannabis Users and New Masculinities: The Gendering of Cannabis Use","title-short":"Female Cannabis Users and New Masculinities","volume":"49","author":[{"family":"Dahl","given":"Silje Louise"},{"family":"Sandberg","given":"Sveinung"}],"issued":{"date-parts":[["2015"]]}}},{"id":112,"uris":["http://zotero.org/users/9138993/items/LJ77884B"],"itemData":{"id":112,"type":"article-journal","abstract":"This paper highlights a significant gender disparity within Ireland?s illicit drug landscape, which is predominantly composed of men. Irish men?s historical gender invisibility contributed to their predominance as drug users being overlooked. Thus, this paper focuses a masculinities lens on Irish men?s recreational use of illicit drugs, making their drug taking visible as a gendered activity. The study utilised a qualitative methodology, with masculinities theory forming the primary theoretical and analytical lens. Nine focus groups were conducted with Irish men exploring their views on illicit drugs. Twenty in-depth interviews were completed with men who identified as illicit recreational drug users, exploring their drug-taking histories and experiences. Findings demonstrate how the use of illicit drugs can symbolically communicate messages about the drug taker. The study reveals masculinities are an interpretative lens employed by men when trying to understand their own or other men?s drug taking. It is argued that men?s drug taking and masculinities intersect. In homosocial contexts, men?s recreational use of illicit drugs can contribute to them demonstrating masculinities to other drug-taking men; however, outside of these contexts, the same behaviours can be viewed by non-drug takers as emasculating.","container-title":"Irish Journal of Sociology","DOI":"10.1177/0791603517735772","ISSN":"0791-6035","issue":"1","journalAbbreviation":"Irish Journal of Sociology","note":"publisher: SAGE Publications Ltd","page":"5-24","source":"SAGE Journals","title":"Making the invisible visible: Masculinities and men’s illicit recreational drug use","title-short":"Making the invisible visible","volume":"26","author":[{"family":"Darcy","given":"Clay"}],"issued":{"date-parts":[["2018",4,1]]}}},{"id":110,"uris":["http://zotero.org/users/9138993/items/XTD3HEAU"],"itemData":{"id":110,"type":"article-journal","abstract":"The purpose of this article is to explore the motivations behind some men’s recreational use of illicit drugs from a gender standpoint. The rationale for this analysis stems from men’s predominance as illicit drug users and their likelihood of experiencing problem drug use and becoming a part of an over-represented population in drug treatment services. Explanations for men’s problematic/addicted patterns of drug use often point to marginalisation, disadvantage, and/or men’s tendency towards problematic health behaviours. This article argues that men’s illicit recreational drug use is often glossed over as a gendered activity and receives less scrutiny than problematic/addicted patterns of drug taking. It examines the drug-taking motivations of 20 Irish men who identified as illicit recreational drug users to expand on and deepen current explanations for men’s illicit recreational drug use. The article demonstrates how men engage in drug use for complex and contradictory reasons that include embodied quests for pleasure and excitement, achieving connection with other men, and performing or contravening masculinities in homosocial contexts.","container-title":"Sociological Research Online","DOI":"10.1177/1360780419879940","ISSN":"1360-7804","issue":"3","journalAbbreviation":"Sociological Research Online","language":"en","note":"publisher: SAGE Publications Ltd","page":"421-437","source":"SAGE Journals","title":"Men and the Drug Buzz: Masculinity and Men’s Motivations for Illicit Recreational Drug Use","title-short":"Men and the Drug Buzz","volume":"25","author":[{"family":"Darcy","given":"Clay"}],"issued":{"date-parts":[["2020",9,1]]}}},{"id":19,"uris":["http://zotero.org/users/9138993/items/DH2G2MC9"],"itemData":{"id":19,"type":"article-journal","abstract":"In the present study, I investigate how often unacknowledged gendered norms shape young women’s use of and access to illicit cannabis. I apply a “doing gender” approach to analyse 58 interviews conducted with cannabis using and non-using female and male college students in Canada in 2012, a time when nonmedical cannabis possession and supply were illegal. I identify prominent gendered norms and stereotypes that are critical of women’s use and that create barriers to women’s participation as either buyers or dealers in the illicit cannabis market. I show how these norms reinforce associations of cannabis use with masculinity and how they may direct social pressure against women’s use. I engage with Deutsch's (2007) concept of “undoing” gender to provide a novel contribution to research on cannabis by illustrating women’s strategies for resisting derogatory stereotypes. I highlight how women resist stigmatization of their use in the university context by drawing on presentations of social belonging, particularly scholastic success. However, I show that women may reinforce other stereotypes when appealing to such strategies. Legalization of nonmedical cannabis will create regulated commercial access alternatives to the highly gendered barriers that characterize illicit cannabis markets. My analysis suggests some increase in women’s cannabis use may be expected as a result, although deeply embedded gender norms are likely to maintain downward social pressure on women’s rates of use.","container-title":"Sex Roles","DOI":"10.1007/s11199-020-01176-4","ISSN":"1573-2762","issue":"7","journalAbbreviation":"Sex Roles","language":"en","page":"418-438","source":"Springer Link","title":"Women’s Use of and Access to Illicit Cannabis: An Investigation of Gendered Norms among College Students in Canada","title-short":"Women’s Use of and Access to Illicit Cannabis","volume":"84","author":[{"family":"Kolar","given":"Kat"}],"issued":{"date-parts":[["2021",4,1]]}}}],"schema":"https://github.com/citation-style-language/schema/raw/master/csl-citation.json"} </w:instrText>
      </w:r>
      <w:r w:rsidR="00681440">
        <w:fldChar w:fldCharType="separate"/>
      </w:r>
      <w:r w:rsidR="00681440" w:rsidRPr="00681440">
        <w:t>(Dahl and Sandberg 2015; Darcy 2018, 2020; Kolar 2021)</w:t>
      </w:r>
      <w:r w:rsidR="00681440">
        <w:fldChar w:fldCharType="end"/>
      </w:r>
      <w:r w:rsidR="00A309F1">
        <w:t xml:space="preserve">. </w:t>
      </w:r>
      <w:r w:rsidR="00267B63">
        <w:t>The results from this study offer support for the concept of illicit masculinity</w:t>
      </w:r>
      <w:r w:rsidR="00F65AFB">
        <w:t xml:space="preserve">, </w:t>
      </w:r>
      <w:r w:rsidR="00267B63">
        <w:t>and</w:t>
      </w:r>
      <w:r w:rsidR="00F65AFB">
        <w:t xml:space="preserve"> this research</w:t>
      </w:r>
      <w:r w:rsidR="00267B63">
        <w:t xml:space="preserve"> </w:t>
      </w:r>
      <w:r w:rsidR="00A627A6">
        <w:t>facilitate</w:t>
      </w:r>
      <w:r w:rsidR="00A3541F">
        <w:t>s</w:t>
      </w:r>
      <w:r w:rsidR="00A627A6">
        <w:t xml:space="preserve"> </w:t>
      </w:r>
      <w:r w:rsidR="009B1CF6">
        <w:t xml:space="preserve">the </w:t>
      </w:r>
      <w:r w:rsidR="00A3541F">
        <w:t xml:space="preserve">development of further studies that can expand on </w:t>
      </w:r>
      <w:r w:rsidR="00F65AFB">
        <w:t>illicit masculinity</w:t>
      </w:r>
      <w:r w:rsidR="00F01518">
        <w:t xml:space="preserve"> through alternate measures of masculinity, </w:t>
      </w:r>
      <w:r w:rsidR="00A129F5">
        <w:t xml:space="preserve">trend analyses, and more focus on specific substances </w:t>
      </w:r>
      <w:r w:rsidR="00A129F5">
        <w:fldChar w:fldCharType="begin"/>
      </w:r>
      <w:r w:rsidR="00A129F5">
        <w:instrText xml:space="preserve"> ADDIN ZOTERO_ITEM CSL_CITATION {"citationID":"xjYVxOBO","properties":{"formattedCitation":"(Dahl and Sandberg 2015; Darcy 2020; Marsh et al. 2018; Schneider et al. 2018; Yu et al. 2020)","plainCitation":"(Dahl and Sandberg 2015; Darcy 2020; Marsh et al. 2018; Schneider et al. 2018; Yu et al. 2020)","noteIndex":0},"citationItems":[{"id":165,"uris":["http://zotero.org/users/9138993/items/724NCNBS"],"itemData":{"id":165,"type":"article-journal","abstract":"Cannabis is sometimes associated with feminine or gender neutral values. Still, most cannabis users are male, and in our data cannabis use is associated with masculinity. In qualitative interviews with 19 female users and a larger sample of male users in Norway, four aspects of cannabis using practices were described as feminine: not providing cannabis, being less involved in cannabis user networks, not handling the drug effects and being concerned about control. Some women challenged gendered expectations and presented themselves as alternative, tough and rebellious through cannabis use. We explore how women navigate through a gendered drug culture, and study how femininities and masculinities are enacted, challenged and recast in a Scandinavian context characterized by gender equality and an anti-drugs culture. We argue that a new egalitarian form of masculinity is getting increasingly important. Still, female users often end up enacting traditional femininities when using cannabis.","container-title":"Sociology","ISSN":"0038-0385","issue":"4","note":"publisher: Sage Publications, Ltd.","page":"696-711","source":"JSTOR","title":"Female Cannabis Users and New Masculinities: The Gendering of Cannabis Use","title-short":"Female Cannabis Users and New Masculinities","volume":"49","author":[{"family":"Dahl","given":"Silje Louise"},{"family":"Sandberg","given":"Sveinung"}],"issued":{"date-parts":[["2015"]]}}},{"id":110,"uris":["http://zotero.org/users/9138993/items/XTD3HEAU"],"itemData":{"id":110,"type":"article-journal","abstract":"The purpose of this article is to explore the motivations behind some men’s recreational use of illicit drugs from a gender standpoint. The rationale for this analysis stems from men’s predominance as illicit drug users and their likelihood of experiencing problem drug use and becoming a part of an over-represented population in drug treatment services. Explanations for men’s problematic/addicted patterns of drug use often point to marginalisation, disadvantage, and/or men’s tendency towards problematic health behaviours. This article argues that men’s illicit recreational drug use is often glossed over as a gendered activity and receives less scrutiny than problematic/addicted patterns of drug taking. It examines the drug-taking motivations of 20 Irish men who identified as illicit recreational drug users to expand on and deepen current explanations for men’s illicit recreational drug use. The article demonstrates how men engage in drug use for complex and contradictory reasons that include embodied quests for pleasure and excitement, achieving connection with other men, and performing or contravening masculinities in homosocial contexts.","container-title":"Sociological Research Online","DOI":"10.1177/1360780419879940","ISSN":"1360-7804","issue":"3","journalAbbreviation":"Sociological Research Online","language":"en","note":"publisher: SAGE Publications Ltd","page":"421-437","source":"SAGE Journals","title":"Men and the Drug Buzz: Masculinity and Men’s Motivations for Illicit Recreational Drug Use","title-short":"Men and the Drug Buzz","volume":"25","author":[{"family":"Darcy","given":"Clay"}],"issued":{"date-parts":[["2020",9,1]]}}},{"id":106,"uris":["http://zotero.org/users/9138993/items/ASQZXMR6"],"itemData":{"id":106,"type":"article-journal","abstract":"Background\nTrends in the current opioid epidemic in the United States show that use of heroin is increasing while nonmedical use of prescription opioids is slowing. Understanding gender differences in these trends is essential to efforts to address the opioid epidemic. This study compared gender difference in trends in heroin and nonmedical prescription opioid use in the U.S. between 2007 and 2014.\nMethods\nData from the National Survey on Drug Use and Health (NSDUH) were used to trace prevalence and to estimate risk for heroin and nonmedical prescription opioid use in the last year for women and men.\nResults\nPrevalence rates in the total sample (N = 447,188) indicate a notable increase in heroin use and a steady decline in the nonmedical use of prescription opioids between 2007 and 2014 for both women and men. Women are increasing heroin use at a faster rate than men but decreasing nonmedical prescription opioid use at a slower rate than men. Overall, risk factors for both heroin use and nonmedical prescription opioid use are similar to other illicit substances, but the magnitude of associations indicates that women may be at greater risk for the nonmedical use of prescription opioids than for the use of heroin.\nConclusions\nTrend analyses reveal a linear increase in heroin use and a quadratic decline in nonmedical prescription opioid use at the population level. The differential rates of change between men and women in use of both opioids highlight the need for comprehensive, gender-sensitive approaches to prevention and treatment for both heroin and nonmedical prescription opioid use. Future research should continue to explore gender differences in treatment access, including access to medication-assisted treatments and treatments integrated with health and social services, especially for women.","container-title":"Journal of Substance Abuse Treatment","DOI":"10.1016/j.jsat.2018.01.001","ISSN":"0740-5472","journalAbbreviation":"Journal of Substance Abuse Treatment","language":"en","page":"79-85","source":"ScienceDirect","title":"Gender differences in trends for heroin use and nonmedical prescription opioid use, 2007–2014","volume":"87","author":[{"family":"Marsh","given":"Jeanne C."},{"family":"Park","given":"Keunhye"},{"family":"Lin","given":"Yu-An"},{"family":"Bersamira","given":"Cliff"}],"issued":{"date-parts":[["2018",4,1]]}}},{"id":111,"uris":["http://zotero.org/users/9138993/items/K6KMTS82"],"itemData":{"id":111,"type":"article-journal","container-title":"Drug and Alcohol Dependence","DOI":"10.1016/j.drugalcdep.2017.10.028","language":"en","page":"69-72","title":"Past 15-year trends in lifetime cocaine use among US high school students | Elsevier Enhanced Reader","volume":"183","author":[{"family":"Schneider","given":"Kristen E."},{"family":"Krawczyk","given":"Noa"},{"family":"Ziming","given":"Xuan"},{"family":"Johnson","given":"Renee M."}],"issued":{"date-parts":[["2018"]]}}},{"id":334,"uris":["http://zotero.org/users/9138993/items/RRPB223P"],"itemData":{"id":334,"type":"article-journal","abstract":"Marijuana is the most commonly used illicit drug in the United States. More and more states legalized medical and recreational marijuana use. Adolescents and emerging adults are at high risk for marijuana use. This ecological study aims to examine historical trends in marijuana use among youth along with marijuana legalization.","container-title":"BMC Public Health","DOI":"10.1186/s12889-020-8253-4","ISSN":"1471-2458","issue":"1","journalAbbreviation":"BMC Public Health","language":"en","page":"156","source":"Springer Link","title":"Marijuana legalization and historical trends in marijuana use among US residents aged 12–25: results from the 1979–2016 National Survey on drug use and health","title-short":"Marijuana legalization and historical trends in marijuana use among US residents aged 12–25","volume":"20","author":[{"family":"Yu","given":"Bin"},{"family":"Chen","given":"Xinguang"},{"family":"Chen","given":"Xiangfan"},{"family":"Yan","given":"Hong"}],"issued":{"date-parts":[["2020",2,4]]}}}],"schema":"https://github.com/citation-style-language/schema/raw/master/csl-citation.json"} </w:instrText>
      </w:r>
      <w:r w:rsidR="00A129F5">
        <w:fldChar w:fldCharType="separate"/>
      </w:r>
      <w:r w:rsidR="00A129F5" w:rsidRPr="00A129F5">
        <w:t>(Dahl and Sandberg 2015; Darcy 2020; Marsh et al. 2018; Schneider et al. 2018; Yu et al. 2020)</w:t>
      </w:r>
      <w:r w:rsidR="00A129F5">
        <w:fldChar w:fldCharType="end"/>
      </w:r>
      <w:r w:rsidR="000F6DED">
        <w:t xml:space="preserve">. The gender gap in crime is something that has been widely studied, and this research contributes to the understanding </w:t>
      </w:r>
      <w:r w:rsidR="003D1DEF">
        <w:t xml:space="preserve">of that gap by offering an explanation for the gender differences in illicit substance use </w:t>
      </w:r>
      <w:r w:rsidR="003D1DEF">
        <w:fldChar w:fldCharType="begin"/>
      </w:r>
      <w:r w:rsidR="00182057">
        <w:instrText xml:space="preserve"> ADDIN ZOTERO_ITEM CSL_CITATION {"citationID":"W7fHwB18","properties":{"formattedCitation":"(Chapple and McQuillan 2019; Christie-Mizell and Peralta 2009; Rebecca Farmer Huselid and M Lynne Cooper 1992; Whaley et al. 2013)","plainCitation":"(Chapple and McQuillan 2019; Christie-Mizell and Peralta 2009; Rebecca Farmer Huselid and M Lynne Cooper 1992; Whaley et al. 2013)","dontUpdate":true,"noteIndex":0},"citationItems":[{"id":45,"uris":["http://zotero.org/users/9138993/items/E5J26RPW"],"itemData":{"id":45,"type":"chapter","abstract":"Hirschi’s social control theory, with its emphasis on social controls and social bonds, is well suited for analyses of gender differences in delinquency. Prior explanations of the gender gap in crime have examined differences in internal and external control by gender. Authors suggest that boys and girls are either differentially exposed to internal and external controls, or that processes from internal and external controls to delinquency differ by gender. These assumptions are at the heart of the debate surrounding gender-specific and gender-neutral criminological theories. Using data from the 1979 wave of the National Longitudinal Survey of Youth, we investigate the extent to which gender differences in delinquency are explained by different levels of internal and external controls, gender-specific causal processes, or a combination of both levels and processes. We conclude that gender differences in offending are best explained by girls’ higher levels of internal and external controls rather than by gendered causal processes or pathways to offending.","container-title":"Fifty Years of Causes of Delinquency","edition":"1st","page":"257-276","title":"A Matter Of Control: Social Controls and the Gender Gap in Delinquency","author":[{"family":"Chapple","given":"Constance"},{"family":"McQuillan","given":"Julia"}],"issued":{"date-parts":[["2019"]]}}},{"id":62,"uris":["http://zotero.org/users/9138993/items/TJCQFKPB"],"itemData":{"id":62,"type":"article-journal","abstract":"We utilize data from the National Longitudinal Survey of Youth young adult sample (N = 1,488) to investigate whether gender role attitudes and the occupation of and transition to three adult roles (i.e., employment, marriage, and parenthood) contribute to the maintenance of the gender gap in the frequency and quantity of alcohol use. Our results indicate that traditional gender role attitudes are related to less frequent drinking for both men and women, but role attitudes are not associated with the number of drinks consumed. We also find that employment and transitions to employment increase the frequency and quantity of drinking, but less so for women compared to men. Furthermore, marriage, parenthood, and transitions to parenthood are related to less frequent drinking for women only. In terms of the number of drinks consumed, only employment and transitions to employment distinguish men and women. Employment is related to increased quantity of drinking for men, but decreased drinking for women, while transitions to employment have no effect on men, but do decrease the amount of drinking for women. Marriage decreases the number of drinks consumed equally for both men and women.","container-title":"Journal of Health and Social Behavior","ISSN":"0022-1465","issue":"4","note":"publisher: [American Sociological Association, Sage Publications, Inc.]","page":"410-426","source":"JSTOR","title":"The Gender Gap in Alcohol Consumption during Late Adolescence and Young Adulthood: Gendered Attitudes and Adult Roles","title-short":"The Gender Gap in Alcohol Consumption during Late Adolescence and Young Adulthood","volume":"50","author":[{"family":"Christie-Mizell","given":"C. André"},{"family":"Peralta","given":"Robert L."}],"issued":{"date-parts":[["2009"]]}}},{"id":57,"uris":["http://zotero.org/users/9138993/items/EWGMYFTM"],"itemData":{"id":57,"type":"article-journal","abstract":"This study tested the hypothesis that internalized gender-role personality attributes and gender-role ideology mediate sex differences in alcohol use and drinking problems in a random sample of 1,077 adolescents aged 13 to 19. Results indicated that gender roles substantially, although not completely, mediated the effects of sex on drinking patterns. The relationships between gender roles and alcohol use were largely consistent with the hypothesis that individuals with conventional gender identities conform more closely to cultural norms that condone drinking among males but not among females. However, effects of the gender-linked attributes of expressivity, emotional control, and instrumentality on drinking also may be interpreted within a framework that views them as functional coping styles. Finally, differences between Black and White teens in the relationships between alcohol use and the masculine attributes of instrumentality and emotional control suggest possible race differences in the functional value of these attributes.","container-title":"Journal of health and social behavior","DOI":"10.2307/2137313","ISSN":"0022-1465","issue":"4","language":"eng","note":"publisher-place: Washington, DC\npublisher: American Sociological Association","page":"348–362","source":"ou-primo.com","title":"Gender Roles as Mediators of Sex Differences in Adolescent Alcohol Use and Abuse","volume":"33","author":[{"family":"Huselid","given":"Rebecca Farmer"},{"family":"Cooper","given":"M Lynne"}],"issued":{"date-parts":[["1992"]]}}},{"id":47,"uris":["http://zotero.org/users/9138993/items/ESKB7SBI"],"itemData":{"id":47,"type":"article-journal","abstract":"A gender gap in alcohol and drug use exists but is somewhat smaller than the gender gap in other forms of delinquency. This article extends studies that examine the gender–delinquency relationship to substance use in particular and estimate the extent to which major risk and protective factors mediate the association between gender and alcohol and marijuana use. The authors simultaneously draw on two traditional delinquency theories, social learning and social control, and the feminist pathways perspective regarding victimizations. This gendered pathways approach highlights the extent to which gender influences life experiences and thus the trajectories of girls and boys. In a large sample of 8th to 12th graders, school bonds and victimizations accounted for much of the gender–substance use relationship, especially in the case of casual and binge drinking.","container-title":"Crime &amp; Delinquency","DOI":"10.1177/0011128710389581","ISSN":"0011-1287","issue":"5","journalAbbreviation":"Crime &amp; Delinquency","language":"en","note":"publisher: SAGE Publications Inc","page":"651-669","source":"SAGE Journals","title":"Gendered Pathways? Gender, Mediating Factors, and the Gap in Boys’ and Girls’ Substance Use","title-short":"Gendered Pathways?","volume":"59","author":[{"family":"Whaley","given":"Rachel Bridges"},{"family":"Hayes-Smith","given":"Justin"},{"family":"Hayes-Smith","given":"Rebecca"}],"issued":{"date-parts":[["2013",8,1]]}}}],"schema":"https://github.com/citation-style-language/schema/raw/master/csl-citation.json"} </w:instrText>
      </w:r>
      <w:r w:rsidR="003D1DEF">
        <w:fldChar w:fldCharType="separate"/>
      </w:r>
      <w:r w:rsidR="003D1DEF" w:rsidRPr="003D1DEF">
        <w:t>(Chapple and McQuillan 2019; Christie-Mizell and Peralta 2009; Huselid and Cooper 1992; Whaley et al. 2013)</w:t>
      </w:r>
      <w:r w:rsidR="003D1DEF">
        <w:fldChar w:fldCharType="end"/>
      </w:r>
      <w:r w:rsidR="00C91B0B">
        <w:t xml:space="preserve">. </w:t>
      </w:r>
      <w:r w:rsidR="006C2872">
        <w:t xml:space="preserve">This research also develops a new approach to masculinity by examining the intersection of masculinity and illicit substance use and developing a concept that is supported by the results of the study </w:t>
      </w:r>
      <w:r w:rsidR="006C2872">
        <w:fldChar w:fldCharType="begin"/>
      </w:r>
      <w:r w:rsidR="006C2872">
        <w:instrText xml:space="preserve"> ADDIN ZOTERO_ITEM CSL_CITATION {"citationID":"4cZtzg7u","properties":{"formattedCitation":"(Connell 1995)","plainCitation":"(Connell 1995)","noteIndex":0},"citationItems":[{"id":313,"uris":["http://zotero.org/users/9138993/items/NR78S2UQ"],"itemData":{"id":313,"type":"book","event-place":"Cambridge, UK","publisher":"Polity Press","publisher-place":"Cambridge, UK","title":"Masculinities","author":[{"family":"Connell","given":"R. W."}],"issued":{"date-parts":[["1995"]]}}}],"schema":"https://github.com/citation-style-language/schema/raw/master/csl-citation.json"} </w:instrText>
      </w:r>
      <w:r w:rsidR="006C2872">
        <w:fldChar w:fldCharType="separate"/>
      </w:r>
      <w:r w:rsidR="006C2872" w:rsidRPr="006C2872">
        <w:t>(Connell 1995)</w:t>
      </w:r>
      <w:r w:rsidR="006C2872">
        <w:fldChar w:fldCharType="end"/>
      </w:r>
      <w:r w:rsidR="00FF7424">
        <w:t xml:space="preserve">. </w:t>
      </w:r>
      <w:r w:rsidR="004B4F89">
        <w:t xml:space="preserve">In short, this research contributes to the </w:t>
      </w:r>
      <w:r w:rsidR="004B4F89">
        <w:lastRenderedPageBreak/>
        <w:t xml:space="preserve">understanding of gender and crime by </w:t>
      </w:r>
      <w:r w:rsidR="00827B14">
        <w:t xml:space="preserve">exploring and offering support for the concept of illicit masculinity as it relates to gender differences in adolescent substance use. </w:t>
      </w:r>
    </w:p>
    <w:p w14:paraId="65D9BE1B" w14:textId="110EF308" w:rsidR="00A27CD2" w:rsidRDefault="00A27CD2" w:rsidP="000A0F67">
      <w:pPr>
        <w:pStyle w:val="Heading2"/>
      </w:pPr>
      <w:bookmarkStart w:id="38" w:name="_Toc102664132"/>
      <w:r>
        <w:t>Implications</w:t>
      </w:r>
      <w:bookmarkEnd w:id="38"/>
    </w:p>
    <w:p w14:paraId="2D08F0C3" w14:textId="6F5D6108" w:rsidR="00A27CD2" w:rsidRPr="00A27CD2" w:rsidRDefault="00A27CD2">
      <w:r>
        <w:tab/>
        <w:t>This research has several implications for discussions of substance use outside of the field of sociology. By exploring the concept of illicit masculinity, this research has linked patriarchal norms to the use of illicit substances in adolescents. Social workers, drug counselors, and other healthcare professionals can apply these findings to their clients and patients</w:t>
      </w:r>
      <w:r w:rsidR="00D51795">
        <w:t xml:space="preserve"> to better understand the reasonings and motivations behind adolescent drug use</w:t>
      </w:r>
      <w:r w:rsidR="00893FFE">
        <w:t xml:space="preserve"> and work towards a more gender-informed solution</w:t>
      </w:r>
      <w:r w:rsidR="00D51795">
        <w:t xml:space="preserve">. </w:t>
      </w:r>
      <w:r w:rsidR="00DF1BCB">
        <w:t xml:space="preserve">Parents can also benefit from these findings. Raising children to have egalitarian principles can lower their risk of using illicit substances. </w:t>
      </w:r>
      <w:r w:rsidR="00D51795">
        <w:t xml:space="preserve">When examining adolescent substance use through the lens of illicit masculinity, those who aim to reduce drug use can address issues surrounding patriarchy and gender inequality, as these contribute to the use of illicit substances in youth, especially in young men. </w:t>
      </w:r>
    </w:p>
    <w:p w14:paraId="6ED8ABF3" w14:textId="77777777" w:rsidR="004C2159" w:rsidRPr="00E82BD8" w:rsidRDefault="004C2159" w:rsidP="00585204"/>
    <w:p w14:paraId="1467DC3A" w14:textId="10F16F61" w:rsidR="00EC7479" w:rsidRPr="001511FF" w:rsidRDefault="001511FF" w:rsidP="00585204">
      <w:r>
        <w:t xml:space="preserve"> </w:t>
      </w:r>
    </w:p>
    <w:p w14:paraId="1BF92D27" w14:textId="7A1C61A5" w:rsidR="00F829CE" w:rsidRDefault="00F829CE">
      <w:r>
        <w:br w:type="page"/>
      </w:r>
    </w:p>
    <w:p w14:paraId="2DDAE490" w14:textId="6F99C711" w:rsidR="00F829CE" w:rsidRDefault="00F829CE" w:rsidP="00585204">
      <w:pPr>
        <w:pStyle w:val="Heading1"/>
        <w:jc w:val="center"/>
      </w:pPr>
      <w:bookmarkStart w:id="39" w:name="_Toc102664133"/>
      <w:r>
        <w:lastRenderedPageBreak/>
        <w:t>References</w:t>
      </w:r>
      <w:bookmarkEnd w:id="39"/>
    </w:p>
    <w:p w14:paraId="3EADC2FD" w14:textId="77777777" w:rsidR="004D63D8" w:rsidRPr="004D63D8" w:rsidRDefault="00AB7823" w:rsidP="004D63D8">
      <w:pPr>
        <w:pStyle w:val="Bibliography"/>
      </w:pPr>
      <w:r>
        <w:fldChar w:fldCharType="begin"/>
      </w:r>
      <w:r w:rsidR="004D63D8">
        <w:instrText xml:space="preserve"> ADDIN ZOTERO_BIBL {"uncited":[],"omitted":[],"custom":[]} CSL_BIBLIOGRAPHY </w:instrText>
      </w:r>
      <w:r>
        <w:fldChar w:fldCharType="separate"/>
      </w:r>
      <w:r w:rsidR="004D63D8" w:rsidRPr="004D63D8">
        <w:t xml:space="preserve">Agnew, Robert. 1992. “Foundation for a Generalism Strain Theory of Crime and Delinquency.” </w:t>
      </w:r>
      <w:r w:rsidR="004D63D8" w:rsidRPr="004D63D8">
        <w:rPr>
          <w:i/>
          <w:iCs/>
        </w:rPr>
        <w:t>Criminology</w:t>
      </w:r>
      <w:r w:rsidR="004D63D8" w:rsidRPr="004D63D8">
        <w:t xml:space="preserve"> 30(1):47–88.</w:t>
      </w:r>
    </w:p>
    <w:p w14:paraId="2B1E33DC" w14:textId="77777777" w:rsidR="004D63D8" w:rsidRPr="004D63D8" w:rsidRDefault="004D63D8" w:rsidP="004D63D8">
      <w:pPr>
        <w:pStyle w:val="Bibliography"/>
      </w:pPr>
      <w:r w:rsidRPr="004D63D8">
        <w:t xml:space="preserve">Agnew, Robert. 2001. “Building on the Foundation of General Strain Theory: Specifying the Types of Strain Most Likely to Lead to Crime and Delinquency.” </w:t>
      </w:r>
      <w:r w:rsidRPr="004D63D8">
        <w:rPr>
          <w:i/>
          <w:iCs/>
        </w:rPr>
        <w:t>Journal of Research in Crime and Delinquency</w:t>
      </w:r>
      <w:r w:rsidRPr="004D63D8">
        <w:t xml:space="preserve"> 38(4):319–61. doi: 10.1177/0022427801038004001.</w:t>
      </w:r>
    </w:p>
    <w:p w14:paraId="40B8517E" w14:textId="77777777" w:rsidR="004D63D8" w:rsidRPr="004D63D8" w:rsidRDefault="004D63D8" w:rsidP="004D63D8">
      <w:pPr>
        <w:pStyle w:val="Bibliography"/>
      </w:pPr>
      <w:r w:rsidRPr="004D63D8">
        <w:t xml:space="preserve">Baron, Stephen W. 2007. “Street Youth, Gender, Financial Strain, and Crime: Exploring Broidy and Agnew’s Extension to General Strain Theory.” </w:t>
      </w:r>
      <w:r w:rsidRPr="004D63D8">
        <w:rPr>
          <w:i/>
          <w:iCs/>
        </w:rPr>
        <w:t>Deviant Behavior</w:t>
      </w:r>
      <w:r w:rsidRPr="004D63D8">
        <w:t xml:space="preserve"> 28(3):273–302. doi: 10.1080/01639620701233217.</w:t>
      </w:r>
    </w:p>
    <w:p w14:paraId="7A1B2F0E" w14:textId="77777777" w:rsidR="004D63D8" w:rsidRPr="004D63D8" w:rsidRDefault="004D63D8" w:rsidP="004D63D8">
      <w:pPr>
        <w:pStyle w:val="Bibliography"/>
      </w:pPr>
      <w:r w:rsidRPr="004D63D8">
        <w:t>Blackwell, Brenda Sims. 1995. “Elaborating Power-Control Theory: Predicting Gender Differences in Social Bonds, Perceived Sanction Threats, and Low Self-Control.” Ph.D., The University of Oklahoma, United States -- Oklahoma.</w:t>
      </w:r>
    </w:p>
    <w:p w14:paraId="7FE91595" w14:textId="77777777" w:rsidR="004D63D8" w:rsidRPr="004D63D8" w:rsidRDefault="004D63D8" w:rsidP="004D63D8">
      <w:pPr>
        <w:pStyle w:val="Bibliography"/>
      </w:pPr>
      <w:r w:rsidRPr="004D63D8">
        <w:t xml:space="preserve">Blackwell, Brenda Sims. 2000. “Perceived Sanction Threats, Gender, and Crime: A Test and Elaboration of Power-Control Theory.” </w:t>
      </w:r>
      <w:r w:rsidRPr="004D63D8">
        <w:rPr>
          <w:i/>
          <w:iCs/>
        </w:rPr>
        <w:t>Criminology</w:t>
      </w:r>
      <w:r w:rsidRPr="004D63D8">
        <w:t xml:space="preserve"> 38(2):439–88.</w:t>
      </w:r>
    </w:p>
    <w:p w14:paraId="2BEDEBBE" w14:textId="77777777" w:rsidR="004D63D8" w:rsidRPr="004D63D8" w:rsidRDefault="004D63D8" w:rsidP="004D63D8">
      <w:pPr>
        <w:pStyle w:val="Bibliography"/>
      </w:pPr>
      <w:r w:rsidRPr="004D63D8">
        <w:t xml:space="preserve">Brannon, Robert, and Deborah Sarah David. 1976. </w:t>
      </w:r>
      <w:r w:rsidRPr="004D63D8">
        <w:rPr>
          <w:i/>
          <w:iCs/>
        </w:rPr>
        <w:t>The Forty-Nine Percent Majority: The Male Sex Role</w:t>
      </w:r>
      <w:r w:rsidRPr="004D63D8">
        <w:t>. Reading, Massachusetts: Addison-Wesley Publishing Company.</w:t>
      </w:r>
    </w:p>
    <w:p w14:paraId="6179A02D" w14:textId="77777777" w:rsidR="004D63D8" w:rsidRPr="004D63D8" w:rsidRDefault="004D63D8" w:rsidP="004D63D8">
      <w:pPr>
        <w:pStyle w:val="Bibliography"/>
      </w:pPr>
      <w:r w:rsidRPr="004D63D8">
        <w:t xml:space="preserve">Broidy, Lisa, and Robert Agnew. 1997. “Gender and Crime: A General Strain Theory Perspective.” </w:t>
      </w:r>
      <w:r w:rsidRPr="004D63D8">
        <w:rPr>
          <w:i/>
          <w:iCs/>
        </w:rPr>
        <w:t>Journal of Research in Crime and Delinquency</w:t>
      </w:r>
      <w:r w:rsidRPr="004D63D8">
        <w:t xml:space="preserve"> 34(3):275–306. doi: 10.1177/0022427897034003001.</w:t>
      </w:r>
    </w:p>
    <w:p w14:paraId="1202DB7B" w14:textId="77777777" w:rsidR="004D63D8" w:rsidRPr="004D63D8" w:rsidRDefault="004D63D8" w:rsidP="004D63D8">
      <w:pPr>
        <w:pStyle w:val="Bibliography"/>
      </w:pPr>
      <w:r w:rsidRPr="004D63D8">
        <w:t xml:space="preserve">Chapple, Constance L., Julia A. McQuillan, and Terceira A. Berdahl. 2005. “Gender, Social Bonds, and Delinquency: A Comparison of Boys’ and Girls’ Models.” </w:t>
      </w:r>
      <w:r w:rsidRPr="004D63D8">
        <w:rPr>
          <w:i/>
          <w:iCs/>
        </w:rPr>
        <w:t>Social Science Research</w:t>
      </w:r>
      <w:r w:rsidRPr="004D63D8">
        <w:t xml:space="preserve"> 34(2):357–83. doi: 10.1016/j.ssresearch.2004.04.003.</w:t>
      </w:r>
    </w:p>
    <w:p w14:paraId="12AABE33" w14:textId="77777777" w:rsidR="004D63D8" w:rsidRPr="004D63D8" w:rsidRDefault="004D63D8" w:rsidP="004D63D8">
      <w:pPr>
        <w:pStyle w:val="Bibliography"/>
      </w:pPr>
      <w:r w:rsidRPr="004D63D8">
        <w:t xml:space="preserve">Chapple, Constance, and Julia McQuillan. 2019. “A Matter Of Control: Social Controls and the Gender Gap in Delinquency.” Pp. 257–76 in </w:t>
      </w:r>
      <w:r w:rsidRPr="004D63D8">
        <w:rPr>
          <w:i/>
          <w:iCs/>
        </w:rPr>
        <w:t>Fifty Years of Causes of Delinquency</w:t>
      </w:r>
      <w:r w:rsidRPr="004D63D8">
        <w:t>.</w:t>
      </w:r>
    </w:p>
    <w:p w14:paraId="3B4F6D10" w14:textId="77777777" w:rsidR="004D63D8" w:rsidRPr="004D63D8" w:rsidRDefault="004D63D8" w:rsidP="004D63D8">
      <w:pPr>
        <w:pStyle w:val="Bibliography"/>
      </w:pPr>
      <w:r w:rsidRPr="004D63D8">
        <w:t xml:space="preserve">Christie-Mizell, C. André, and Robert L. Peralta. 2009. “The Gender Gap in Alcohol Consumption during Late Adolescence and Young Adulthood: Gendered Attitudes and Adult Roles.” </w:t>
      </w:r>
      <w:r w:rsidRPr="004D63D8">
        <w:rPr>
          <w:i/>
          <w:iCs/>
        </w:rPr>
        <w:t>Journal of Health and Social Behavior</w:t>
      </w:r>
      <w:r w:rsidRPr="004D63D8">
        <w:t xml:space="preserve"> 50(4):410–26.</w:t>
      </w:r>
    </w:p>
    <w:p w14:paraId="7117E40A" w14:textId="77777777" w:rsidR="004D63D8" w:rsidRPr="004D63D8" w:rsidRDefault="004D63D8" w:rsidP="004D63D8">
      <w:pPr>
        <w:pStyle w:val="Bibliography"/>
      </w:pPr>
      <w:r w:rsidRPr="004D63D8">
        <w:t xml:space="preserve">Connell, R. W. 1987. </w:t>
      </w:r>
      <w:r w:rsidRPr="004D63D8">
        <w:rPr>
          <w:i/>
          <w:iCs/>
        </w:rPr>
        <w:t>Gender and Power</w:t>
      </w:r>
      <w:r w:rsidRPr="004D63D8">
        <w:t>. Sydney, Australia: Allen and Unwin.</w:t>
      </w:r>
    </w:p>
    <w:p w14:paraId="3C943CAF" w14:textId="77777777" w:rsidR="004D63D8" w:rsidRPr="004D63D8" w:rsidRDefault="004D63D8" w:rsidP="004D63D8">
      <w:pPr>
        <w:pStyle w:val="Bibliography"/>
      </w:pPr>
      <w:r w:rsidRPr="004D63D8">
        <w:t xml:space="preserve">Connell, R. W. 1995. </w:t>
      </w:r>
      <w:r w:rsidRPr="004D63D8">
        <w:rPr>
          <w:i/>
          <w:iCs/>
        </w:rPr>
        <w:t>Masculinities</w:t>
      </w:r>
      <w:r w:rsidRPr="004D63D8">
        <w:t>. Cambridge, UK: Polity Press.</w:t>
      </w:r>
    </w:p>
    <w:p w14:paraId="1DE8D287" w14:textId="77777777" w:rsidR="004D63D8" w:rsidRPr="004D63D8" w:rsidRDefault="004D63D8" w:rsidP="004D63D8">
      <w:pPr>
        <w:pStyle w:val="Bibliography"/>
      </w:pPr>
      <w:r w:rsidRPr="004D63D8">
        <w:t xml:space="preserve">Connell, R. W., and James W. Messerschmidt. 2005. “Hegemonic Masculinity: Rethinking the Concept.” </w:t>
      </w:r>
      <w:r w:rsidRPr="004D63D8">
        <w:rPr>
          <w:i/>
          <w:iCs/>
        </w:rPr>
        <w:t>Gender and Society</w:t>
      </w:r>
      <w:r w:rsidRPr="004D63D8">
        <w:t xml:space="preserve"> 19(6):829–59.</w:t>
      </w:r>
    </w:p>
    <w:p w14:paraId="07E14D6D" w14:textId="77777777" w:rsidR="004D63D8" w:rsidRPr="004D63D8" w:rsidRDefault="004D63D8" w:rsidP="004D63D8">
      <w:pPr>
        <w:pStyle w:val="Bibliography"/>
      </w:pPr>
      <w:r w:rsidRPr="004D63D8">
        <w:t xml:space="preserve">Dahl, Silje Louise, and Sveinung Sandberg. 2015. “Female Cannabis Users and New Masculinities: The Gendering of Cannabis Use.” </w:t>
      </w:r>
      <w:r w:rsidRPr="004D63D8">
        <w:rPr>
          <w:i/>
          <w:iCs/>
        </w:rPr>
        <w:t>Sociology</w:t>
      </w:r>
      <w:r w:rsidRPr="004D63D8">
        <w:t xml:space="preserve"> 49(4):696–711.</w:t>
      </w:r>
    </w:p>
    <w:p w14:paraId="696413E7" w14:textId="77777777" w:rsidR="004D63D8" w:rsidRPr="004D63D8" w:rsidRDefault="004D63D8" w:rsidP="004D63D8">
      <w:pPr>
        <w:pStyle w:val="Bibliography"/>
      </w:pPr>
      <w:r w:rsidRPr="004D63D8">
        <w:lastRenderedPageBreak/>
        <w:t xml:space="preserve">Darcy, Clay. 2018. “Making the Invisible Visible: Masculinities and Men’s Illicit Recreational Drug Use.” </w:t>
      </w:r>
      <w:r w:rsidRPr="004D63D8">
        <w:rPr>
          <w:i/>
          <w:iCs/>
        </w:rPr>
        <w:t>Irish Journal of Sociology</w:t>
      </w:r>
      <w:r w:rsidRPr="004D63D8">
        <w:t xml:space="preserve"> 26(1):5–24. doi: 10.1177/0791603517735772.</w:t>
      </w:r>
    </w:p>
    <w:p w14:paraId="3F5C85CC" w14:textId="77777777" w:rsidR="004D63D8" w:rsidRPr="004D63D8" w:rsidRDefault="004D63D8" w:rsidP="004D63D8">
      <w:pPr>
        <w:pStyle w:val="Bibliography"/>
      </w:pPr>
      <w:r w:rsidRPr="004D63D8">
        <w:t xml:space="preserve">Darcy, Clay. 2020. “Men and the Drug Buzz: Masculinity and Men’s Motivations for Illicit Recreational Drug Use.” </w:t>
      </w:r>
      <w:r w:rsidRPr="004D63D8">
        <w:rPr>
          <w:i/>
          <w:iCs/>
        </w:rPr>
        <w:t>Sociological Research Online</w:t>
      </w:r>
      <w:r w:rsidRPr="004D63D8">
        <w:t xml:space="preserve"> 25(3):421–37. doi: 10.1177/1360780419879940.</w:t>
      </w:r>
    </w:p>
    <w:p w14:paraId="5B85A6C5" w14:textId="77777777" w:rsidR="004D63D8" w:rsidRPr="004D63D8" w:rsidRDefault="004D63D8" w:rsidP="004D63D8">
      <w:pPr>
        <w:pStyle w:val="Bibliography"/>
      </w:pPr>
      <w:r w:rsidRPr="004D63D8">
        <w:t xml:space="preserve">Egan, Kathleen L., Eric Gregory, Vicki L. Osborne, and Linda B. Cottler. 2019. “Power of the Peer and Parent: Gender Differences, Norms, and Nonmedical Prescription Opioid Use Among Adolescents in South Central Kentucky.” </w:t>
      </w:r>
      <w:r w:rsidRPr="004D63D8">
        <w:rPr>
          <w:i/>
          <w:iCs/>
        </w:rPr>
        <w:t>Prevention Science</w:t>
      </w:r>
      <w:r w:rsidRPr="004D63D8">
        <w:t xml:space="preserve"> 20(5):665–73. doi: 10.1007/s11121-019-0982-1.</w:t>
      </w:r>
    </w:p>
    <w:p w14:paraId="315BAE3B" w14:textId="77777777" w:rsidR="004D63D8" w:rsidRPr="004D63D8" w:rsidRDefault="004D63D8" w:rsidP="004D63D8">
      <w:pPr>
        <w:pStyle w:val="Bibliography"/>
      </w:pPr>
      <w:r w:rsidRPr="004D63D8">
        <w:t xml:space="preserve">Eitle, Tamela McNulty, and David Eitle. 2015. “Explaining the Association between Gender and Substance Use among American Indian Adolescents: An Application of Power-Control Theory.” </w:t>
      </w:r>
      <w:r w:rsidRPr="004D63D8">
        <w:rPr>
          <w:i/>
          <w:iCs/>
        </w:rPr>
        <w:t>Sociological Perspectives</w:t>
      </w:r>
      <w:r w:rsidRPr="004D63D8">
        <w:t xml:space="preserve"> 58(4):686–710.</w:t>
      </w:r>
    </w:p>
    <w:p w14:paraId="2537DF08" w14:textId="77777777" w:rsidR="004D63D8" w:rsidRPr="004D63D8" w:rsidRDefault="004D63D8" w:rsidP="004D63D8">
      <w:pPr>
        <w:pStyle w:val="Bibliography"/>
      </w:pPr>
      <w:r w:rsidRPr="004D63D8">
        <w:t xml:space="preserve">Elder, Laurel, and Steven Greene. 2019. “Gender and the Politics of Marijuana.” </w:t>
      </w:r>
      <w:r w:rsidRPr="004D63D8">
        <w:rPr>
          <w:i/>
          <w:iCs/>
        </w:rPr>
        <w:t>Social Science Quarterly (Wiley-Blackwell)</w:t>
      </w:r>
      <w:r w:rsidRPr="004D63D8">
        <w:t xml:space="preserve"> 100(1):109–22. doi: 10.1111/ssqu.12558.</w:t>
      </w:r>
    </w:p>
    <w:p w14:paraId="6B740853" w14:textId="77777777" w:rsidR="004D63D8" w:rsidRPr="004D63D8" w:rsidRDefault="004D63D8" w:rsidP="004D63D8">
      <w:pPr>
        <w:pStyle w:val="Bibliography"/>
      </w:pPr>
      <w:r w:rsidRPr="004D63D8">
        <w:t xml:space="preserve">Grasmick, Harold G., John Hagan, Brenda Sims Blackwell, and Bruce J. Arneklev. 1996. “Risk Preferences and Patriarchy: Extending Power-Control Theory.” </w:t>
      </w:r>
      <w:r w:rsidRPr="004D63D8">
        <w:rPr>
          <w:i/>
          <w:iCs/>
        </w:rPr>
        <w:t>Social Forces</w:t>
      </w:r>
      <w:r w:rsidRPr="004D63D8">
        <w:t xml:space="preserve"> 75(1):177–99. doi: 10.2307/2580761.</w:t>
      </w:r>
    </w:p>
    <w:p w14:paraId="5D7050DC" w14:textId="77777777" w:rsidR="004D63D8" w:rsidRPr="004D63D8" w:rsidRDefault="004D63D8" w:rsidP="004D63D8">
      <w:pPr>
        <w:pStyle w:val="Bibliography"/>
      </w:pPr>
      <w:r w:rsidRPr="004D63D8">
        <w:t xml:space="preserve">Hadjar, Andreas, Dirk Baier, Klaus Boehnke, and John Hagan. 2007. “Juvenile Delinquency and Gender Revisited: The Family and Power-Control Theory Reconceived.” </w:t>
      </w:r>
      <w:r w:rsidRPr="004D63D8">
        <w:rPr>
          <w:i/>
          <w:iCs/>
        </w:rPr>
        <w:t>European Journal of Criminology</w:t>
      </w:r>
      <w:r w:rsidRPr="004D63D8">
        <w:t xml:space="preserve"> 4(1):33–58. doi: 10.1177/1477370807071729.</w:t>
      </w:r>
    </w:p>
    <w:p w14:paraId="38DAF9BD" w14:textId="77777777" w:rsidR="004D63D8" w:rsidRPr="004D63D8" w:rsidRDefault="004D63D8" w:rsidP="004D63D8">
      <w:pPr>
        <w:pStyle w:val="Bibliography"/>
      </w:pPr>
      <w:r w:rsidRPr="004D63D8">
        <w:t xml:space="preserve">Haines, Rebecca J., Joy L. Johnson, Connie I. Carter, and Kamal Arora. 2009. “‘I Couldn’t Say, I’m Not a Girl’ – Adolescents Talk about Gender and Marijuana Use.” </w:t>
      </w:r>
      <w:r w:rsidRPr="004D63D8">
        <w:rPr>
          <w:i/>
          <w:iCs/>
        </w:rPr>
        <w:t>Social Science &amp; Medicine</w:t>
      </w:r>
      <w:r w:rsidRPr="004D63D8">
        <w:t xml:space="preserve"> 68(11):2029–36. doi: 10.1016/j.socscimed.2009.03.003.</w:t>
      </w:r>
    </w:p>
    <w:p w14:paraId="43AB9E21" w14:textId="77777777" w:rsidR="004D63D8" w:rsidRPr="004D63D8" w:rsidRDefault="004D63D8" w:rsidP="004D63D8">
      <w:pPr>
        <w:pStyle w:val="Bibliography"/>
      </w:pPr>
      <w:r w:rsidRPr="004D63D8">
        <w:t xml:space="preserve">Hirschi, Travis. 1969. </w:t>
      </w:r>
      <w:r w:rsidRPr="004D63D8">
        <w:rPr>
          <w:i/>
          <w:iCs/>
        </w:rPr>
        <w:t>Causes of Delinquency</w:t>
      </w:r>
      <w:r w:rsidRPr="004D63D8">
        <w:t>. Berkeley, University of California Press.</w:t>
      </w:r>
    </w:p>
    <w:p w14:paraId="29DE22FE" w14:textId="77777777" w:rsidR="004D63D8" w:rsidRPr="004D63D8" w:rsidRDefault="004D63D8" w:rsidP="004D63D8">
      <w:pPr>
        <w:pStyle w:val="Bibliography"/>
      </w:pPr>
      <w:r w:rsidRPr="004D63D8">
        <w:t xml:space="preserve">Huselid, Rebecca Farmer, and M. Lynne Cooper. 1992. “Gender Roles as Mediators of Sex Differences in Adolescent Alcohol Use and Abuse.” </w:t>
      </w:r>
      <w:r w:rsidRPr="004D63D8">
        <w:rPr>
          <w:i/>
          <w:iCs/>
        </w:rPr>
        <w:t>Journal of Health and Social Behavior</w:t>
      </w:r>
      <w:r w:rsidRPr="004D63D8">
        <w:t xml:space="preserve"> 33(4):348–62. doi: 10.2307/2137313.</w:t>
      </w:r>
    </w:p>
    <w:p w14:paraId="49F13D4B" w14:textId="77777777" w:rsidR="004D63D8" w:rsidRPr="004D63D8" w:rsidRDefault="004D63D8" w:rsidP="004D63D8">
      <w:pPr>
        <w:pStyle w:val="Bibliography"/>
      </w:pPr>
      <w:r w:rsidRPr="004D63D8">
        <w:t xml:space="preserve">Kapetanovic, Sabina, Birgitta Ander, Sevtap Gurdal, and Emma Sorbring. 2022. “Adolescent Smoking, Alcohol Use, Inebriation, and Use of Narcotics during the Covid-19 Pandemic.” </w:t>
      </w:r>
      <w:r w:rsidRPr="004D63D8">
        <w:rPr>
          <w:i/>
          <w:iCs/>
        </w:rPr>
        <w:t>BMC Psychology</w:t>
      </w:r>
      <w:r w:rsidRPr="004D63D8">
        <w:t xml:space="preserve"> 10(1):44. doi: 10.1186/s40359-022-00756-1.</w:t>
      </w:r>
    </w:p>
    <w:p w14:paraId="46C949FA" w14:textId="77777777" w:rsidR="004D63D8" w:rsidRPr="004D63D8" w:rsidRDefault="004D63D8" w:rsidP="004D63D8">
      <w:pPr>
        <w:pStyle w:val="Bibliography"/>
      </w:pPr>
      <w:r w:rsidRPr="004D63D8">
        <w:t xml:space="preserve">Kasperski, Sarah J., Kathryn B. Vincent, Kimberly M. Caldeira, Laura M. Garnier-Dykstra, Kevin E. O’Grady, and Amelia M. Arria. 2011. “College Students’ Use of Cocaine: Results from a Longitudinal Study.” </w:t>
      </w:r>
      <w:r w:rsidRPr="004D63D8">
        <w:rPr>
          <w:i/>
          <w:iCs/>
        </w:rPr>
        <w:t>Addictive Behaviors</w:t>
      </w:r>
      <w:r w:rsidRPr="004D63D8">
        <w:t xml:space="preserve"> 36(4):408–11. doi: 10.1016/j.addbeh.2010.12.002.</w:t>
      </w:r>
    </w:p>
    <w:p w14:paraId="3327CC98" w14:textId="77777777" w:rsidR="004D63D8" w:rsidRPr="004D63D8" w:rsidRDefault="004D63D8" w:rsidP="004D63D8">
      <w:pPr>
        <w:pStyle w:val="Bibliography"/>
      </w:pPr>
      <w:r w:rsidRPr="004D63D8">
        <w:lastRenderedPageBreak/>
        <w:t xml:space="preserve">Keane, Helen. 2017. “Female Vulnerability and Susceptible Brains: Gendered Discourses of Addiction.” </w:t>
      </w:r>
      <w:r w:rsidRPr="004D63D8">
        <w:rPr>
          <w:i/>
          <w:iCs/>
        </w:rPr>
        <w:t>The Social History of Alcohol and Drugs</w:t>
      </w:r>
      <w:r w:rsidRPr="004D63D8">
        <w:t xml:space="preserve"> 31:126–39. doi: 10.1086/SHAD31010126.</w:t>
      </w:r>
    </w:p>
    <w:p w14:paraId="18E0B5B8" w14:textId="77777777" w:rsidR="004D63D8" w:rsidRPr="004D63D8" w:rsidRDefault="004D63D8" w:rsidP="004D63D8">
      <w:pPr>
        <w:pStyle w:val="Bibliography"/>
      </w:pPr>
      <w:r w:rsidRPr="004D63D8">
        <w:t xml:space="preserve">Keijsers, Loes, Susan Branje, Skyler T. Hawk, Tom Frijns, Hans M. Koot, Pol van Lier, Seth J. Schwartz, and Wim Meeus. 2012. “Forbidden Friends as Forbidden Fruit: Parental Supervision of Friendships, Contact With Deviant Peers, and Adolescent Delinquency.” </w:t>
      </w:r>
      <w:r w:rsidRPr="004D63D8">
        <w:rPr>
          <w:i/>
          <w:iCs/>
        </w:rPr>
        <w:t>Child Development</w:t>
      </w:r>
      <w:r w:rsidRPr="004D63D8">
        <w:t xml:space="preserve"> 83(2):651–66.</w:t>
      </w:r>
    </w:p>
    <w:p w14:paraId="7FA806CB" w14:textId="77777777" w:rsidR="004D63D8" w:rsidRPr="004D63D8" w:rsidRDefault="004D63D8" w:rsidP="004D63D8">
      <w:pPr>
        <w:pStyle w:val="Bibliography"/>
      </w:pPr>
      <w:r w:rsidRPr="004D63D8">
        <w:t xml:space="preserve">Kimmel, Michael S. 1994. “Masculinity as Homophobia: Fear, Shame, and Silence in the Construction of Gender Identity.” Pp. 119–43 in </w:t>
      </w:r>
      <w:r w:rsidRPr="004D63D8">
        <w:rPr>
          <w:i/>
          <w:iCs/>
        </w:rPr>
        <w:t>Theorizing Masculinities</w:t>
      </w:r>
      <w:r w:rsidRPr="004D63D8">
        <w:t>. Thousand Oaks, CA: Sage.</w:t>
      </w:r>
    </w:p>
    <w:p w14:paraId="6C19875D" w14:textId="77777777" w:rsidR="004D63D8" w:rsidRPr="004D63D8" w:rsidRDefault="004D63D8" w:rsidP="004D63D8">
      <w:pPr>
        <w:pStyle w:val="Bibliography"/>
      </w:pPr>
      <w:r w:rsidRPr="004D63D8">
        <w:t xml:space="preserve">Kolar, Kat. 2021. “Women’s Use of and Access to Illicit Cannabis: An Investigation of Gendered Norms among College Students in Canada.” </w:t>
      </w:r>
      <w:r w:rsidRPr="004D63D8">
        <w:rPr>
          <w:i/>
          <w:iCs/>
        </w:rPr>
        <w:t>Sex Roles</w:t>
      </w:r>
      <w:r w:rsidRPr="004D63D8">
        <w:t xml:space="preserve"> 84(7):418–38. doi: 10.1007/s11199-020-01176-4.</w:t>
      </w:r>
    </w:p>
    <w:p w14:paraId="2A6AF119" w14:textId="77777777" w:rsidR="004D63D8" w:rsidRPr="004D63D8" w:rsidRDefault="004D63D8" w:rsidP="004D63D8">
      <w:pPr>
        <w:pStyle w:val="Bibliography"/>
      </w:pPr>
      <w:r w:rsidRPr="004D63D8">
        <w:t xml:space="preserve">Levy, Brian L., Nolan E. Phillips, and Robert J. Sampson. 2020. “Triple Disadvantage: Neighborhood Networks of Everyday Urban Mobility and Violence in U.S. Cities.” </w:t>
      </w:r>
      <w:r w:rsidRPr="004D63D8">
        <w:rPr>
          <w:i/>
          <w:iCs/>
        </w:rPr>
        <w:t>American Sociological Review</w:t>
      </w:r>
      <w:r w:rsidRPr="004D63D8">
        <w:t xml:space="preserve"> 85(6):925–56. doi: 10.1177/0003122420972323.</w:t>
      </w:r>
    </w:p>
    <w:p w14:paraId="63B01EBA" w14:textId="77777777" w:rsidR="004D63D8" w:rsidRPr="004D63D8" w:rsidRDefault="004D63D8" w:rsidP="004D63D8">
      <w:pPr>
        <w:pStyle w:val="Bibliography"/>
      </w:pPr>
      <w:r w:rsidRPr="004D63D8">
        <w:t xml:space="preserve">Litt, Dana M., Michelle L. Stock, and Melissa A. Lewis. 2012. “Drinking to Fit in: Examining the Need to Belong as a Moderator of Perceptions of Best Friends’ Alcohol Use and Related Risk Cognitions Among College Students.” </w:t>
      </w:r>
      <w:r w:rsidRPr="004D63D8">
        <w:rPr>
          <w:i/>
          <w:iCs/>
        </w:rPr>
        <w:t>Basic and Applied Social Psychology</w:t>
      </w:r>
      <w:r w:rsidRPr="004D63D8">
        <w:t xml:space="preserve"> 34(4):313–21. doi: 10.1080/01973533.2012.693357.</w:t>
      </w:r>
    </w:p>
    <w:p w14:paraId="7697ACD2" w14:textId="77777777" w:rsidR="004D63D8" w:rsidRPr="004D63D8" w:rsidRDefault="004D63D8" w:rsidP="004D63D8">
      <w:pPr>
        <w:pStyle w:val="Bibliography"/>
      </w:pPr>
      <w:r w:rsidRPr="004D63D8">
        <w:t xml:space="preserve">Long, J. Scott, and Sarah A. Mustillo. 2021. “Using Predictions and Marginal Effects to Compare Groups in Regression Models for Binary Outcomes.” </w:t>
      </w:r>
      <w:r w:rsidRPr="004D63D8">
        <w:rPr>
          <w:i/>
          <w:iCs/>
        </w:rPr>
        <w:t>Sociological Methods &amp; Research</w:t>
      </w:r>
      <w:r w:rsidRPr="004D63D8">
        <w:t xml:space="preserve"> 50(3):1284–1320. doi: 10.1177/0049124118799374.</w:t>
      </w:r>
    </w:p>
    <w:p w14:paraId="33CDD9AB" w14:textId="77777777" w:rsidR="004D63D8" w:rsidRPr="004D63D8" w:rsidRDefault="004D63D8" w:rsidP="004D63D8">
      <w:pPr>
        <w:pStyle w:val="Bibliography"/>
      </w:pPr>
      <w:r w:rsidRPr="004D63D8">
        <w:t xml:space="preserve">Marsh, Jeanne C., Keunhye Park, Yu-An Lin, and Cliff Bersamira. 2018. “Gender Differences in Trends for Heroin Use and Nonmedical Prescription Opioid Use, 2007–2014.” </w:t>
      </w:r>
      <w:r w:rsidRPr="004D63D8">
        <w:rPr>
          <w:i/>
          <w:iCs/>
        </w:rPr>
        <w:t>Journal of Substance Abuse Treatment</w:t>
      </w:r>
      <w:r w:rsidRPr="004D63D8">
        <w:t xml:space="preserve"> 87:79–85. doi: 10.1016/j.jsat.2018.01.001.</w:t>
      </w:r>
    </w:p>
    <w:p w14:paraId="7B2445D1" w14:textId="77777777" w:rsidR="004D63D8" w:rsidRPr="004D63D8" w:rsidRDefault="004D63D8" w:rsidP="004D63D8">
      <w:pPr>
        <w:pStyle w:val="Bibliography"/>
      </w:pPr>
      <w:r w:rsidRPr="004D63D8">
        <w:t xml:space="preserve">Messerschmidt, James W., and Michael A. Messner. 2019. “Hegemonic, Nonhegemonic, and ‘New’ Masculinities.” Pp. 35–56 in </w:t>
      </w:r>
      <w:r w:rsidRPr="004D63D8">
        <w:rPr>
          <w:i/>
          <w:iCs/>
        </w:rPr>
        <w:t>Gender Reckonings: New Social Theory and Research</w:t>
      </w:r>
      <w:r w:rsidRPr="004D63D8">
        <w:t>. New York: New York University Press.</w:t>
      </w:r>
    </w:p>
    <w:p w14:paraId="399754D1" w14:textId="77777777" w:rsidR="004D63D8" w:rsidRPr="004D63D8" w:rsidRDefault="004D63D8" w:rsidP="004D63D8">
      <w:pPr>
        <w:pStyle w:val="Bibliography"/>
      </w:pPr>
      <w:r w:rsidRPr="004D63D8">
        <w:t xml:space="preserve">Norland, Stephen, Randall C. Wessel, and Neal Shover. 1981. “Masculinity and Delinquency.” </w:t>
      </w:r>
      <w:r w:rsidRPr="004D63D8">
        <w:rPr>
          <w:i/>
          <w:iCs/>
        </w:rPr>
        <w:t>Criminology</w:t>
      </w:r>
      <w:r w:rsidRPr="004D63D8">
        <w:t xml:space="preserve"> 19(3):421–33.</w:t>
      </w:r>
    </w:p>
    <w:p w14:paraId="7D9DB35C" w14:textId="77777777" w:rsidR="004D63D8" w:rsidRPr="004D63D8" w:rsidRDefault="004D63D8" w:rsidP="004D63D8">
      <w:pPr>
        <w:pStyle w:val="Bibliography"/>
      </w:pPr>
      <w:r w:rsidRPr="004D63D8">
        <w:t xml:space="preserve">Offer, Shira, and Danny Kaplan. 2021. “The ‘New Father’ Between Ideals and Practices: New Masculinity Ideology, Gender Role Attitudes, and Fathers’ Involvement in Childcare.” </w:t>
      </w:r>
      <w:r w:rsidRPr="004D63D8">
        <w:rPr>
          <w:i/>
          <w:iCs/>
        </w:rPr>
        <w:t>Social Problems</w:t>
      </w:r>
      <w:r w:rsidRPr="004D63D8">
        <w:t xml:space="preserve"> 68(4):986–1009. doi: 10.1093/socpro/spab015.</w:t>
      </w:r>
    </w:p>
    <w:p w14:paraId="25F6BDAB" w14:textId="77777777" w:rsidR="004D63D8" w:rsidRPr="004D63D8" w:rsidRDefault="004D63D8" w:rsidP="004D63D8">
      <w:pPr>
        <w:pStyle w:val="Bibliography"/>
      </w:pPr>
      <w:r w:rsidRPr="004D63D8">
        <w:t xml:space="preserve">Palamar, Joseph J. 2014. “An Examination of Opinions Toward Marijuana Policies Among High School Seniors in the United States.” </w:t>
      </w:r>
      <w:r w:rsidRPr="004D63D8">
        <w:rPr>
          <w:i/>
          <w:iCs/>
        </w:rPr>
        <w:t>Journal of Psychoactive Drugs</w:t>
      </w:r>
      <w:r w:rsidRPr="004D63D8">
        <w:t xml:space="preserve"> 46(5):351–61. doi: 10.1080/02791072.2014.962716.</w:t>
      </w:r>
    </w:p>
    <w:p w14:paraId="05D71CAC" w14:textId="77777777" w:rsidR="004D63D8" w:rsidRPr="004D63D8" w:rsidRDefault="004D63D8" w:rsidP="004D63D8">
      <w:pPr>
        <w:pStyle w:val="Bibliography"/>
      </w:pPr>
      <w:r w:rsidRPr="004D63D8">
        <w:lastRenderedPageBreak/>
        <w:t xml:space="preserve">Palamar, Joseph J., Jenni A. Shearston, Eric W. Dawson, Pedro Mateu-Gelabert, and Danielle C. Ompad. 2016. “Nonmedical Opioid Use and Heroin Use in a Nationally Representative Sample of Us High School Seniors.” </w:t>
      </w:r>
      <w:r w:rsidRPr="004D63D8">
        <w:rPr>
          <w:i/>
          <w:iCs/>
        </w:rPr>
        <w:t>Drug and Alcohol Dependence</w:t>
      </w:r>
      <w:r w:rsidRPr="004D63D8">
        <w:t xml:space="preserve"> 158:132–38. doi: 10.1016/j.drugalcdep.2015.11.005.</w:t>
      </w:r>
    </w:p>
    <w:p w14:paraId="287393E7" w14:textId="77777777" w:rsidR="004D63D8" w:rsidRPr="004D63D8" w:rsidRDefault="004D63D8" w:rsidP="004D63D8">
      <w:pPr>
        <w:pStyle w:val="Bibliography"/>
      </w:pPr>
      <w:r w:rsidRPr="004D63D8">
        <w:t xml:space="preserve">Robert J Sampson. 2019. “Neighbourhood Effects and Beyond: Explaining the Paradoxes of Inequality in the Changing American Metropolise.” </w:t>
      </w:r>
      <w:r w:rsidRPr="004D63D8">
        <w:rPr>
          <w:i/>
          <w:iCs/>
        </w:rPr>
        <w:t>Urban Studes</w:t>
      </w:r>
      <w:r w:rsidRPr="004D63D8">
        <w:t xml:space="preserve"> 56(1):3–32.</w:t>
      </w:r>
    </w:p>
    <w:p w14:paraId="74FDDF34" w14:textId="77777777" w:rsidR="004D63D8" w:rsidRPr="004D63D8" w:rsidRDefault="004D63D8" w:rsidP="004D63D8">
      <w:pPr>
        <w:pStyle w:val="Bibliography"/>
      </w:pPr>
      <w:r w:rsidRPr="004D63D8">
        <w:t xml:space="preserve">Sampson, Robert J. 1993. </w:t>
      </w:r>
      <w:r w:rsidRPr="004D63D8">
        <w:rPr>
          <w:i/>
          <w:iCs/>
        </w:rPr>
        <w:t>Crime in the Making: Pathways and Turning Points through Life / Robert J. Sampson and John H. Laub.</w:t>
      </w:r>
      <w:r w:rsidRPr="004D63D8">
        <w:t xml:space="preserve"> Cambridge, Mass.: Harvard University Press.</w:t>
      </w:r>
    </w:p>
    <w:p w14:paraId="4A68C95F" w14:textId="77777777" w:rsidR="004D63D8" w:rsidRPr="004D63D8" w:rsidRDefault="004D63D8" w:rsidP="004D63D8">
      <w:pPr>
        <w:pStyle w:val="Bibliography"/>
      </w:pPr>
      <w:r w:rsidRPr="004D63D8">
        <w:t xml:space="preserve">Schippers, Mimi. 2007. “Recovering the Feminine Other: Masculinity, Femininity, and Gender Hegemony.” </w:t>
      </w:r>
      <w:r w:rsidRPr="004D63D8">
        <w:rPr>
          <w:i/>
          <w:iCs/>
        </w:rPr>
        <w:t>Theory and Society</w:t>
      </w:r>
      <w:r w:rsidRPr="004D63D8">
        <w:t xml:space="preserve"> 36(1):85–102. doi: 10.1007/s11186-007-9022-4.</w:t>
      </w:r>
    </w:p>
    <w:p w14:paraId="3102288A" w14:textId="77777777" w:rsidR="004D63D8" w:rsidRPr="004D63D8" w:rsidRDefault="004D63D8" w:rsidP="004D63D8">
      <w:pPr>
        <w:pStyle w:val="Bibliography"/>
      </w:pPr>
      <w:r w:rsidRPr="004D63D8">
        <w:t xml:space="preserve">Schneider, Kristen E., Noa Krawczyk, Xuan Ziming, and Renee M. Johnson. 2018. “Past 15-Year Trends in Lifetime Cocaine Use among US High School Students | Elsevier Enhanced Reader.” </w:t>
      </w:r>
      <w:r w:rsidRPr="004D63D8">
        <w:rPr>
          <w:i/>
          <w:iCs/>
        </w:rPr>
        <w:t>Drug and Alcohol Dependence</w:t>
      </w:r>
      <w:r w:rsidRPr="004D63D8">
        <w:t xml:space="preserve"> 183:69–72. doi: 10.1016/j.drugalcdep.2017.10.028.</w:t>
      </w:r>
    </w:p>
    <w:p w14:paraId="3ADA069B" w14:textId="77777777" w:rsidR="004D63D8" w:rsidRPr="004D63D8" w:rsidRDefault="004D63D8" w:rsidP="004D63D8">
      <w:pPr>
        <w:pStyle w:val="Bibliography"/>
      </w:pPr>
      <w:r w:rsidRPr="004D63D8">
        <w:t xml:space="preserve">Westbrook, Laurel, and Aliya Saperstein. 2015. “New Categories Are Not Enough: Rethinking the Measurement of Sex and Gender in Social Surveys.” </w:t>
      </w:r>
      <w:r w:rsidRPr="004D63D8">
        <w:rPr>
          <w:i/>
          <w:iCs/>
        </w:rPr>
        <w:t>Gender &amp; Society</w:t>
      </w:r>
      <w:r w:rsidRPr="004D63D8">
        <w:t xml:space="preserve"> 29(4):534–60. doi: 10.1177/0891243215584758.</w:t>
      </w:r>
    </w:p>
    <w:p w14:paraId="593C454B" w14:textId="77777777" w:rsidR="004D63D8" w:rsidRPr="004D63D8" w:rsidRDefault="004D63D8" w:rsidP="004D63D8">
      <w:pPr>
        <w:pStyle w:val="Bibliography"/>
      </w:pPr>
      <w:r w:rsidRPr="004D63D8">
        <w:t xml:space="preserve">Whaley, Rachel Bridges, Justin Hayes-Smith, and Rebecca Hayes-Smith. 2013. “Gendered Pathways? Gender, Mediating Factors, and the Gap in Boys’ and Girls’ Substance Use.” </w:t>
      </w:r>
      <w:r w:rsidRPr="004D63D8">
        <w:rPr>
          <w:i/>
          <w:iCs/>
        </w:rPr>
        <w:t>Crime &amp; Delinquency</w:t>
      </w:r>
      <w:r w:rsidRPr="004D63D8">
        <w:t xml:space="preserve"> 59(5):651–69. doi: 10.1177/0011128710389581.</w:t>
      </w:r>
    </w:p>
    <w:p w14:paraId="783B380B" w14:textId="77777777" w:rsidR="004D63D8" w:rsidRPr="004D63D8" w:rsidRDefault="004D63D8" w:rsidP="004D63D8">
      <w:pPr>
        <w:pStyle w:val="Bibliography"/>
      </w:pPr>
      <w:r w:rsidRPr="004D63D8">
        <w:t xml:space="preserve">Wilkinson, Andra L., Paul J. Fleming, this link will open in a new window Link to external site, Carolyn Tucker Halpern, Amy H. Herring, and Kathleen Mullan Harris. 2018. “Adherence to Gender-Typical Behavior and High-Frequency Substance Use from Adolescence into Young Adulthood.” </w:t>
      </w:r>
      <w:r w:rsidRPr="004D63D8">
        <w:rPr>
          <w:i/>
          <w:iCs/>
        </w:rPr>
        <w:t>Psychology of Men &amp; Masculinities</w:t>
      </w:r>
      <w:r w:rsidRPr="004D63D8">
        <w:t xml:space="preserve"> 19(1):145–55. doi: http://dx.doi.org.ezproxy.lib.ou.edu/10.1037/men0000088.</w:t>
      </w:r>
    </w:p>
    <w:p w14:paraId="12E1EA1F" w14:textId="77777777" w:rsidR="004D63D8" w:rsidRPr="004D63D8" w:rsidRDefault="004D63D8" w:rsidP="004D63D8">
      <w:pPr>
        <w:pStyle w:val="Bibliography"/>
      </w:pPr>
      <w:r w:rsidRPr="004D63D8">
        <w:t xml:space="preserve">Willer, Robb, Christabel L. Rogalin, Bridget Conlon, and Michael T. Wojnowicz. 2013. “Overdoing Gender: A Test of the Masculine Overcompensation Thesis.” </w:t>
      </w:r>
      <w:r w:rsidRPr="004D63D8">
        <w:rPr>
          <w:i/>
          <w:iCs/>
        </w:rPr>
        <w:t>American Journal of Sociology</w:t>
      </w:r>
      <w:r w:rsidRPr="004D63D8">
        <w:t xml:space="preserve"> 118(4):980–1022.</w:t>
      </w:r>
    </w:p>
    <w:p w14:paraId="7FDF5EEE" w14:textId="77777777" w:rsidR="004D63D8" w:rsidRPr="004D63D8" w:rsidRDefault="004D63D8" w:rsidP="004D63D8">
      <w:pPr>
        <w:pStyle w:val="Bibliography"/>
      </w:pPr>
      <w:r w:rsidRPr="004D63D8">
        <w:t xml:space="preserve">William J Wilson. 1987. </w:t>
      </w:r>
      <w:r w:rsidRPr="004D63D8">
        <w:rPr>
          <w:i/>
          <w:iCs/>
        </w:rPr>
        <w:t>The Truly Disadvantaged</w:t>
      </w:r>
      <w:r w:rsidRPr="004D63D8">
        <w:t>. University of Chicago Press.</w:t>
      </w:r>
    </w:p>
    <w:p w14:paraId="3749CF17" w14:textId="77777777" w:rsidR="004D63D8" w:rsidRPr="004D63D8" w:rsidRDefault="004D63D8" w:rsidP="004D63D8">
      <w:pPr>
        <w:pStyle w:val="Bibliography"/>
      </w:pPr>
      <w:r w:rsidRPr="004D63D8">
        <w:t xml:space="preserve">Worthen, Meredith G. F. 2021. “Rape Myth Acceptance Among Lesbian, Gay, Bisexual, and Mostly Heterosexual College Students.” </w:t>
      </w:r>
      <w:r w:rsidRPr="004D63D8">
        <w:rPr>
          <w:i/>
          <w:iCs/>
        </w:rPr>
        <w:t>Journal of Interpersonal Violence</w:t>
      </w:r>
      <w:r w:rsidRPr="004D63D8">
        <w:t xml:space="preserve"> 36(1–2):NP232–62. doi: 10.1177/0886260517733282.</w:t>
      </w:r>
    </w:p>
    <w:p w14:paraId="259A7E4C" w14:textId="77777777" w:rsidR="004D63D8" w:rsidRPr="004D63D8" w:rsidRDefault="004D63D8" w:rsidP="004D63D8">
      <w:pPr>
        <w:pStyle w:val="Bibliography"/>
      </w:pPr>
      <w:r w:rsidRPr="004D63D8">
        <w:t xml:space="preserve">Yu, Bin, Xinguang Chen, Xiangfan Chen, and Hong Yan. 2020. “Marijuana Legalization and Historical Trends in Marijuana Use among US Residents Aged 12–25: Results from the 1979–2016 National Survey on Drug Use and Health.” </w:t>
      </w:r>
      <w:r w:rsidRPr="004D63D8">
        <w:rPr>
          <w:i/>
          <w:iCs/>
        </w:rPr>
        <w:t>BMC Public Health</w:t>
      </w:r>
      <w:r w:rsidRPr="004D63D8">
        <w:t xml:space="preserve"> 20(1):156. doi: 10.1186/s12889-020-8253-4.</w:t>
      </w:r>
    </w:p>
    <w:p w14:paraId="32EE2EFB" w14:textId="327D288B" w:rsidR="00F829CE" w:rsidRDefault="00AB7823" w:rsidP="001B56F3">
      <w:r>
        <w:fldChar w:fldCharType="end"/>
      </w:r>
      <w:r w:rsidR="007F46E8">
        <w:br w:type="page"/>
      </w:r>
      <w:bookmarkStart w:id="40" w:name="_Toc102664134"/>
      <w:r w:rsidR="007F46E8">
        <w:lastRenderedPageBreak/>
        <w:t>APPENDIX</w:t>
      </w:r>
      <w:bookmarkEnd w:id="40"/>
    </w:p>
    <w:p w14:paraId="7391732B" w14:textId="77777777" w:rsidR="00AD68A1" w:rsidRPr="001114A0" w:rsidRDefault="00AD68A1" w:rsidP="00AD68A1">
      <w:pPr>
        <w:keepNext/>
        <w:widowControl w:val="0"/>
        <w:autoSpaceDE w:val="0"/>
        <w:autoSpaceDN w:val="0"/>
        <w:adjustRightInd w:val="0"/>
        <w:spacing w:line="240" w:lineRule="auto"/>
        <w:rPr>
          <w:b/>
          <w:bCs/>
        </w:rPr>
      </w:pPr>
      <w:r w:rsidRPr="001114A0">
        <w:rPr>
          <w:b/>
          <w:bCs/>
        </w:rPr>
        <w:t>Table 6. Rare-Outcomes Logistic Regression of Lifetime Heroin use on Independent Variables</w:t>
      </w:r>
    </w:p>
    <w:tbl>
      <w:tblPr>
        <w:tblW w:w="8028" w:type="dxa"/>
        <w:tblLayout w:type="fixed"/>
        <w:tblLook w:val="0000" w:firstRow="0" w:lastRow="0" w:firstColumn="0" w:lastColumn="0" w:noHBand="0" w:noVBand="0"/>
      </w:tblPr>
      <w:tblGrid>
        <w:gridCol w:w="2718"/>
        <w:gridCol w:w="1080"/>
        <w:gridCol w:w="720"/>
        <w:gridCol w:w="1080"/>
        <w:gridCol w:w="720"/>
        <w:gridCol w:w="990"/>
        <w:gridCol w:w="720"/>
      </w:tblGrid>
      <w:tr w:rsidR="00AD68A1" w14:paraId="7D0116B9" w14:textId="77777777" w:rsidTr="00484854">
        <w:tc>
          <w:tcPr>
            <w:tcW w:w="2718" w:type="dxa"/>
            <w:tcBorders>
              <w:top w:val="single" w:sz="4" w:space="0" w:color="auto"/>
              <w:left w:val="nil"/>
              <w:bottom w:val="nil"/>
              <w:right w:val="nil"/>
            </w:tcBorders>
          </w:tcPr>
          <w:p w14:paraId="2DFC232C" w14:textId="77777777" w:rsidR="00AD68A1" w:rsidRDefault="00AD68A1" w:rsidP="00484854">
            <w:pPr>
              <w:widowControl w:val="0"/>
              <w:autoSpaceDE w:val="0"/>
              <w:autoSpaceDN w:val="0"/>
              <w:adjustRightInd w:val="0"/>
              <w:spacing w:line="240" w:lineRule="auto"/>
            </w:pPr>
          </w:p>
        </w:tc>
        <w:tc>
          <w:tcPr>
            <w:tcW w:w="1800" w:type="dxa"/>
            <w:gridSpan w:val="2"/>
            <w:tcBorders>
              <w:top w:val="single" w:sz="4" w:space="0" w:color="auto"/>
              <w:left w:val="nil"/>
              <w:bottom w:val="nil"/>
              <w:right w:val="nil"/>
            </w:tcBorders>
          </w:tcPr>
          <w:p w14:paraId="3CDE0DDA" w14:textId="77777777" w:rsidR="00AD68A1" w:rsidRDefault="00AD68A1" w:rsidP="00484854">
            <w:pPr>
              <w:widowControl w:val="0"/>
              <w:autoSpaceDE w:val="0"/>
              <w:autoSpaceDN w:val="0"/>
              <w:adjustRightInd w:val="0"/>
              <w:spacing w:line="240" w:lineRule="auto"/>
              <w:jc w:val="center"/>
            </w:pPr>
            <w:r>
              <w:t>Model 1</w:t>
            </w:r>
          </w:p>
        </w:tc>
        <w:tc>
          <w:tcPr>
            <w:tcW w:w="1800" w:type="dxa"/>
            <w:gridSpan w:val="2"/>
            <w:tcBorders>
              <w:top w:val="single" w:sz="4" w:space="0" w:color="auto"/>
              <w:left w:val="nil"/>
              <w:bottom w:val="nil"/>
              <w:right w:val="nil"/>
            </w:tcBorders>
          </w:tcPr>
          <w:p w14:paraId="2DC626E2" w14:textId="77777777" w:rsidR="00AD68A1" w:rsidRDefault="00AD68A1" w:rsidP="00484854">
            <w:pPr>
              <w:widowControl w:val="0"/>
              <w:autoSpaceDE w:val="0"/>
              <w:autoSpaceDN w:val="0"/>
              <w:adjustRightInd w:val="0"/>
              <w:spacing w:line="240" w:lineRule="auto"/>
              <w:jc w:val="center"/>
            </w:pPr>
            <w:r>
              <w:t>Model 2</w:t>
            </w:r>
          </w:p>
        </w:tc>
        <w:tc>
          <w:tcPr>
            <w:tcW w:w="1710" w:type="dxa"/>
            <w:gridSpan w:val="2"/>
            <w:tcBorders>
              <w:top w:val="single" w:sz="4" w:space="0" w:color="auto"/>
              <w:left w:val="nil"/>
              <w:bottom w:val="nil"/>
              <w:right w:val="nil"/>
            </w:tcBorders>
          </w:tcPr>
          <w:p w14:paraId="25CE78E8" w14:textId="77777777" w:rsidR="00AD68A1" w:rsidRDefault="00AD68A1" w:rsidP="00484854">
            <w:pPr>
              <w:widowControl w:val="0"/>
              <w:autoSpaceDE w:val="0"/>
              <w:autoSpaceDN w:val="0"/>
              <w:adjustRightInd w:val="0"/>
              <w:spacing w:line="240" w:lineRule="auto"/>
              <w:jc w:val="center"/>
            </w:pPr>
            <w:r>
              <w:t>Model 3</w:t>
            </w:r>
          </w:p>
        </w:tc>
      </w:tr>
      <w:tr w:rsidR="00C5624E" w14:paraId="3E4798C9" w14:textId="77777777" w:rsidTr="00484854">
        <w:tc>
          <w:tcPr>
            <w:tcW w:w="2718" w:type="dxa"/>
            <w:tcBorders>
              <w:top w:val="single" w:sz="4" w:space="0" w:color="auto"/>
              <w:left w:val="nil"/>
              <w:bottom w:val="nil"/>
              <w:right w:val="nil"/>
            </w:tcBorders>
          </w:tcPr>
          <w:p w14:paraId="2DD1AB1F" w14:textId="77777777" w:rsidR="00C5624E" w:rsidRDefault="00C5624E" w:rsidP="00C5624E">
            <w:pPr>
              <w:widowControl w:val="0"/>
              <w:autoSpaceDE w:val="0"/>
              <w:autoSpaceDN w:val="0"/>
              <w:adjustRightInd w:val="0"/>
              <w:spacing w:line="240" w:lineRule="auto"/>
            </w:pPr>
          </w:p>
        </w:tc>
        <w:tc>
          <w:tcPr>
            <w:tcW w:w="1080" w:type="dxa"/>
            <w:tcBorders>
              <w:top w:val="single" w:sz="4" w:space="0" w:color="auto"/>
              <w:left w:val="nil"/>
              <w:bottom w:val="nil"/>
              <w:right w:val="nil"/>
            </w:tcBorders>
          </w:tcPr>
          <w:p w14:paraId="5F9E9E19" w14:textId="6784C85F" w:rsidR="00C5624E" w:rsidRDefault="00C5624E" w:rsidP="00C5624E">
            <w:pPr>
              <w:widowControl w:val="0"/>
              <w:autoSpaceDE w:val="0"/>
              <w:autoSpaceDN w:val="0"/>
              <w:adjustRightInd w:val="0"/>
              <w:spacing w:line="240" w:lineRule="auto"/>
              <w:jc w:val="center"/>
            </w:pPr>
            <w:r w:rsidRPr="00915136">
              <w:rPr>
                <w:i/>
                <w:iCs/>
              </w:rPr>
              <w:t>β</w:t>
            </w:r>
          </w:p>
        </w:tc>
        <w:tc>
          <w:tcPr>
            <w:tcW w:w="720" w:type="dxa"/>
            <w:tcBorders>
              <w:top w:val="single" w:sz="4" w:space="0" w:color="auto"/>
              <w:left w:val="nil"/>
              <w:bottom w:val="nil"/>
              <w:right w:val="nil"/>
            </w:tcBorders>
          </w:tcPr>
          <w:p w14:paraId="63241D1E" w14:textId="6C07C88A" w:rsidR="00C5624E" w:rsidRDefault="00C5624E" w:rsidP="00C5624E">
            <w:pPr>
              <w:widowControl w:val="0"/>
              <w:autoSpaceDE w:val="0"/>
              <w:autoSpaceDN w:val="0"/>
              <w:adjustRightInd w:val="0"/>
              <w:spacing w:line="240" w:lineRule="auto"/>
              <w:jc w:val="center"/>
            </w:pPr>
            <w:r w:rsidRPr="00915136">
              <w:rPr>
                <w:i/>
                <w:iCs/>
              </w:rPr>
              <w:t>SE</w:t>
            </w:r>
          </w:p>
        </w:tc>
        <w:tc>
          <w:tcPr>
            <w:tcW w:w="1080" w:type="dxa"/>
            <w:tcBorders>
              <w:top w:val="single" w:sz="4" w:space="0" w:color="auto"/>
              <w:left w:val="nil"/>
              <w:bottom w:val="nil"/>
              <w:right w:val="nil"/>
            </w:tcBorders>
          </w:tcPr>
          <w:p w14:paraId="7B7DE149" w14:textId="0C01A8EB" w:rsidR="00C5624E" w:rsidRDefault="00C5624E" w:rsidP="00C5624E">
            <w:pPr>
              <w:widowControl w:val="0"/>
              <w:autoSpaceDE w:val="0"/>
              <w:autoSpaceDN w:val="0"/>
              <w:adjustRightInd w:val="0"/>
              <w:spacing w:line="240" w:lineRule="auto"/>
              <w:jc w:val="center"/>
            </w:pPr>
            <w:r w:rsidRPr="00915136">
              <w:rPr>
                <w:i/>
                <w:iCs/>
              </w:rPr>
              <w:t>β</w:t>
            </w:r>
          </w:p>
        </w:tc>
        <w:tc>
          <w:tcPr>
            <w:tcW w:w="720" w:type="dxa"/>
            <w:tcBorders>
              <w:top w:val="single" w:sz="4" w:space="0" w:color="auto"/>
              <w:left w:val="nil"/>
              <w:bottom w:val="nil"/>
              <w:right w:val="nil"/>
            </w:tcBorders>
          </w:tcPr>
          <w:p w14:paraId="2738A21C" w14:textId="36B9E596" w:rsidR="00C5624E" w:rsidRDefault="00C5624E" w:rsidP="00C5624E">
            <w:pPr>
              <w:widowControl w:val="0"/>
              <w:autoSpaceDE w:val="0"/>
              <w:autoSpaceDN w:val="0"/>
              <w:adjustRightInd w:val="0"/>
              <w:spacing w:line="240" w:lineRule="auto"/>
              <w:jc w:val="center"/>
            </w:pPr>
            <w:r w:rsidRPr="00915136">
              <w:rPr>
                <w:i/>
                <w:iCs/>
              </w:rPr>
              <w:t>SE</w:t>
            </w:r>
          </w:p>
        </w:tc>
        <w:tc>
          <w:tcPr>
            <w:tcW w:w="990" w:type="dxa"/>
            <w:tcBorders>
              <w:top w:val="single" w:sz="4" w:space="0" w:color="auto"/>
              <w:left w:val="nil"/>
              <w:bottom w:val="nil"/>
              <w:right w:val="nil"/>
            </w:tcBorders>
          </w:tcPr>
          <w:p w14:paraId="42AFD7ED" w14:textId="15D64FCF" w:rsidR="00C5624E" w:rsidRDefault="00C5624E" w:rsidP="00C5624E">
            <w:pPr>
              <w:widowControl w:val="0"/>
              <w:autoSpaceDE w:val="0"/>
              <w:autoSpaceDN w:val="0"/>
              <w:adjustRightInd w:val="0"/>
              <w:spacing w:line="240" w:lineRule="auto"/>
              <w:jc w:val="center"/>
            </w:pPr>
            <w:r w:rsidRPr="00915136">
              <w:rPr>
                <w:i/>
                <w:iCs/>
              </w:rPr>
              <w:t>β</w:t>
            </w:r>
          </w:p>
        </w:tc>
        <w:tc>
          <w:tcPr>
            <w:tcW w:w="720" w:type="dxa"/>
            <w:tcBorders>
              <w:top w:val="single" w:sz="4" w:space="0" w:color="auto"/>
              <w:left w:val="nil"/>
              <w:bottom w:val="nil"/>
              <w:right w:val="nil"/>
            </w:tcBorders>
          </w:tcPr>
          <w:p w14:paraId="6EFB6B13" w14:textId="59C06FDF" w:rsidR="00C5624E" w:rsidRDefault="00C5624E" w:rsidP="00C5624E">
            <w:pPr>
              <w:widowControl w:val="0"/>
              <w:autoSpaceDE w:val="0"/>
              <w:autoSpaceDN w:val="0"/>
              <w:adjustRightInd w:val="0"/>
              <w:spacing w:line="240" w:lineRule="auto"/>
              <w:jc w:val="center"/>
            </w:pPr>
            <w:r w:rsidRPr="00915136">
              <w:rPr>
                <w:i/>
                <w:iCs/>
              </w:rPr>
              <w:t>SE</w:t>
            </w:r>
          </w:p>
        </w:tc>
      </w:tr>
      <w:tr w:rsidR="00C5624E" w14:paraId="5AC6D8F4" w14:textId="77777777" w:rsidTr="00484854">
        <w:tc>
          <w:tcPr>
            <w:tcW w:w="2718" w:type="dxa"/>
            <w:tcBorders>
              <w:top w:val="nil"/>
              <w:left w:val="nil"/>
              <w:bottom w:val="nil"/>
              <w:right w:val="nil"/>
            </w:tcBorders>
          </w:tcPr>
          <w:p w14:paraId="5BBD2B9D" w14:textId="77777777" w:rsidR="00C5624E" w:rsidRPr="001114A0" w:rsidRDefault="00C5624E" w:rsidP="00C5624E">
            <w:pPr>
              <w:widowControl w:val="0"/>
              <w:autoSpaceDE w:val="0"/>
              <w:autoSpaceDN w:val="0"/>
              <w:adjustRightInd w:val="0"/>
              <w:spacing w:line="240" w:lineRule="auto"/>
            </w:pPr>
            <w:r>
              <w:rPr>
                <w:b/>
                <w:bCs/>
                <w:u w:val="single"/>
              </w:rPr>
              <w:t>Main Effects</w:t>
            </w:r>
          </w:p>
        </w:tc>
        <w:tc>
          <w:tcPr>
            <w:tcW w:w="1080" w:type="dxa"/>
            <w:tcBorders>
              <w:top w:val="nil"/>
              <w:left w:val="nil"/>
              <w:bottom w:val="nil"/>
              <w:right w:val="nil"/>
            </w:tcBorders>
          </w:tcPr>
          <w:p w14:paraId="033F02A7" w14:textId="77777777" w:rsidR="00C5624E" w:rsidRDefault="00C5624E" w:rsidP="00C5624E">
            <w:pPr>
              <w:widowControl w:val="0"/>
              <w:tabs>
                <w:tab w:val="decimal" w:pos="251"/>
              </w:tabs>
              <w:autoSpaceDE w:val="0"/>
              <w:autoSpaceDN w:val="0"/>
              <w:adjustRightInd w:val="0"/>
              <w:spacing w:line="240" w:lineRule="auto"/>
            </w:pPr>
          </w:p>
        </w:tc>
        <w:tc>
          <w:tcPr>
            <w:tcW w:w="720" w:type="dxa"/>
            <w:tcBorders>
              <w:top w:val="nil"/>
              <w:left w:val="nil"/>
              <w:bottom w:val="nil"/>
              <w:right w:val="nil"/>
            </w:tcBorders>
          </w:tcPr>
          <w:p w14:paraId="23556144" w14:textId="77777777" w:rsidR="00C5624E" w:rsidRDefault="00C5624E" w:rsidP="00C5624E">
            <w:pPr>
              <w:widowControl w:val="0"/>
              <w:autoSpaceDE w:val="0"/>
              <w:autoSpaceDN w:val="0"/>
              <w:adjustRightInd w:val="0"/>
              <w:spacing w:line="240" w:lineRule="auto"/>
              <w:jc w:val="center"/>
            </w:pPr>
          </w:p>
        </w:tc>
        <w:tc>
          <w:tcPr>
            <w:tcW w:w="1080" w:type="dxa"/>
            <w:tcBorders>
              <w:top w:val="nil"/>
              <w:left w:val="nil"/>
              <w:bottom w:val="nil"/>
              <w:right w:val="nil"/>
            </w:tcBorders>
          </w:tcPr>
          <w:p w14:paraId="1D8121B5" w14:textId="77777777" w:rsidR="00C5624E" w:rsidRDefault="00C5624E" w:rsidP="00C5624E">
            <w:pPr>
              <w:widowControl w:val="0"/>
              <w:autoSpaceDE w:val="0"/>
              <w:autoSpaceDN w:val="0"/>
              <w:adjustRightInd w:val="0"/>
              <w:spacing w:line="240" w:lineRule="auto"/>
              <w:jc w:val="center"/>
            </w:pPr>
          </w:p>
        </w:tc>
        <w:tc>
          <w:tcPr>
            <w:tcW w:w="720" w:type="dxa"/>
            <w:tcBorders>
              <w:top w:val="nil"/>
              <w:left w:val="nil"/>
              <w:bottom w:val="nil"/>
              <w:right w:val="nil"/>
            </w:tcBorders>
          </w:tcPr>
          <w:p w14:paraId="7DF6E97A" w14:textId="77777777" w:rsidR="00C5624E" w:rsidRDefault="00C5624E" w:rsidP="00C5624E">
            <w:pPr>
              <w:widowControl w:val="0"/>
              <w:autoSpaceDE w:val="0"/>
              <w:autoSpaceDN w:val="0"/>
              <w:adjustRightInd w:val="0"/>
              <w:spacing w:line="240" w:lineRule="auto"/>
              <w:jc w:val="center"/>
            </w:pPr>
          </w:p>
        </w:tc>
        <w:tc>
          <w:tcPr>
            <w:tcW w:w="990" w:type="dxa"/>
            <w:tcBorders>
              <w:top w:val="nil"/>
              <w:left w:val="nil"/>
              <w:bottom w:val="nil"/>
              <w:right w:val="nil"/>
            </w:tcBorders>
          </w:tcPr>
          <w:p w14:paraId="0467ED87" w14:textId="77777777" w:rsidR="00C5624E" w:rsidRDefault="00C5624E" w:rsidP="00C5624E">
            <w:pPr>
              <w:widowControl w:val="0"/>
              <w:autoSpaceDE w:val="0"/>
              <w:autoSpaceDN w:val="0"/>
              <w:adjustRightInd w:val="0"/>
              <w:spacing w:line="240" w:lineRule="auto"/>
              <w:jc w:val="center"/>
            </w:pPr>
          </w:p>
        </w:tc>
        <w:tc>
          <w:tcPr>
            <w:tcW w:w="720" w:type="dxa"/>
            <w:tcBorders>
              <w:top w:val="nil"/>
              <w:left w:val="nil"/>
              <w:bottom w:val="nil"/>
              <w:right w:val="nil"/>
            </w:tcBorders>
          </w:tcPr>
          <w:p w14:paraId="220FFF6E" w14:textId="77777777" w:rsidR="00C5624E" w:rsidRDefault="00C5624E" w:rsidP="00C5624E">
            <w:pPr>
              <w:widowControl w:val="0"/>
              <w:autoSpaceDE w:val="0"/>
              <w:autoSpaceDN w:val="0"/>
              <w:adjustRightInd w:val="0"/>
              <w:spacing w:line="240" w:lineRule="auto"/>
              <w:jc w:val="center"/>
            </w:pPr>
          </w:p>
        </w:tc>
      </w:tr>
      <w:tr w:rsidR="00C5624E" w14:paraId="4A9B0D84" w14:textId="77777777" w:rsidTr="00484854">
        <w:tc>
          <w:tcPr>
            <w:tcW w:w="2718" w:type="dxa"/>
            <w:tcBorders>
              <w:top w:val="nil"/>
              <w:left w:val="nil"/>
              <w:bottom w:val="nil"/>
              <w:right w:val="nil"/>
            </w:tcBorders>
          </w:tcPr>
          <w:p w14:paraId="197DF91C" w14:textId="77777777" w:rsidR="00C5624E" w:rsidRDefault="00C5624E" w:rsidP="00C5624E">
            <w:pPr>
              <w:widowControl w:val="0"/>
              <w:autoSpaceDE w:val="0"/>
              <w:autoSpaceDN w:val="0"/>
              <w:adjustRightInd w:val="0"/>
              <w:spacing w:line="240" w:lineRule="auto"/>
            </w:pPr>
            <w:r>
              <w:t>Men</w:t>
            </w:r>
          </w:p>
        </w:tc>
        <w:tc>
          <w:tcPr>
            <w:tcW w:w="1080" w:type="dxa"/>
            <w:tcBorders>
              <w:top w:val="nil"/>
              <w:left w:val="nil"/>
              <w:bottom w:val="nil"/>
              <w:right w:val="nil"/>
            </w:tcBorders>
          </w:tcPr>
          <w:p w14:paraId="10CA734D" w14:textId="77777777" w:rsidR="00C5624E" w:rsidRDefault="00C5624E" w:rsidP="00C5624E">
            <w:pPr>
              <w:widowControl w:val="0"/>
              <w:tabs>
                <w:tab w:val="decimal" w:pos="251"/>
              </w:tabs>
              <w:autoSpaceDE w:val="0"/>
              <w:autoSpaceDN w:val="0"/>
              <w:adjustRightInd w:val="0"/>
              <w:spacing w:line="240" w:lineRule="auto"/>
            </w:pPr>
            <w:r>
              <w:t>0.49</w:t>
            </w:r>
            <w:r>
              <w:rPr>
                <w:vertAlign w:val="superscript"/>
              </w:rPr>
              <w:t>***</w:t>
            </w:r>
          </w:p>
        </w:tc>
        <w:tc>
          <w:tcPr>
            <w:tcW w:w="720" w:type="dxa"/>
            <w:tcBorders>
              <w:top w:val="nil"/>
              <w:left w:val="nil"/>
              <w:bottom w:val="nil"/>
              <w:right w:val="nil"/>
            </w:tcBorders>
          </w:tcPr>
          <w:p w14:paraId="41B6196E" w14:textId="77777777" w:rsidR="00C5624E" w:rsidRDefault="00C5624E" w:rsidP="00C5624E">
            <w:pPr>
              <w:widowControl w:val="0"/>
              <w:autoSpaceDE w:val="0"/>
              <w:autoSpaceDN w:val="0"/>
              <w:adjustRightInd w:val="0"/>
              <w:spacing w:line="240" w:lineRule="auto"/>
            </w:pPr>
            <w:r>
              <w:t>(.10)</w:t>
            </w:r>
          </w:p>
        </w:tc>
        <w:tc>
          <w:tcPr>
            <w:tcW w:w="1080" w:type="dxa"/>
            <w:tcBorders>
              <w:top w:val="nil"/>
              <w:left w:val="nil"/>
              <w:bottom w:val="nil"/>
              <w:right w:val="nil"/>
            </w:tcBorders>
          </w:tcPr>
          <w:p w14:paraId="01FA5D3E" w14:textId="77777777" w:rsidR="00C5624E" w:rsidRDefault="00C5624E" w:rsidP="00C5624E">
            <w:pPr>
              <w:widowControl w:val="0"/>
              <w:tabs>
                <w:tab w:val="decimal" w:pos="254"/>
              </w:tabs>
              <w:autoSpaceDE w:val="0"/>
              <w:autoSpaceDN w:val="0"/>
              <w:adjustRightInd w:val="0"/>
              <w:spacing w:line="240" w:lineRule="auto"/>
            </w:pPr>
            <w:r>
              <w:t>0.59</w:t>
            </w:r>
            <w:r>
              <w:rPr>
                <w:vertAlign w:val="superscript"/>
              </w:rPr>
              <w:t>***</w:t>
            </w:r>
          </w:p>
        </w:tc>
        <w:tc>
          <w:tcPr>
            <w:tcW w:w="720" w:type="dxa"/>
            <w:tcBorders>
              <w:top w:val="nil"/>
              <w:left w:val="nil"/>
              <w:bottom w:val="nil"/>
              <w:right w:val="nil"/>
            </w:tcBorders>
          </w:tcPr>
          <w:p w14:paraId="7CD7C38D" w14:textId="77777777" w:rsidR="00C5624E" w:rsidRDefault="00C5624E" w:rsidP="00C5624E">
            <w:pPr>
              <w:widowControl w:val="0"/>
              <w:autoSpaceDE w:val="0"/>
              <w:autoSpaceDN w:val="0"/>
              <w:adjustRightInd w:val="0"/>
              <w:spacing w:line="240" w:lineRule="auto"/>
            </w:pPr>
            <w:r>
              <w:t>(.11)</w:t>
            </w:r>
          </w:p>
        </w:tc>
        <w:tc>
          <w:tcPr>
            <w:tcW w:w="990" w:type="dxa"/>
            <w:tcBorders>
              <w:top w:val="nil"/>
              <w:left w:val="nil"/>
              <w:bottom w:val="nil"/>
              <w:right w:val="nil"/>
            </w:tcBorders>
          </w:tcPr>
          <w:p w14:paraId="7C75E29F" w14:textId="77777777" w:rsidR="00C5624E" w:rsidRDefault="00C5624E" w:rsidP="00C5624E">
            <w:pPr>
              <w:widowControl w:val="0"/>
              <w:tabs>
                <w:tab w:val="decimal" w:pos="257"/>
              </w:tabs>
              <w:autoSpaceDE w:val="0"/>
              <w:autoSpaceDN w:val="0"/>
              <w:adjustRightInd w:val="0"/>
              <w:spacing w:line="240" w:lineRule="auto"/>
            </w:pPr>
            <w:r>
              <w:t>0.50</w:t>
            </w:r>
            <w:r>
              <w:rPr>
                <w:vertAlign w:val="superscript"/>
              </w:rPr>
              <w:t>***</w:t>
            </w:r>
          </w:p>
        </w:tc>
        <w:tc>
          <w:tcPr>
            <w:tcW w:w="720" w:type="dxa"/>
            <w:tcBorders>
              <w:top w:val="nil"/>
              <w:left w:val="nil"/>
              <w:bottom w:val="nil"/>
              <w:right w:val="nil"/>
            </w:tcBorders>
          </w:tcPr>
          <w:p w14:paraId="5183DBFB" w14:textId="77777777" w:rsidR="00C5624E" w:rsidRDefault="00C5624E" w:rsidP="00C5624E">
            <w:pPr>
              <w:widowControl w:val="0"/>
              <w:autoSpaceDE w:val="0"/>
              <w:autoSpaceDN w:val="0"/>
              <w:adjustRightInd w:val="0"/>
              <w:spacing w:line="240" w:lineRule="auto"/>
            </w:pPr>
            <w:r>
              <w:t>(.13)</w:t>
            </w:r>
          </w:p>
        </w:tc>
      </w:tr>
      <w:tr w:rsidR="00C5624E" w14:paraId="004AB230" w14:textId="77777777" w:rsidTr="00484854">
        <w:tc>
          <w:tcPr>
            <w:tcW w:w="2718" w:type="dxa"/>
            <w:tcBorders>
              <w:top w:val="nil"/>
              <w:left w:val="nil"/>
              <w:bottom w:val="nil"/>
              <w:right w:val="nil"/>
            </w:tcBorders>
          </w:tcPr>
          <w:p w14:paraId="396258EB" w14:textId="77777777" w:rsidR="00C5624E" w:rsidRDefault="00C5624E" w:rsidP="00C5624E">
            <w:pPr>
              <w:widowControl w:val="0"/>
              <w:autoSpaceDE w:val="0"/>
              <w:autoSpaceDN w:val="0"/>
              <w:adjustRightInd w:val="0"/>
              <w:spacing w:line="240" w:lineRule="auto"/>
            </w:pPr>
            <w:r>
              <w:t>Patriarchal Family</w:t>
            </w:r>
          </w:p>
        </w:tc>
        <w:tc>
          <w:tcPr>
            <w:tcW w:w="1080" w:type="dxa"/>
            <w:tcBorders>
              <w:top w:val="nil"/>
              <w:left w:val="nil"/>
              <w:bottom w:val="nil"/>
              <w:right w:val="nil"/>
            </w:tcBorders>
          </w:tcPr>
          <w:p w14:paraId="0CFA12A8" w14:textId="77777777" w:rsidR="00C5624E" w:rsidRDefault="00C5624E" w:rsidP="00C5624E">
            <w:pPr>
              <w:widowControl w:val="0"/>
              <w:tabs>
                <w:tab w:val="decimal" w:pos="251"/>
              </w:tabs>
              <w:autoSpaceDE w:val="0"/>
              <w:autoSpaceDN w:val="0"/>
              <w:adjustRightInd w:val="0"/>
              <w:spacing w:line="240" w:lineRule="auto"/>
            </w:pPr>
            <w:r>
              <w:t>-0.09</w:t>
            </w:r>
          </w:p>
        </w:tc>
        <w:tc>
          <w:tcPr>
            <w:tcW w:w="720" w:type="dxa"/>
            <w:tcBorders>
              <w:top w:val="nil"/>
              <w:left w:val="nil"/>
              <w:bottom w:val="nil"/>
              <w:right w:val="nil"/>
            </w:tcBorders>
          </w:tcPr>
          <w:p w14:paraId="70AA5DFE" w14:textId="77777777" w:rsidR="00C5624E" w:rsidRDefault="00C5624E" w:rsidP="00C5624E">
            <w:pPr>
              <w:widowControl w:val="0"/>
              <w:autoSpaceDE w:val="0"/>
              <w:autoSpaceDN w:val="0"/>
              <w:adjustRightInd w:val="0"/>
              <w:spacing w:line="240" w:lineRule="auto"/>
            </w:pPr>
            <w:r>
              <w:t>(.11)</w:t>
            </w:r>
          </w:p>
        </w:tc>
        <w:tc>
          <w:tcPr>
            <w:tcW w:w="1080" w:type="dxa"/>
            <w:tcBorders>
              <w:top w:val="nil"/>
              <w:left w:val="nil"/>
              <w:bottom w:val="nil"/>
              <w:right w:val="nil"/>
            </w:tcBorders>
          </w:tcPr>
          <w:p w14:paraId="52E4C47F" w14:textId="77777777" w:rsidR="00C5624E" w:rsidRDefault="00C5624E" w:rsidP="00C5624E">
            <w:pPr>
              <w:widowControl w:val="0"/>
              <w:tabs>
                <w:tab w:val="decimal" w:pos="254"/>
              </w:tabs>
              <w:autoSpaceDE w:val="0"/>
              <w:autoSpaceDN w:val="0"/>
              <w:adjustRightInd w:val="0"/>
              <w:spacing w:line="240" w:lineRule="auto"/>
            </w:pPr>
            <w:r>
              <w:t>0.15</w:t>
            </w:r>
          </w:p>
        </w:tc>
        <w:tc>
          <w:tcPr>
            <w:tcW w:w="720" w:type="dxa"/>
            <w:tcBorders>
              <w:top w:val="nil"/>
              <w:left w:val="nil"/>
              <w:bottom w:val="nil"/>
              <w:right w:val="nil"/>
            </w:tcBorders>
          </w:tcPr>
          <w:p w14:paraId="2D531348" w14:textId="77777777" w:rsidR="00C5624E" w:rsidRDefault="00C5624E" w:rsidP="00C5624E">
            <w:pPr>
              <w:widowControl w:val="0"/>
              <w:autoSpaceDE w:val="0"/>
              <w:autoSpaceDN w:val="0"/>
              <w:adjustRightInd w:val="0"/>
              <w:spacing w:line="240" w:lineRule="auto"/>
            </w:pPr>
            <w:r>
              <w:t>(.16)</w:t>
            </w:r>
          </w:p>
        </w:tc>
        <w:tc>
          <w:tcPr>
            <w:tcW w:w="990" w:type="dxa"/>
            <w:tcBorders>
              <w:top w:val="nil"/>
              <w:left w:val="nil"/>
              <w:bottom w:val="nil"/>
              <w:right w:val="nil"/>
            </w:tcBorders>
          </w:tcPr>
          <w:p w14:paraId="67176E25" w14:textId="77777777" w:rsidR="00C5624E" w:rsidRDefault="00C5624E" w:rsidP="00C5624E">
            <w:pPr>
              <w:widowControl w:val="0"/>
              <w:tabs>
                <w:tab w:val="decimal" w:pos="257"/>
              </w:tabs>
              <w:autoSpaceDE w:val="0"/>
              <w:autoSpaceDN w:val="0"/>
              <w:adjustRightInd w:val="0"/>
              <w:spacing w:line="240" w:lineRule="auto"/>
            </w:pPr>
            <w:r>
              <w:t>-0.09</w:t>
            </w:r>
          </w:p>
        </w:tc>
        <w:tc>
          <w:tcPr>
            <w:tcW w:w="720" w:type="dxa"/>
            <w:tcBorders>
              <w:top w:val="nil"/>
              <w:left w:val="nil"/>
              <w:bottom w:val="nil"/>
              <w:right w:val="nil"/>
            </w:tcBorders>
          </w:tcPr>
          <w:p w14:paraId="08E97C1A" w14:textId="77777777" w:rsidR="00C5624E" w:rsidRDefault="00C5624E" w:rsidP="00C5624E">
            <w:pPr>
              <w:widowControl w:val="0"/>
              <w:autoSpaceDE w:val="0"/>
              <w:autoSpaceDN w:val="0"/>
              <w:adjustRightInd w:val="0"/>
              <w:spacing w:line="240" w:lineRule="auto"/>
            </w:pPr>
            <w:r>
              <w:t>(.11)</w:t>
            </w:r>
          </w:p>
        </w:tc>
      </w:tr>
      <w:tr w:rsidR="00C5624E" w14:paraId="271CAD1A" w14:textId="77777777" w:rsidTr="00484854">
        <w:tc>
          <w:tcPr>
            <w:tcW w:w="2718" w:type="dxa"/>
            <w:tcBorders>
              <w:top w:val="nil"/>
              <w:left w:val="nil"/>
              <w:bottom w:val="nil"/>
              <w:right w:val="nil"/>
            </w:tcBorders>
          </w:tcPr>
          <w:p w14:paraId="4CA28C84" w14:textId="77777777" w:rsidR="00C5624E" w:rsidRDefault="00C5624E" w:rsidP="00C5624E">
            <w:pPr>
              <w:widowControl w:val="0"/>
              <w:autoSpaceDE w:val="0"/>
              <w:autoSpaceDN w:val="0"/>
              <w:adjustRightInd w:val="0"/>
              <w:spacing w:line="240" w:lineRule="auto"/>
            </w:pPr>
            <w:r>
              <w:t>Patriarchal Norms</w:t>
            </w:r>
          </w:p>
        </w:tc>
        <w:tc>
          <w:tcPr>
            <w:tcW w:w="1080" w:type="dxa"/>
            <w:tcBorders>
              <w:top w:val="nil"/>
              <w:left w:val="nil"/>
              <w:bottom w:val="nil"/>
              <w:right w:val="nil"/>
            </w:tcBorders>
          </w:tcPr>
          <w:p w14:paraId="12F57CD3" w14:textId="77777777" w:rsidR="00C5624E" w:rsidRDefault="00C5624E" w:rsidP="00C5624E">
            <w:pPr>
              <w:widowControl w:val="0"/>
              <w:tabs>
                <w:tab w:val="decimal" w:pos="251"/>
              </w:tabs>
              <w:autoSpaceDE w:val="0"/>
              <w:autoSpaceDN w:val="0"/>
              <w:adjustRightInd w:val="0"/>
              <w:spacing w:line="240" w:lineRule="auto"/>
            </w:pPr>
            <w:r>
              <w:t>-0.07</w:t>
            </w:r>
          </w:p>
        </w:tc>
        <w:tc>
          <w:tcPr>
            <w:tcW w:w="720" w:type="dxa"/>
            <w:tcBorders>
              <w:top w:val="nil"/>
              <w:left w:val="nil"/>
              <w:bottom w:val="nil"/>
              <w:right w:val="nil"/>
            </w:tcBorders>
          </w:tcPr>
          <w:p w14:paraId="6EC2567C" w14:textId="77777777" w:rsidR="00C5624E" w:rsidRDefault="00C5624E" w:rsidP="00C5624E">
            <w:pPr>
              <w:widowControl w:val="0"/>
              <w:autoSpaceDE w:val="0"/>
              <w:autoSpaceDN w:val="0"/>
              <w:adjustRightInd w:val="0"/>
              <w:spacing w:line="240" w:lineRule="auto"/>
            </w:pPr>
            <w:r>
              <w:t>(.10)</w:t>
            </w:r>
          </w:p>
        </w:tc>
        <w:tc>
          <w:tcPr>
            <w:tcW w:w="1080" w:type="dxa"/>
            <w:tcBorders>
              <w:top w:val="nil"/>
              <w:left w:val="nil"/>
              <w:bottom w:val="nil"/>
              <w:right w:val="nil"/>
            </w:tcBorders>
          </w:tcPr>
          <w:p w14:paraId="307CB6DA" w14:textId="77777777" w:rsidR="00C5624E" w:rsidRDefault="00C5624E" w:rsidP="00C5624E">
            <w:pPr>
              <w:widowControl w:val="0"/>
              <w:tabs>
                <w:tab w:val="decimal" w:pos="254"/>
              </w:tabs>
              <w:autoSpaceDE w:val="0"/>
              <w:autoSpaceDN w:val="0"/>
              <w:adjustRightInd w:val="0"/>
              <w:spacing w:line="240" w:lineRule="auto"/>
            </w:pPr>
            <w:r>
              <w:t>-0.07</w:t>
            </w:r>
          </w:p>
        </w:tc>
        <w:tc>
          <w:tcPr>
            <w:tcW w:w="720" w:type="dxa"/>
            <w:tcBorders>
              <w:top w:val="nil"/>
              <w:left w:val="nil"/>
              <w:bottom w:val="nil"/>
              <w:right w:val="nil"/>
            </w:tcBorders>
          </w:tcPr>
          <w:p w14:paraId="3B7FA0F0" w14:textId="77777777" w:rsidR="00C5624E" w:rsidRDefault="00C5624E" w:rsidP="00C5624E">
            <w:pPr>
              <w:widowControl w:val="0"/>
              <w:autoSpaceDE w:val="0"/>
              <w:autoSpaceDN w:val="0"/>
              <w:adjustRightInd w:val="0"/>
              <w:spacing w:line="240" w:lineRule="auto"/>
            </w:pPr>
            <w:r>
              <w:t>(.10)</w:t>
            </w:r>
          </w:p>
        </w:tc>
        <w:tc>
          <w:tcPr>
            <w:tcW w:w="990" w:type="dxa"/>
            <w:tcBorders>
              <w:top w:val="nil"/>
              <w:left w:val="nil"/>
              <w:bottom w:val="nil"/>
              <w:right w:val="nil"/>
            </w:tcBorders>
          </w:tcPr>
          <w:p w14:paraId="2A4DE590" w14:textId="77777777" w:rsidR="00C5624E" w:rsidRDefault="00C5624E" w:rsidP="00C5624E">
            <w:pPr>
              <w:widowControl w:val="0"/>
              <w:tabs>
                <w:tab w:val="decimal" w:pos="257"/>
              </w:tabs>
              <w:autoSpaceDE w:val="0"/>
              <w:autoSpaceDN w:val="0"/>
              <w:adjustRightInd w:val="0"/>
              <w:spacing w:line="240" w:lineRule="auto"/>
            </w:pPr>
            <w:r>
              <w:t>-0.05</w:t>
            </w:r>
          </w:p>
        </w:tc>
        <w:tc>
          <w:tcPr>
            <w:tcW w:w="720" w:type="dxa"/>
            <w:tcBorders>
              <w:top w:val="nil"/>
              <w:left w:val="nil"/>
              <w:bottom w:val="nil"/>
              <w:right w:val="nil"/>
            </w:tcBorders>
          </w:tcPr>
          <w:p w14:paraId="096C9F01" w14:textId="77777777" w:rsidR="00C5624E" w:rsidRDefault="00C5624E" w:rsidP="00C5624E">
            <w:pPr>
              <w:widowControl w:val="0"/>
              <w:autoSpaceDE w:val="0"/>
              <w:autoSpaceDN w:val="0"/>
              <w:adjustRightInd w:val="0"/>
              <w:spacing w:line="240" w:lineRule="auto"/>
            </w:pPr>
            <w:r>
              <w:t>(.16)</w:t>
            </w:r>
          </w:p>
        </w:tc>
      </w:tr>
      <w:tr w:rsidR="00C5624E" w14:paraId="61DC99C4" w14:textId="77777777" w:rsidTr="00484854">
        <w:tc>
          <w:tcPr>
            <w:tcW w:w="2718" w:type="dxa"/>
            <w:tcBorders>
              <w:top w:val="nil"/>
              <w:left w:val="nil"/>
              <w:bottom w:val="nil"/>
              <w:right w:val="nil"/>
            </w:tcBorders>
          </w:tcPr>
          <w:p w14:paraId="122979B7" w14:textId="77777777" w:rsidR="00C5624E" w:rsidRPr="001114A0" w:rsidRDefault="00C5624E" w:rsidP="00C5624E">
            <w:pPr>
              <w:widowControl w:val="0"/>
              <w:autoSpaceDE w:val="0"/>
              <w:autoSpaceDN w:val="0"/>
              <w:adjustRightInd w:val="0"/>
              <w:spacing w:line="240" w:lineRule="auto"/>
              <w:rPr>
                <w:b/>
                <w:bCs/>
                <w:u w:val="single"/>
              </w:rPr>
            </w:pPr>
            <w:r>
              <w:rPr>
                <w:b/>
                <w:bCs/>
                <w:u w:val="single"/>
              </w:rPr>
              <w:t>Interactions</w:t>
            </w:r>
          </w:p>
        </w:tc>
        <w:tc>
          <w:tcPr>
            <w:tcW w:w="1080" w:type="dxa"/>
            <w:tcBorders>
              <w:top w:val="nil"/>
              <w:left w:val="nil"/>
              <w:bottom w:val="nil"/>
              <w:right w:val="nil"/>
            </w:tcBorders>
          </w:tcPr>
          <w:p w14:paraId="5C2F2EF4" w14:textId="77777777" w:rsidR="00C5624E" w:rsidRDefault="00C5624E" w:rsidP="00C5624E">
            <w:pPr>
              <w:widowControl w:val="0"/>
              <w:tabs>
                <w:tab w:val="decimal" w:pos="251"/>
              </w:tabs>
              <w:autoSpaceDE w:val="0"/>
              <w:autoSpaceDN w:val="0"/>
              <w:adjustRightInd w:val="0"/>
              <w:spacing w:line="240" w:lineRule="auto"/>
            </w:pPr>
          </w:p>
        </w:tc>
        <w:tc>
          <w:tcPr>
            <w:tcW w:w="720" w:type="dxa"/>
            <w:tcBorders>
              <w:top w:val="nil"/>
              <w:left w:val="nil"/>
              <w:bottom w:val="nil"/>
              <w:right w:val="nil"/>
            </w:tcBorders>
          </w:tcPr>
          <w:p w14:paraId="19293FCD"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5E816A4C" w14:textId="77777777" w:rsidR="00C5624E" w:rsidRDefault="00C5624E" w:rsidP="00C5624E">
            <w:pPr>
              <w:widowControl w:val="0"/>
              <w:tabs>
                <w:tab w:val="decimal" w:pos="254"/>
              </w:tabs>
              <w:autoSpaceDE w:val="0"/>
              <w:autoSpaceDN w:val="0"/>
              <w:adjustRightInd w:val="0"/>
              <w:spacing w:line="240" w:lineRule="auto"/>
            </w:pPr>
          </w:p>
        </w:tc>
        <w:tc>
          <w:tcPr>
            <w:tcW w:w="720" w:type="dxa"/>
            <w:tcBorders>
              <w:top w:val="nil"/>
              <w:left w:val="nil"/>
              <w:bottom w:val="nil"/>
              <w:right w:val="nil"/>
            </w:tcBorders>
          </w:tcPr>
          <w:p w14:paraId="25D7C2BF" w14:textId="77777777" w:rsidR="00C5624E" w:rsidRDefault="00C5624E" w:rsidP="00C5624E">
            <w:pPr>
              <w:widowControl w:val="0"/>
              <w:autoSpaceDE w:val="0"/>
              <w:autoSpaceDN w:val="0"/>
              <w:adjustRightInd w:val="0"/>
              <w:spacing w:line="240" w:lineRule="auto"/>
            </w:pPr>
          </w:p>
        </w:tc>
        <w:tc>
          <w:tcPr>
            <w:tcW w:w="990" w:type="dxa"/>
            <w:tcBorders>
              <w:top w:val="nil"/>
              <w:left w:val="nil"/>
              <w:bottom w:val="nil"/>
              <w:right w:val="nil"/>
            </w:tcBorders>
          </w:tcPr>
          <w:p w14:paraId="6156EAC2" w14:textId="77777777" w:rsidR="00C5624E" w:rsidRDefault="00C5624E" w:rsidP="00C5624E">
            <w:pPr>
              <w:widowControl w:val="0"/>
              <w:tabs>
                <w:tab w:val="decimal" w:pos="257"/>
              </w:tabs>
              <w:autoSpaceDE w:val="0"/>
              <w:autoSpaceDN w:val="0"/>
              <w:adjustRightInd w:val="0"/>
              <w:spacing w:line="240" w:lineRule="auto"/>
            </w:pPr>
          </w:p>
        </w:tc>
        <w:tc>
          <w:tcPr>
            <w:tcW w:w="720" w:type="dxa"/>
            <w:tcBorders>
              <w:top w:val="nil"/>
              <w:left w:val="nil"/>
              <w:bottom w:val="nil"/>
              <w:right w:val="nil"/>
            </w:tcBorders>
          </w:tcPr>
          <w:p w14:paraId="5E78F85B" w14:textId="77777777" w:rsidR="00C5624E" w:rsidRDefault="00C5624E" w:rsidP="00C5624E">
            <w:pPr>
              <w:widowControl w:val="0"/>
              <w:autoSpaceDE w:val="0"/>
              <w:autoSpaceDN w:val="0"/>
              <w:adjustRightInd w:val="0"/>
              <w:spacing w:line="240" w:lineRule="auto"/>
            </w:pPr>
          </w:p>
        </w:tc>
      </w:tr>
      <w:tr w:rsidR="00C5624E" w14:paraId="64F891AC" w14:textId="77777777" w:rsidTr="00484854">
        <w:tc>
          <w:tcPr>
            <w:tcW w:w="2718" w:type="dxa"/>
            <w:tcBorders>
              <w:top w:val="nil"/>
              <w:left w:val="nil"/>
              <w:bottom w:val="nil"/>
              <w:right w:val="nil"/>
            </w:tcBorders>
          </w:tcPr>
          <w:p w14:paraId="6703E4D1" w14:textId="77777777" w:rsidR="00C5624E" w:rsidRPr="001114A0" w:rsidRDefault="00C5624E" w:rsidP="00C5624E">
            <w:pPr>
              <w:widowControl w:val="0"/>
              <w:autoSpaceDE w:val="0"/>
              <w:autoSpaceDN w:val="0"/>
              <w:adjustRightInd w:val="0"/>
              <w:spacing w:line="240" w:lineRule="auto"/>
            </w:pPr>
            <w:r>
              <w:t>Men x Patriarchal Family</w:t>
            </w:r>
          </w:p>
        </w:tc>
        <w:tc>
          <w:tcPr>
            <w:tcW w:w="1080" w:type="dxa"/>
            <w:tcBorders>
              <w:top w:val="nil"/>
              <w:left w:val="nil"/>
              <w:bottom w:val="nil"/>
              <w:right w:val="nil"/>
            </w:tcBorders>
          </w:tcPr>
          <w:p w14:paraId="1B6E265B" w14:textId="77777777" w:rsidR="00C5624E" w:rsidRDefault="00C5624E" w:rsidP="00C5624E">
            <w:pPr>
              <w:widowControl w:val="0"/>
              <w:tabs>
                <w:tab w:val="decimal" w:pos="251"/>
              </w:tabs>
              <w:autoSpaceDE w:val="0"/>
              <w:autoSpaceDN w:val="0"/>
              <w:adjustRightInd w:val="0"/>
              <w:spacing w:line="240" w:lineRule="auto"/>
            </w:pPr>
          </w:p>
        </w:tc>
        <w:tc>
          <w:tcPr>
            <w:tcW w:w="720" w:type="dxa"/>
            <w:tcBorders>
              <w:top w:val="nil"/>
              <w:left w:val="nil"/>
              <w:bottom w:val="nil"/>
              <w:right w:val="nil"/>
            </w:tcBorders>
          </w:tcPr>
          <w:p w14:paraId="6BC23145"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13E91776" w14:textId="77777777" w:rsidR="00C5624E" w:rsidRDefault="00C5624E" w:rsidP="00C5624E">
            <w:pPr>
              <w:widowControl w:val="0"/>
              <w:tabs>
                <w:tab w:val="decimal" w:pos="254"/>
              </w:tabs>
              <w:autoSpaceDE w:val="0"/>
              <w:autoSpaceDN w:val="0"/>
              <w:adjustRightInd w:val="0"/>
              <w:spacing w:line="240" w:lineRule="auto"/>
            </w:pPr>
            <w:r>
              <w:t>-0.42</w:t>
            </w:r>
          </w:p>
        </w:tc>
        <w:tc>
          <w:tcPr>
            <w:tcW w:w="720" w:type="dxa"/>
            <w:tcBorders>
              <w:top w:val="nil"/>
              <w:left w:val="nil"/>
              <w:bottom w:val="nil"/>
              <w:right w:val="nil"/>
            </w:tcBorders>
          </w:tcPr>
          <w:p w14:paraId="7035B2DA" w14:textId="77777777" w:rsidR="00C5624E" w:rsidRDefault="00C5624E" w:rsidP="00C5624E">
            <w:pPr>
              <w:widowControl w:val="0"/>
              <w:autoSpaceDE w:val="0"/>
              <w:autoSpaceDN w:val="0"/>
              <w:adjustRightInd w:val="0"/>
              <w:spacing w:line="240" w:lineRule="auto"/>
            </w:pPr>
            <w:r>
              <w:t>(.22)</w:t>
            </w:r>
          </w:p>
        </w:tc>
        <w:tc>
          <w:tcPr>
            <w:tcW w:w="990" w:type="dxa"/>
            <w:tcBorders>
              <w:top w:val="nil"/>
              <w:left w:val="nil"/>
              <w:bottom w:val="nil"/>
              <w:right w:val="nil"/>
            </w:tcBorders>
          </w:tcPr>
          <w:p w14:paraId="571B3CBF" w14:textId="77777777" w:rsidR="00C5624E" w:rsidRDefault="00C5624E" w:rsidP="00C5624E">
            <w:pPr>
              <w:widowControl w:val="0"/>
              <w:tabs>
                <w:tab w:val="decimal" w:pos="257"/>
              </w:tabs>
              <w:autoSpaceDE w:val="0"/>
              <w:autoSpaceDN w:val="0"/>
              <w:adjustRightInd w:val="0"/>
              <w:spacing w:line="240" w:lineRule="auto"/>
            </w:pPr>
          </w:p>
        </w:tc>
        <w:tc>
          <w:tcPr>
            <w:tcW w:w="720" w:type="dxa"/>
            <w:tcBorders>
              <w:top w:val="nil"/>
              <w:left w:val="nil"/>
              <w:bottom w:val="nil"/>
              <w:right w:val="nil"/>
            </w:tcBorders>
          </w:tcPr>
          <w:p w14:paraId="4AF6466D" w14:textId="77777777" w:rsidR="00C5624E" w:rsidRDefault="00C5624E" w:rsidP="00C5624E">
            <w:pPr>
              <w:widowControl w:val="0"/>
              <w:autoSpaceDE w:val="0"/>
              <w:autoSpaceDN w:val="0"/>
              <w:adjustRightInd w:val="0"/>
              <w:spacing w:line="240" w:lineRule="auto"/>
            </w:pPr>
          </w:p>
        </w:tc>
      </w:tr>
      <w:tr w:rsidR="00C5624E" w14:paraId="7C7CA35C" w14:textId="77777777" w:rsidTr="00484854">
        <w:tc>
          <w:tcPr>
            <w:tcW w:w="2718" w:type="dxa"/>
            <w:tcBorders>
              <w:top w:val="nil"/>
              <w:left w:val="nil"/>
              <w:bottom w:val="nil"/>
              <w:right w:val="nil"/>
            </w:tcBorders>
          </w:tcPr>
          <w:p w14:paraId="2EF957AA" w14:textId="77777777" w:rsidR="00C5624E" w:rsidRDefault="00C5624E" w:rsidP="00C5624E">
            <w:pPr>
              <w:widowControl w:val="0"/>
              <w:autoSpaceDE w:val="0"/>
              <w:autoSpaceDN w:val="0"/>
              <w:adjustRightInd w:val="0"/>
              <w:spacing w:line="240" w:lineRule="auto"/>
            </w:pPr>
            <w:r>
              <w:t>Men x Patriarchal Norms</w:t>
            </w:r>
          </w:p>
        </w:tc>
        <w:tc>
          <w:tcPr>
            <w:tcW w:w="1080" w:type="dxa"/>
            <w:tcBorders>
              <w:top w:val="nil"/>
              <w:left w:val="nil"/>
              <w:bottom w:val="nil"/>
              <w:right w:val="nil"/>
            </w:tcBorders>
          </w:tcPr>
          <w:p w14:paraId="2EA4E8FB" w14:textId="77777777" w:rsidR="00C5624E" w:rsidRDefault="00C5624E" w:rsidP="00C5624E">
            <w:pPr>
              <w:widowControl w:val="0"/>
              <w:tabs>
                <w:tab w:val="decimal" w:pos="251"/>
              </w:tabs>
              <w:autoSpaceDE w:val="0"/>
              <w:autoSpaceDN w:val="0"/>
              <w:adjustRightInd w:val="0"/>
              <w:spacing w:line="240" w:lineRule="auto"/>
            </w:pPr>
          </w:p>
        </w:tc>
        <w:tc>
          <w:tcPr>
            <w:tcW w:w="720" w:type="dxa"/>
            <w:tcBorders>
              <w:top w:val="nil"/>
              <w:left w:val="nil"/>
              <w:bottom w:val="nil"/>
              <w:right w:val="nil"/>
            </w:tcBorders>
          </w:tcPr>
          <w:p w14:paraId="078A9EF5"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6C00D233" w14:textId="77777777" w:rsidR="00C5624E" w:rsidRDefault="00C5624E" w:rsidP="00C5624E">
            <w:pPr>
              <w:widowControl w:val="0"/>
              <w:tabs>
                <w:tab w:val="decimal" w:pos="254"/>
              </w:tabs>
              <w:autoSpaceDE w:val="0"/>
              <w:autoSpaceDN w:val="0"/>
              <w:adjustRightInd w:val="0"/>
              <w:spacing w:line="240" w:lineRule="auto"/>
            </w:pPr>
          </w:p>
        </w:tc>
        <w:tc>
          <w:tcPr>
            <w:tcW w:w="720" w:type="dxa"/>
            <w:tcBorders>
              <w:top w:val="nil"/>
              <w:left w:val="nil"/>
              <w:bottom w:val="nil"/>
              <w:right w:val="nil"/>
            </w:tcBorders>
          </w:tcPr>
          <w:p w14:paraId="768CED61" w14:textId="77777777" w:rsidR="00C5624E" w:rsidRDefault="00C5624E" w:rsidP="00C5624E">
            <w:pPr>
              <w:widowControl w:val="0"/>
              <w:autoSpaceDE w:val="0"/>
              <w:autoSpaceDN w:val="0"/>
              <w:adjustRightInd w:val="0"/>
              <w:spacing w:line="240" w:lineRule="auto"/>
            </w:pPr>
          </w:p>
        </w:tc>
        <w:tc>
          <w:tcPr>
            <w:tcW w:w="990" w:type="dxa"/>
            <w:tcBorders>
              <w:top w:val="nil"/>
              <w:left w:val="nil"/>
              <w:bottom w:val="nil"/>
              <w:right w:val="nil"/>
            </w:tcBorders>
          </w:tcPr>
          <w:p w14:paraId="177B9003" w14:textId="77777777" w:rsidR="00C5624E" w:rsidRDefault="00C5624E" w:rsidP="00C5624E">
            <w:pPr>
              <w:widowControl w:val="0"/>
              <w:tabs>
                <w:tab w:val="decimal" w:pos="257"/>
              </w:tabs>
              <w:autoSpaceDE w:val="0"/>
              <w:autoSpaceDN w:val="0"/>
              <w:adjustRightInd w:val="0"/>
              <w:spacing w:line="240" w:lineRule="auto"/>
            </w:pPr>
            <w:r>
              <w:t>-0.03</w:t>
            </w:r>
          </w:p>
        </w:tc>
        <w:tc>
          <w:tcPr>
            <w:tcW w:w="720" w:type="dxa"/>
            <w:tcBorders>
              <w:top w:val="nil"/>
              <w:left w:val="nil"/>
              <w:bottom w:val="nil"/>
              <w:right w:val="nil"/>
            </w:tcBorders>
          </w:tcPr>
          <w:p w14:paraId="7A507A9C" w14:textId="77777777" w:rsidR="00C5624E" w:rsidRDefault="00C5624E" w:rsidP="00C5624E">
            <w:pPr>
              <w:widowControl w:val="0"/>
              <w:autoSpaceDE w:val="0"/>
              <w:autoSpaceDN w:val="0"/>
              <w:adjustRightInd w:val="0"/>
              <w:spacing w:line="240" w:lineRule="auto"/>
            </w:pPr>
            <w:r>
              <w:t>(.21)</w:t>
            </w:r>
          </w:p>
        </w:tc>
      </w:tr>
      <w:tr w:rsidR="00C5624E" w14:paraId="0A878382" w14:textId="77777777" w:rsidTr="00484854">
        <w:tc>
          <w:tcPr>
            <w:tcW w:w="2718" w:type="dxa"/>
            <w:tcBorders>
              <w:top w:val="nil"/>
              <w:left w:val="nil"/>
              <w:bottom w:val="nil"/>
              <w:right w:val="nil"/>
            </w:tcBorders>
          </w:tcPr>
          <w:p w14:paraId="549407D1" w14:textId="77777777" w:rsidR="00C5624E" w:rsidRPr="001114A0" w:rsidRDefault="00C5624E" w:rsidP="00C5624E">
            <w:pPr>
              <w:widowControl w:val="0"/>
              <w:autoSpaceDE w:val="0"/>
              <w:autoSpaceDN w:val="0"/>
              <w:adjustRightInd w:val="0"/>
              <w:spacing w:line="240" w:lineRule="auto"/>
              <w:rPr>
                <w:b/>
                <w:bCs/>
                <w:u w:val="single"/>
              </w:rPr>
            </w:pPr>
            <w:r>
              <w:rPr>
                <w:b/>
                <w:bCs/>
                <w:u w:val="single"/>
              </w:rPr>
              <w:t>Controls</w:t>
            </w:r>
          </w:p>
        </w:tc>
        <w:tc>
          <w:tcPr>
            <w:tcW w:w="1080" w:type="dxa"/>
            <w:tcBorders>
              <w:top w:val="nil"/>
              <w:left w:val="nil"/>
              <w:bottom w:val="nil"/>
              <w:right w:val="nil"/>
            </w:tcBorders>
          </w:tcPr>
          <w:p w14:paraId="4DFCBF75" w14:textId="77777777" w:rsidR="00C5624E" w:rsidRDefault="00C5624E" w:rsidP="00C5624E">
            <w:pPr>
              <w:widowControl w:val="0"/>
              <w:tabs>
                <w:tab w:val="decimal" w:pos="251"/>
              </w:tabs>
              <w:autoSpaceDE w:val="0"/>
              <w:autoSpaceDN w:val="0"/>
              <w:adjustRightInd w:val="0"/>
              <w:spacing w:line="240" w:lineRule="auto"/>
            </w:pPr>
          </w:p>
        </w:tc>
        <w:tc>
          <w:tcPr>
            <w:tcW w:w="720" w:type="dxa"/>
            <w:tcBorders>
              <w:top w:val="nil"/>
              <w:left w:val="nil"/>
              <w:bottom w:val="nil"/>
              <w:right w:val="nil"/>
            </w:tcBorders>
          </w:tcPr>
          <w:p w14:paraId="7449BFDF"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4C52BC15" w14:textId="77777777" w:rsidR="00C5624E" w:rsidRDefault="00C5624E" w:rsidP="00C5624E">
            <w:pPr>
              <w:widowControl w:val="0"/>
              <w:tabs>
                <w:tab w:val="decimal" w:pos="254"/>
              </w:tabs>
              <w:autoSpaceDE w:val="0"/>
              <w:autoSpaceDN w:val="0"/>
              <w:adjustRightInd w:val="0"/>
              <w:spacing w:line="240" w:lineRule="auto"/>
            </w:pPr>
          </w:p>
        </w:tc>
        <w:tc>
          <w:tcPr>
            <w:tcW w:w="720" w:type="dxa"/>
            <w:tcBorders>
              <w:top w:val="nil"/>
              <w:left w:val="nil"/>
              <w:bottom w:val="nil"/>
              <w:right w:val="nil"/>
            </w:tcBorders>
          </w:tcPr>
          <w:p w14:paraId="1D064507" w14:textId="77777777" w:rsidR="00C5624E" w:rsidRDefault="00C5624E" w:rsidP="00C5624E">
            <w:pPr>
              <w:widowControl w:val="0"/>
              <w:autoSpaceDE w:val="0"/>
              <w:autoSpaceDN w:val="0"/>
              <w:adjustRightInd w:val="0"/>
              <w:spacing w:line="240" w:lineRule="auto"/>
            </w:pPr>
          </w:p>
        </w:tc>
        <w:tc>
          <w:tcPr>
            <w:tcW w:w="990" w:type="dxa"/>
            <w:tcBorders>
              <w:top w:val="nil"/>
              <w:left w:val="nil"/>
              <w:bottom w:val="nil"/>
              <w:right w:val="nil"/>
            </w:tcBorders>
          </w:tcPr>
          <w:p w14:paraId="1492D764" w14:textId="77777777" w:rsidR="00C5624E" w:rsidRDefault="00C5624E" w:rsidP="00C5624E">
            <w:pPr>
              <w:widowControl w:val="0"/>
              <w:tabs>
                <w:tab w:val="decimal" w:pos="257"/>
              </w:tabs>
              <w:autoSpaceDE w:val="0"/>
              <w:autoSpaceDN w:val="0"/>
              <w:adjustRightInd w:val="0"/>
              <w:spacing w:line="240" w:lineRule="auto"/>
            </w:pPr>
          </w:p>
        </w:tc>
        <w:tc>
          <w:tcPr>
            <w:tcW w:w="720" w:type="dxa"/>
            <w:tcBorders>
              <w:top w:val="nil"/>
              <w:left w:val="nil"/>
              <w:bottom w:val="nil"/>
              <w:right w:val="nil"/>
            </w:tcBorders>
          </w:tcPr>
          <w:p w14:paraId="605DD37E" w14:textId="77777777" w:rsidR="00C5624E" w:rsidRDefault="00C5624E" w:rsidP="00C5624E">
            <w:pPr>
              <w:widowControl w:val="0"/>
              <w:autoSpaceDE w:val="0"/>
              <w:autoSpaceDN w:val="0"/>
              <w:adjustRightInd w:val="0"/>
              <w:spacing w:line="240" w:lineRule="auto"/>
            </w:pPr>
          </w:p>
        </w:tc>
      </w:tr>
      <w:tr w:rsidR="00C5624E" w14:paraId="5B475268" w14:textId="77777777" w:rsidTr="00484854">
        <w:tc>
          <w:tcPr>
            <w:tcW w:w="2718" w:type="dxa"/>
            <w:tcBorders>
              <w:top w:val="nil"/>
              <w:left w:val="nil"/>
              <w:bottom w:val="nil"/>
              <w:right w:val="nil"/>
            </w:tcBorders>
          </w:tcPr>
          <w:p w14:paraId="0BCCD9F0" w14:textId="77777777" w:rsidR="00C5624E" w:rsidRPr="00585204" w:rsidRDefault="00C5624E" w:rsidP="00C5624E">
            <w:pPr>
              <w:widowControl w:val="0"/>
              <w:autoSpaceDE w:val="0"/>
              <w:autoSpaceDN w:val="0"/>
              <w:adjustRightInd w:val="0"/>
              <w:spacing w:line="240" w:lineRule="auto"/>
              <w:rPr>
                <w:i/>
                <w:iCs/>
              </w:rPr>
            </w:pPr>
            <w:r w:rsidRPr="00585204">
              <w:rPr>
                <w:i/>
                <w:iCs/>
              </w:rPr>
              <w:t>Mother’s Education</w:t>
            </w:r>
          </w:p>
        </w:tc>
        <w:tc>
          <w:tcPr>
            <w:tcW w:w="1080" w:type="dxa"/>
            <w:tcBorders>
              <w:top w:val="nil"/>
              <w:left w:val="nil"/>
              <w:bottom w:val="nil"/>
              <w:right w:val="nil"/>
            </w:tcBorders>
          </w:tcPr>
          <w:p w14:paraId="4CD17925" w14:textId="77777777" w:rsidR="00C5624E" w:rsidRDefault="00C5624E" w:rsidP="00C5624E">
            <w:pPr>
              <w:widowControl w:val="0"/>
              <w:tabs>
                <w:tab w:val="decimal" w:pos="251"/>
              </w:tabs>
              <w:autoSpaceDE w:val="0"/>
              <w:autoSpaceDN w:val="0"/>
              <w:adjustRightInd w:val="0"/>
              <w:spacing w:line="240" w:lineRule="auto"/>
            </w:pPr>
          </w:p>
        </w:tc>
        <w:tc>
          <w:tcPr>
            <w:tcW w:w="720" w:type="dxa"/>
            <w:tcBorders>
              <w:top w:val="nil"/>
              <w:left w:val="nil"/>
              <w:bottom w:val="nil"/>
              <w:right w:val="nil"/>
            </w:tcBorders>
          </w:tcPr>
          <w:p w14:paraId="1B2159AF"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697A4EDC" w14:textId="77777777" w:rsidR="00C5624E" w:rsidRDefault="00C5624E" w:rsidP="00C5624E">
            <w:pPr>
              <w:widowControl w:val="0"/>
              <w:tabs>
                <w:tab w:val="decimal" w:pos="254"/>
              </w:tabs>
              <w:autoSpaceDE w:val="0"/>
              <w:autoSpaceDN w:val="0"/>
              <w:adjustRightInd w:val="0"/>
              <w:spacing w:line="240" w:lineRule="auto"/>
            </w:pPr>
          </w:p>
        </w:tc>
        <w:tc>
          <w:tcPr>
            <w:tcW w:w="720" w:type="dxa"/>
            <w:tcBorders>
              <w:top w:val="nil"/>
              <w:left w:val="nil"/>
              <w:bottom w:val="nil"/>
              <w:right w:val="nil"/>
            </w:tcBorders>
          </w:tcPr>
          <w:p w14:paraId="14304848" w14:textId="77777777" w:rsidR="00C5624E" w:rsidRDefault="00C5624E" w:rsidP="00C5624E">
            <w:pPr>
              <w:widowControl w:val="0"/>
              <w:autoSpaceDE w:val="0"/>
              <w:autoSpaceDN w:val="0"/>
              <w:adjustRightInd w:val="0"/>
              <w:spacing w:line="240" w:lineRule="auto"/>
            </w:pPr>
          </w:p>
        </w:tc>
        <w:tc>
          <w:tcPr>
            <w:tcW w:w="990" w:type="dxa"/>
            <w:tcBorders>
              <w:top w:val="nil"/>
              <w:left w:val="nil"/>
              <w:bottom w:val="nil"/>
              <w:right w:val="nil"/>
            </w:tcBorders>
          </w:tcPr>
          <w:p w14:paraId="1B51BD63" w14:textId="77777777" w:rsidR="00C5624E" w:rsidRDefault="00C5624E" w:rsidP="00C5624E">
            <w:pPr>
              <w:widowControl w:val="0"/>
              <w:tabs>
                <w:tab w:val="decimal" w:pos="257"/>
              </w:tabs>
              <w:autoSpaceDE w:val="0"/>
              <w:autoSpaceDN w:val="0"/>
              <w:adjustRightInd w:val="0"/>
              <w:spacing w:line="240" w:lineRule="auto"/>
            </w:pPr>
          </w:p>
        </w:tc>
        <w:tc>
          <w:tcPr>
            <w:tcW w:w="720" w:type="dxa"/>
            <w:tcBorders>
              <w:top w:val="nil"/>
              <w:left w:val="nil"/>
              <w:bottom w:val="nil"/>
              <w:right w:val="nil"/>
            </w:tcBorders>
          </w:tcPr>
          <w:p w14:paraId="29DB4087" w14:textId="77777777" w:rsidR="00C5624E" w:rsidRDefault="00C5624E" w:rsidP="00C5624E">
            <w:pPr>
              <w:widowControl w:val="0"/>
              <w:autoSpaceDE w:val="0"/>
              <w:autoSpaceDN w:val="0"/>
              <w:adjustRightInd w:val="0"/>
              <w:spacing w:line="240" w:lineRule="auto"/>
            </w:pPr>
          </w:p>
        </w:tc>
      </w:tr>
      <w:tr w:rsidR="00C5624E" w14:paraId="48BC9760" w14:textId="77777777" w:rsidTr="00484854">
        <w:tc>
          <w:tcPr>
            <w:tcW w:w="2718" w:type="dxa"/>
            <w:tcBorders>
              <w:top w:val="nil"/>
              <w:left w:val="nil"/>
              <w:bottom w:val="nil"/>
              <w:right w:val="nil"/>
            </w:tcBorders>
          </w:tcPr>
          <w:p w14:paraId="5A31580A" w14:textId="77777777" w:rsidR="00C5624E" w:rsidRDefault="00C5624E" w:rsidP="00C5624E">
            <w:pPr>
              <w:widowControl w:val="0"/>
              <w:autoSpaceDE w:val="0"/>
              <w:autoSpaceDN w:val="0"/>
              <w:adjustRightInd w:val="0"/>
              <w:spacing w:line="240" w:lineRule="auto"/>
              <w:ind w:left="90"/>
            </w:pPr>
            <w:r>
              <w:t>High School</w:t>
            </w:r>
          </w:p>
        </w:tc>
        <w:tc>
          <w:tcPr>
            <w:tcW w:w="1080" w:type="dxa"/>
            <w:tcBorders>
              <w:top w:val="nil"/>
              <w:left w:val="nil"/>
              <w:bottom w:val="nil"/>
              <w:right w:val="nil"/>
            </w:tcBorders>
          </w:tcPr>
          <w:p w14:paraId="320B65EE" w14:textId="77777777" w:rsidR="00C5624E" w:rsidRDefault="00C5624E" w:rsidP="00C5624E">
            <w:pPr>
              <w:widowControl w:val="0"/>
              <w:tabs>
                <w:tab w:val="decimal" w:pos="251"/>
              </w:tabs>
              <w:autoSpaceDE w:val="0"/>
              <w:autoSpaceDN w:val="0"/>
              <w:adjustRightInd w:val="0"/>
              <w:spacing w:line="240" w:lineRule="auto"/>
            </w:pPr>
            <w:r>
              <w:t>-0.51</w:t>
            </w:r>
            <w:r>
              <w:rPr>
                <w:vertAlign w:val="superscript"/>
              </w:rPr>
              <w:t>***</w:t>
            </w:r>
          </w:p>
        </w:tc>
        <w:tc>
          <w:tcPr>
            <w:tcW w:w="720" w:type="dxa"/>
            <w:tcBorders>
              <w:top w:val="nil"/>
              <w:left w:val="nil"/>
              <w:bottom w:val="nil"/>
              <w:right w:val="nil"/>
            </w:tcBorders>
          </w:tcPr>
          <w:p w14:paraId="7A521D52" w14:textId="77777777" w:rsidR="00C5624E" w:rsidRDefault="00C5624E" w:rsidP="00C5624E">
            <w:pPr>
              <w:widowControl w:val="0"/>
              <w:autoSpaceDE w:val="0"/>
              <w:autoSpaceDN w:val="0"/>
              <w:adjustRightInd w:val="0"/>
              <w:spacing w:line="240" w:lineRule="auto"/>
            </w:pPr>
            <w:r>
              <w:t>(.15)</w:t>
            </w:r>
          </w:p>
        </w:tc>
        <w:tc>
          <w:tcPr>
            <w:tcW w:w="1080" w:type="dxa"/>
            <w:tcBorders>
              <w:top w:val="nil"/>
              <w:left w:val="nil"/>
              <w:bottom w:val="nil"/>
              <w:right w:val="nil"/>
            </w:tcBorders>
          </w:tcPr>
          <w:p w14:paraId="3B3BC608" w14:textId="77777777" w:rsidR="00C5624E" w:rsidRDefault="00C5624E" w:rsidP="00C5624E">
            <w:pPr>
              <w:widowControl w:val="0"/>
              <w:tabs>
                <w:tab w:val="decimal" w:pos="254"/>
              </w:tabs>
              <w:autoSpaceDE w:val="0"/>
              <w:autoSpaceDN w:val="0"/>
              <w:adjustRightInd w:val="0"/>
              <w:spacing w:line="240" w:lineRule="auto"/>
            </w:pPr>
            <w:r>
              <w:t>-0.51</w:t>
            </w:r>
            <w:r>
              <w:rPr>
                <w:vertAlign w:val="superscript"/>
              </w:rPr>
              <w:t>**</w:t>
            </w:r>
          </w:p>
        </w:tc>
        <w:tc>
          <w:tcPr>
            <w:tcW w:w="720" w:type="dxa"/>
            <w:tcBorders>
              <w:top w:val="nil"/>
              <w:left w:val="nil"/>
              <w:bottom w:val="nil"/>
              <w:right w:val="nil"/>
            </w:tcBorders>
          </w:tcPr>
          <w:p w14:paraId="7F28E277" w14:textId="77777777" w:rsidR="00C5624E" w:rsidRDefault="00C5624E" w:rsidP="00C5624E">
            <w:pPr>
              <w:widowControl w:val="0"/>
              <w:autoSpaceDE w:val="0"/>
              <w:autoSpaceDN w:val="0"/>
              <w:adjustRightInd w:val="0"/>
              <w:spacing w:line="240" w:lineRule="auto"/>
            </w:pPr>
            <w:r>
              <w:t>(.15)</w:t>
            </w:r>
          </w:p>
        </w:tc>
        <w:tc>
          <w:tcPr>
            <w:tcW w:w="990" w:type="dxa"/>
            <w:tcBorders>
              <w:top w:val="nil"/>
              <w:left w:val="nil"/>
              <w:bottom w:val="nil"/>
              <w:right w:val="nil"/>
            </w:tcBorders>
          </w:tcPr>
          <w:p w14:paraId="5E84ECF5" w14:textId="77777777" w:rsidR="00C5624E" w:rsidRDefault="00C5624E" w:rsidP="00C5624E">
            <w:pPr>
              <w:widowControl w:val="0"/>
              <w:tabs>
                <w:tab w:val="decimal" w:pos="257"/>
              </w:tabs>
              <w:autoSpaceDE w:val="0"/>
              <w:autoSpaceDN w:val="0"/>
              <w:adjustRightInd w:val="0"/>
              <w:spacing w:line="240" w:lineRule="auto"/>
            </w:pPr>
            <w:r>
              <w:t>-0.51</w:t>
            </w:r>
            <w:r>
              <w:rPr>
                <w:vertAlign w:val="superscript"/>
              </w:rPr>
              <w:t>***</w:t>
            </w:r>
          </w:p>
        </w:tc>
        <w:tc>
          <w:tcPr>
            <w:tcW w:w="720" w:type="dxa"/>
            <w:tcBorders>
              <w:top w:val="nil"/>
              <w:left w:val="nil"/>
              <w:bottom w:val="nil"/>
              <w:right w:val="nil"/>
            </w:tcBorders>
          </w:tcPr>
          <w:p w14:paraId="2C836B6A" w14:textId="77777777" w:rsidR="00C5624E" w:rsidRDefault="00C5624E" w:rsidP="00C5624E">
            <w:pPr>
              <w:widowControl w:val="0"/>
              <w:autoSpaceDE w:val="0"/>
              <w:autoSpaceDN w:val="0"/>
              <w:adjustRightInd w:val="0"/>
              <w:spacing w:line="240" w:lineRule="auto"/>
            </w:pPr>
            <w:r>
              <w:t>(.15)</w:t>
            </w:r>
          </w:p>
        </w:tc>
      </w:tr>
      <w:tr w:rsidR="00C5624E" w14:paraId="6D1CB212" w14:textId="77777777" w:rsidTr="00484854">
        <w:tc>
          <w:tcPr>
            <w:tcW w:w="2718" w:type="dxa"/>
            <w:tcBorders>
              <w:top w:val="nil"/>
              <w:left w:val="nil"/>
              <w:bottom w:val="nil"/>
              <w:right w:val="nil"/>
            </w:tcBorders>
          </w:tcPr>
          <w:p w14:paraId="06081DDD" w14:textId="77777777" w:rsidR="00C5624E" w:rsidRDefault="00C5624E" w:rsidP="00C5624E">
            <w:pPr>
              <w:widowControl w:val="0"/>
              <w:autoSpaceDE w:val="0"/>
              <w:autoSpaceDN w:val="0"/>
              <w:adjustRightInd w:val="0"/>
              <w:spacing w:line="240" w:lineRule="auto"/>
              <w:ind w:left="90"/>
            </w:pPr>
            <w:r>
              <w:t>Some College</w:t>
            </w:r>
          </w:p>
        </w:tc>
        <w:tc>
          <w:tcPr>
            <w:tcW w:w="1080" w:type="dxa"/>
            <w:tcBorders>
              <w:top w:val="nil"/>
              <w:left w:val="nil"/>
              <w:bottom w:val="nil"/>
              <w:right w:val="nil"/>
            </w:tcBorders>
          </w:tcPr>
          <w:p w14:paraId="006E4E8D" w14:textId="77777777" w:rsidR="00C5624E" w:rsidRDefault="00C5624E" w:rsidP="00C5624E">
            <w:pPr>
              <w:widowControl w:val="0"/>
              <w:tabs>
                <w:tab w:val="decimal" w:pos="251"/>
              </w:tabs>
              <w:autoSpaceDE w:val="0"/>
              <w:autoSpaceDN w:val="0"/>
              <w:adjustRightInd w:val="0"/>
              <w:spacing w:line="240" w:lineRule="auto"/>
            </w:pPr>
            <w:r>
              <w:t>-0.37</w:t>
            </w:r>
            <w:r>
              <w:rPr>
                <w:vertAlign w:val="superscript"/>
              </w:rPr>
              <w:t>*</w:t>
            </w:r>
          </w:p>
        </w:tc>
        <w:tc>
          <w:tcPr>
            <w:tcW w:w="720" w:type="dxa"/>
            <w:tcBorders>
              <w:top w:val="nil"/>
              <w:left w:val="nil"/>
              <w:bottom w:val="nil"/>
              <w:right w:val="nil"/>
            </w:tcBorders>
          </w:tcPr>
          <w:p w14:paraId="22C83198" w14:textId="77777777" w:rsidR="00C5624E" w:rsidRDefault="00C5624E" w:rsidP="00C5624E">
            <w:pPr>
              <w:widowControl w:val="0"/>
              <w:autoSpaceDE w:val="0"/>
              <w:autoSpaceDN w:val="0"/>
              <w:adjustRightInd w:val="0"/>
              <w:spacing w:line="240" w:lineRule="auto"/>
            </w:pPr>
            <w:r>
              <w:t>(.18)</w:t>
            </w:r>
          </w:p>
        </w:tc>
        <w:tc>
          <w:tcPr>
            <w:tcW w:w="1080" w:type="dxa"/>
            <w:tcBorders>
              <w:top w:val="nil"/>
              <w:left w:val="nil"/>
              <w:bottom w:val="nil"/>
              <w:right w:val="nil"/>
            </w:tcBorders>
          </w:tcPr>
          <w:p w14:paraId="75235ACD" w14:textId="77777777" w:rsidR="00C5624E" w:rsidRDefault="00C5624E" w:rsidP="00C5624E">
            <w:pPr>
              <w:widowControl w:val="0"/>
              <w:tabs>
                <w:tab w:val="decimal" w:pos="254"/>
              </w:tabs>
              <w:autoSpaceDE w:val="0"/>
              <w:autoSpaceDN w:val="0"/>
              <w:adjustRightInd w:val="0"/>
              <w:spacing w:line="240" w:lineRule="auto"/>
            </w:pPr>
            <w:r>
              <w:t>-0.37</w:t>
            </w:r>
            <w:r>
              <w:rPr>
                <w:vertAlign w:val="superscript"/>
              </w:rPr>
              <w:t>*</w:t>
            </w:r>
          </w:p>
        </w:tc>
        <w:tc>
          <w:tcPr>
            <w:tcW w:w="720" w:type="dxa"/>
            <w:tcBorders>
              <w:top w:val="nil"/>
              <w:left w:val="nil"/>
              <w:bottom w:val="nil"/>
              <w:right w:val="nil"/>
            </w:tcBorders>
          </w:tcPr>
          <w:p w14:paraId="685F53DB" w14:textId="77777777" w:rsidR="00C5624E" w:rsidRDefault="00C5624E" w:rsidP="00C5624E">
            <w:pPr>
              <w:widowControl w:val="0"/>
              <w:autoSpaceDE w:val="0"/>
              <w:autoSpaceDN w:val="0"/>
              <w:adjustRightInd w:val="0"/>
              <w:spacing w:line="240" w:lineRule="auto"/>
            </w:pPr>
            <w:r>
              <w:t>(.18)</w:t>
            </w:r>
          </w:p>
        </w:tc>
        <w:tc>
          <w:tcPr>
            <w:tcW w:w="990" w:type="dxa"/>
            <w:tcBorders>
              <w:top w:val="nil"/>
              <w:left w:val="nil"/>
              <w:bottom w:val="nil"/>
              <w:right w:val="nil"/>
            </w:tcBorders>
          </w:tcPr>
          <w:p w14:paraId="2C20F803" w14:textId="77777777" w:rsidR="00C5624E" w:rsidRDefault="00C5624E" w:rsidP="00C5624E">
            <w:pPr>
              <w:widowControl w:val="0"/>
              <w:tabs>
                <w:tab w:val="decimal" w:pos="257"/>
              </w:tabs>
              <w:autoSpaceDE w:val="0"/>
              <w:autoSpaceDN w:val="0"/>
              <w:adjustRightInd w:val="0"/>
              <w:spacing w:line="240" w:lineRule="auto"/>
            </w:pPr>
            <w:r>
              <w:t>-0.37</w:t>
            </w:r>
            <w:r>
              <w:rPr>
                <w:vertAlign w:val="superscript"/>
              </w:rPr>
              <w:t>*</w:t>
            </w:r>
          </w:p>
        </w:tc>
        <w:tc>
          <w:tcPr>
            <w:tcW w:w="720" w:type="dxa"/>
            <w:tcBorders>
              <w:top w:val="nil"/>
              <w:left w:val="nil"/>
              <w:bottom w:val="nil"/>
              <w:right w:val="nil"/>
            </w:tcBorders>
          </w:tcPr>
          <w:p w14:paraId="07D763CF" w14:textId="77777777" w:rsidR="00C5624E" w:rsidRDefault="00C5624E" w:rsidP="00C5624E">
            <w:pPr>
              <w:widowControl w:val="0"/>
              <w:autoSpaceDE w:val="0"/>
              <w:autoSpaceDN w:val="0"/>
              <w:adjustRightInd w:val="0"/>
              <w:spacing w:line="240" w:lineRule="auto"/>
            </w:pPr>
            <w:r>
              <w:t>(.18)</w:t>
            </w:r>
          </w:p>
        </w:tc>
      </w:tr>
      <w:tr w:rsidR="00C5624E" w14:paraId="2288D4AC" w14:textId="77777777" w:rsidTr="00484854">
        <w:tc>
          <w:tcPr>
            <w:tcW w:w="2718" w:type="dxa"/>
            <w:tcBorders>
              <w:top w:val="nil"/>
              <w:left w:val="nil"/>
              <w:bottom w:val="nil"/>
              <w:right w:val="nil"/>
            </w:tcBorders>
          </w:tcPr>
          <w:p w14:paraId="00E84D63" w14:textId="77777777" w:rsidR="00C5624E" w:rsidRDefault="00C5624E" w:rsidP="00C5624E">
            <w:pPr>
              <w:widowControl w:val="0"/>
              <w:autoSpaceDE w:val="0"/>
              <w:autoSpaceDN w:val="0"/>
              <w:adjustRightInd w:val="0"/>
              <w:spacing w:line="240" w:lineRule="auto"/>
              <w:ind w:left="90"/>
            </w:pPr>
            <w:r>
              <w:t>College</w:t>
            </w:r>
          </w:p>
        </w:tc>
        <w:tc>
          <w:tcPr>
            <w:tcW w:w="1080" w:type="dxa"/>
            <w:tcBorders>
              <w:top w:val="nil"/>
              <w:left w:val="nil"/>
              <w:bottom w:val="nil"/>
              <w:right w:val="nil"/>
            </w:tcBorders>
          </w:tcPr>
          <w:p w14:paraId="6AED715B" w14:textId="77777777" w:rsidR="00C5624E" w:rsidRDefault="00C5624E" w:rsidP="00C5624E">
            <w:pPr>
              <w:widowControl w:val="0"/>
              <w:tabs>
                <w:tab w:val="decimal" w:pos="251"/>
              </w:tabs>
              <w:autoSpaceDE w:val="0"/>
              <w:autoSpaceDN w:val="0"/>
              <w:adjustRightInd w:val="0"/>
              <w:spacing w:line="240" w:lineRule="auto"/>
            </w:pPr>
            <w:r>
              <w:t>-0.41</w:t>
            </w:r>
            <w:r>
              <w:rPr>
                <w:vertAlign w:val="superscript"/>
              </w:rPr>
              <w:t>*</w:t>
            </w:r>
          </w:p>
        </w:tc>
        <w:tc>
          <w:tcPr>
            <w:tcW w:w="720" w:type="dxa"/>
            <w:tcBorders>
              <w:top w:val="nil"/>
              <w:left w:val="nil"/>
              <w:bottom w:val="nil"/>
              <w:right w:val="nil"/>
            </w:tcBorders>
          </w:tcPr>
          <w:p w14:paraId="32229836" w14:textId="77777777" w:rsidR="00C5624E" w:rsidRDefault="00C5624E" w:rsidP="00C5624E">
            <w:pPr>
              <w:widowControl w:val="0"/>
              <w:autoSpaceDE w:val="0"/>
              <w:autoSpaceDN w:val="0"/>
              <w:adjustRightInd w:val="0"/>
              <w:spacing w:line="240" w:lineRule="auto"/>
            </w:pPr>
            <w:r>
              <w:t>(.18)</w:t>
            </w:r>
          </w:p>
        </w:tc>
        <w:tc>
          <w:tcPr>
            <w:tcW w:w="1080" w:type="dxa"/>
            <w:tcBorders>
              <w:top w:val="nil"/>
              <w:left w:val="nil"/>
              <w:bottom w:val="nil"/>
              <w:right w:val="nil"/>
            </w:tcBorders>
          </w:tcPr>
          <w:p w14:paraId="74362110" w14:textId="77777777" w:rsidR="00C5624E" w:rsidRDefault="00C5624E" w:rsidP="00C5624E">
            <w:pPr>
              <w:widowControl w:val="0"/>
              <w:tabs>
                <w:tab w:val="decimal" w:pos="254"/>
              </w:tabs>
              <w:autoSpaceDE w:val="0"/>
              <w:autoSpaceDN w:val="0"/>
              <w:adjustRightInd w:val="0"/>
              <w:spacing w:line="240" w:lineRule="auto"/>
            </w:pPr>
            <w:r>
              <w:t>-0.40</w:t>
            </w:r>
            <w:r>
              <w:rPr>
                <w:vertAlign w:val="superscript"/>
              </w:rPr>
              <w:t>*</w:t>
            </w:r>
          </w:p>
        </w:tc>
        <w:tc>
          <w:tcPr>
            <w:tcW w:w="720" w:type="dxa"/>
            <w:tcBorders>
              <w:top w:val="nil"/>
              <w:left w:val="nil"/>
              <w:bottom w:val="nil"/>
              <w:right w:val="nil"/>
            </w:tcBorders>
          </w:tcPr>
          <w:p w14:paraId="5B9F4DA9" w14:textId="77777777" w:rsidR="00C5624E" w:rsidRDefault="00C5624E" w:rsidP="00C5624E">
            <w:pPr>
              <w:widowControl w:val="0"/>
              <w:autoSpaceDE w:val="0"/>
              <w:autoSpaceDN w:val="0"/>
              <w:adjustRightInd w:val="0"/>
              <w:spacing w:line="240" w:lineRule="auto"/>
            </w:pPr>
            <w:r>
              <w:t>(.18)</w:t>
            </w:r>
          </w:p>
        </w:tc>
        <w:tc>
          <w:tcPr>
            <w:tcW w:w="990" w:type="dxa"/>
            <w:tcBorders>
              <w:top w:val="nil"/>
              <w:left w:val="nil"/>
              <w:bottom w:val="nil"/>
              <w:right w:val="nil"/>
            </w:tcBorders>
          </w:tcPr>
          <w:p w14:paraId="09732723" w14:textId="77777777" w:rsidR="00C5624E" w:rsidRDefault="00C5624E" w:rsidP="00C5624E">
            <w:pPr>
              <w:widowControl w:val="0"/>
              <w:tabs>
                <w:tab w:val="decimal" w:pos="257"/>
              </w:tabs>
              <w:autoSpaceDE w:val="0"/>
              <w:autoSpaceDN w:val="0"/>
              <w:adjustRightInd w:val="0"/>
              <w:spacing w:line="240" w:lineRule="auto"/>
            </w:pPr>
            <w:r>
              <w:t>-0.41</w:t>
            </w:r>
            <w:r>
              <w:rPr>
                <w:vertAlign w:val="superscript"/>
              </w:rPr>
              <w:t>*</w:t>
            </w:r>
          </w:p>
        </w:tc>
        <w:tc>
          <w:tcPr>
            <w:tcW w:w="720" w:type="dxa"/>
            <w:tcBorders>
              <w:top w:val="nil"/>
              <w:left w:val="nil"/>
              <w:bottom w:val="nil"/>
              <w:right w:val="nil"/>
            </w:tcBorders>
          </w:tcPr>
          <w:p w14:paraId="21B11BEB" w14:textId="77777777" w:rsidR="00C5624E" w:rsidRDefault="00C5624E" w:rsidP="00C5624E">
            <w:pPr>
              <w:widowControl w:val="0"/>
              <w:autoSpaceDE w:val="0"/>
              <w:autoSpaceDN w:val="0"/>
              <w:adjustRightInd w:val="0"/>
              <w:spacing w:line="240" w:lineRule="auto"/>
            </w:pPr>
            <w:r>
              <w:t>(.18)</w:t>
            </w:r>
          </w:p>
        </w:tc>
      </w:tr>
      <w:tr w:rsidR="00C5624E" w14:paraId="39334B73" w14:textId="77777777" w:rsidTr="00484854">
        <w:tc>
          <w:tcPr>
            <w:tcW w:w="2718" w:type="dxa"/>
            <w:tcBorders>
              <w:top w:val="nil"/>
              <w:left w:val="nil"/>
              <w:bottom w:val="nil"/>
              <w:right w:val="nil"/>
            </w:tcBorders>
          </w:tcPr>
          <w:p w14:paraId="76539D34" w14:textId="77777777" w:rsidR="00C5624E" w:rsidRDefault="00C5624E" w:rsidP="00C5624E">
            <w:pPr>
              <w:widowControl w:val="0"/>
              <w:autoSpaceDE w:val="0"/>
              <w:autoSpaceDN w:val="0"/>
              <w:adjustRightInd w:val="0"/>
              <w:spacing w:line="240" w:lineRule="auto"/>
              <w:ind w:left="90"/>
            </w:pPr>
            <w:r>
              <w:t>Graduate/Prof degree</w:t>
            </w:r>
          </w:p>
        </w:tc>
        <w:tc>
          <w:tcPr>
            <w:tcW w:w="1080" w:type="dxa"/>
            <w:tcBorders>
              <w:top w:val="nil"/>
              <w:left w:val="nil"/>
              <w:bottom w:val="nil"/>
              <w:right w:val="nil"/>
            </w:tcBorders>
          </w:tcPr>
          <w:p w14:paraId="00C2C21D" w14:textId="77777777" w:rsidR="00C5624E" w:rsidRDefault="00C5624E" w:rsidP="00C5624E">
            <w:pPr>
              <w:widowControl w:val="0"/>
              <w:tabs>
                <w:tab w:val="decimal" w:pos="251"/>
              </w:tabs>
              <w:autoSpaceDE w:val="0"/>
              <w:autoSpaceDN w:val="0"/>
              <w:adjustRightInd w:val="0"/>
              <w:spacing w:line="240" w:lineRule="auto"/>
            </w:pPr>
            <w:r>
              <w:t>-0.24</w:t>
            </w:r>
          </w:p>
        </w:tc>
        <w:tc>
          <w:tcPr>
            <w:tcW w:w="720" w:type="dxa"/>
            <w:tcBorders>
              <w:top w:val="nil"/>
              <w:left w:val="nil"/>
              <w:bottom w:val="nil"/>
              <w:right w:val="nil"/>
            </w:tcBorders>
          </w:tcPr>
          <w:p w14:paraId="4A9D8D81" w14:textId="77777777" w:rsidR="00C5624E" w:rsidRDefault="00C5624E" w:rsidP="00C5624E">
            <w:pPr>
              <w:widowControl w:val="0"/>
              <w:autoSpaceDE w:val="0"/>
              <w:autoSpaceDN w:val="0"/>
              <w:adjustRightInd w:val="0"/>
              <w:spacing w:line="240" w:lineRule="auto"/>
            </w:pPr>
            <w:r>
              <w:t>(.22)</w:t>
            </w:r>
          </w:p>
        </w:tc>
        <w:tc>
          <w:tcPr>
            <w:tcW w:w="1080" w:type="dxa"/>
            <w:tcBorders>
              <w:top w:val="nil"/>
              <w:left w:val="nil"/>
              <w:bottom w:val="nil"/>
              <w:right w:val="nil"/>
            </w:tcBorders>
          </w:tcPr>
          <w:p w14:paraId="194A65D5" w14:textId="77777777" w:rsidR="00C5624E" w:rsidRDefault="00C5624E" w:rsidP="00C5624E">
            <w:pPr>
              <w:widowControl w:val="0"/>
              <w:tabs>
                <w:tab w:val="decimal" w:pos="254"/>
              </w:tabs>
              <w:autoSpaceDE w:val="0"/>
              <w:autoSpaceDN w:val="0"/>
              <w:adjustRightInd w:val="0"/>
              <w:spacing w:line="240" w:lineRule="auto"/>
            </w:pPr>
            <w:r>
              <w:t>-0.24</w:t>
            </w:r>
          </w:p>
        </w:tc>
        <w:tc>
          <w:tcPr>
            <w:tcW w:w="720" w:type="dxa"/>
            <w:tcBorders>
              <w:top w:val="nil"/>
              <w:left w:val="nil"/>
              <w:bottom w:val="nil"/>
              <w:right w:val="nil"/>
            </w:tcBorders>
          </w:tcPr>
          <w:p w14:paraId="563164C2" w14:textId="77777777" w:rsidR="00C5624E" w:rsidRDefault="00C5624E" w:rsidP="00C5624E">
            <w:pPr>
              <w:widowControl w:val="0"/>
              <w:autoSpaceDE w:val="0"/>
              <w:autoSpaceDN w:val="0"/>
              <w:adjustRightInd w:val="0"/>
              <w:spacing w:line="240" w:lineRule="auto"/>
            </w:pPr>
            <w:r>
              <w:t>(.22)</w:t>
            </w:r>
          </w:p>
        </w:tc>
        <w:tc>
          <w:tcPr>
            <w:tcW w:w="990" w:type="dxa"/>
            <w:tcBorders>
              <w:top w:val="nil"/>
              <w:left w:val="nil"/>
              <w:bottom w:val="nil"/>
              <w:right w:val="nil"/>
            </w:tcBorders>
          </w:tcPr>
          <w:p w14:paraId="3FF35226" w14:textId="77777777" w:rsidR="00C5624E" w:rsidRDefault="00C5624E" w:rsidP="00C5624E">
            <w:pPr>
              <w:widowControl w:val="0"/>
              <w:tabs>
                <w:tab w:val="decimal" w:pos="257"/>
              </w:tabs>
              <w:autoSpaceDE w:val="0"/>
              <w:autoSpaceDN w:val="0"/>
              <w:adjustRightInd w:val="0"/>
              <w:spacing w:line="240" w:lineRule="auto"/>
            </w:pPr>
            <w:r>
              <w:t>-0.24</w:t>
            </w:r>
          </w:p>
        </w:tc>
        <w:tc>
          <w:tcPr>
            <w:tcW w:w="720" w:type="dxa"/>
            <w:tcBorders>
              <w:top w:val="nil"/>
              <w:left w:val="nil"/>
              <w:bottom w:val="nil"/>
              <w:right w:val="nil"/>
            </w:tcBorders>
          </w:tcPr>
          <w:p w14:paraId="74A35651" w14:textId="77777777" w:rsidR="00C5624E" w:rsidRDefault="00C5624E" w:rsidP="00C5624E">
            <w:pPr>
              <w:widowControl w:val="0"/>
              <w:autoSpaceDE w:val="0"/>
              <w:autoSpaceDN w:val="0"/>
              <w:adjustRightInd w:val="0"/>
              <w:spacing w:line="240" w:lineRule="auto"/>
            </w:pPr>
            <w:r>
              <w:t>(.22)</w:t>
            </w:r>
          </w:p>
        </w:tc>
      </w:tr>
      <w:tr w:rsidR="00C5624E" w14:paraId="506FCB04" w14:textId="77777777" w:rsidTr="00484854">
        <w:tc>
          <w:tcPr>
            <w:tcW w:w="2718" w:type="dxa"/>
            <w:tcBorders>
              <w:top w:val="nil"/>
              <w:left w:val="nil"/>
              <w:bottom w:val="nil"/>
              <w:right w:val="nil"/>
            </w:tcBorders>
          </w:tcPr>
          <w:p w14:paraId="7FE25583" w14:textId="77777777" w:rsidR="00C5624E" w:rsidRPr="00585204" w:rsidRDefault="00C5624E" w:rsidP="00C5624E">
            <w:pPr>
              <w:widowControl w:val="0"/>
              <w:autoSpaceDE w:val="0"/>
              <w:autoSpaceDN w:val="0"/>
              <w:adjustRightInd w:val="0"/>
              <w:spacing w:line="240" w:lineRule="auto"/>
              <w:rPr>
                <w:i/>
                <w:iCs/>
              </w:rPr>
            </w:pPr>
            <w:r w:rsidRPr="00585204">
              <w:rPr>
                <w:i/>
                <w:iCs/>
              </w:rPr>
              <w:t>Father’s Education</w:t>
            </w:r>
          </w:p>
        </w:tc>
        <w:tc>
          <w:tcPr>
            <w:tcW w:w="1080" w:type="dxa"/>
            <w:tcBorders>
              <w:top w:val="nil"/>
              <w:left w:val="nil"/>
              <w:bottom w:val="nil"/>
              <w:right w:val="nil"/>
            </w:tcBorders>
          </w:tcPr>
          <w:p w14:paraId="28F78185" w14:textId="77777777" w:rsidR="00C5624E" w:rsidRDefault="00C5624E" w:rsidP="00C5624E">
            <w:pPr>
              <w:widowControl w:val="0"/>
              <w:tabs>
                <w:tab w:val="decimal" w:pos="251"/>
              </w:tabs>
              <w:autoSpaceDE w:val="0"/>
              <w:autoSpaceDN w:val="0"/>
              <w:adjustRightInd w:val="0"/>
              <w:spacing w:line="240" w:lineRule="auto"/>
            </w:pPr>
          </w:p>
        </w:tc>
        <w:tc>
          <w:tcPr>
            <w:tcW w:w="720" w:type="dxa"/>
            <w:tcBorders>
              <w:top w:val="nil"/>
              <w:left w:val="nil"/>
              <w:bottom w:val="nil"/>
              <w:right w:val="nil"/>
            </w:tcBorders>
          </w:tcPr>
          <w:p w14:paraId="3A3099C4" w14:textId="77777777" w:rsidR="00C5624E" w:rsidRDefault="00C5624E" w:rsidP="00C5624E">
            <w:pPr>
              <w:widowControl w:val="0"/>
              <w:autoSpaceDE w:val="0"/>
              <w:autoSpaceDN w:val="0"/>
              <w:adjustRightInd w:val="0"/>
              <w:spacing w:line="240" w:lineRule="auto"/>
            </w:pPr>
          </w:p>
        </w:tc>
        <w:tc>
          <w:tcPr>
            <w:tcW w:w="1080" w:type="dxa"/>
            <w:tcBorders>
              <w:top w:val="nil"/>
              <w:left w:val="nil"/>
              <w:bottom w:val="nil"/>
              <w:right w:val="nil"/>
            </w:tcBorders>
          </w:tcPr>
          <w:p w14:paraId="7587D4DC" w14:textId="77777777" w:rsidR="00C5624E" w:rsidRDefault="00C5624E" w:rsidP="00C5624E">
            <w:pPr>
              <w:widowControl w:val="0"/>
              <w:tabs>
                <w:tab w:val="decimal" w:pos="254"/>
              </w:tabs>
              <w:autoSpaceDE w:val="0"/>
              <w:autoSpaceDN w:val="0"/>
              <w:adjustRightInd w:val="0"/>
              <w:spacing w:line="240" w:lineRule="auto"/>
            </w:pPr>
          </w:p>
        </w:tc>
        <w:tc>
          <w:tcPr>
            <w:tcW w:w="720" w:type="dxa"/>
            <w:tcBorders>
              <w:top w:val="nil"/>
              <w:left w:val="nil"/>
              <w:bottom w:val="nil"/>
              <w:right w:val="nil"/>
            </w:tcBorders>
          </w:tcPr>
          <w:p w14:paraId="76FDE1E5" w14:textId="77777777" w:rsidR="00C5624E" w:rsidRDefault="00C5624E" w:rsidP="00C5624E">
            <w:pPr>
              <w:widowControl w:val="0"/>
              <w:autoSpaceDE w:val="0"/>
              <w:autoSpaceDN w:val="0"/>
              <w:adjustRightInd w:val="0"/>
              <w:spacing w:line="240" w:lineRule="auto"/>
            </w:pPr>
          </w:p>
        </w:tc>
        <w:tc>
          <w:tcPr>
            <w:tcW w:w="990" w:type="dxa"/>
            <w:tcBorders>
              <w:top w:val="nil"/>
              <w:left w:val="nil"/>
              <w:bottom w:val="nil"/>
              <w:right w:val="nil"/>
            </w:tcBorders>
          </w:tcPr>
          <w:p w14:paraId="04D016A4" w14:textId="77777777" w:rsidR="00C5624E" w:rsidRDefault="00C5624E" w:rsidP="00C5624E">
            <w:pPr>
              <w:widowControl w:val="0"/>
              <w:tabs>
                <w:tab w:val="decimal" w:pos="257"/>
              </w:tabs>
              <w:autoSpaceDE w:val="0"/>
              <w:autoSpaceDN w:val="0"/>
              <w:adjustRightInd w:val="0"/>
              <w:spacing w:line="240" w:lineRule="auto"/>
            </w:pPr>
          </w:p>
        </w:tc>
        <w:tc>
          <w:tcPr>
            <w:tcW w:w="720" w:type="dxa"/>
            <w:tcBorders>
              <w:top w:val="nil"/>
              <w:left w:val="nil"/>
              <w:bottom w:val="nil"/>
              <w:right w:val="nil"/>
            </w:tcBorders>
          </w:tcPr>
          <w:p w14:paraId="3E013C36" w14:textId="77777777" w:rsidR="00C5624E" w:rsidRDefault="00C5624E" w:rsidP="00C5624E">
            <w:pPr>
              <w:widowControl w:val="0"/>
              <w:autoSpaceDE w:val="0"/>
              <w:autoSpaceDN w:val="0"/>
              <w:adjustRightInd w:val="0"/>
              <w:spacing w:line="240" w:lineRule="auto"/>
            </w:pPr>
          </w:p>
        </w:tc>
      </w:tr>
      <w:tr w:rsidR="00C5624E" w14:paraId="1F53A23A" w14:textId="77777777" w:rsidTr="00484854">
        <w:tc>
          <w:tcPr>
            <w:tcW w:w="2718" w:type="dxa"/>
            <w:tcBorders>
              <w:top w:val="nil"/>
              <w:left w:val="nil"/>
              <w:bottom w:val="nil"/>
              <w:right w:val="nil"/>
            </w:tcBorders>
          </w:tcPr>
          <w:p w14:paraId="6BCC4BC4" w14:textId="77777777" w:rsidR="00C5624E" w:rsidRDefault="00C5624E" w:rsidP="00C5624E">
            <w:pPr>
              <w:widowControl w:val="0"/>
              <w:autoSpaceDE w:val="0"/>
              <w:autoSpaceDN w:val="0"/>
              <w:adjustRightInd w:val="0"/>
              <w:spacing w:line="240" w:lineRule="auto"/>
              <w:ind w:left="90"/>
            </w:pPr>
            <w:r>
              <w:t>High School</w:t>
            </w:r>
          </w:p>
        </w:tc>
        <w:tc>
          <w:tcPr>
            <w:tcW w:w="1080" w:type="dxa"/>
            <w:tcBorders>
              <w:top w:val="nil"/>
              <w:left w:val="nil"/>
              <w:bottom w:val="nil"/>
              <w:right w:val="nil"/>
            </w:tcBorders>
          </w:tcPr>
          <w:p w14:paraId="17838CF3" w14:textId="77777777" w:rsidR="00C5624E" w:rsidRDefault="00C5624E" w:rsidP="00C5624E">
            <w:pPr>
              <w:widowControl w:val="0"/>
              <w:tabs>
                <w:tab w:val="decimal" w:pos="251"/>
              </w:tabs>
              <w:autoSpaceDE w:val="0"/>
              <w:autoSpaceDN w:val="0"/>
              <w:adjustRightInd w:val="0"/>
              <w:spacing w:line="240" w:lineRule="auto"/>
            </w:pPr>
            <w:r>
              <w:t>-0.34</w:t>
            </w:r>
            <w:r>
              <w:rPr>
                <w:vertAlign w:val="superscript"/>
              </w:rPr>
              <w:t>*</w:t>
            </w:r>
          </w:p>
        </w:tc>
        <w:tc>
          <w:tcPr>
            <w:tcW w:w="720" w:type="dxa"/>
            <w:tcBorders>
              <w:top w:val="nil"/>
              <w:left w:val="nil"/>
              <w:bottom w:val="nil"/>
              <w:right w:val="nil"/>
            </w:tcBorders>
          </w:tcPr>
          <w:p w14:paraId="2CC30BBD" w14:textId="77777777" w:rsidR="00C5624E" w:rsidRDefault="00C5624E" w:rsidP="00C5624E">
            <w:pPr>
              <w:widowControl w:val="0"/>
              <w:autoSpaceDE w:val="0"/>
              <w:autoSpaceDN w:val="0"/>
              <w:adjustRightInd w:val="0"/>
              <w:spacing w:line="240" w:lineRule="auto"/>
            </w:pPr>
            <w:r>
              <w:t>(.15)</w:t>
            </w:r>
          </w:p>
        </w:tc>
        <w:tc>
          <w:tcPr>
            <w:tcW w:w="1080" w:type="dxa"/>
            <w:tcBorders>
              <w:top w:val="nil"/>
              <w:left w:val="nil"/>
              <w:bottom w:val="nil"/>
              <w:right w:val="nil"/>
            </w:tcBorders>
          </w:tcPr>
          <w:p w14:paraId="51A613BF" w14:textId="77777777" w:rsidR="00C5624E" w:rsidRDefault="00C5624E" w:rsidP="00C5624E">
            <w:pPr>
              <w:widowControl w:val="0"/>
              <w:tabs>
                <w:tab w:val="decimal" w:pos="254"/>
              </w:tabs>
              <w:autoSpaceDE w:val="0"/>
              <w:autoSpaceDN w:val="0"/>
              <w:adjustRightInd w:val="0"/>
              <w:spacing w:line="240" w:lineRule="auto"/>
            </w:pPr>
            <w:r>
              <w:t>-0.34</w:t>
            </w:r>
            <w:r>
              <w:rPr>
                <w:vertAlign w:val="superscript"/>
              </w:rPr>
              <w:t>*</w:t>
            </w:r>
          </w:p>
        </w:tc>
        <w:tc>
          <w:tcPr>
            <w:tcW w:w="720" w:type="dxa"/>
            <w:tcBorders>
              <w:top w:val="nil"/>
              <w:left w:val="nil"/>
              <w:bottom w:val="nil"/>
              <w:right w:val="nil"/>
            </w:tcBorders>
          </w:tcPr>
          <w:p w14:paraId="6B50682A" w14:textId="77777777" w:rsidR="00C5624E" w:rsidRDefault="00C5624E" w:rsidP="00C5624E">
            <w:pPr>
              <w:widowControl w:val="0"/>
              <w:autoSpaceDE w:val="0"/>
              <w:autoSpaceDN w:val="0"/>
              <w:adjustRightInd w:val="0"/>
              <w:spacing w:line="240" w:lineRule="auto"/>
            </w:pPr>
            <w:r>
              <w:t>(.15)</w:t>
            </w:r>
          </w:p>
        </w:tc>
        <w:tc>
          <w:tcPr>
            <w:tcW w:w="990" w:type="dxa"/>
            <w:tcBorders>
              <w:top w:val="nil"/>
              <w:left w:val="nil"/>
              <w:bottom w:val="nil"/>
              <w:right w:val="nil"/>
            </w:tcBorders>
          </w:tcPr>
          <w:p w14:paraId="06B9150A" w14:textId="77777777" w:rsidR="00C5624E" w:rsidRDefault="00C5624E" w:rsidP="00C5624E">
            <w:pPr>
              <w:widowControl w:val="0"/>
              <w:tabs>
                <w:tab w:val="decimal" w:pos="257"/>
              </w:tabs>
              <w:autoSpaceDE w:val="0"/>
              <w:autoSpaceDN w:val="0"/>
              <w:adjustRightInd w:val="0"/>
              <w:spacing w:line="240" w:lineRule="auto"/>
            </w:pPr>
            <w:r>
              <w:t>-0.34</w:t>
            </w:r>
            <w:r>
              <w:rPr>
                <w:vertAlign w:val="superscript"/>
              </w:rPr>
              <w:t>*</w:t>
            </w:r>
          </w:p>
        </w:tc>
        <w:tc>
          <w:tcPr>
            <w:tcW w:w="720" w:type="dxa"/>
            <w:tcBorders>
              <w:top w:val="nil"/>
              <w:left w:val="nil"/>
              <w:bottom w:val="nil"/>
              <w:right w:val="nil"/>
            </w:tcBorders>
          </w:tcPr>
          <w:p w14:paraId="0568C4D4" w14:textId="77777777" w:rsidR="00C5624E" w:rsidRDefault="00C5624E" w:rsidP="00C5624E">
            <w:pPr>
              <w:widowControl w:val="0"/>
              <w:autoSpaceDE w:val="0"/>
              <w:autoSpaceDN w:val="0"/>
              <w:adjustRightInd w:val="0"/>
              <w:spacing w:line="240" w:lineRule="auto"/>
            </w:pPr>
            <w:r>
              <w:t>(.15)</w:t>
            </w:r>
          </w:p>
        </w:tc>
      </w:tr>
      <w:tr w:rsidR="00C5624E" w14:paraId="5991FF41" w14:textId="77777777" w:rsidTr="00484854">
        <w:tc>
          <w:tcPr>
            <w:tcW w:w="2718" w:type="dxa"/>
            <w:tcBorders>
              <w:top w:val="nil"/>
              <w:left w:val="nil"/>
              <w:bottom w:val="nil"/>
              <w:right w:val="nil"/>
            </w:tcBorders>
          </w:tcPr>
          <w:p w14:paraId="66836129" w14:textId="77777777" w:rsidR="00C5624E" w:rsidRDefault="00C5624E" w:rsidP="00C5624E">
            <w:pPr>
              <w:widowControl w:val="0"/>
              <w:autoSpaceDE w:val="0"/>
              <w:autoSpaceDN w:val="0"/>
              <w:adjustRightInd w:val="0"/>
              <w:spacing w:line="240" w:lineRule="auto"/>
              <w:ind w:left="90"/>
            </w:pPr>
            <w:r>
              <w:t>Some College</w:t>
            </w:r>
          </w:p>
        </w:tc>
        <w:tc>
          <w:tcPr>
            <w:tcW w:w="1080" w:type="dxa"/>
            <w:tcBorders>
              <w:top w:val="nil"/>
              <w:left w:val="nil"/>
              <w:bottom w:val="nil"/>
              <w:right w:val="nil"/>
            </w:tcBorders>
          </w:tcPr>
          <w:p w14:paraId="593356C8" w14:textId="77777777" w:rsidR="00C5624E" w:rsidRDefault="00C5624E" w:rsidP="00C5624E">
            <w:pPr>
              <w:widowControl w:val="0"/>
              <w:tabs>
                <w:tab w:val="decimal" w:pos="251"/>
              </w:tabs>
              <w:autoSpaceDE w:val="0"/>
              <w:autoSpaceDN w:val="0"/>
              <w:adjustRightInd w:val="0"/>
              <w:spacing w:line="240" w:lineRule="auto"/>
            </w:pPr>
            <w:r>
              <w:t>-0.45</w:t>
            </w:r>
            <w:r>
              <w:rPr>
                <w:vertAlign w:val="superscript"/>
              </w:rPr>
              <w:t>**</w:t>
            </w:r>
          </w:p>
        </w:tc>
        <w:tc>
          <w:tcPr>
            <w:tcW w:w="720" w:type="dxa"/>
            <w:tcBorders>
              <w:top w:val="nil"/>
              <w:left w:val="nil"/>
              <w:bottom w:val="nil"/>
              <w:right w:val="nil"/>
            </w:tcBorders>
          </w:tcPr>
          <w:p w14:paraId="21951E49" w14:textId="77777777" w:rsidR="00C5624E" w:rsidRDefault="00C5624E" w:rsidP="00C5624E">
            <w:pPr>
              <w:widowControl w:val="0"/>
              <w:autoSpaceDE w:val="0"/>
              <w:autoSpaceDN w:val="0"/>
              <w:adjustRightInd w:val="0"/>
              <w:spacing w:line="240" w:lineRule="auto"/>
            </w:pPr>
            <w:r>
              <w:t>(.17)</w:t>
            </w:r>
          </w:p>
        </w:tc>
        <w:tc>
          <w:tcPr>
            <w:tcW w:w="1080" w:type="dxa"/>
            <w:tcBorders>
              <w:top w:val="nil"/>
              <w:left w:val="nil"/>
              <w:bottom w:val="nil"/>
              <w:right w:val="nil"/>
            </w:tcBorders>
          </w:tcPr>
          <w:p w14:paraId="70B79203" w14:textId="77777777" w:rsidR="00C5624E" w:rsidRDefault="00C5624E" w:rsidP="00C5624E">
            <w:pPr>
              <w:widowControl w:val="0"/>
              <w:tabs>
                <w:tab w:val="decimal" w:pos="254"/>
              </w:tabs>
              <w:autoSpaceDE w:val="0"/>
              <w:autoSpaceDN w:val="0"/>
              <w:adjustRightInd w:val="0"/>
              <w:spacing w:line="240" w:lineRule="auto"/>
            </w:pPr>
            <w:r>
              <w:t>-0.46</w:t>
            </w:r>
            <w:r>
              <w:rPr>
                <w:vertAlign w:val="superscript"/>
              </w:rPr>
              <w:t>**</w:t>
            </w:r>
          </w:p>
        </w:tc>
        <w:tc>
          <w:tcPr>
            <w:tcW w:w="720" w:type="dxa"/>
            <w:tcBorders>
              <w:top w:val="nil"/>
              <w:left w:val="nil"/>
              <w:bottom w:val="nil"/>
              <w:right w:val="nil"/>
            </w:tcBorders>
          </w:tcPr>
          <w:p w14:paraId="4D695F78" w14:textId="77777777" w:rsidR="00C5624E" w:rsidRDefault="00C5624E" w:rsidP="00C5624E">
            <w:pPr>
              <w:widowControl w:val="0"/>
              <w:autoSpaceDE w:val="0"/>
              <w:autoSpaceDN w:val="0"/>
              <w:adjustRightInd w:val="0"/>
              <w:spacing w:line="240" w:lineRule="auto"/>
            </w:pPr>
            <w:r>
              <w:t>(.17)</w:t>
            </w:r>
          </w:p>
        </w:tc>
        <w:tc>
          <w:tcPr>
            <w:tcW w:w="990" w:type="dxa"/>
            <w:tcBorders>
              <w:top w:val="nil"/>
              <w:left w:val="nil"/>
              <w:bottom w:val="nil"/>
              <w:right w:val="nil"/>
            </w:tcBorders>
          </w:tcPr>
          <w:p w14:paraId="5E806B77" w14:textId="77777777" w:rsidR="00C5624E" w:rsidRDefault="00C5624E" w:rsidP="00C5624E">
            <w:pPr>
              <w:widowControl w:val="0"/>
              <w:tabs>
                <w:tab w:val="decimal" w:pos="257"/>
              </w:tabs>
              <w:autoSpaceDE w:val="0"/>
              <w:autoSpaceDN w:val="0"/>
              <w:adjustRightInd w:val="0"/>
              <w:spacing w:line="240" w:lineRule="auto"/>
            </w:pPr>
            <w:r>
              <w:t>-0.45</w:t>
            </w:r>
            <w:r>
              <w:rPr>
                <w:vertAlign w:val="superscript"/>
              </w:rPr>
              <w:t>**</w:t>
            </w:r>
          </w:p>
        </w:tc>
        <w:tc>
          <w:tcPr>
            <w:tcW w:w="720" w:type="dxa"/>
            <w:tcBorders>
              <w:top w:val="nil"/>
              <w:left w:val="nil"/>
              <w:bottom w:val="nil"/>
              <w:right w:val="nil"/>
            </w:tcBorders>
          </w:tcPr>
          <w:p w14:paraId="7FA78B25" w14:textId="77777777" w:rsidR="00C5624E" w:rsidRDefault="00C5624E" w:rsidP="00C5624E">
            <w:pPr>
              <w:widowControl w:val="0"/>
              <w:autoSpaceDE w:val="0"/>
              <w:autoSpaceDN w:val="0"/>
              <w:adjustRightInd w:val="0"/>
              <w:spacing w:line="240" w:lineRule="auto"/>
            </w:pPr>
            <w:r>
              <w:t>(.17)</w:t>
            </w:r>
          </w:p>
        </w:tc>
      </w:tr>
      <w:tr w:rsidR="00C5624E" w14:paraId="7E22E9D8" w14:textId="77777777" w:rsidTr="00484854">
        <w:tc>
          <w:tcPr>
            <w:tcW w:w="2718" w:type="dxa"/>
            <w:tcBorders>
              <w:top w:val="nil"/>
              <w:left w:val="nil"/>
              <w:bottom w:val="nil"/>
              <w:right w:val="nil"/>
            </w:tcBorders>
          </w:tcPr>
          <w:p w14:paraId="50FA4158" w14:textId="77777777" w:rsidR="00C5624E" w:rsidRDefault="00C5624E" w:rsidP="00C5624E">
            <w:pPr>
              <w:widowControl w:val="0"/>
              <w:autoSpaceDE w:val="0"/>
              <w:autoSpaceDN w:val="0"/>
              <w:adjustRightInd w:val="0"/>
              <w:spacing w:line="240" w:lineRule="auto"/>
              <w:ind w:left="90"/>
            </w:pPr>
            <w:r>
              <w:t>College</w:t>
            </w:r>
          </w:p>
        </w:tc>
        <w:tc>
          <w:tcPr>
            <w:tcW w:w="1080" w:type="dxa"/>
            <w:tcBorders>
              <w:top w:val="nil"/>
              <w:left w:val="nil"/>
              <w:bottom w:val="nil"/>
              <w:right w:val="nil"/>
            </w:tcBorders>
          </w:tcPr>
          <w:p w14:paraId="2BA9B9EB" w14:textId="77777777" w:rsidR="00C5624E" w:rsidRDefault="00C5624E" w:rsidP="00C5624E">
            <w:pPr>
              <w:widowControl w:val="0"/>
              <w:tabs>
                <w:tab w:val="decimal" w:pos="251"/>
              </w:tabs>
              <w:autoSpaceDE w:val="0"/>
              <w:autoSpaceDN w:val="0"/>
              <w:adjustRightInd w:val="0"/>
              <w:spacing w:line="240" w:lineRule="auto"/>
            </w:pPr>
            <w:r>
              <w:t>-0.44</w:t>
            </w:r>
            <w:r>
              <w:rPr>
                <w:vertAlign w:val="superscript"/>
              </w:rPr>
              <w:t>**</w:t>
            </w:r>
          </w:p>
        </w:tc>
        <w:tc>
          <w:tcPr>
            <w:tcW w:w="720" w:type="dxa"/>
            <w:tcBorders>
              <w:top w:val="nil"/>
              <w:left w:val="nil"/>
              <w:bottom w:val="nil"/>
              <w:right w:val="nil"/>
            </w:tcBorders>
          </w:tcPr>
          <w:p w14:paraId="294E23E5" w14:textId="77777777" w:rsidR="00C5624E" w:rsidRDefault="00C5624E" w:rsidP="00C5624E">
            <w:pPr>
              <w:widowControl w:val="0"/>
              <w:autoSpaceDE w:val="0"/>
              <w:autoSpaceDN w:val="0"/>
              <w:adjustRightInd w:val="0"/>
              <w:spacing w:line="240" w:lineRule="auto"/>
            </w:pPr>
            <w:r>
              <w:t>(.17)</w:t>
            </w:r>
          </w:p>
        </w:tc>
        <w:tc>
          <w:tcPr>
            <w:tcW w:w="1080" w:type="dxa"/>
            <w:tcBorders>
              <w:top w:val="nil"/>
              <w:left w:val="nil"/>
              <w:bottom w:val="nil"/>
              <w:right w:val="nil"/>
            </w:tcBorders>
          </w:tcPr>
          <w:p w14:paraId="35C3D285" w14:textId="77777777" w:rsidR="00C5624E" w:rsidRDefault="00C5624E" w:rsidP="00C5624E">
            <w:pPr>
              <w:widowControl w:val="0"/>
              <w:tabs>
                <w:tab w:val="decimal" w:pos="254"/>
              </w:tabs>
              <w:autoSpaceDE w:val="0"/>
              <w:autoSpaceDN w:val="0"/>
              <w:adjustRightInd w:val="0"/>
              <w:spacing w:line="240" w:lineRule="auto"/>
            </w:pPr>
            <w:r>
              <w:t>-0.44</w:t>
            </w:r>
            <w:r>
              <w:rPr>
                <w:vertAlign w:val="superscript"/>
              </w:rPr>
              <w:t>**</w:t>
            </w:r>
          </w:p>
        </w:tc>
        <w:tc>
          <w:tcPr>
            <w:tcW w:w="720" w:type="dxa"/>
            <w:tcBorders>
              <w:top w:val="nil"/>
              <w:left w:val="nil"/>
              <w:bottom w:val="nil"/>
              <w:right w:val="nil"/>
            </w:tcBorders>
          </w:tcPr>
          <w:p w14:paraId="34701959" w14:textId="77777777" w:rsidR="00C5624E" w:rsidRDefault="00C5624E" w:rsidP="00C5624E">
            <w:pPr>
              <w:widowControl w:val="0"/>
              <w:autoSpaceDE w:val="0"/>
              <w:autoSpaceDN w:val="0"/>
              <w:adjustRightInd w:val="0"/>
              <w:spacing w:line="240" w:lineRule="auto"/>
            </w:pPr>
            <w:r>
              <w:t>(.17)</w:t>
            </w:r>
          </w:p>
        </w:tc>
        <w:tc>
          <w:tcPr>
            <w:tcW w:w="990" w:type="dxa"/>
            <w:tcBorders>
              <w:top w:val="nil"/>
              <w:left w:val="nil"/>
              <w:bottom w:val="nil"/>
              <w:right w:val="nil"/>
            </w:tcBorders>
          </w:tcPr>
          <w:p w14:paraId="4B894DCA" w14:textId="77777777" w:rsidR="00C5624E" w:rsidRDefault="00C5624E" w:rsidP="00C5624E">
            <w:pPr>
              <w:widowControl w:val="0"/>
              <w:tabs>
                <w:tab w:val="decimal" w:pos="257"/>
              </w:tabs>
              <w:autoSpaceDE w:val="0"/>
              <w:autoSpaceDN w:val="0"/>
              <w:adjustRightInd w:val="0"/>
              <w:spacing w:line="240" w:lineRule="auto"/>
            </w:pPr>
            <w:r>
              <w:t>-0.44</w:t>
            </w:r>
            <w:r>
              <w:rPr>
                <w:vertAlign w:val="superscript"/>
              </w:rPr>
              <w:t>**</w:t>
            </w:r>
          </w:p>
        </w:tc>
        <w:tc>
          <w:tcPr>
            <w:tcW w:w="720" w:type="dxa"/>
            <w:tcBorders>
              <w:top w:val="nil"/>
              <w:left w:val="nil"/>
              <w:bottom w:val="nil"/>
              <w:right w:val="nil"/>
            </w:tcBorders>
          </w:tcPr>
          <w:p w14:paraId="6D7A0BC8" w14:textId="77777777" w:rsidR="00C5624E" w:rsidRDefault="00C5624E" w:rsidP="00C5624E">
            <w:pPr>
              <w:widowControl w:val="0"/>
              <w:autoSpaceDE w:val="0"/>
              <w:autoSpaceDN w:val="0"/>
              <w:adjustRightInd w:val="0"/>
              <w:spacing w:line="240" w:lineRule="auto"/>
            </w:pPr>
            <w:r>
              <w:t>(.17)</w:t>
            </w:r>
          </w:p>
        </w:tc>
      </w:tr>
      <w:tr w:rsidR="00C5624E" w14:paraId="41DF29BF" w14:textId="77777777" w:rsidTr="00484854">
        <w:tc>
          <w:tcPr>
            <w:tcW w:w="2718" w:type="dxa"/>
            <w:tcBorders>
              <w:top w:val="nil"/>
              <w:left w:val="nil"/>
              <w:bottom w:val="nil"/>
              <w:right w:val="nil"/>
            </w:tcBorders>
          </w:tcPr>
          <w:p w14:paraId="1C71FCC8" w14:textId="77777777" w:rsidR="00C5624E" w:rsidRDefault="00C5624E" w:rsidP="00C5624E">
            <w:pPr>
              <w:widowControl w:val="0"/>
              <w:autoSpaceDE w:val="0"/>
              <w:autoSpaceDN w:val="0"/>
              <w:adjustRightInd w:val="0"/>
              <w:spacing w:line="240" w:lineRule="auto"/>
              <w:ind w:left="90"/>
            </w:pPr>
            <w:r>
              <w:t>Graduate/Prof degree</w:t>
            </w:r>
          </w:p>
        </w:tc>
        <w:tc>
          <w:tcPr>
            <w:tcW w:w="1080" w:type="dxa"/>
            <w:tcBorders>
              <w:top w:val="nil"/>
              <w:left w:val="nil"/>
              <w:bottom w:val="nil"/>
              <w:right w:val="nil"/>
            </w:tcBorders>
          </w:tcPr>
          <w:p w14:paraId="5BFB3B21" w14:textId="77777777" w:rsidR="00C5624E" w:rsidRDefault="00C5624E" w:rsidP="00C5624E">
            <w:pPr>
              <w:widowControl w:val="0"/>
              <w:tabs>
                <w:tab w:val="decimal" w:pos="251"/>
              </w:tabs>
              <w:autoSpaceDE w:val="0"/>
              <w:autoSpaceDN w:val="0"/>
              <w:adjustRightInd w:val="0"/>
              <w:spacing w:line="240" w:lineRule="auto"/>
            </w:pPr>
            <w:r>
              <w:t>-0.33</w:t>
            </w:r>
          </w:p>
        </w:tc>
        <w:tc>
          <w:tcPr>
            <w:tcW w:w="720" w:type="dxa"/>
            <w:tcBorders>
              <w:top w:val="nil"/>
              <w:left w:val="nil"/>
              <w:bottom w:val="nil"/>
              <w:right w:val="nil"/>
            </w:tcBorders>
          </w:tcPr>
          <w:p w14:paraId="50183CDA" w14:textId="77777777" w:rsidR="00C5624E" w:rsidRDefault="00C5624E" w:rsidP="00C5624E">
            <w:pPr>
              <w:widowControl w:val="0"/>
              <w:autoSpaceDE w:val="0"/>
              <w:autoSpaceDN w:val="0"/>
              <w:adjustRightInd w:val="0"/>
              <w:spacing w:line="240" w:lineRule="auto"/>
            </w:pPr>
            <w:r>
              <w:t>(.19)</w:t>
            </w:r>
          </w:p>
        </w:tc>
        <w:tc>
          <w:tcPr>
            <w:tcW w:w="1080" w:type="dxa"/>
            <w:tcBorders>
              <w:top w:val="nil"/>
              <w:left w:val="nil"/>
              <w:bottom w:val="nil"/>
              <w:right w:val="nil"/>
            </w:tcBorders>
          </w:tcPr>
          <w:p w14:paraId="4CE34532" w14:textId="77777777" w:rsidR="00C5624E" w:rsidRDefault="00C5624E" w:rsidP="00C5624E">
            <w:pPr>
              <w:widowControl w:val="0"/>
              <w:tabs>
                <w:tab w:val="decimal" w:pos="254"/>
              </w:tabs>
              <w:autoSpaceDE w:val="0"/>
              <w:autoSpaceDN w:val="0"/>
              <w:adjustRightInd w:val="0"/>
              <w:spacing w:line="240" w:lineRule="auto"/>
            </w:pPr>
            <w:r>
              <w:t>-0.33</w:t>
            </w:r>
          </w:p>
        </w:tc>
        <w:tc>
          <w:tcPr>
            <w:tcW w:w="720" w:type="dxa"/>
            <w:tcBorders>
              <w:top w:val="nil"/>
              <w:left w:val="nil"/>
              <w:bottom w:val="nil"/>
              <w:right w:val="nil"/>
            </w:tcBorders>
          </w:tcPr>
          <w:p w14:paraId="45E26C60" w14:textId="77777777" w:rsidR="00C5624E" w:rsidRDefault="00C5624E" w:rsidP="00C5624E">
            <w:pPr>
              <w:widowControl w:val="0"/>
              <w:autoSpaceDE w:val="0"/>
              <w:autoSpaceDN w:val="0"/>
              <w:adjustRightInd w:val="0"/>
              <w:spacing w:line="240" w:lineRule="auto"/>
            </w:pPr>
            <w:r>
              <w:t>(.19)</w:t>
            </w:r>
          </w:p>
        </w:tc>
        <w:tc>
          <w:tcPr>
            <w:tcW w:w="990" w:type="dxa"/>
            <w:tcBorders>
              <w:top w:val="nil"/>
              <w:left w:val="nil"/>
              <w:bottom w:val="nil"/>
              <w:right w:val="nil"/>
            </w:tcBorders>
          </w:tcPr>
          <w:p w14:paraId="1A647738" w14:textId="77777777" w:rsidR="00C5624E" w:rsidRDefault="00C5624E" w:rsidP="00C5624E">
            <w:pPr>
              <w:widowControl w:val="0"/>
              <w:tabs>
                <w:tab w:val="decimal" w:pos="257"/>
              </w:tabs>
              <w:autoSpaceDE w:val="0"/>
              <w:autoSpaceDN w:val="0"/>
              <w:adjustRightInd w:val="0"/>
              <w:spacing w:line="240" w:lineRule="auto"/>
            </w:pPr>
            <w:r>
              <w:t>-0.33</w:t>
            </w:r>
          </w:p>
        </w:tc>
        <w:tc>
          <w:tcPr>
            <w:tcW w:w="720" w:type="dxa"/>
            <w:tcBorders>
              <w:top w:val="nil"/>
              <w:left w:val="nil"/>
              <w:bottom w:val="nil"/>
              <w:right w:val="nil"/>
            </w:tcBorders>
          </w:tcPr>
          <w:p w14:paraId="1B3E58BE" w14:textId="77777777" w:rsidR="00C5624E" w:rsidRDefault="00C5624E" w:rsidP="00C5624E">
            <w:pPr>
              <w:widowControl w:val="0"/>
              <w:autoSpaceDE w:val="0"/>
              <w:autoSpaceDN w:val="0"/>
              <w:adjustRightInd w:val="0"/>
              <w:spacing w:line="240" w:lineRule="auto"/>
            </w:pPr>
            <w:r>
              <w:t>(.19)</w:t>
            </w:r>
          </w:p>
        </w:tc>
      </w:tr>
      <w:tr w:rsidR="00C5624E" w14:paraId="7F5FDEF9" w14:textId="77777777" w:rsidTr="00484854">
        <w:tc>
          <w:tcPr>
            <w:tcW w:w="2718" w:type="dxa"/>
            <w:tcBorders>
              <w:top w:val="nil"/>
              <w:left w:val="nil"/>
              <w:bottom w:val="nil"/>
              <w:right w:val="nil"/>
            </w:tcBorders>
          </w:tcPr>
          <w:p w14:paraId="29514B1F" w14:textId="77777777" w:rsidR="00C5624E" w:rsidRDefault="00C5624E" w:rsidP="00C5624E">
            <w:pPr>
              <w:widowControl w:val="0"/>
              <w:autoSpaceDE w:val="0"/>
              <w:autoSpaceDN w:val="0"/>
              <w:adjustRightInd w:val="0"/>
              <w:spacing w:line="240" w:lineRule="auto"/>
            </w:pPr>
            <w:r>
              <w:t>Race (Black)</w:t>
            </w:r>
          </w:p>
        </w:tc>
        <w:tc>
          <w:tcPr>
            <w:tcW w:w="1080" w:type="dxa"/>
            <w:tcBorders>
              <w:top w:val="nil"/>
              <w:left w:val="nil"/>
              <w:bottom w:val="nil"/>
              <w:right w:val="nil"/>
            </w:tcBorders>
          </w:tcPr>
          <w:p w14:paraId="2EBBA9B9" w14:textId="77777777" w:rsidR="00C5624E" w:rsidRDefault="00C5624E" w:rsidP="00C5624E">
            <w:pPr>
              <w:widowControl w:val="0"/>
              <w:tabs>
                <w:tab w:val="decimal" w:pos="251"/>
              </w:tabs>
              <w:autoSpaceDE w:val="0"/>
              <w:autoSpaceDN w:val="0"/>
              <w:adjustRightInd w:val="0"/>
              <w:spacing w:line="240" w:lineRule="auto"/>
            </w:pPr>
            <w:r>
              <w:t>-0.70</w:t>
            </w:r>
            <w:r>
              <w:rPr>
                <w:vertAlign w:val="superscript"/>
              </w:rPr>
              <w:t>**</w:t>
            </w:r>
          </w:p>
        </w:tc>
        <w:tc>
          <w:tcPr>
            <w:tcW w:w="720" w:type="dxa"/>
            <w:tcBorders>
              <w:top w:val="nil"/>
              <w:left w:val="nil"/>
              <w:bottom w:val="nil"/>
              <w:right w:val="nil"/>
            </w:tcBorders>
          </w:tcPr>
          <w:p w14:paraId="706AE04B" w14:textId="77777777" w:rsidR="00C5624E" w:rsidRDefault="00C5624E" w:rsidP="00C5624E">
            <w:pPr>
              <w:widowControl w:val="0"/>
              <w:autoSpaceDE w:val="0"/>
              <w:autoSpaceDN w:val="0"/>
              <w:adjustRightInd w:val="0"/>
              <w:spacing w:line="240" w:lineRule="auto"/>
            </w:pPr>
            <w:r>
              <w:t>(.21)</w:t>
            </w:r>
          </w:p>
        </w:tc>
        <w:tc>
          <w:tcPr>
            <w:tcW w:w="1080" w:type="dxa"/>
            <w:tcBorders>
              <w:top w:val="nil"/>
              <w:left w:val="nil"/>
              <w:bottom w:val="nil"/>
              <w:right w:val="nil"/>
            </w:tcBorders>
          </w:tcPr>
          <w:p w14:paraId="4F2B7F07" w14:textId="77777777" w:rsidR="00C5624E" w:rsidRDefault="00C5624E" w:rsidP="00C5624E">
            <w:pPr>
              <w:widowControl w:val="0"/>
              <w:tabs>
                <w:tab w:val="decimal" w:pos="254"/>
              </w:tabs>
              <w:autoSpaceDE w:val="0"/>
              <w:autoSpaceDN w:val="0"/>
              <w:adjustRightInd w:val="0"/>
              <w:spacing w:line="240" w:lineRule="auto"/>
            </w:pPr>
            <w:r>
              <w:t>-0.70</w:t>
            </w:r>
            <w:r>
              <w:rPr>
                <w:vertAlign w:val="superscript"/>
              </w:rPr>
              <w:t>**</w:t>
            </w:r>
          </w:p>
        </w:tc>
        <w:tc>
          <w:tcPr>
            <w:tcW w:w="720" w:type="dxa"/>
            <w:tcBorders>
              <w:top w:val="nil"/>
              <w:left w:val="nil"/>
              <w:bottom w:val="nil"/>
              <w:right w:val="nil"/>
            </w:tcBorders>
          </w:tcPr>
          <w:p w14:paraId="52B50B08" w14:textId="77777777" w:rsidR="00C5624E" w:rsidRDefault="00C5624E" w:rsidP="00C5624E">
            <w:pPr>
              <w:widowControl w:val="0"/>
              <w:autoSpaceDE w:val="0"/>
              <w:autoSpaceDN w:val="0"/>
              <w:adjustRightInd w:val="0"/>
              <w:spacing w:line="240" w:lineRule="auto"/>
            </w:pPr>
            <w:r>
              <w:t>(.21)</w:t>
            </w:r>
          </w:p>
        </w:tc>
        <w:tc>
          <w:tcPr>
            <w:tcW w:w="990" w:type="dxa"/>
            <w:tcBorders>
              <w:top w:val="nil"/>
              <w:left w:val="nil"/>
              <w:bottom w:val="nil"/>
              <w:right w:val="nil"/>
            </w:tcBorders>
          </w:tcPr>
          <w:p w14:paraId="0675036F" w14:textId="77777777" w:rsidR="00C5624E" w:rsidRDefault="00C5624E" w:rsidP="00C5624E">
            <w:pPr>
              <w:widowControl w:val="0"/>
              <w:tabs>
                <w:tab w:val="decimal" w:pos="257"/>
              </w:tabs>
              <w:autoSpaceDE w:val="0"/>
              <w:autoSpaceDN w:val="0"/>
              <w:adjustRightInd w:val="0"/>
              <w:spacing w:line="240" w:lineRule="auto"/>
            </w:pPr>
            <w:r>
              <w:t>-0.70</w:t>
            </w:r>
            <w:r>
              <w:rPr>
                <w:vertAlign w:val="superscript"/>
              </w:rPr>
              <w:t>**</w:t>
            </w:r>
          </w:p>
        </w:tc>
        <w:tc>
          <w:tcPr>
            <w:tcW w:w="720" w:type="dxa"/>
            <w:tcBorders>
              <w:top w:val="nil"/>
              <w:left w:val="nil"/>
              <w:bottom w:val="nil"/>
              <w:right w:val="nil"/>
            </w:tcBorders>
          </w:tcPr>
          <w:p w14:paraId="52115E6A" w14:textId="77777777" w:rsidR="00C5624E" w:rsidRDefault="00C5624E" w:rsidP="00C5624E">
            <w:pPr>
              <w:widowControl w:val="0"/>
              <w:autoSpaceDE w:val="0"/>
              <w:autoSpaceDN w:val="0"/>
              <w:adjustRightInd w:val="0"/>
              <w:spacing w:line="240" w:lineRule="auto"/>
            </w:pPr>
            <w:r>
              <w:t>(.21)</w:t>
            </w:r>
          </w:p>
        </w:tc>
      </w:tr>
      <w:tr w:rsidR="00C5624E" w14:paraId="1B077199" w14:textId="77777777" w:rsidTr="00266A2C">
        <w:tc>
          <w:tcPr>
            <w:tcW w:w="2718" w:type="dxa"/>
            <w:tcBorders>
              <w:top w:val="nil"/>
              <w:left w:val="nil"/>
              <w:bottom w:val="single" w:sz="4" w:space="0" w:color="auto"/>
              <w:right w:val="nil"/>
            </w:tcBorders>
          </w:tcPr>
          <w:p w14:paraId="1BF9E7D3" w14:textId="77777777" w:rsidR="00C5624E" w:rsidRDefault="00C5624E" w:rsidP="00C5624E">
            <w:pPr>
              <w:widowControl w:val="0"/>
              <w:autoSpaceDE w:val="0"/>
              <w:autoSpaceDN w:val="0"/>
              <w:adjustRightInd w:val="0"/>
              <w:spacing w:line="240" w:lineRule="auto"/>
            </w:pPr>
            <w:r>
              <w:t>Years</w:t>
            </w:r>
          </w:p>
        </w:tc>
        <w:tc>
          <w:tcPr>
            <w:tcW w:w="1080" w:type="dxa"/>
            <w:tcBorders>
              <w:top w:val="nil"/>
              <w:left w:val="nil"/>
              <w:bottom w:val="single" w:sz="4" w:space="0" w:color="auto"/>
              <w:right w:val="nil"/>
            </w:tcBorders>
          </w:tcPr>
          <w:p w14:paraId="5D3F5CBF" w14:textId="77777777" w:rsidR="00C5624E" w:rsidRDefault="00C5624E" w:rsidP="00C5624E">
            <w:pPr>
              <w:widowControl w:val="0"/>
              <w:tabs>
                <w:tab w:val="decimal" w:pos="251"/>
              </w:tabs>
              <w:autoSpaceDE w:val="0"/>
              <w:autoSpaceDN w:val="0"/>
              <w:adjustRightInd w:val="0"/>
              <w:spacing w:line="240" w:lineRule="auto"/>
            </w:pPr>
            <w:r>
              <w:t>-0.01</w:t>
            </w:r>
            <w:r>
              <w:rPr>
                <w:vertAlign w:val="superscript"/>
              </w:rPr>
              <w:t>*</w:t>
            </w:r>
          </w:p>
        </w:tc>
        <w:tc>
          <w:tcPr>
            <w:tcW w:w="720" w:type="dxa"/>
            <w:tcBorders>
              <w:top w:val="nil"/>
              <w:left w:val="nil"/>
              <w:bottom w:val="single" w:sz="4" w:space="0" w:color="auto"/>
              <w:right w:val="nil"/>
            </w:tcBorders>
          </w:tcPr>
          <w:p w14:paraId="62D5F615" w14:textId="77777777" w:rsidR="00C5624E" w:rsidRDefault="00C5624E" w:rsidP="00C5624E">
            <w:pPr>
              <w:widowControl w:val="0"/>
              <w:autoSpaceDE w:val="0"/>
              <w:autoSpaceDN w:val="0"/>
              <w:adjustRightInd w:val="0"/>
              <w:spacing w:line="240" w:lineRule="auto"/>
            </w:pPr>
            <w:r>
              <w:t>(.00)</w:t>
            </w:r>
          </w:p>
        </w:tc>
        <w:tc>
          <w:tcPr>
            <w:tcW w:w="1080" w:type="dxa"/>
            <w:tcBorders>
              <w:top w:val="nil"/>
              <w:left w:val="nil"/>
              <w:bottom w:val="single" w:sz="4" w:space="0" w:color="auto"/>
              <w:right w:val="nil"/>
            </w:tcBorders>
          </w:tcPr>
          <w:p w14:paraId="454E76A5" w14:textId="77777777" w:rsidR="00C5624E" w:rsidRDefault="00C5624E" w:rsidP="00C5624E">
            <w:pPr>
              <w:widowControl w:val="0"/>
              <w:tabs>
                <w:tab w:val="decimal" w:pos="254"/>
              </w:tabs>
              <w:autoSpaceDE w:val="0"/>
              <w:autoSpaceDN w:val="0"/>
              <w:adjustRightInd w:val="0"/>
              <w:spacing w:line="240" w:lineRule="auto"/>
            </w:pPr>
            <w:r>
              <w:t>-0.01</w:t>
            </w:r>
            <w:r>
              <w:rPr>
                <w:vertAlign w:val="superscript"/>
              </w:rPr>
              <w:t>*</w:t>
            </w:r>
          </w:p>
        </w:tc>
        <w:tc>
          <w:tcPr>
            <w:tcW w:w="720" w:type="dxa"/>
            <w:tcBorders>
              <w:top w:val="nil"/>
              <w:left w:val="nil"/>
              <w:bottom w:val="single" w:sz="4" w:space="0" w:color="auto"/>
              <w:right w:val="nil"/>
            </w:tcBorders>
          </w:tcPr>
          <w:p w14:paraId="6E2A6ACF" w14:textId="77777777" w:rsidR="00C5624E" w:rsidRDefault="00C5624E" w:rsidP="00C5624E">
            <w:pPr>
              <w:widowControl w:val="0"/>
              <w:autoSpaceDE w:val="0"/>
              <w:autoSpaceDN w:val="0"/>
              <w:adjustRightInd w:val="0"/>
              <w:spacing w:line="240" w:lineRule="auto"/>
            </w:pPr>
            <w:r>
              <w:t>(.00)</w:t>
            </w:r>
          </w:p>
        </w:tc>
        <w:tc>
          <w:tcPr>
            <w:tcW w:w="990" w:type="dxa"/>
            <w:tcBorders>
              <w:top w:val="nil"/>
              <w:left w:val="nil"/>
              <w:bottom w:val="single" w:sz="4" w:space="0" w:color="auto"/>
              <w:right w:val="nil"/>
            </w:tcBorders>
          </w:tcPr>
          <w:p w14:paraId="6C50835A" w14:textId="77777777" w:rsidR="00C5624E" w:rsidRDefault="00C5624E" w:rsidP="00C5624E">
            <w:pPr>
              <w:widowControl w:val="0"/>
              <w:tabs>
                <w:tab w:val="decimal" w:pos="257"/>
              </w:tabs>
              <w:autoSpaceDE w:val="0"/>
              <w:autoSpaceDN w:val="0"/>
              <w:adjustRightInd w:val="0"/>
              <w:spacing w:line="240" w:lineRule="auto"/>
            </w:pPr>
            <w:r>
              <w:t>-0.01</w:t>
            </w:r>
            <w:r>
              <w:rPr>
                <w:vertAlign w:val="superscript"/>
              </w:rPr>
              <w:t>*</w:t>
            </w:r>
          </w:p>
        </w:tc>
        <w:tc>
          <w:tcPr>
            <w:tcW w:w="720" w:type="dxa"/>
            <w:tcBorders>
              <w:top w:val="nil"/>
              <w:left w:val="nil"/>
              <w:bottom w:val="single" w:sz="4" w:space="0" w:color="auto"/>
              <w:right w:val="nil"/>
            </w:tcBorders>
          </w:tcPr>
          <w:p w14:paraId="67CC1325" w14:textId="77777777" w:rsidR="00C5624E" w:rsidRDefault="00C5624E" w:rsidP="00C5624E">
            <w:pPr>
              <w:widowControl w:val="0"/>
              <w:autoSpaceDE w:val="0"/>
              <w:autoSpaceDN w:val="0"/>
              <w:adjustRightInd w:val="0"/>
              <w:spacing w:line="240" w:lineRule="auto"/>
            </w:pPr>
            <w:r>
              <w:t>(.00)</w:t>
            </w:r>
          </w:p>
        </w:tc>
      </w:tr>
      <w:tr w:rsidR="00C5624E" w14:paraId="3AB5FDFC" w14:textId="77777777" w:rsidTr="00266A2C">
        <w:tc>
          <w:tcPr>
            <w:tcW w:w="2718" w:type="dxa"/>
            <w:tcBorders>
              <w:top w:val="single" w:sz="4" w:space="0" w:color="auto"/>
              <w:left w:val="nil"/>
              <w:bottom w:val="single" w:sz="4" w:space="0" w:color="auto"/>
              <w:right w:val="nil"/>
            </w:tcBorders>
          </w:tcPr>
          <w:p w14:paraId="079DB76D" w14:textId="77777777" w:rsidR="00C5624E" w:rsidRDefault="00C5624E" w:rsidP="00C5624E">
            <w:pPr>
              <w:widowControl w:val="0"/>
              <w:autoSpaceDE w:val="0"/>
              <w:autoSpaceDN w:val="0"/>
              <w:adjustRightInd w:val="0"/>
              <w:spacing w:line="240" w:lineRule="auto"/>
            </w:pPr>
            <w:r>
              <w:t>Observations</w:t>
            </w:r>
          </w:p>
        </w:tc>
        <w:tc>
          <w:tcPr>
            <w:tcW w:w="5310" w:type="dxa"/>
            <w:gridSpan w:val="6"/>
            <w:tcBorders>
              <w:top w:val="single" w:sz="4" w:space="0" w:color="auto"/>
              <w:left w:val="nil"/>
              <w:bottom w:val="single" w:sz="4" w:space="0" w:color="auto"/>
              <w:right w:val="nil"/>
            </w:tcBorders>
          </w:tcPr>
          <w:p w14:paraId="489296F5" w14:textId="77777777" w:rsidR="00C5624E" w:rsidRDefault="00C5624E" w:rsidP="00C5624E">
            <w:pPr>
              <w:widowControl w:val="0"/>
              <w:autoSpaceDE w:val="0"/>
              <w:autoSpaceDN w:val="0"/>
              <w:adjustRightInd w:val="0"/>
              <w:spacing w:line="240" w:lineRule="auto"/>
              <w:jc w:val="center"/>
            </w:pPr>
            <w:r>
              <w:t>49,103</w:t>
            </w:r>
          </w:p>
        </w:tc>
      </w:tr>
      <w:tr w:rsidR="00C5624E" w14:paraId="37BD8506" w14:textId="77777777" w:rsidTr="00266A2C">
        <w:tc>
          <w:tcPr>
            <w:tcW w:w="2718" w:type="dxa"/>
            <w:tcBorders>
              <w:top w:val="single" w:sz="4" w:space="0" w:color="auto"/>
              <w:left w:val="nil"/>
              <w:bottom w:val="nil"/>
              <w:right w:val="nil"/>
            </w:tcBorders>
          </w:tcPr>
          <w:p w14:paraId="72DD833C" w14:textId="77777777" w:rsidR="00C5624E" w:rsidRDefault="00C5624E" w:rsidP="00C5624E">
            <w:pPr>
              <w:widowControl w:val="0"/>
              <w:autoSpaceDE w:val="0"/>
              <w:autoSpaceDN w:val="0"/>
              <w:adjustRightInd w:val="0"/>
              <w:spacing w:line="240" w:lineRule="auto"/>
            </w:pPr>
            <w:r>
              <w:t>AIC</w:t>
            </w:r>
          </w:p>
        </w:tc>
        <w:tc>
          <w:tcPr>
            <w:tcW w:w="1800" w:type="dxa"/>
            <w:gridSpan w:val="2"/>
            <w:tcBorders>
              <w:top w:val="single" w:sz="4" w:space="0" w:color="auto"/>
              <w:left w:val="nil"/>
              <w:bottom w:val="nil"/>
              <w:right w:val="nil"/>
            </w:tcBorders>
          </w:tcPr>
          <w:p w14:paraId="37009B12" w14:textId="77777777" w:rsidR="00C5624E" w:rsidRDefault="00C5624E" w:rsidP="00C5624E">
            <w:pPr>
              <w:widowControl w:val="0"/>
              <w:autoSpaceDE w:val="0"/>
              <w:autoSpaceDN w:val="0"/>
              <w:adjustRightInd w:val="0"/>
              <w:spacing w:line="240" w:lineRule="auto"/>
              <w:jc w:val="center"/>
            </w:pPr>
            <w:r>
              <w:t>5066.28</w:t>
            </w:r>
          </w:p>
        </w:tc>
        <w:tc>
          <w:tcPr>
            <w:tcW w:w="1800" w:type="dxa"/>
            <w:gridSpan w:val="2"/>
            <w:tcBorders>
              <w:top w:val="single" w:sz="4" w:space="0" w:color="auto"/>
              <w:left w:val="nil"/>
              <w:bottom w:val="nil"/>
              <w:right w:val="nil"/>
            </w:tcBorders>
          </w:tcPr>
          <w:p w14:paraId="2D49C833" w14:textId="77777777" w:rsidR="00C5624E" w:rsidRDefault="00C5624E" w:rsidP="00C5624E">
            <w:pPr>
              <w:widowControl w:val="0"/>
              <w:autoSpaceDE w:val="0"/>
              <w:autoSpaceDN w:val="0"/>
              <w:adjustRightInd w:val="0"/>
              <w:spacing w:line="240" w:lineRule="auto"/>
              <w:jc w:val="center"/>
            </w:pPr>
            <w:r>
              <w:t>5061.57</w:t>
            </w:r>
          </w:p>
        </w:tc>
        <w:tc>
          <w:tcPr>
            <w:tcW w:w="1710" w:type="dxa"/>
            <w:gridSpan w:val="2"/>
            <w:tcBorders>
              <w:top w:val="single" w:sz="4" w:space="0" w:color="auto"/>
              <w:left w:val="nil"/>
              <w:bottom w:val="nil"/>
              <w:right w:val="nil"/>
            </w:tcBorders>
          </w:tcPr>
          <w:p w14:paraId="02920B06" w14:textId="77777777" w:rsidR="00C5624E" w:rsidRDefault="00C5624E" w:rsidP="00C5624E">
            <w:pPr>
              <w:widowControl w:val="0"/>
              <w:autoSpaceDE w:val="0"/>
              <w:autoSpaceDN w:val="0"/>
              <w:adjustRightInd w:val="0"/>
              <w:spacing w:line="240" w:lineRule="auto"/>
              <w:jc w:val="center"/>
            </w:pPr>
            <w:r>
              <w:t>5065.09</w:t>
            </w:r>
          </w:p>
        </w:tc>
      </w:tr>
      <w:tr w:rsidR="00C5624E" w14:paraId="56963114" w14:textId="77777777" w:rsidTr="00484854">
        <w:tc>
          <w:tcPr>
            <w:tcW w:w="2718" w:type="dxa"/>
            <w:tcBorders>
              <w:top w:val="nil"/>
              <w:left w:val="nil"/>
              <w:bottom w:val="single" w:sz="4" w:space="0" w:color="auto"/>
              <w:right w:val="nil"/>
            </w:tcBorders>
          </w:tcPr>
          <w:p w14:paraId="7CA51896" w14:textId="77777777" w:rsidR="00C5624E" w:rsidRDefault="00C5624E" w:rsidP="00C5624E">
            <w:pPr>
              <w:widowControl w:val="0"/>
              <w:autoSpaceDE w:val="0"/>
              <w:autoSpaceDN w:val="0"/>
              <w:adjustRightInd w:val="0"/>
              <w:spacing w:line="240" w:lineRule="auto"/>
            </w:pPr>
            <w:r>
              <w:t>BIC</w:t>
            </w:r>
          </w:p>
        </w:tc>
        <w:tc>
          <w:tcPr>
            <w:tcW w:w="1800" w:type="dxa"/>
            <w:gridSpan w:val="2"/>
            <w:tcBorders>
              <w:top w:val="nil"/>
              <w:left w:val="nil"/>
              <w:bottom w:val="single" w:sz="4" w:space="0" w:color="auto"/>
              <w:right w:val="nil"/>
            </w:tcBorders>
          </w:tcPr>
          <w:p w14:paraId="64AD286D" w14:textId="77777777" w:rsidR="00C5624E" w:rsidRDefault="00C5624E" w:rsidP="00C5624E">
            <w:pPr>
              <w:widowControl w:val="0"/>
              <w:autoSpaceDE w:val="0"/>
              <w:autoSpaceDN w:val="0"/>
              <w:adjustRightInd w:val="0"/>
              <w:spacing w:line="240" w:lineRule="auto"/>
              <w:jc w:val="center"/>
            </w:pPr>
            <w:r>
              <w:t>5189.50</w:t>
            </w:r>
          </w:p>
        </w:tc>
        <w:tc>
          <w:tcPr>
            <w:tcW w:w="1800" w:type="dxa"/>
            <w:gridSpan w:val="2"/>
            <w:tcBorders>
              <w:top w:val="nil"/>
              <w:left w:val="nil"/>
              <w:bottom w:val="single" w:sz="4" w:space="0" w:color="auto"/>
              <w:right w:val="nil"/>
            </w:tcBorders>
          </w:tcPr>
          <w:p w14:paraId="61F4DA34" w14:textId="77777777" w:rsidR="00C5624E" w:rsidRDefault="00C5624E" w:rsidP="00C5624E">
            <w:pPr>
              <w:widowControl w:val="0"/>
              <w:autoSpaceDE w:val="0"/>
              <w:autoSpaceDN w:val="0"/>
              <w:adjustRightInd w:val="0"/>
              <w:spacing w:line="240" w:lineRule="auto"/>
              <w:jc w:val="center"/>
            </w:pPr>
            <w:r>
              <w:t>5193.59</w:t>
            </w:r>
          </w:p>
        </w:tc>
        <w:tc>
          <w:tcPr>
            <w:tcW w:w="1710" w:type="dxa"/>
            <w:gridSpan w:val="2"/>
            <w:tcBorders>
              <w:top w:val="nil"/>
              <w:left w:val="nil"/>
              <w:bottom w:val="single" w:sz="4" w:space="0" w:color="auto"/>
              <w:right w:val="nil"/>
            </w:tcBorders>
          </w:tcPr>
          <w:p w14:paraId="0963D95B" w14:textId="77777777" w:rsidR="00C5624E" w:rsidRDefault="00C5624E" w:rsidP="00C5624E">
            <w:pPr>
              <w:widowControl w:val="0"/>
              <w:autoSpaceDE w:val="0"/>
              <w:autoSpaceDN w:val="0"/>
              <w:adjustRightInd w:val="0"/>
              <w:spacing w:line="240" w:lineRule="auto"/>
              <w:jc w:val="center"/>
            </w:pPr>
            <w:r>
              <w:t>5197.12</w:t>
            </w:r>
          </w:p>
        </w:tc>
      </w:tr>
    </w:tbl>
    <w:p w14:paraId="5AE5AEDF" w14:textId="77777777" w:rsidR="00AD68A1" w:rsidRDefault="00AD68A1" w:rsidP="00AD68A1">
      <w:pPr>
        <w:widowControl w:val="0"/>
        <w:autoSpaceDE w:val="0"/>
        <w:autoSpaceDN w:val="0"/>
        <w:adjustRightInd w:val="0"/>
        <w:spacing w:line="240" w:lineRule="auto"/>
        <w:rPr>
          <w:sz w:val="20"/>
          <w:szCs w:val="20"/>
        </w:rPr>
      </w:pPr>
      <w:r>
        <w:rPr>
          <w:sz w:val="20"/>
          <w:szCs w:val="20"/>
        </w:rPr>
        <w:t>Standard errors in parentheses</w:t>
      </w:r>
    </w:p>
    <w:p w14:paraId="38727C5A" w14:textId="77777777" w:rsidR="00AD68A1" w:rsidRDefault="00AD68A1" w:rsidP="00AD68A1">
      <w:pPr>
        <w:widowControl w:val="0"/>
        <w:autoSpaceDE w:val="0"/>
        <w:autoSpaceDN w:val="0"/>
        <w:adjustRightInd w:val="0"/>
        <w:spacing w:line="240" w:lineRule="auto"/>
        <w:rPr>
          <w:sz w:val="20"/>
          <w:szCs w:val="20"/>
        </w:rPr>
      </w:pPr>
      <w:r>
        <w:rPr>
          <w:sz w:val="20"/>
          <w:szCs w:val="20"/>
        </w:rPr>
        <w:t>Source: Monitoring the Future (1976-2019)</w:t>
      </w:r>
    </w:p>
    <w:p w14:paraId="1B194C49" w14:textId="77777777" w:rsidR="00AD68A1" w:rsidRDefault="00AD68A1" w:rsidP="00AD68A1">
      <w:pPr>
        <w:widowControl w:val="0"/>
        <w:autoSpaceDE w:val="0"/>
        <w:autoSpaceDN w:val="0"/>
        <w:adjustRightInd w:val="0"/>
        <w:spacing w:line="240" w:lineRule="auto"/>
        <w:rPr>
          <w:sz w:val="20"/>
          <w:szCs w:val="20"/>
        </w:rPr>
      </w:pP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p>
    <w:p w14:paraId="349039DA" w14:textId="77777777" w:rsidR="00AD68A1" w:rsidRDefault="00AD68A1" w:rsidP="00AD68A1">
      <w:pPr>
        <w:widowControl w:val="0"/>
        <w:autoSpaceDE w:val="0"/>
        <w:autoSpaceDN w:val="0"/>
        <w:adjustRightInd w:val="0"/>
        <w:spacing w:line="240" w:lineRule="auto"/>
      </w:pPr>
    </w:p>
    <w:p w14:paraId="578BDDDC" w14:textId="77777777" w:rsidR="007F46E8" w:rsidRPr="00170ADE" w:rsidRDefault="007F46E8" w:rsidP="00170ADE"/>
    <w:sectPr w:rsidR="007F46E8" w:rsidRPr="00170ADE" w:rsidSect="00696C24">
      <w:footerReference w:type="defaul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79594" w14:textId="77777777" w:rsidR="00F659C6" w:rsidRDefault="00F659C6" w:rsidP="004006C6">
      <w:pPr>
        <w:spacing w:line="240" w:lineRule="auto"/>
      </w:pPr>
      <w:r>
        <w:separator/>
      </w:r>
    </w:p>
  </w:endnote>
  <w:endnote w:type="continuationSeparator" w:id="0">
    <w:p w14:paraId="4C11655E" w14:textId="77777777" w:rsidR="00F659C6" w:rsidRDefault="00F659C6" w:rsidP="004006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85A86" w14:textId="7332C5D7" w:rsidR="00484854" w:rsidRDefault="00484854">
    <w:pPr>
      <w:pStyle w:val="Footer"/>
      <w:jc w:val="right"/>
    </w:pPr>
  </w:p>
  <w:p w14:paraId="3160B650" w14:textId="36E42695" w:rsidR="00484854" w:rsidRDefault="00484854">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5085857"/>
      <w:docPartObj>
        <w:docPartGallery w:val="Page Numbers (Bottom of Page)"/>
        <w:docPartUnique/>
      </w:docPartObj>
    </w:sdtPr>
    <w:sdtEndPr>
      <w:rPr>
        <w:noProof/>
      </w:rPr>
    </w:sdtEndPr>
    <w:sdtContent>
      <w:p w14:paraId="65A8F4E3" w14:textId="03A80323" w:rsidR="00484854" w:rsidRDefault="00484854">
        <w:pPr>
          <w:pStyle w:val="Footer"/>
          <w:jc w:val="right"/>
        </w:pPr>
        <w:r>
          <w:fldChar w:fldCharType="begin"/>
        </w:r>
        <w:r>
          <w:instrText xml:space="preserve"> PAGE   \* MERGEFORMAT </w:instrText>
        </w:r>
        <w:r>
          <w:fldChar w:fldCharType="separate"/>
        </w:r>
        <w:r w:rsidR="00802681">
          <w:rPr>
            <w:noProof/>
          </w:rPr>
          <w:t>vii</w:t>
        </w:r>
        <w:r>
          <w:rPr>
            <w:noProof/>
          </w:rPr>
          <w:fldChar w:fldCharType="end"/>
        </w:r>
      </w:p>
    </w:sdtContent>
  </w:sdt>
  <w:p w14:paraId="7D8637DC" w14:textId="77777777" w:rsidR="00484854" w:rsidRDefault="0048485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2963134"/>
      <w:docPartObj>
        <w:docPartGallery w:val="Page Numbers (Bottom of Page)"/>
        <w:docPartUnique/>
      </w:docPartObj>
    </w:sdtPr>
    <w:sdtEndPr>
      <w:rPr>
        <w:noProof/>
      </w:rPr>
    </w:sdtEndPr>
    <w:sdtContent>
      <w:p w14:paraId="01CC42EE" w14:textId="31B7B677" w:rsidR="00484854" w:rsidRDefault="00484854">
        <w:pPr>
          <w:pStyle w:val="Footer"/>
          <w:jc w:val="right"/>
        </w:pPr>
        <w:r>
          <w:fldChar w:fldCharType="begin"/>
        </w:r>
        <w:r>
          <w:instrText xml:space="preserve"> PAGE   \* MERGEFORMAT </w:instrText>
        </w:r>
        <w:r>
          <w:fldChar w:fldCharType="separate"/>
        </w:r>
        <w:r w:rsidR="00886340">
          <w:rPr>
            <w:noProof/>
          </w:rPr>
          <w:t>1</w:t>
        </w:r>
        <w:r>
          <w:rPr>
            <w:noProof/>
          </w:rPr>
          <w:fldChar w:fldCharType="end"/>
        </w:r>
      </w:p>
    </w:sdtContent>
  </w:sdt>
  <w:p w14:paraId="615356E5" w14:textId="77777777" w:rsidR="00484854" w:rsidRDefault="0048485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7B052" w14:textId="77777777" w:rsidR="00F659C6" w:rsidRDefault="00F659C6" w:rsidP="004006C6">
      <w:pPr>
        <w:spacing w:line="240" w:lineRule="auto"/>
      </w:pPr>
      <w:r>
        <w:separator/>
      </w:r>
    </w:p>
  </w:footnote>
  <w:footnote w:type="continuationSeparator" w:id="0">
    <w:p w14:paraId="689524DB" w14:textId="77777777" w:rsidR="00F659C6" w:rsidRDefault="00F659C6" w:rsidP="004006C6">
      <w:pPr>
        <w:spacing w:line="240" w:lineRule="auto"/>
      </w:pPr>
      <w:r>
        <w:continuationSeparator/>
      </w:r>
    </w:p>
  </w:footnote>
  <w:footnote w:id="1">
    <w:p w14:paraId="4E16842C" w14:textId="04A29D81" w:rsidR="00484854" w:rsidRDefault="00484854">
      <w:pPr>
        <w:pStyle w:val="FootnoteText"/>
      </w:pPr>
      <w:r w:rsidRPr="005B489A">
        <w:rPr>
          <w:rStyle w:val="FootnoteReference"/>
        </w:rPr>
        <w:footnoteRef/>
      </w:r>
      <w:r>
        <w:t xml:space="preserve"> Data on 8</w:t>
      </w:r>
      <w:r w:rsidRPr="008F0FB9">
        <w:rPr>
          <w:vertAlign w:val="superscript"/>
        </w:rPr>
        <w:t>th</w:t>
      </w:r>
      <w:r>
        <w:t>- and 10</w:t>
      </w:r>
      <w:r w:rsidRPr="008F0FB9">
        <w:rPr>
          <w:vertAlign w:val="superscript"/>
        </w:rPr>
        <w:t>th</w:t>
      </w:r>
      <w:r>
        <w:t>-graders were gathered by the MTF creators starting in 1991. To use the full range of data, this research focuses only on 12</w:t>
      </w:r>
      <w:r w:rsidRPr="00A17DD4">
        <w:rPr>
          <w:vertAlign w:val="superscript"/>
        </w:rPr>
        <w:t>th</w:t>
      </w:r>
      <w:r>
        <w:t xml:space="preserve">-grade respondents. </w:t>
      </w:r>
    </w:p>
  </w:footnote>
  <w:footnote w:id="2">
    <w:p w14:paraId="2692DF82" w14:textId="77777777" w:rsidR="00484854" w:rsidRDefault="00484854" w:rsidP="00655801">
      <w:pPr>
        <w:pStyle w:val="FootnoteText"/>
      </w:pPr>
      <w:r w:rsidRPr="005B489A">
        <w:rPr>
          <w:rStyle w:val="FootnoteReference"/>
        </w:rPr>
        <w:footnoteRef/>
      </w:r>
      <w:r>
        <w:t xml:space="preserve"> The survey asks respondents about their marijuana use by inserting: “used marijuana (weed, pot) or hashish (hash, hash oil)” into the question; cocaine use by inserting: “used “</w:t>
      </w:r>
      <w:r w:rsidRPr="00C21E99">
        <w:t>crack</w:t>
      </w:r>
      <w:r>
        <w:t>”</w:t>
      </w:r>
      <w:r w:rsidRPr="00C21E99">
        <w:t xml:space="preserve"> (cocaine in chunk or rock form)</w:t>
      </w:r>
      <w:r>
        <w:t>/cocaine in any other form” into the question; heroin use by inserting: “used heroin” into the question; and narcotics by inserting: “taken narcotics other than heroin on your own—that is, without a doctor telling you to take them” into the question.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0F2E6" w14:textId="77916DA7" w:rsidR="00484854" w:rsidRDefault="00484854">
    <w:pPr>
      <w:pStyle w:val="Header"/>
      <w:jc w:val="right"/>
    </w:pPr>
  </w:p>
  <w:p w14:paraId="1914CED5" w14:textId="77777777" w:rsidR="00484854" w:rsidRDefault="004848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743AE"/>
    <w:multiLevelType w:val="hybridMultilevel"/>
    <w:tmpl w:val="66DA18FC"/>
    <w:lvl w:ilvl="0" w:tplc="B870380A">
      <w:start w:val="4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472949"/>
    <w:multiLevelType w:val="hybridMultilevel"/>
    <w:tmpl w:val="E0F21EFC"/>
    <w:lvl w:ilvl="0" w:tplc="65305302">
      <w:start w:val="9"/>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7952547">
    <w:abstractNumId w:val="1"/>
  </w:num>
  <w:num w:numId="2" w16cid:durableId="598803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yNDUyN7U0MzA2MTZS0lEKTi0uzszPAymwqAUAl0n4BCwAAAA="/>
  </w:docVars>
  <w:rsids>
    <w:rsidRoot w:val="00D0637F"/>
    <w:rsid w:val="00000A44"/>
    <w:rsid w:val="00001AE0"/>
    <w:rsid w:val="00003374"/>
    <w:rsid w:val="0000476C"/>
    <w:rsid w:val="000064DF"/>
    <w:rsid w:val="00010240"/>
    <w:rsid w:val="00012AE1"/>
    <w:rsid w:val="00012C26"/>
    <w:rsid w:val="00013384"/>
    <w:rsid w:val="000176B0"/>
    <w:rsid w:val="00020E8E"/>
    <w:rsid w:val="0002189B"/>
    <w:rsid w:val="00022AD0"/>
    <w:rsid w:val="00026E05"/>
    <w:rsid w:val="00027DDF"/>
    <w:rsid w:val="0003159A"/>
    <w:rsid w:val="0003375D"/>
    <w:rsid w:val="000337BB"/>
    <w:rsid w:val="000359B9"/>
    <w:rsid w:val="00036598"/>
    <w:rsid w:val="000404E0"/>
    <w:rsid w:val="000417A0"/>
    <w:rsid w:val="00041966"/>
    <w:rsid w:val="00042DCD"/>
    <w:rsid w:val="0004359B"/>
    <w:rsid w:val="00047416"/>
    <w:rsid w:val="00050A6A"/>
    <w:rsid w:val="00051240"/>
    <w:rsid w:val="00052A33"/>
    <w:rsid w:val="00054A13"/>
    <w:rsid w:val="00057277"/>
    <w:rsid w:val="000573EA"/>
    <w:rsid w:val="0006017F"/>
    <w:rsid w:val="0006297C"/>
    <w:rsid w:val="00062F97"/>
    <w:rsid w:val="00065924"/>
    <w:rsid w:val="00072A10"/>
    <w:rsid w:val="000769D8"/>
    <w:rsid w:val="00081A95"/>
    <w:rsid w:val="000826FC"/>
    <w:rsid w:val="00082D97"/>
    <w:rsid w:val="000842CB"/>
    <w:rsid w:val="00084711"/>
    <w:rsid w:val="0008500E"/>
    <w:rsid w:val="00092D27"/>
    <w:rsid w:val="00095153"/>
    <w:rsid w:val="000956EF"/>
    <w:rsid w:val="00097BEE"/>
    <w:rsid w:val="000A0F67"/>
    <w:rsid w:val="000A404C"/>
    <w:rsid w:val="000A775A"/>
    <w:rsid w:val="000B0B8D"/>
    <w:rsid w:val="000B5BF5"/>
    <w:rsid w:val="000B6184"/>
    <w:rsid w:val="000B64DD"/>
    <w:rsid w:val="000B71F5"/>
    <w:rsid w:val="000C35B6"/>
    <w:rsid w:val="000C461F"/>
    <w:rsid w:val="000C60F2"/>
    <w:rsid w:val="000D010A"/>
    <w:rsid w:val="000D381B"/>
    <w:rsid w:val="000D4E47"/>
    <w:rsid w:val="000D5CDB"/>
    <w:rsid w:val="000D7A02"/>
    <w:rsid w:val="000E531D"/>
    <w:rsid w:val="000E58DE"/>
    <w:rsid w:val="000E6C94"/>
    <w:rsid w:val="000F0A23"/>
    <w:rsid w:val="000F10A1"/>
    <w:rsid w:val="000F10BE"/>
    <w:rsid w:val="000F1786"/>
    <w:rsid w:val="000F2BF0"/>
    <w:rsid w:val="000F6DED"/>
    <w:rsid w:val="000F759A"/>
    <w:rsid w:val="00101649"/>
    <w:rsid w:val="00102AB1"/>
    <w:rsid w:val="00104AA3"/>
    <w:rsid w:val="001060F2"/>
    <w:rsid w:val="00106174"/>
    <w:rsid w:val="0010664B"/>
    <w:rsid w:val="001073B2"/>
    <w:rsid w:val="00107E09"/>
    <w:rsid w:val="001112CB"/>
    <w:rsid w:val="0011262D"/>
    <w:rsid w:val="0011512D"/>
    <w:rsid w:val="00120C6E"/>
    <w:rsid w:val="001224AD"/>
    <w:rsid w:val="0012687C"/>
    <w:rsid w:val="00126FA6"/>
    <w:rsid w:val="00127C5C"/>
    <w:rsid w:val="00132EF8"/>
    <w:rsid w:val="0013527E"/>
    <w:rsid w:val="00136752"/>
    <w:rsid w:val="001369E3"/>
    <w:rsid w:val="001378E0"/>
    <w:rsid w:val="00140AF6"/>
    <w:rsid w:val="00141B34"/>
    <w:rsid w:val="00143CD9"/>
    <w:rsid w:val="001453F8"/>
    <w:rsid w:val="001467D8"/>
    <w:rsid w:val="00147A37"/>
    <w:rsid w:val="00147E2E"/>
    <w:rsid w:val="00150089"/>
    <w:rsid w:val="00151041"/>
    <w:rsid w:val="001511FF"/>
    <w:rsid w:val="001534E9"/>
    <w:rsid w:val="00155E45"/>
    <w:rsid w:val="001563C8"/>
    <w:rsid w:val="00156E4B"/>
    <w:rsid w:val="00160EF5"/>
    <w:rsid w:val="001618F3"/>
    <w:rsid w:val="001645F4"/>
    <w:rsid w:val="00164BB5"/>
    <w:rsid w:val="001653BE"/>
    <w:rsid w:val="001653DA"/>
    <w:rsid w:val="001659FB"/>
    <w:rsid w:val="001671BA"/>
    <w:rsid w:val="001705BC"/>
    <w:rsid w:val="001709E6"/>
    <w:rsid w:val="00170ADE"/>
    <w:rsid w:val="00170B8D"/>
    <w:rsid w:val="0017144A"/>
    <w:rsid w:val="0017457C"/>
    <w:rsid w:val="00176A0E"/>
    <w:rsid w:val="00180DE9"/>
    <w:rsid w:val="00182057"/>
    <w:rsid w:val="00182A4D"/>
    <w:rsid w:val="00185E33"/>
    <w:rsid w:val="001864A5"/>
    <w:rsid w:val="00191972"/>
    <w:rsid w:val="00192CF3"/>
    <w:rsid w:val="00194685"/>
    <w:rsid w:val="00196E22"/>
    <w:rsid w:val="001A06BF"/>
    <w:rsid w:val="001A3C91"/>
    <w:rsid w:val="001A59E4"/>
    <w:rsid w:val="001A6E28"/>
    <w:rsid w:val="001A6F27"/>
    <w:rsid w:val="001A75B1"/>
    <w:rsid w:val="001A7AFC"/>
    <w:rsid w:val="001A7BBF"/>
    <w:rsid w:val="001B1258"/>
    <w:rsid w:val="001B16E0"/>
    <w:rsid w:val="001B56F3"/>
    <w:rsid w:val="001B6B38"/>
    <w:rsid w:val="001C31B4"/>
    <w:rsid w:val="001C33AC"/>
    <w:rsid w:val="001C5051"/>
    <w:rsid w:val="001C5526"/>
    <w:rsid w:val="001D11FD"/>
    <w:rsid w:val="001D1904"/>
    <w:rsid w:val="001D366A"/>
    <w:rsid w:val="001E0778"/>
    <w:rsid w:val="001E298E"/>
    <w:rsid w:val="001E3FAA"/>
    <w:rsid w:val="001E4C82"/>
    <w:rsid w:val="001E564C"/>
    <w:rsid w:val="001F16AF"/>
    <w:rsid w:val="001F5295"/>
    <w:rsid w:val="001F532D"/>
    <w:rsid w:val="001F5BD9"/>
    <w:rsid w:val="001F6980"/>
    <w:rsid w:val="00200E91"/>
    <w:rsid w:val="0020118E"/>
    <w:rsid w:val="002033F4"/>
    <w:rsid w:val="002035EB"/>
    <w:rsid w:val="002040E1"/>
    <w:rsid w:val="00204A2D"/>
    <w:rsid w:val="002051AB"/>
    <w:rsid w:val="0020555A"/>
    <w:rsid w:val="0021060C"/>
    <w:rsid w:val="002142D6"/>
    <w:rsid w:val="002157D6"/>
    <w:rsid w:val="002160C0"/>
    <w:rsid w:val="002162DE"/>
    <w:rsid w:val="00217813"/>
    <w:rsid w:val="00220C0E"/>
    <w:rsid w:val="00221345"/>
    <w:rsid w:val="0022257A"/>
    <w:rsid w:val="00223BBD"/>
    <w:rsid w:val="002312C7"/>
    <w:rsid w:val="002330D1"/>
    <w:rsid w:val="002343D3"/>
    <w:rsid w:val="002359CA"/>
    <w:rsid w:val="00241E63"/>
    <w:rsid w:val="00241ED9"/>
    <w:rsid w:val="00242FA9"/>
    <w:rsid w:val="00243D83"/>
    <w:rsid w:val="00244DC3"/>
    <w:rsid w:val="0024759E"/>
    <w:rsid w:val="00252537"/>
    <w:rsid w:val="002533B5"/>
    <w:rsid w:val="00255F05"/>
    <w:rsid w:val="002613C7"/>
    <w:rsid w:val="00261D9B"/>
    <w:rsid w:val="00262828"/>
    <w:rsid w:val="00262B44"/>
    <w:rsid w:val="00263C10"/>
    <w:rsid w:val="00264694"/>
    <w:rsid w:val="00265301"/>
    <w:rsid w:val="0026560B"/>
    <w:rsid w:val="00266A2C"/>
    <w:rsid w:val="00266C7F"/>
    <w:rsid w:val="00267B63"/>
    <w:rsid w:val="00271620"/>
    <w:rsid w:val="00274401"/>
    <w:rsid w:val="00276DC0"/>
    <w:rsid w:val="002801CD"/>
    <w:rsid w:val="00281225"/>
    <w:rsid w:val="00283FDF"/>
    <w:rsid w:val="00285046"/>
    <w:rsid w:val="00285AF5"/>
    <w:rsid w:val="00291A06"/>
    <w:rsid w:val="00294545"/>
    <w:rsid w:val="00294DA1"/>
    <w:rsid w:val="002A0E99"/>
    <w:rsid w:val="002A17CE"/>
    <w:rsid w:val="002A4EB2"/>
    <w:rsid w:val="002A5125"/>
    <w:rsid w:val="002B0DAC"/>
    <w:rsid w:val="002B4D66"/>
    <w:rsid w:val="002B5404"/>
    <w:rsid w:val="002B7A5A"/>
    <w:rsid w:val="002B7D7B"/>
    <w:rsid w:val="002C13D0"/>
    <w:rsid w:val="002C2235"/>
    <w:rsid w:val="002C6FE4"/>
    <w:rsid w:val="002D0A6E"/>
    <w:rsid w:val="002D1471"/>
    <w:rsid w:val="002D174E"/>
    <w:rsid w:val="002D3A38"/>
    <w:rsid w:val="002D498B"/>
    <w:rsid w:val="002D5FCF"/>
    <w:rsid w:val="002E16CA"/>
    <w:rsid w:val="002E5849"/>
    <w:rsid w:val="002F35EA"/>
    <w:rsid w:val="002F3C89"/>
    <w:rsid w:val="002F414B"/>
    <w:rsid w:val="002F4C62"/>
    <w:rsid w:val="002F5040"/>
    <w:rsid w:val="002F7E52"/>
    <w:rsid w:val="003008B4"/>
    <w:rsid w:val="00300935"/>
    <w:rsid w:val="00301432"/>
    <w:rsid w:val="003035B0"/>
    <w:rsid w:val="003042AA"/>
    <w:rsid w:val="003057F5"/>
    <w:rsid w:val="00305B23"/>
    <w:rsid w:val="00306D21"/>
    <w:rsid w:val="00307085"/>
    <w:rsid w:val="0031046A"/>
    <w:rsid w:val="003153F4"/>
    <w:rsid w:val="003156B5"/>
    <w:rsid w:val="0031778A"/>
    <w:rsid w:val="00322AB2"/>
    <w:rsid w:val="00326BBA"/>
    <w:rsid w:val="0032719B"/>
    <w:rsid w:val="00327805"/>
    <w:rsid w:val="00330154"/>
    <w:rsid w:val="00330DDA"/>
    <w:rsid w:val="0033176A"/>
    <w:rsid w:val="003351C2"/>
    <w:rsid w:val="00340BB8"/>
    <w:rsid w:val="003416D0"/>
    <w:rsid w:val="00341B6A"/>
    <w:rsid w:val="00342074"/>
    <w:rsid w:val="0034246C"/>
    <w:rsid w:val="00345552"/>
    <w:rsid w:val="00347443"/>
    <w:rsid w:val="00351CC5"/>
    <w:rsid w:val="00351DE3"/>
    <w:rsid w:val="003539C4"/>
    <w:rsid w:val="003541BC"/>
    <w:rsid w:val="00360C3E"/>
    <w:rsid w:val="003619A9"/>
    <w:rsid w:val="0036237B"/>
    <w:rsid w:val="003632FB"/>
    <w:rsid w:val="00364DC7"/>
    <w:rsid w:val="00366347"/>
    <w:rsid w:val="00370192"/>
    <w:rsid w:val="00370936"/>
    <w:rsid w:val="00370A03"/>
    <w:rsid w:val="003770A5"/>
    <w:rsid w:val="00381CA4"/>
    <w:rsid w:val="00387689"/>
    <w:rsid w:val="0039004F"/>
    <w:rsid w:val="00390208"/>
    <w:rsid w:val="00392768"/>
    <w:rsid w:val="00392A33"/>
    <w:rsid w:val="0039373B"/>
    <w:rsid w:val="0039460B"/>
    <w:rsid w:val="003979D3"/>
    <w:rsid w:val="00397C66"/>
    <w:rsid w:val="003A03F9"/>
    <w:rsid w:val="003A07F4"/>
    <w:rsid w:val="003A20FE"/>
    <w:rsid w:val="003A2463"/>
    <w:rsid w:val="003A27E5"/>
    <w:rsid w:val="003A2DAC"/>
    <w:rsid w:val="003A7AD6"/>
    <w:rsid w:val="003B4EAD"/>
    <w:rsid w:val="003C0224"/>
    <w:rsid w:val="003C13BD"/>
    <w:rsid w:val="003C3047"/>
    <w:rsid w:val="003C37F5"/>
    <w:rsid w:val="003C4BA9"/>
    <w:rsid w:val="003C74C2"/>
    <w:rsid w:val="003D1DEF"/>
    <w:rsid w:val="003D2EA9"/>
    <w:rsid w:val="003D306E"/>
    <w:rsid w:val="003D37CB"/>
    <w:rsid w:val="003D73CC"/>
    <w:rsid w:val="003D7C9B"/>
    <w:rsid w:val="003E4453"/>
    <w:rsid w:val="003E50AC"/>
    <w:rsid w:val="003E53DF"/>
    <w:rsid w:val="003E5BF9"/>
    <w:rsid w:val="003F0235"/>
    <w:rsid w:val="003F19DE"/>
    <w:rsid w:val="003F2078"/>
    <w:rsid w:val="003F29CE"/>
    <w:rsid w:val="003F4D31"/>
    <w:rsid w:val="003F64F8"/>
    <w:rsid w:val="003F7137"/>
    <w:rsid w:val="003F7832"/>
    <w:rsid w:val="004005F2"/>
    <w:rsid w:val="004006C6"/>
    <w:rsid w:val="00400C4A"/>
    <w:rsid w:val="004013BC"/>
    <w:rsid w:val="00401BC3"/>
    <w:rsid w:val="00402424"/>
    <w:rsid w:val="0040587C"/>
    <w:rsid w:val="004063BF"/>
    <w:rsid w:val="00406623"/>
    <w:rsid w:val="0041112E"/>
    <w:rsid w:val="0041132A"/>
    <w:rsid w:val="004121FB"/>
    <w:rsid w:val="00413F7A"/>
    <w:rsid w:val="00415254"/>
    <w:rsid w:val="00420361"/>
    <w:rsid w:val="0042161F"/>
    <w:rsid w:val="00422175"/>
    <w:rsid w:val="0042580B"/>
    <w:rsid w:val="0042586D"/>
    <w:rsid w:val="0042680F"/>
    <w:rsid w:val="00431A70"/>
    <w:rsid w:val="00432E54"/>
    <w:rsid w:val="00434562"/>
    <w:rsid w:val="00436CBD"/>
    <w:rsid w:val="0043739A"/>
    <w:rsid w:val="004438F4"/>
    <w:rsid w:val="00443910"/>
    <w:rsid w:val="00443FFB"/>
    <w:rsid w:val="00444968"/>
    <w:rsid w:val="00444AFF"/>
    <w:rsid w:val="00444ED2"/>
    <w:rsid w:val="0044683B"/>
    <w:rsid w:val="00450ED6"/>
    <w:rsid w:val="00451813"/>
    <w:rsid w:val="0045557D"/>
    <w:rsid w:val="00461F72"/>
    <w:rsid w:val="00464515"/>
    <w:rsid w:val="004660BA"/>
    <w:rsid w:val="00470755"/>
    <w:rsid w:val="00473F7F"/>
    <w:rsid w:val="00474604"/>
    <w:rsid w:val="004746FE"/>
    <w:rsid w:val="00480D07"/>
    <w:rsid w:val="0048177D"/>
    <w:rsid w:val="00482531"/>
    <w:rsid w:val="00482EDC"/>
    <w:rsid w:val="00483698"/>
    <w:rsid w:val="00483F70"/>
    <w:rsid w:val="00484614"/>
    <w:rsid w:val="00484854"/>
    <w:rsid w:val="004867B4"/>
    <w:rsid w:val="00487223"/>
    <w:rsid w:val="004876CC"/>
    <w:rsid w:val="00490C4F"/>
    <w:rsid w:val="00490F42"/>
    <w:rsid w:val="00492AFF"/>
    <w:rsid w:val="0049499B"/>
    <w:rsid w:val="0049518C"/>
    <w:rsid w:val="00495428"/>
    <w:rsid w:val="00496713"/>
    <w:rsid w:val="004A493F"/>
    <w:rsid w:val="004A561D"/>
    <w:rsid w:val="004B013B"/>
    <w:rsid w:val="004B0FA2"/>
    <w:rsid w:val="004B2A97"/>
    <w:rsid w:val="004B3922"/>
    <w:rsid w:val="004B4F05"/>
    <w:rsid w:val="004B4F89"/>
    <w:rsid w:val="004B7097"/>
    <w:rsid w:val="004B7568"/>
    <w:rsid w:val="004B7877"/>
    <w:rsid w:val="004C003F"/>
    <w:rsid w:val="004C05C1"/>
    <w:rsid w:val="004C2159"/>
    <w:rsid w:val="004C4E4D"/>
    <w:rsid w:val="004C4FAF"/>
    <w:rsid w:val="004C6785"/>
    <w:rsid w:val="004C742F"/>
    <w:rsid w:val="004D1FCF"/>
    <w:rsid w:val="004D505D"/>
    <w:rsid w:val="004D63D8"/>
    <w:rsid w:val="004E0A59"/>
    <w:rsid w:val="004E23B7"/>
    <w:rsid w:val="004E2653"/>
    <w:rsid w:val="004E3E02"/>
    <w:rsid w:val="004E424F"/>
    <w:rsid w:val="004E6E27"/>
    <w:rsid w:val="004E78A8"/>
    <w:rsid w:val="004F05EB"/>
    <w:rsid w:val="004F1906"/>
    <w:rsid w:val="004F3699"/>
    <w:rsid w:val="004F734E"/>
    <w:rsid w:val="005029F5"/>
    <w:rsid w:val="005045EF"/>
    <w:rsid w:val="005052C1"/>
    <w:rsid w:val="005144AB"/>
    <w:rsid w:val="00515F59"/>
    <w:rsid w:val="005166BD"/>
    <w:rsid w:val="00517D6C"/>
    <w:rsid w:val="00517DD8"/>
    <w:rsid w:val="0052000B"/>
    <w:rsid w:val="005205DD"/>
    <w:rsid w:val="00521F68"/>
    <w:rsid w:val="00522606"/>
    <w:rsid w:val="00523586"/>
    <w:rsid w:val="00523C0F"/>
    <w:rsid w:val="00523C92"/>
    <w:rsid w:val="0052672C"/>
    <w:rsid w:val="00526AF8"/>
    <w:rsid w:val="00530E08"/>
    <w:rsid w:val="005311E0"/>
    <w:rsid w:val="00531440"/>
    <w:rsid w:val="005332AD"/>
    <w:rsid w:val="00533C86"/>
    <w:rsid w:val="005359AE"/>
    <w:rsid w:val="00537FD9"/>
    <w:rsid w:val="00541827"/>
    <w:rsid w:val="0054442C"/>
    <w:rsid w:val="00547187"/>
    <w:rsid w:val="00547CEF"/>
    <w:rsid w:val="00550650"/>
    <w:rsid w:val="00550712"/>
    <w:rsid w:val="005513A3"/>
    <w:rsid w:val="0055144A"/>
    <w:rsid w:val="00551562"/>
    <w:rsid w:val="0055445E"/>
    <w:rsid w:val="0055478B"/>
    <w:rsid w:val="00556068"/>
    <w:rsid w:val="005562AF"/>
    <w:rsid w:val="00556D81"/>
    <w:rsid w:val="00557747"/>
    <w:rsid w:val="0056006C"/>
    <w:rsid w:val="00560116"/>
    <w:rsid w:val="005627F5"/>
    <w:rsid w:val="005638D3"/>
    <w:rsid w:val="00564046"/>
    <w:rsid w:val="005643EC"/>
    <w:rsid w:val="00573AB1"/>
    <w:rsid w:val="00573C2E"/>
    <w:rsid w:val="00574535"/>
    <w:rsid w:val="00575F29"/>
    <w:rsid w:val="00577BE6"/>
    <w:rsid w:val="00581B3E"/>
    <w:rsid w:val="00583B05"/>
    <w:rsid w:val="0058423E"/>
    <w:rsid w:val="00585204"/>
    <w:rsid w:val="0058582F"/>
    <w:rsid w:val="00590311"/>
    <w:rsid w:val="00591453"/>
    <w:rsid w:val="00591C08"/>
    <w:rsid w:val="005A01A5"/>
    <w:rsid w:val="005A3C40"/>
    <w:rsid w:val="005A46F1"/>
    <w:rsid w:val="005B0653"/>
    <w:rsid w:val="005B20B5"/>
    <w:rsid w:val="005B489A"/>
    <w:rsid w:val="005B4BD6"/>
    <w:rsid w:val="005B642C"/>
    <w:rsid w:val="005B69C7"/>
    <w:rsid w:val="005B7B6B"/>
    <w:rsid w:val="005C0FDF"/>
    <w:rsid w:val="005C17E8"/>
    <w:rsid w:val="005C2094"/>
    <w:rsid w:val="005C3723"/>
    <w:rsid w:val="005C482B"/>
    <w:rsid w:val="005C4C8D"/>
    <w:rsid w:val="005C4D97"/>
    <w:rsid w:val="005D0F48"/>
    <w:rsid w:val="005D28C4"/>
    <w:rsid w:val="005D3C07"/>
    <w:rsid w:val="005D55A5"/>
    <w:rsid w:val="005D57F9"/>
    <w:rsid w:val="005D5815"/>
    <w:rsid w:val="005D6C95"/>
    <w:rsid w:val="005E2C2D"/>
    <w:rsid w:val="005E2FF4"/>
    <w:rsid w:val="005E3AF8"/>
    <w:rsid w:val="005E5BB3"/>
    <w:rsid w:val="005E7BFD"/>
    <w:rsid w:val="005E7DA8"/>
    <w:rsid w:val="005F2954"/>
    <w:rsid w:val="005F79B5"/>
    <w:rsid w:val="005F7B73"/>
    <w:rsid w:val="00600AB2"/>
    <w:rsid w:val="0060120E"/>
    <w:rsid w:val="00601FA6"/>
    <w:rsid w:val="006027DB"/>
    <w:rsid w:val="00603114"/>
    <w:rsid w:val="006044B7"/>
    <w:rsid w:val="006154A4"/>
    <w:rsid w:val="0061727C"/>
    <w:rsid w:val="00621EF6"/>
    <w:rsid w:val="0062224D"/>
    <w:rsid w:val="0062673A"/>
    <w:rsid w:val="00630647"/>
    <w:rsid w:val="0063094A"/>
    <w:rsid w:val="00631823"/>
    <w:rsid w:val="00634645"/>
    <w:rsid w:val="00634902"/>
    <w:rsid w:val="00634B48"/>
    <w:rsid w:val="00634C6D"/>
    <w:rsid w:val="006353DD"/>
    <w:rsid w:val="006363D3"/>
    <w:rsid w:val="00636CBB"/>
    <w:rsid w:val="006407C9"/>
    <w:rsid w:val="00640D91"/>
    <w:rsid w:val="00641281"/>
    <w:rsid w:val="0064399C"/>
    <w:rsid w:val="006448DB"/>
    <w:rsid w:val="00644AC8"/>
    <w:rsid w:val="00644F3C"/>
    <w:rsid w:val="00646DB6"/>
    <w:rsid w:val="0064738C"/>
    <w:rsid w:val="00647A08"/>
    <w:rsid w:val="006528AB"/>
    <w:rsid w:val="006533BF"/>
    <w:rsid w:val="00655801"/>
    <w:rsid w:val="006601F9"/>
    <w:rsid w:val="00660639"/>
    <w:rsid w:val="00660776"/>
    <w:rsid w:val="00660ED4"/>
    <w:rsid w:val="0066126F"/>
    <w:rsid w:val="00661DA4"/>
    <w:rsid w:val="00664F7D"/>
    <w:rsid w:val="00672530"/>
    <w:rsid w:val="00672813"/>
    <w:rsid w:val="00673A02"/>
    <w:rsid w:val="00675891"/>
    <w:rsid w:val="0067589B"/>
    <w:rsid w:val="00676024"/>
    <w:rsid w:val="006764F1"/>
    <w:rsid w:val="00676A85"/>
    <w:rsid w:val="00677659"/>
    <w:rsid w:val="00681440"/>
    <w:rsid w:val="006822C4"/>
    <w:rsid w:val="0068375D"/>
    <w:rsid w:val="006859EB"/>
    <w:rsid w:val="00686500"/>
    <w:rsid w:val="006913FF"/>
    <w:rsid w:val="0069227F"/>
    <w:rsid w:val="00692D15"/>
    <w:rsid w:val="00692E05"/>
    <w:rsid w:val="00693153"/>
    <w:rsid w:val="006936A7"/>
    <w:rsid w:val="006944E0"/>
    <w:rsid w:val="0069460E"/>
    <w:rsid w:val="00694670"/>
    <w:rsid w:val="00694FE3"/>
    <w:rsid w:val="00695272"/>
    <w:rsid w:val="006959F1"/>
    <w:rsid w:val="00696C24"/>
    <w:rsid w:val="00697576"/>
    <w:rsid w:val="00697CC2"/>
    <w:rsid w:val="006A7993"/>
    <w:rsid w:val="006A7DDF"/>
    <w:rsid w:val="006B0CDA"/>
    <w:rsid w:val="006B5E62"/>
    <w:rsid w:val="006C009C"/>
    <w:rsid w:val="006C2378"/>
    <w:rsid w:val="006C27FE"/>
    <w:rsid w:val="006C2872"/>
    <w:rsid w:val="006C41CA"/>
    <w:rsid w:val="006C7746"/>
    <w:rsid w:val="006D02B2"/>
    <w:rsid w:val="006D2131"/>
    <w:rsid w:val="006D2E58"/>
    <w:rsid w:val="006D5538"/>
    <w:rsid w:val="006D55FC"/>
    <w:rsid w:val="006D5C3F"/>
    <w:rsid w:val="006D692D"/>
    <w:rsid w:val="006D7F16"/>
    <w:rsid w:val="006E00FB"/>
    <w:rsid w:val="006E203E"/>
    <w:rsid w:val="006E2F93"/>
    <w:rsid w:val="006E50E5"/>
    <w:rsid w:val="006E6720"/>
    <w:rsid w:val="006E7BBC"/>
    <w:rsid w:val="006F0951"/>
    <w:rsid w:val="006F239C"/>
    <w:rsid w:val="006F31AD"/>
    <w:rsid w:val="006F44C8"/>
    <w:rsid w:val="006F5C87"/>
    <w:rsid w:val="006F6150"/>
    <w:rsid w:val="0070003E"/>
    <w:rsid w:val="00701DEC"/>
    <w:rsid w:val="00702BFD"/>
    <w:rsid w:val="00702E2C"/>
    <w:rsid w:val="00704E94"/>
    <w:rsid w:val="0071052E"/>
    <w:rsid w:val="0071123D"/>
    <w:rsid w:val="0071327C"/>
    <w:rsid w:val="00713934"/>
    <w:rsid w:val="007145DE"/>
    <w:rsid w:val="0071604E"/>
    <w:rsid w:val="00716BA1"/>
    <w:rsid w:val="00721395"/>
    <w:rsid w:val="00724232"/>
    <w:rsid w:val="0072533B"/>
    <w:rsid w:val="00731518"/>
    <w:rsid w:val="0073334B"/>
    <w:rsid w:val="00733D3E"/>
    <w:rsid w:val="00734DF8"/>
    <w:rsid w:val="0073503C"/>
    <w:rsid w:val="007370F3"/>
    <w:rsid w:val="00737257"/>
    <w:rsid w:val="00740400"/>
    <w:rsid w:val="007448E8"/>
    <w:rsid w:val="00745550"/>
    <w:rsid w:val="00745827"/>
    <w:rsid w:val="00752F6E"/>
    <w:rsid w:val="00755B1D"/>
    <w:rsid w:val="007635A7"/>
    <w:rsid w:val="00766648"/>
    <w:rsid w:val="00770361"/>
    <w:rsid w:val="00770428"/>
    <w:rsid w:val="0077148D"/>
    <w:rsid w:val="007716C6"/>
    <w:rsid w:val="007730BE"/>
    <w:rsid w:val="00781A64"/>
    <w:rsid w:val="00781AC0"/>
    <w:rsid w:val="00781C87"/>
    <w:rsid w:val="0078314B"/>
    <w:rsid w:val="00783565"/>
    <w:rsid w:val="007843DF"/>
    <w:rsid w:val="007874B4"/>
    <w:rsid w:val="00787A95"/>
    <w:rsid w:val="007939D9"/>
    <w:rsid w:val="00795ACD"/>
    <w:rsid w:val="007A04EF"/>
    <w:rsid w:val="007A3175"/>
    <w:rsid w:val="007A659E"/>
    <w:rsid w:val="007A69F2"/>
    <w:rsid w:val="007B3E33"/>
    <w:rsid w:val="007B51CC"/>
    <w:rsid w:val="007C23D9"/>
    <w:rsid w:val="007C4AAC"/>
    <w:rsid w:val="007C65BA"/>
    <w:rsid w:val="007C7F8B"/>
    <w:rsid w:val="007D0A9D"/>
    <w:rsid w:val="007D1074"/>
    <w:rsid w:val="007D1979"/>
    <w:rsid w:val="007D26F0"/>
    <w:rsid w:val="007D7901"/>
    <w:rsid w:val="007E05A6"/>
    <w:rsid w:val="007E076B"/>
    <w:rsid w:val="007E10E1"/>
    <w:rsid w:val="007E11C8"/>
    <w:rsid w:val="007E3C31"/>
    <w:rsid w:val="007E4E4A"/>
    <w:rsid w:val="007F0433"/>
    <w:rsid w:val="007F08F4"/>
    <w:rsid w:val="007F46E8"/>
    <w:rsid w:val="007F6D36"/>
    <w:rsid w:val="0080076C"/>
    <w:rsid w:val="0080079E"/>
    <w:rsid w:val="00802681"/>
    <w:rsid w:val="00802C16"/>
    <w:rsid w:val="008030F9"/>
    <w:rsid w:val="00804966"/>
    <w:rsid w:val="008058BB"/>
    <w:rsid w:val="00807CAF"/>
    <w:rsid w:val="008101EA"/>
    <w:rsid w:val="00811213"/>
    <w:rsid w:val="008123EF"/>
    <w:rsid w:val="00814D74"/>
    <w:rsid w:val="00815508"/>
    <w:rsid w:val="00817E2F"/>
    <w:rsid w:val="00820F74"/>
    <w:rsid w:val="0082482F"/>
    <w:rsid w:val="00827482"/>
    <w:rsid w:val="00827B14"/>
    <w:rsid w:val="008300EF"/>
    <w:rsid w:val="008329DE"/>
    <w:rsid w:val="00832A7B"/>
    <w:rsid w:val="008339E6"/>
    <w:rsid w:val="00833D06"/>
    <w:rsid w:val="00834EDC"/>
    <w:rsid w:val="008367D8"/>
    <w:rsid w:val="00840A5A"/>
    <w:rsid w:val="008414A6"/>
    <w:rsid w:val="0084200E"/>
    <w:rsid w:val="0084328E"/>
    <w:rsid w:val="0084367E"/>
    <w:rsid w:val="0084457D"/>
    <w:rsid w:val="00846433"/>
    <w:rsid w:val="0084759F"/>
    <w:rsid w:val="00851442"/>
    <w:rsid w:val="008531F4"/>
    <w:rsid w:val="008551D3"/>
    <w:rsid w:val="008574EB"/>
    <w:rsid w:val="00857F04"/>
    <w:rsid w:val="00860B71"/>
    <w:rsid w:val="00863E17"/>
    <w:rsid w:val="00864318"/>
    <w:rsid w:val="008661A3"/>
    <w:rsid w:val="00866880"/>
    <w:rsid w:val="00866AFD"/>
    <w:rsid w:val="00867280"/>
    <w:rsid w:val="0086797E"/>
    <w:rsid w:val="00870EAB"/>
    <w:rsid w:val="00871632"/>
    <w:rsid w:val="00871C55"/>
    <w:rsid w:val="008735D9"/>
    <w:rsid w:val="00875AEF"/>
    <w:rsid w:val="008773C8"/>
    <w:rsid w:val="00880A92"/>
    <w:rsid w:val="00881587"/>
    <w:rsid w:val="008821D2"/>
    <w:rsid w:val="008842B6"/>
    <w:rsid w:val="008846D8"/>
    <w:rsid w:val="0088592C"/>
    <w:rsid w:val="00886340"/>
    <w:rsid w:val="00886A24"/>
    <w:rsid w:val="00886FC9"/>
    <w:rsid w:val="00891CD0"/>
    <w:rsid w:val="00892334"/>
    <w:rsid w:val="00892A27"/>
    <w:rsid w:val="0089353E"/>
    <w:rsid w:val="00893FFE"/>
    <w:rsid w:val="00895F0E"/>
    <w:rsid w:val="008A0B13"/>
    <w:rsid w:val="008A4106"/>
    <w:rsid w:val="008A5133"/>
    <w:rsid w:val="008B0707"/>
    <w:rsid w:val="008B0876"/>
    <w:rsid w:val="008B0BC9"/>
    <w:rsid w:val="008B1E0C"/>
    <w:rsid w:val="008B3A4E"/>
    <w:rsid w:val="008B41B5"/>
    <w:rsid w:val="008C2D1C"/>
    <w:rsid w:val="008C3B0F"/>
    <w:rsid w:val="008C7EAC"/>
    <w:rsid w:val="008D1B2E"/>
    <w:rsid w:val="008D2B96"/>
    <w:rsid w:val="008D73F2"/>
    <w:rsid w:val="008D79EA"/>
    <w:rsid w:val="008E0EB0"/>
    <w:rsid w:val="008E28B4"/>
    <w:rsid w:val="008E2FDE"/>
    <w:rsid w:val="008E3A85"/>
    <w:rsid w:val="008E459A"/>
    <w:rsid w:val="008E7B9E"/>
    <w:rsid w:val="008F0FB9"/>
    <w:rsid w:val="008F1FF8"/>
    <w:rsid w:val="008F2379"/>
    <w:rsid w:val="008F396C"/>
    <w:rsid w:val="009009D9"/>
    <w:rsid w:val="00900A5B"/>
    <w:rsid w:val="0090160F"/>
    <w:rsid w:val="0090504E"/>
    <w:rsid w:val="009112B2"/>
    <w:rsid w:val="009156A9"/>
    <w:rsid w:val="009173F8"/>
    <w:rsid w:val="009202B1"/>
    <w:rsid w:val="00920D40"/>
    <w:rsid w:val="0092335D"/>
    <w:rsid w:val="009238F0"/>
    <w:rsid w:val="009249D9"/>
    <w:rsid w:val="009311AE"/>
    <w:rsid w:val="00932ADA"/>
    <w:rsid w:val="009423CF"/>
    <w:rsid w:val="0094262F"/>
    <w:rsid w:val="00942737"/>
    <w:rsid w:val="00947CCB"/>
    <w:rsid w:val="00951FF4"/>
    <w:rsid w:val="00952095"/>
    <w:rsid w:val="00952601"/>
    <w:rsid w:val="00953355"/>
    <w:rsid w:val="00954149"/>
    <w:rsid w:val="00955185"/>
    <w:rsid w:val="00957745"/>
    <w:rsid w:val="00961AA9"/>
    <w:rsid w:val="009626B4"/>
    <w:rsid w:val="009662E9"/>
    <w:rsid w:val="009672D6"/>
    <w:rsid w:val="009673BB"/>
    <w:rsid w:val="0097130F"/>
    <w:rsid w:val="00971707"/>
    <w:rsid w:val="00972050"/>
    <w:rsid w:val="00973508"/>
    <w:rsid w:val="00973C69"/>
    <w:rsid w:val="00975BE4"/>
    <w:rsid w:val="00976291"/>
    <w:rsid w:val="009770ED"/>
    <w:rsid w:val="00980DF2"/>
    <w:rsid w:val="00981D12"/>
    <w:rsid w:val="00983F21"/>
    <w:rsid w:val="00987840"/>
    <w:rsid w:val="009914B2"/>
    <w:rsid w:val="009922FE"/>
    <w:rsid w:val="00997A2C"/>
    <w:rsid w:val="009A1901"/>
    <w:rsid w:val="009A1C7F"/>
    <w:rsid w:val="009A32A5"/>
    <w:rsid w:val="009A3F91"/>
    <w:rsid w:val="009B1CF6"/>
    <w:rsid w:val="009B35FE"/>
    <w:rsid w:val="009B4E5B"/>
    <w:rsid w:val="009B4EF8"/>
    <w:rsid w:val="009B666D"/>
    <w:rsid w:val="009B7545"/>
    <w:rsid w:val="009B7D1D"/>
    <w:rsid w:val="009C109D"/>
    <w:rsid w:val="009C10D6"/>
    <w:rsid w:val="009C3CBF"/>
    <w:rsid w:val="009C7B7F"/>
    <w:rsid w:val="009C7E05"/>
    <w:rsid w:val="009D4AA8"/>
    <w:rsid w:val="009D7FB8"/>
    <w:rsid w:val="009E03D2"/>
    <w:rsid w:val="009E1B48"/>
    <w:rsid w:val="009F62CD"/>
    <w:rsid w:val="009F693A"/>
    <w:rsid w:val="009F7E28"/>
    <w:rsid w:val="00A00664"/>
    <w:rsid w:val="00A00691"/>
    <w:rsid w:val="00A00FB6"/>
    <w:rsid w:val="00A01E3D"/>
    <w:rsid w:val="00A03DB3"/>
    <w:rsid w:val="00A044E2"/>
    <w:rsid w:val="00A04C3B"/>
    <w:rsid w:val="00A125D0"/>
    <w:rsid w:val="00A129F5"/>
    <w:rsid w:val="00A12B37"/>
    <w:rsid w:val="00A13E28"/>
    <w:rsid w:val="00A13F89"/>
    <w:rsid w:val="00A14660"/>
    <w:rsid w:val="00A15562"/>
    <w:rsid w:val="00A1719D"/>
    <w:rsid w:val="00A17DD4"/>
    <w:rsid w:val="00A21183"/>
    <w:rsid w:val="00A21AD6"/>
    <w:rsid w:val="00A2317C"/>
    <w:rsid w:val="00A233DD"/>
    <w:rsid w:val="00A23991"/>
    <w:rsid w:val="00A23E00"/>
    <w:rsid w:val="00A2568C"/>
    <w:rsid w:val="00A26B4C"/>
    <w:rsid w:val="00A27CD2"/>
    <w:rsid w:val="00A309F1"/>
    <w:rsid w:val="00A32339"/>
    <w:rsid w:val="00A34800"/>
    <w:rsid w:val="00A3541F"/>
    <w:rsid w:val="00A36B84"/>
    <w:rsid w:val="00A40582"/>
    <w:rsid w:val="00A4385C"/>
    <w:rsid w:val="00A45C14"/>
    <w:rsid w:val="00A46383"/>
    <w:rsid w:val="00A51E51"/>
    <w:rsid w:val="00A524DE"/>
    <w:rsid w:val="00A54C20"/>
    <w:rsid w:val="00A553F9"/>
    <w:rsid w:val="00A55C56"/>
    <w:rsid w:val="00A56347"/>
    <w:rsid w:val="00A5729C"/>
    <w:rsid w:val="00A62188"/>
    <w:rsid w:val="00A627A6"/>
    <w:rsid w:val="00A63594"/>
    <w:rsid w:val="00A652B6"/>
    <w:rsid w:val="00A6693F"/>
    <w:rsid w:val="00A66AAD"/>
    <w:rsid w:val="00A66BF3"/>
    <w:rsid w:val="00A67C18"/>
    <w:rsid w:val="00A703A5"/>
    <w:rsid w:val="00A709DF"/>
    <w:rsid w:val="00A733FC"/>
    <w:rsid w:val="00A74BDA"/>
    <w:rsid w:val="00A75332"/>
    <w:rsid w:val="00A75D03"/>
    <w:rsid w:val="00A76471"/>
    <w:rsid w:val="00A81D0A"/>
    <w:rsid w:val="00A827D0"/>
    <w:rsid w:val="00A83013"/>
    <w:rsid w:val="00A83F82"/>
    <w:rsid w:val="00A85E09"/>
    <w:rsid w:val="00A875C7"/>
    <w:rsid w:val="00A900AC"/>
    <w:rsid w:val="00A911B5"/>
    <w:rsid w:val="00A92253"/>
    <w:rsid w:val="00A94539"/>
    <w:rsid w:val="00A96F0E"/>
    <w:rsid w:val="00A974DC"/>
    <w:rsid w:val="00AA2B87"/>
    <w:rsid w:val="00AA2F5A"/>
    <w:rsid w:val="00AA3080"/>
    <w:rsid w:val="00AA30FD"/>
    <w:rsid w:val="00AA5E6E"/>
    <w:rsid w:val="00AA64AC"/>
    <w:rsid w:val="00AA74C6"/>
    <w:rsid w:val="00AB322B"/>
    <w:rsid w:val="00AB325D"/>
    <w:rsid w:val="00AB489E"/>
    <w:rsid w:val="00AB7823"/>
    <w:rsid w:val="00AC0FB0"/>
    <w:rsid w:val="00AC2E66"/>
    <w:rsid w:val="00AC4A5E"/>
    <w:rsid w:val="00AC5B75"/>
    <w:rsid w:val="00AC6109"/>
    <w:rsid w:val="00AD0C4F"/>
    <w:rsid w:val="00AD0EA0"/>
    <w:rsid w:val="00AD68A1"/>
    <w:rsid w:val="00AD72B9"/>
    <w:rsid w:val="00AD7703"/>
    <w:rsid w:val="00AE1E44"/>
    <w:rsid w:val="00AE28A4"/>
    <w:rsid w:val="00AE339E"/>
    <w:rsid w:val="00AE5B0E"/>
    <w:rsid w:val="00AE5E87"/>
    <w:rsid w:val="00AF03D9"/>
    <w:rsid w:val="00AF1FF9"/>
    <w:rsid w:val="00AF3612"/>
    <w:rsid w:val="00AF7311"/>
    <w:rsid w:val="00B01F45"/>
    <w:rsid w:val="00B02077"/>
    <w:rsid w:val="00B044F8"/>
    <w:rsid w:val="00B069CA"/>
    <w:rsid w:val="00B07EB5"/>
    <w:rsid w:val="00B124D4"/>
    <w:rsid w:val="00B12D32"/>
    <w:rsid w:val="00B13BD2"/>
    <w:rsid w:val="00B17158"/>
    <w:rsid w:val="00B218C4"/>
    <w:rsid w:val="00B22245"/>
    <w:rsid w:val="00B223DE"/>
    <w:rsid w:val="00B253FC"/>
    <w:rsid w:val="00B2639E"/>
    <w:rsid w:val="00B274B5"/>
    <w:rsid w:val="00B32267"/>
    <w:rsid w:val="00B32F25"/>
    <w:rsid w:val="00B33C9C"/>
    <w:rsid w:val="00B35617"/>
    <w:rsid w:val="00B407F8"/>
    <w:rsid w:val="00B42C72"/>
    <w:rsid w:val="00B43A39"/>
    <w:rsid w:val="00B65185"/>
    <w:rsid w:val="00B654FC"/>
    <w:rsid w:val="00B66892"/>
    <w:rsid w:val="00B673C2"/>
    <w:rsid w:val="00B700A7"/>
    <w:rsid w:val="00B71FB6"/>
    <w:rsid w:val="00B75A83"/>
    <w:rsid w:val="00B75C13"/>
    <w:rsid w:val="00B7676A"/>
    <w:rsid w:val="00B86FB8"/>
    <w:rsid w:val="00B90697"/>
    <w:rsid w:val="00B92262"/>
    <w:rsid w:val="00B9484C"/>
    <w:rsid w:val="00B9660E"/>
    <w:rsid w:val="00B96F61"/>
    <w:rsid w:val="00BA1A99"/>
    <w:rsid w:val="00BA1F17"/>
    <w:rsid w:val="00BA2ABD"/>
    <w:rsid w:val="00BA2CB3"/>
    <w:rsid w:val="00BA3A52"/>
    <w:rsid w:val="00BA7423"/>
    <w:rsid w:val="00BB10CA"/>
    <w:rsid w:val="00BB2A7A"/>
    <w:rsid w:val="00BB322E"/>
    <w:rsid w:val="00BB3C66"/>
    <w:rsid w:val="00BB5363"/>
    <w:rsid w:val="00BB5571"/>
    <w:rsid w:val="00BB55DB"/>
    <w:rsid w:val="00BB706F"/>
    <w:rsid w:val="00BB77D0"/>
    <w:rsid w:val="00BB7FA9"/>
    <w:rsid w:val="00BC0477"/>
    <w:rsid w:val="00BC54D7"/>
    <w:rsid w:val="00BC6168"/>
    <w:rsid w:val="00BD0614"/>
    <w:rsid w:val="00BD1A4F"/>
    <w:rsid w:val="00BD22DC"/>
    <w:rsid w:val="00BD30A6"/>
    <w:rsid w:val="00BD43F7"/>
    <w:rsid w:val="00BD558E"/>
    <w:rsid w:val="00BD5C47"/>
    <w:rsid w:val="00BD6D07"/>
    <w:rsid w:val="00BD7FC3"/>
    <w:rsid w:val="00BE06B0"/>
    <w:rsid w:val="00BE0998"/>
    <w:rsid w:val="00BE2987"/>
    <w:rsid w:val="00BE480D"/>
    <w:rsid w:val="00BE748E"/>
    <w:rsid w:val="00BE7F31"/>
    <w:rsid w:val="00BF10E2"/>
    <w:rsid w:val="00BF1A51"/>
    <w:rsid w:val="00BF338C"/>
    <w:rsid w:val="00BF5DE0"/>
    <w:rsid w:val="00BF6905"/>
    <w:rsid w:val="00BF7337"/>
    <w:rsid w:val="00C00590"/>
    <w:rsid w:val="00C01BEF"/>
    <w:rsid w:val="00C035CD"/>
    <w:rsid w:val="00C05901"/>
    <w:rsid w:val="00C101FA"/>
    <w:rsid w:val="00C1160E"/>
    <w:rsid w:val="00C16E31"/>
    <w:rsid w:val="00C17D7B"/>
    <w:rsid w:val="00C23334"/>
    <w:rsid w:val="00C23E1C"/>
    <w:rsid w:val="00C2651F"/>
    <w:rsid w:val="00C26558"/>
    <w:rsid w:val="00C26A71"/>
    <w:rsid w:val="00C33283"/>
    <w:rsid w:val="00C3424A"/>
    <w:rsid w:val="00C3670D"/>
    <w:rsid w:val="00C37238"/>
    <w:rsid w:val="00C40B44"/>
    <w:rsid w:val="00C4133D"/>
    <w:rsid w:val="00C41D6E"/>
    <w:rsid w:val="00C4344A"/>
    <w:rsid w:val="00C43D2C"/>
    <w:rsid w:val="00C44A46"/>
    <w:rsid w:val="00C44E80"/>
    <w:rsid w:val="00C44F85"/>
    <w:rsid w:val="00C46049"/>
    <w:rsid w:val="00C52726"/>
    <w:rsid w:val="00C536FC"/>
    <w:rsid w:val="00C544E6"/>
    <w:rsid w:val="00C55335"/>
    <w:rsid w:val="00C558EE"/>
    <w:rsid w:val="00C55C56"/>
    <w:rsid w:val="00C5624E"/>
    <w:rsid w:val="00C56D7D"/>
    <w:rsid w:val="00C63044"/>
    <w:rsid w:val="00C6403C"/>
    <w:rsid w:val="00C65A34"/>
    <w:rsid w:val="00C66B60"/>
    <w:rsid w:val="00C67473"/>
    <w:rsid w:val="00C72C8D"/>
    <w:rsid w:val="00C72E70"/>
    <w:rsid w:val="00C7320C"/>
    <w:rsid w:val="00C73A10"/>
    <w:rsid w:val="00C75584"/>
    <w:rsid w:val="00C75B4E"/>
    <w:rsid w:val="00C8050F"/>
    <w:rsid w:val="00C807D9"/>
    <w:rsid w:val="00C815F2"/>
    <w:rsid w:val="00C842A5"/>
    <w:rsid w:val="00C846C4"/>
    <w:rsid w:val="00C87EEE"/>
    <w:rsid w:val="00C90C97"/>
    <w:rsid w:val="00C91B0B"/>
    <w:rsid w:val="00C959CE"/>
    <w:rsid w:val="00C964DE"/>
    <w:rsid w:val="00C96715"/>
    <w:rsid w:val="00C979E1"/>
    <w:rsid w:val="00C97D5D"/>
    <w:rsid w:val="00CA143F"/>
    <w:rsid w:val="00CA5F2E"/>
    <w:rsid w:val="00CA7572"/>
    <w:rsid w:val="00CA75ED"/>
    <w:rsid w:val="00CB0C17"/>
    <w:rsid w:val="00CB2FA8"/>
    <w:rsid w:val="00CB38F8"/>
    <w:rsid w:val="00CB5969"/>
    <w:rsid w:val="00CB713E"/>
    <w:rsid w:val="00CC0122"/>
    <w:rsid w:val="00CC07A3"/>
    <w:rsid w:val="00CC1A39"/>
    <w:rsid w:val="00CC1FB6"/>
    <w:rsid w:val="00CC259F"/>
    <w:rsid w:val="00CC2C1A"/>
    <w:rsid w:val="00CC4ACD"/>
    <w:rsid w:val="00CC7992"/>
    <w:rsid w:val="00CD1050"/>
    <w:rsid w:val="00CD3126"/>
    <w:rsid w:val="00CD418E"/>
    <w:rsid w:val="00CD4D3C"/>
    <w:rsid w:val="00CD56D0"/>
    <w:rsid w:val="00CE13C9"/>
    <w:rsid w:val="00CE6400"/>
    <w:rsid w:val="00CF111C"/>
    <w:rsid w:val="00CF12F1"/>
    <w:rsid w:val="00CF1896"/>
    <w:rsid w:val="00CF2155"/>
    <w:rsid w:val="00CF2501"/>
    <w:rsid w:val="00CF79A2"/>
    <w:rsid w:val="00D003DE"/>
    <w:rsid w:val="00D01F35"/>
    <w:rsid w:val="00D02777"/>
    <w:rsid w:val="00D02799"/>
    <w:rsid w:val="00D02906"/>
    <w:rsid w:val="00D02DE5"/>
    <w:rsid w:val="00D0373D"/>
    <w:rsid w:val="00D03754"/>
    <w:rsid w:val="00D039BB"/>
    <w:rsid w:val="00D04CC6"/>
    <w:rsid w:val="00D0637F"/>
    <w:rsid w:val="00D1022F"/>
    <w:rsid w:val="00D13356"/>
    <w:rsid w:val="00D140A6"/>
    <w:rsid w:val="00D141FB"/>
    <w:rsid w:val="00D16E0F"/>
    <w:rsid w:val="00D17084"/>
    <w:rsid w:val="00D202CA"/>
    <w:rsid w:val="00D21B20"/>
    <w:rsid w:val="00D222F2"/>
    <w:rsid w:val="00D22EE5"/>
    <w:rsid w:val="00D23C89"/>
    <w:rsid w:val="00D2409C"/>
    <w:rsid w:val="00D25C22"/>
    <w:rsid w:val="00D263E7"/>
    <w:rsid w:val="00D31874"/>
    <w:rsid w:val="00D33F1E"/>
    <w:rsid w:val="00D3517D"/>
    <w:rsid w:val="00D359CE"/>
    <w:rsid w:val="00D419F5"/>
    <w:rsid w:val="00D42039"/>
    <w:rsid w:val="00D42728"/>
    <w:rsid w:val="00D4346C"/>
    <w:rsid w:val="00D44A26"/>
    <w:rsid w:val="00D455F6"/>
    <w:rsid w:val="00D45CAE"/>
    <w:rsid w:val="00D462EA"/>
    <w:rsid w:val="00D46F83"/>
    <w:rsid w:val="00D47160"/>
    <w:rsid w:val="00D51795"/>
    <w:rsid w:val="00D52006"/>
    <w:rsid w:val="00D56FF3"/>
    <w:rsid w:val="00D61B06"/>
    <w:rsid w:val="00D62961"/>
    <w:rsid w:val="00D62BCE"/>
    <w:rsid w:val="00D63243"/>
    <w:rsid w:val="00D63A9B"/>
    <w:rsid w:val="00D66B0D"/>
    <w:rsid w:val="00D7169D"/>
    <w:rsid w:val="00D7190D"/>
    <w:rsid w:val="00D733DC"/>
    <w:rsid w:val="00D81BF9"/>
    <w:rsid w:val="00D836A8"/>
    <w:rsid w:val="00D85B22"/>
    <w:rsid w:val="00D953AF"/>
    <w:rsid w:val="00D961A1"/>
    <w:rsid w:val="00DA0DC3"/>
    <w:rsid w:val="00DA3390"/>
    <w:rsid w:val="00DA38C6"/>
    <w:rsid w:val="00DA41BB"/>
    <w:rsid w:val="00DA68F5"/>
    <w:rsid w:val="00DB095F"/>
    <w:rsid w:val="00DB1AAD"/>
    <w:rsid w:val="00DB25EC"/>
    <w:rsid w:val="00DB686C"/>
    <w:rsid w:val="00DC0DDC"/>
    <w:rsid w:val="00DC231E"/>
    <w:rsid w:val="00DC3ADF"/>
    <w:rsid w:val="00DC4A1C"/>
    <w:rsid w:val="00DC5473"/>
    <w:rsid w:val="00DC65A6"/>
    <w:rsid w:val="00DC68DC"/>
    <w:rsid w:val="00DD104F"/>
    <w:rsid w:val="00DD2ACE"/>
    <w:rsid w:val="00DE05CB"/>
    <w:rsid w:val="00DE16BE"/>
    <w:rsid w:val="00DE392E"/>
    <w:rsid w:val="00DE47FF"/>
    <w:rsid w:val="00DE5343"/>
    <w:rsid w:val="00DE6695"/>
    <w:rsid w:val="00DE71BD"/>
    <w:rsid w:val="00DE71DE"/>
    <w:rsid w:val="00DE7AE5"/>
    <w:rsid w:val="00DF08D1"/>
    <w:rsid w:val="00DF1BCB"/>
    <w:rsid w:val="00DF39F7"/>
    <w:rsid w:val="00DF40B4"/>
    <w:rsid w:val="00DF5855"/>
    <w:rsid w:val="00DF5B3F"/>
    <w:rsid w:val="00DF6446"/>
    <w:rsid w:val="00E00BFC"/>
    <w:rsid w:val="00E00DFA"/>
    <w:rsid w:val="00E052C8"/>
    <w:rsid w:val="00E05A03"/>
    <w:rsid w:val="00E1085F"/>
    <w:rsid w:val="00E10969"/>
    <w:rsid w:val="00E11442"/>
    <w:rsid w:val="00E12B70"/>
    <w:rsid w:val="00E13104"/>
    <w:rsid w:val="00E14ED8"/>
    <w:rsid w:val="00E17D0F"/>
    <w:rsid w:val="00E21016"/>
    <w:rsid w:val="00E22973"/>
    <w:rsid w:val="00E241C9"/>
    <w:rsid w:val="00E2720D"/>
    <w:rsid w:val="00E27DF3"/>
    <w:rsid w:val="00E32013"/>
    <w:rsid w:val="00E32DBB"/>
    <w:rsid w:val="00E341F3"/>
    <w:rsid w:val="00E43DB5"/>
    <w:rsid w:val="00E5088E"/>
    <w:rsid w:val="00E5320D"/>
    <w:rsid w:val="00E562BF"/>
    <w:rsid w:val="00E57FB8"/>
    <w:rsid w:val="00E62D1F"/>
    <w:rsid w:val="00E702A8"/>
    <w:rsid w:val="00E728FB"/>
    <w:rsid w:val="00E74E3F"/>
    <w:rsid w:val="00E76223"/>
    <w:rsid w:val="00E76F41"/>
    <w:rsid w:val="00E77BF9"/>
    <w:rsid w:val="00E82BD8"/>
    <w:rsid w:val="00E830CC"/>
    <w:rsid w:val="00E84896"/>
    <w:rsid w:val="00E85140"/>
    <w:rsid w:val="00E85530"/>
    <w:rsid w:val="00E8668F"/>
    <w:rsid w:val="00E90D0F"/>
    <w:rsid w:val="00E91567"/>
    <w:rsid w:val="00E943EF"/>
    <w:rsid w:val="00E95101"/>
    <w:rsid w:val="00E95E0A"/>
    <w:rsid w:val="00E96BB9"/>
    <w:rsid w:val="00E96BF0"/>
    <w:rsid w:val="00E9718E"/>
    <w:rsid w:val="00EA14C1"/>
    <w:rsid w:val="00EA573C"/>
    <w:rsid w:val="00EB067B"/>
    <w:rsid w:val="00EB0E8C"/>
    <w:rsid w:val="00EB0F14"/>
    <w:rsid w:val="00EB293F"/>
    <w:rsid w:val="00EB3C72"/>
    <w:rsid w:val="00EB4AFE"/>
    <w:rsid w:val="00EB678C"/>
    <w:rsid w:val="00EC22D9"/>
    <w:rsid w:val="00EC4C78"/>
    <w:rsid w:val="00EC7079"/>
    <w:rsid w:val="00EC7479"/>
    <w:rsid w:val="00ED477C"/>
    <w:rsid w:val="00EE1F65"/>
    <w:rsid w:val="00EE3332"/>
    <w:rsid w:val="00EE371D"/>
    <w:rsid w:val="00EF36D7"/>
    <w:rsid w:val="00EF3B09"/>
    <w:rsid w:val="00EF3F9D"/>
    <w:rsid w:val="00EF536F"/>
    <w:rsid w:val="00EF59EE"/>
    <w:rsid w:val="00EF5AD2"/>
    <w:rsid w:val="00F007DC"/>
    <w:rsid w:val="00F01518"/>
    <w:rsid w:val="00F016A9"/>
    <w:rsid w:val="00F01F7C"/>
    <w:rsid w:val="00F02525"/>
    <w:rsid w:val="00F054DA"/>
    <w:rsid w:val="00F073FC"/>
    <w:rsid w:val="00F07F3B"/>
    <w:rsid w:val="00F104FD"/>
    <w:rsid w:val="00F10DAE"/>
    <w:rsid w:val="00F11267"/>
    <w:rsid w:val="00F12115"/>
    <w:rsid w:val="00F12EE5"/>
    <w:rsid w:val="00F15284"/>
    <w:rsid w:val="00F159C8"/>
    <w:rsid w:val="00F1626D"/>
    <w:rsid w:val="00F1635B"/>
    <w:rsid w:val="00F17C33"/>
    <w:rsid w:val="00F17E87"/>
    <w:rsid w:val="00F21010"/>
    <w:rsid w:val="00F2402F"/>
    <w:rsid w:val="00F24611"/>
    <w:rsid w:val="00F24D09"/>
    <w:rsid w:val="00F24DA9"/>
    <w:rsid w:val="00F259E6"/>
    <w:rsid w:val="00F27850"/>
    <w:rsid w:val="00F27ACF"/>
    <w:rsid w:val="00F30757"/>
    <w:rsid w:val="00F330B3"/>
    <w:rsid w:val="00F3508E"/>
    <w:rsid w:val="00F4112C"/>
    <w:rsid w:val="00F419C4"/>
    <w:rsid w:val="00F427F2"/>
    <w:rsid w:val="00F42BA8"/>
    <w:rsid w:val="00F437F1"/>
    <w:rsid w:val="00F43FF9"/>
    <w:rsid w:val="00F45AB6"/>
    <w:rsid w:val="00F45FB5"/>
    <w:rsid w:val="00F51534"/>
    <w:rsid w:val="00F516CB"/>
    <w:rsid w:val="00F528E6"/>
    <w:rsid w:val="00F60766"/>
    <w:rsid w:val="00F63568"/>
    <w:rsid w:val="00F63E3B"/>
    <w:rsid w:val="00F6524F"/>
    <w:rsid w:val="00F654D6"/>
    <w:rsid w:val="00F659C6"/>
    <w:rsid w:val="00F65AFB"/>
    <w:rsid w:val="00F66FB4"/>
    <w:rsid w:val="00F672D8"/>
    <w:rsid w:val="00F703C5"/>
    <w:rsid w:val="00F73D00"/>
    <w:rsid w:val="00F74D37"/>
    <w:rsid w:val="00F80F47"/>
    <w:rsid w:val="00F819A6"/>
    <w:rsid w:val="00F82532"/>
    <w:rsid w:val="00F82593"/>
    <w:rsid w:val="00F829CE"/>
    <w:rsid w:val="00F84B59"/>
    <w:rsid w:val="00F86752"/>
    <w:rsid w:val="00F87744"/>
    <w:rsid w:val="00F9083E"/>
    <w:rsid w:val="00F90DA7"/>
    <w:rsid w:val="00F9523A"/>
    <w:rsid w:val="00F953C1"/>
    <w:rsid w:val="00F95E0F"/>
    <w:rsid w:val="00F960B8"/>
    <w:rsid w:val="00FA089F"/>
    <w:rsid w:val="00FA2A03"/>
    <w:rsid w:val="00FB0063"/>
    <w:rsid w:val="00FB24BF"/>
    <w:rsid w:val="00FB2EC0"/>
    <w:rsid w:val="00FB3418"/>
    <w:rsid w:val="00FB4423"/>
    <w:rsid w:val="00FB46C4"/>
    <w:rsid w:val="00FB639D"/>
    <w:rsid w:val="00FB762D"/>
    <w:rsid w:val="00FC0E13"/>
    <w:rsid w:val="00FC27CC"/>
    <w:rsid w:val="00FC306D"/>
    <w:rsid w:val="00FC32B4"/>
    <w:rsid w:val="00FC3602"/>
    <w:rsid w:val="00FC3634"/>
    <w:rsid w:val="00FC42B2"/>
    <w:rsid w:val="00FC4F17"/>
    <w:rsid w:val="00FC501C"/>
    <w:rsid w:val="00FC58BD"/>
    <w:rsid w:val="00FC6934"/>
    <w:rsid w:val="00FC7953"/>
    <w:rsid w:val="00FD2263"/>
    <w:rsid w:val="00FD7C61"/>
    <w:rsid w:val="00FD7F3E"/>
    <w:rsid w:val="00FE0FDC"/>
    <w:rsid w:val="00FE3DD0"/>
    <w:rsid w:val="00FE53FE"/>
    <w:rsid w:val="00FE57D0"/>
    <w:rsid w:val="00FE5E4F"/>
    <w:rsid w:val="00FF34B8"/>
    <w:rsid w:val="00FF3552"/>
    <w:rsid w:val="00FF4D7D"/>
    <w:rsid w:val="00FF725A"/>
    <w:rsid w:val="00FF7424"/>
    <w:rsid w:val="00FF7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7654A"/>
  <w15:chartTrackingRefBased/>
  <w15:docId w15:val="{32ECA0DF-A6F9-4BB7-9138-72DB8BC97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0B71"/>
    <w:pPr>
      <w:keepNext/>
      <w:keepLines/>
      <w:spacing w:before="240"/>
      <w:outlineLvl w:val="0"/>
    </w:pPr>
    <w:rPr>
      <w:rFonts w:eastAsiaTheme="majorEastAsia" w:cstheme="majorBidi"/>
      <w:color w:val="000000" w:themeColor="text1"/>
      <w:sz w:val="28"/>
      <w:szCs w:val="32"/>
    </w:rPr>
  </w:style>
  <w:style w:type="paragraph" w:styleId="Heading2">
    <w:name w:val="heading 2"/>
    <w:basedOn w:val="Normal"/>
    <w:next w:val="Normal"/>
    <w:link w:val="Heading2Char"/>
    <w:uiPriority w:val="9"/>
    <w:unhideWhenUsed/>
    <w:qFormat/>
    <w:rsid w:val="00EF36D7"/>
    <w:pPr>
      <w:keepNext/>
      <w:keepLines/>
      <w:spacing w:before="40"/>
      <w:outlineLvl w:val="1"/>
    </w:pPr>
    <w:rPr>
      <w:rFonts w:eastAsiaTheme="majorEastAsia" w:cstheme="majorBidi"/>
      <w:i/>
      <w:color w:val="000000" w:themeColor="text1"/>
      <w:szCs w:val="26"/>
    </w:rPr>
  </w:style>
  <w:style w:type="paragraph" w:styleId="Heading3">
    <w:name w:val="heading 3"/>
    <w:basedOn w:val="Normal"/>
    <w:next w:val="Normal"/>
    <w:link w:val="Heading3Char"/>
    <w:uiPriority w:val="9"/>
    <w:unhideWhenUsed/>
    <w:qFormat/>
    <w:rsid w:val="00EF36D7"/>
    <w:pPr>
      <w:keepNext/>
      <w:keepLines/>
      <w:spacing w:before="40"/>
      <w:outlineLvl w:val="2"/>
    </w:pPr>
    <w:rPr>
      <w:rFonts w:eastAsiaTheme="majorEastAsia" w:cstheme="majorBidi"/>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06C6"/>
    <w:pPr>
      <w:tabs>
        <w:tab w:val="center" w:pos="4680"/>
        <w:tab w:val="right" w:pos="9360"/>
      </w:tabs>
      <w:spacing w:line="240" w:lineRule="auto"/>
    </w:pPr>
  </w:style>
  <w:style w:type="character" w:customStyle="1" w:styleId="HeaderChar">
    <w:name w:val="Header Char"/>
    <w:basedOn w:val="DefaultParagraphFont"/>
    <w:link w:val="Header"/>
    <w:uiPriority w:val="99"/>
    <w:rsid w:val="004006C6"/>
  </w:style>
  <w:style w:type="paragraph" w:styleId="Footer">
    <w:name w:val="footer"/>
    <w:basedOn w:val="Normal"/>
    <w:link w:val="FooterChar"/>
    <w:uiPriority w:val="99"/>
    <w:unhideWhenUsed/>
    <w:rsid w:val="004006C6"/>
    <w:pPr>
      <w:tabs>
        <w:tab w:val="center" w:pos="4680"/>
        <w:tab w:val="right" w:pos="9360"/>
      </w:tabs>
      <w:spacing w:line="240" w:lineRule="auto"/>
    </w:pPr>
  </w:style>
  <w:style w:type="character" w:customStyle="1" w:styleId="FooterChar">
    <w:name w:val="Footer Char"/>
    <w:basedOn w:val="DefaultParagraphFont"/>
    <w:link w:val="Footer"/>
    <w:uiPriority w:val="99"/>
    <w:rsid w:val="004006C6"/>
  </w:style>
  <w:style w:type="character" w:styleId="CommentReference">
    <w:name w:val="annotation reference"/>
    <w:basedOn w:val="DefaultParagraphFont"/>
    <w:uiPriority w:val="99"/>
    <w:semiHidden/>
    <w:unhideWhenUsed/>
    <w:rsid w:val="00242FA9"/>
    <w:rPr>
      <w:sz w:val="16"/>
      <w:szCs w:val="16"/>
    </w:rPr>
  </w:style>
  <w:style w:type="paragraph" w:styleId="CommentText">
    <w:name w:val="annotation text"/>
    <w:basedOn w:val="Normal"/>
    <w:link w:val="CommentTextChar"/>
    <w:uiPriority w:val="99"/>
    <w:unhideWhenUsed/>
    <w:rsid w:val="00242FA9"/>
    <w:pPr>
      <w:spacing w:line="240" w:lineRule="auto"/>
    </w:pPr>
    <w:rPr>
      <w:sz w:val="20"/>
      <w:szCs w:val="20"/>
    </w:rPr>
  </w:style>
  <w:style w:type="character" w:customStyle="1" w:styleId="CommentTextChar">
    <w:name w:val="Comment Text Char"/>
    <w:basedOn w:val="DefaultParagraphFont"/>
    <w:link w:val="CommentText"/>
    <w:uiPriority w:val="99"/>
    <w:rsid w:val="00242FA9"/>
    <w:rPr>
      <w:sz w:val="20"/>
      <w:szCs w:val="20"/>
    </w:rPr>
  </w:style>
  <w:style w:type="paragraph" w:styleId="CommentSubject">
    <w:name w:val="annotation subject"/>
    <w:basedOn w:val="CommentText"/>
    <w:next w:val="CommentText"/>
    <w:link w:val="CommentSubjectChar"/>
    <w:uiPriority w:val="99"/>
    <w:semiHidden/>
    <w:unhideWhenUsed/>
    <w:rsid w:val="00242FA9"/>
    <w:rPr>
      <w:b/>
      <w:bCs/>
    </w:rPr>
  </w:style>
  <w:style w:type="character" w:customStyle="1" w:styleId="CommentSubjectChar">
    <w:name w:val="Comment Subject Char"/>
    <w:basedOn w:val="CommentTextChar"/>
    <w:link w:val="CommentSubject"/>
    <w:uiPriority w:val="99"/>
    <w:semiHidden/>
    <w:rsid w:val="00242FA9"/>
    <w:rPr>
      <w:b/>
      <w:bCs/>
      <w:sz w:val="20"/>
      <w:szCs w:val="20"/>
    </w:rPr>
  </w:style>
  <w:style w:type="paragraph" w:styleId="FootnoteText">
    <w:name w:val="footnote text"/>
    <w:basedOn w:val="Normal"/>
    <w:link w:val="FootnoteTextChar"/>
    <w:uiPriority w:val="99"/>
    <w:semiHidden/>
    <w:unhideWhenUsed/>
    <w:rsid w:val="00655801"/>
    <w:pPr>
      <w:spacing w:line="240" w:lineRule="auto"/>
    </w:pPr>
    <w:rPr>
      <w:rFonts w:cstheme="minorBidi"/>
      <w:sz w:val="20"/>
      <w:szCs w:val="20"/>
    </w:rPr>
  </w:style>
  <w:style w:type="character" w:customStyle="1" w:styleId="FootnoteTextChar">
    <w:name w:val="Footnote Text Char"/>
    <w:basedOn w:val="DefaultParagraphFont"/>
    <w:link w:val="FootnoteText"/>
    <w:uiPriority w:val="99"/>
    <w:semiHidden/>
    <w:rsid w:val="00655801"/>
    <w:rPr>
      <w:rFonts w:cstheme="minorBidi"/>
      <w:sz w:val="20"/>
      <w:szCs w:val="20"/>
    </w:rPr>
  </w:style>
  <w:style w:type="character" w:styleId="FootnoteReference">
    <w:name w:val="footnote reference"/>
    <w:basedOn w:val="DefaultParagraphFont"/>
    <w:uiPriority w:val="99"/>
    <w:semiHidden/>
    <w:unhideWhenUsed/>
    <w:rsid w:val="00655801"/>
    <w:rPr>
      <w:vertAlign w:val="superscript"/>
    </w:rPr>
  </w:style>
  <w:style w:type="paragraph" w:styleId="ListParagraph">
    <w:name w:val="List Paragraph"/>
    <w:basedOn w:val="Normal"/>
    <w:uiPriority w:val="34"/>
    <w:qFormat/>
    <w:rsid w:val="00A96F0E"/>
    <w:pPr>
      <w:ind w:left="720"/>
      <w:contextualSpacing/>
    </w:pPr>
  </w:style>
  <w:style w:type="paragraph" w:styleId="Bibliography">
    <w:name w:val="Bibliography"/>
    <w:basedOn w:val="Normal"/>
    <w:next w:val="Normal"/>
    <w:uiPriority w:val="37"/>
    <w:unhideWhenUsed/>
    <w:rsid w:val="00AB7823"/>
    <w:pPr>
      <w:spacing w:after="240" w:line="240" w:lineRule="auto"/>
      <w:ind w:left="720" w:hanging="720"/>
    </w:pPr>
  </w:style>
  <w:style w:type="table" w:styleId="TableGrid">
    <w:name w:val="Table Grid"/>
    <w:basedOn w:val="TableNormal"/>
    <w:uiPriority w:val="39"/>
    <w:rsid w:val="00D14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7C1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7C18"/>
    <w:rPr>
      <w:rFonts w:ascii="Segoe UI" w:hAnsi="Segoe UI" w:cs="Segoe UI"/>
      <w:sz w:val="18"/>
      <w:szCs w:val="18"/>
    </w:rPr>
  </w:style>
  <w:style w:type="character" w:customStyle="1" w:styleId="Heading1Char">
    <w:name w:val="Heading 1 Char"/>
    <w:basedOn w:val="DefaultParagraphFont"/>
    <w:link w:val="Heading1"/>
    <w:uiPriority w:val="9"/>
    <w:rsid w:val="00860B71"/>
    <w:rPr>
      <w:rFonts w:eastAsiaTheme="majorEastAsia" w:cstheme="majorBidi"/>
      <w:color w:val="000000" w:themeColor="text1"/>
      <w:sz w:val="28"/>
      <w:szCs w:val="32"/>
    </w:rPr>
  </w:style>
  <w:style w:type="paragraph" w:styleId="TOCHeading">
    <w:name w:val="TOC Heading"/>
    <w:basedOn w:val="Heading1"/>
    <w:next w:val="Normal"/>
    <w:uiPriority w:val="39"/>
    <w:unhideWhenUsed/>
    <w:qFormat/>
    <w:rsid w:val="008B0876"/>
    <w:pPr>
      <w:spacing w:line="259" w:lineRule="auto"/>
      <w:outlineLvl w:val="9"/>
    </w:pPr>
  </w:style>
  <w:style w:type="character" w:customStyle="1" w:styleId="Heading2Char">
    <w:name w:val="Heading 2 Char"/>
    <w:basedOn w:val="DefaultParagraphFont"/>
    <w:link w:val="Heading2"/>
    <w:uiPriority w:val="9"/>
    <w:rsid w:val="00EF36D7"/>
    <w:rPr>
      <w:rFonts w:eastAsiaTheme="majorEastAsia" w:cstheme="majorBidi"/>
      <w:i/>
      <w:color w:val="000000" w:themeColor="text1"/>
      <w:szCs w:val="26"/>
    </w:rPr>
  </w:style>
  <w:style w:type="character" w:customStyle="1" w:styleId="Heading3Char">
    <w:name w:val="Heading 3 Char"/>
    <w:basedOn w:val="DefaultParagraphFont"/>
    <w:link w:val="Heading3"/>
    <w:uiPriority w:val="9"/>
    <w:rsid w:val="00EF36D7"/>
    <w:rPr>
      <w:rFonts w:eastAsiaTheme="majorEastAsia" w:cstheme="majorBidi"/>
      <w:i/>
      <w:color w:val="000000" w:themeColor="text1"/>
    </w:rPr>
  </w:style>
  <w:style w:type="paragraph" w:styleId="TOC1">
    <w:name w:val="toc 1"/>
    <w:basedOn w:val="Normal"/>
    <w:next w:val="Normal"/>
    <w:autoRedefine/>
    <w:uiPriority w:val="39"/>
    <w:unhideWhenUsed/>
    <w:rsid w:val="00EF36D7"/>
    <w:pPr>
      <w:spacing w:after="100"/>
    </w:pPr>
  </w:style>
  <w:style w:type="paragraph" w:styleId="TOC2">
    <w:name w:val="toc 2"/>
    <w:basedOn w:val="Normal"/>
    <w:next w:val="Normal"/>
    <w:autoRedefine/>
    <w:uiPriority w:val="39"/>
    <w:unhideWhenUsed/>
    <w:rsid w:val="00EF36D7"/>
    <w:pPr>
      <w:spacing w:after="100"/>
      <w:ind w:left="240"/>
    </w:pPr>
  </w:style>
  <w:style w:type="paragraph" w:styleId="TOC3">
    <w:name w:val="toc 3"/>
    <w:basedOn w:val="Normal"/>
    <w:next w:val="Normal"/>
    <w:autoRedefine/>
    <w:uiPriority w:val="39"/>
    <w:unhideWhenUsed/>
    <w:rsid w:val="00EF36D7"/>
    <w:pPr>
      <w:spacing w:after="100"/>
      <w:ind w:left="480"/>
    </w:pPr>
  </w:style>
  <w:style w:type="character" w:styleId="Hyperlink">
    <w:name w:val="Hyperlink"/>
    <w:basedOn w:val="DefaultParagraphFont"/>
    <w:uiPriority w:val="99"/>
    <w:unhideWhenUsed/>
    <w:rsid w:val="00EF36D7"/>
    <w:rPr>
      <w:color w:val="0563C1" w:themeColor="hyperlink"/>
      <w:u w:val="single"/>
    </w:rPr>
  </w:style>
  <w:style w:type="paragraph" w:styleId="Revision">
    <w:name w:val="Revision"/>
    <w:hidden/>
    <w:uiPriority w:val="99"/>
    <w:semiHidden/>
    <w:rsid w:val="00E12B70"/>
    <w:pPr>
      <w:spacing w:line="240" w:lineRule="auto"/>
    </w:pPr>
  </w:style>
  <w:style w:type="character" w:customStyle="1" w:styleId="UnresolvedMention1">
    <w:name w:val="Unresolved Mention1"/>
    <w:basedOn w:val="DefaultParagraphFont"/>
    <w:uiPriority w:val="99"/>
    <w:semiHidden/>
    <w:unhideWhenUsed/>
    <w:rsid w:val="00601FA6"/>
    <w:rPr>
      <w:color w:val="605E5C"/>
      <w:shd w:val="clear" w:color="auto" w:fill="E1DFDD"/>
    </w:rPr>
  </w:style>
  <w:style w:type="character" w:styleId="EndnoteReference">
    <w:name w:val="endnote reference"/>
    <w:basedOn w:val="DefaultParagraphFont"/>
    <w:uiPriority w:val="99"/>
    <w:semiHidden/>
    <w:unhideWhenUsed/>
    <w:rsid w:val="005B48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89A43-D680-4FB1-BF83-6B1D3E13B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63</Pages>
  <Words>60941</Words>
  <Characters>347365</Characters>
  <Application>Microsoft Office Word</Application>
  <DocSecurity>0</DocSecurity>
  <Lines>2894</Lines>
  <Paragraphs>814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Wiser</dc:creator>
  <cp:keywords/>
  <dc:description/>
  <cp:lastModifiedBy>Sally Wiser</cp:lastModifiedBy>
  <cp:revision>6</cp:revision>
  <cp:lastPrinted>2022-05-06T14:45:00Z</cp:lastPrinted>
  <dcterms:created xsi:type="dcterms:W3CDTF">2022-05-05T22:32:00Z</dcterms:created>
  <dcterms:modified xsi:type="dcterms:W3CDTF">2022-05-06T14:45:00Z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zotero-version="6.0.6"&gt;&lt;session id="wbTz6mZW"/&gt;&lt;style id="http://www.zotero.org/styles/american-sociological-association" locale="en-US" hasBibliography="1" bibliographyStyleHasBeenSet="1"/&gt;&lt;prefs&gt;&lt;pref name="fieldType" value="Field</vt:lpwstr>
  </property>
  <property fmtid="{D5CDD505-2E9C-101B-9397-08002B2CF9AE}" pid="3" name="ZOTERO_PREF_2">
    <vt:lpwstr>"/&gt;&lt;pref name="automaticJournalAbbreviations" value="true"/&gt;&lt;/prefs&gt;&lt;/data&gt;</vt:lpwstr>
  </property>
</Properties>
</file>