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media/image20.jpg" ContentType="image/x-emf"/>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557B8" w14:textId="3DB0D24E" w:rsidR="00E67A1B" w:rsidRDefault="00042580" w:rsidP="00365CA3">
      <w:pPr>
        <w:jc w:val="center"/>
        <w:rPr>
          <w:rFonts w:cs="Times New Roman"/>
          <w:szCs w:val="24"/>
        </w:rPr>
      </w:pPr>
      <w:r>
        <w:rPr>
          <w:rFonts w:cs="Times New Roman"/>
          <w:szCs w:val="24"/>
        </w:rPr>
        <w:t>UNIVERSITY OF OKLAHOMA</w:t>
      </w:r>
    </w:p>
    <w:p w14:paraId="4380DBBF" w14:textId="454673AF" w:rsidR="00042580" w:rsidRDefault="00042580" w:rsidP="00365CA3">
      <w:pPr>
        <w:jc w:val="center"/>
        <w:rPr>
          <w:rFonts w:cs="Times New Roman"/>
          <w:szCs w:val="24"/>
        </w:rPr>
      </w:pPr>
      <w:r>
        <w:rPr>
          <w:rFonts w:cs="Times New Roman"/>
          <w:szCs w:val="24"/>
        </w:rPr>
        <w:t>GRADUATE COLLEGE</w:t>
      </w:r>
    </w:p>
    <w:p w14:paraId="3AD0DB9D" w14:textId="7985E41B" w:rsidR="00042580" w:rsidRDefault="00042580" w:rsidP="00365CA3">
      <w:pPr>
        <w:jc w:val="center"/>
        <w:rPr>
          <w:rFonts w:cs="Times New Roman"/>
          <w:szCs w:val="24"/>
        </w:rPr>
      </w:pPr>
    </w:p>
    <w:p w14:paraId="208CEA5A" w14:textId="108E90D2" w:rsidR="00042580" w:rsidRDefault="00042580" w:rsidP="00365CA3">
      <w:pPr>
        <w:jc w:val="center"/>
        <w:rPr>
          <w:rFonts w:cs="Times New Roman"/>
          <w:szCs w:val="24"/>
        </w:rPr>
      </w:pPr>
    </w:p>
    <w:p w14:paraId="485679AB" w14:textId="77777777" w:rsidR="00365CA3" w:rsidRDefault="00365CA3" w:rsidP="00365CA3">
      <w:pPr>
        <w:jc w:val="center"/>
        <w:rPr>
          <w:rFonts w:cs="Times New Roman"/>
          <w:szCs w:val="24"/>
        </w:rPr>
      </w:pPr>
    </w:p>
    <w:p w14:paraId="09079B04" w14:textId="03D29989" w:rsidR="00042580" w:rsidRDefault="00042580" w:rsidP="00365CA3">
      <w:pPr>
        <w:jc w:val="center"/>
        <w:rPr>
          <w:rFonts w:cs="Times New Roman"/>
          <w:szCs w:val="24"/>
        </w:rPr>
      </w:pPr>
    </w:p>
    <w:p w14:paraId="4158CF45" w14:textId="1A488BEC" w:rsidR="00042580" w:rsidRDefault="00042580" w:rsidP="00365CA3">
      <w:pPr>
        <w:jc w:val="center"/>
        <w:rPr>
          <w:rFonts w:cs="Times New Roman"/>
          <w:szCs w:val="24"/>
        </w:rPr>
      </w:pPr>
      <w:r>
        <w:rPr>
          <w:rFonts w:cs="Times New Roman"/>
          <w:szCs w:val="24"/>
        </w:rPr>
        <w:t xml:space="preserve">GEOGRAPHICAL VARIATION IN </w:t>
      </w:r>
      <w:r w:rsidR="00244F9E">
        <w:rPr>
          <w:rFonts w:cs="Times New Roman"/>
          <w:szCs w:val="24"/>
        </w:rPr>
        <w:t>AN</w:t>
      </w:r>
      <w:r>
        <w:rPr>
          <w:rFonts w:cs="Times New Roman"/>
          <w:szCs w:val="24"/>
        </w:rPr>
        <w:t xml:space="preserve"> AQUATIC-TO-TERRESTRIAL RESOURCE SUBSIDY PATHWAY</w:t>
      </w:r>
    </w:p>
    <w:p w14:paraId="36BC30C3" w14:textId="7F762AC1" w:rsidR="00042580" w:rsidRDefault="00042580" w:rsidP="00365CA3">
      <w:pPr>
        <w:jc w:val="center"/>
        <w:rPr>
          <w:rFonts w:cs="Times New Roman"/>
          <w:szCs w:val="24"/>
        </w:rPr>
      </w:pPr>
    </w:p>
    <w:p w14:paraId="73532EEA" w14:textId="593BAA23" w:rsidR="00365CA3" w:rsidRDefault="00365CA3" w:rsidP="00365CA3">
      <w:pPr>
        <w:jc w:val="center"/>
        <w:rPr>
          <w:rFonts w:cs="Times New Roman"/>
          <w:szCs w:val="24"/>
        </w:rPr>
      </w:pPr>
    </w:p>
    <w:p w14:paraId="60FAE68A" w14:textId="146B3692" w:rsidR="00365CA3" w:rsidRDefault="00365CA3" w:rsidP="00365CA3">
      <w:pPr>
        <w:jc w:val="center"/>
        <w:rPr>
          <w:rFonts w:cs="Times New Roman"/>
          <w:szCs w:val="24"/>
        </w:rPr>
      </w:pPr>
    </w:p>
    <w:p w14:paraId="561EEE50" w14:textId="7BA9554A" w:rsidR="00365CA3" w:rsidRDefault="00365CA3" w:rsidP="00365CA3">
      <w:pPr>
        <w:jc w:val="center"/>
        <w:rPr>
          <w:rFonts w:cs="Times New Roman"/>
          <w:szCs w:val="24"/>
        </w:rPr>
      </w:pPr>
    </w:p>
    <w:p w14:paraId="2A39FD1B" w14:textId="0DAFCD27" w:rsidR="00365CA3" w:rsidRDefault="00365CA3" w:rsidP="00365CA3">
      <w:pPr>
        <w:jc w:val="center"/>
        <w:rPr>
          <w:rFonts w:cs="Times New Roman"/>
          <w:szCs w:val="24"/>
        </w:rPr>
      </w:pPr>
    </w:p>
    <w:p w14:paraId="2C5E0A91" w14:textId="678E6F29" w:rsidR="00365CA3" w:rsidRDefault="00365CA3" w:rsidP="00365CA3">
      <w:pPr>
        <w:jc w:val="center"/>
        <w:rPr>
          <w:rFonts w:cs="Times New Roman"/>
          <w:szCs w:val="24"/>
        </w:rPr>
      </w:pPr>
      <w:r>
        <w:rPr>
          <w:rFonts w:cs="Times New Roman"/>
          <w:szCs w:val="24"/>
        </w:rPr>
        <w:t>A DISSERTATION</w:t>
      </w:r>
    </w:p>
    <w:p w14:paraId="0EC88DD8" w14:textId="5E4B67C3" w:rsidR="00365CA3" w:rsidRDefault="00365CA3" w:rsidP="00365CA3">
      <w:pPr>
        <w:jc w:val="center"/>
        <w:rPr>
          <w:rFonts w:cs="Times New Roman"/>
          <w:szCs w:val="24"/>
        </w:rPr>
      </w:pPr>
      <w:r>
        <w:rPr>
          <w:rFonts w:cs="Times New Roman"/>
          <w:szCs w:val="24"/>
        </w:rPr>
        <w:t>SUBMITTED TO THE GRADUATE FACULTY</w:t>
      </w:r>
    </w:p>
    <w:p w14:paraId="675F2C0F" w14:textId="0DD884F3" w:rsidR="00365CA3" w:rsidRDefault="00365CA3" w:rsidP="00365CA3">
      <w:pPr>
        <w:jc w:val="center"/>
        <w:rPr>
          <w:rFonts w:cs="Times New Roman"/>
          <w:szCs w:val="24"/>
        </w:rPr>
      </w:pPr>
      <w:r>
        <w:rPr>
          <w:rFonts w:cs="Times New Roman"/>
          <w:szCs w:val="24"/>
        </w:rPr>
        <w:t>in partial fulfillment of the requirements for the</w:t>
      </w:r>
    </w:p>
    <w:p w14:paraId="6965742F" w14:textId="46712157" w:rsidR="00365CA3" w:rsidRDefault="00365CA3" w:rsidP="00365CA3">
      <w:pPr>
        <w:jc w:val="center"/>
        <w:rPr>
          <w:rFonts w:cs="Times New Roman"/>
          <w:szCs w:val="24"/>
        </w:rPr>
      </w:pPr>
      <w:r>
        <w:rPr>
          <w:rFonts w:cs="Times New Roman"/>
          <w:szCs w:val="24"/>
        </w:rPr>
        <w:t>Degree of</w:t>
      </w:r>
    </w:p>
    <w:p w14:paraId="595AD368" w14:textId="7D18CFE2" w:rsidR="00365CA3" w:rsidRDefault="00365CA3" w:rsidP="00365CA3">
      <w:pPr>
        <w:jc w:val="center"/>
        <w:rPr>
          <w:rFonts w:cs="Times New Roman"/>
          <w:szCs w:val="24"/>
        </w:rPr>
      </w:pPr>
      <w:r>
        <w:rPr>
          <w:rFonts w:cs="Times New Roman"/>
          <w:szCs w:val="24"/>
        </w:rPr>
        <w:t>DOCTOR OF PHILOSOPHY</w:t>
      </w:r>
    </w:p>
    <w:p w14:paraId="25121DD7" w14:textId="6855869E" w:rsidR="00365CA3" w:rsidRDefault="00365CA3" w:rsidP="00365CA3">
      <w:pPr>
        <w:jc w:val="center"/>
        <w:rPr>
          <w:rFonts w:cs="Times New Roman"/>
          <w:szCs w:val="24"/>
        </w:rPr>
      </w:pPr>
    </w:p>
    <w:p w14:paraId="341A50E3" w14:textId="709DE71C" w:rsidR="00365CA3" w:rsidRDefault="00365CA3" w:rsidP="00365CA3">
      <w:pPr>
        <w:jc w:val="center"/>
        <w:rPr>
          <w:rFonts w:cs="Times New Roman"/>
          <w:szCs w:val="24"/>
        </w:rPr>
      </w:pPr>
    </w:p>
    <w:p w14:paraId="74B8046C" w14:textId="3886637F" w:rsidR="00365CA3" w:rsidRDefault="00365CA3" w:rsidP="00365CA3">
      <w:pPr>
        <w:jc w:val="center"/>
        <w:rPr>
          <w:rFonts w:cs="Times New Roman"/>
          <w:szCs w:val="24"/>
        </w:rPr>
      </w:pPr>
    </w:p>
    <w:p w14:paraId="16A3D8D4" w14:textId="77777777" w:rsidR="00365CA3" w:rsidRDefault="00365CA3" w:rsidP="00365CA3">
      <w:pPr>
        <w:jc w:val="center"/>
        <w:rPr>
          <w:rFonts w:cs="Times New Roman"/>
          <w:szCs w:val="24"/>
        </w:rPr>
      </w:pPr>
    </w:p>
    <w:p w14:paraId="301CCE7F" w14:textId="5C2A9DF9" w:rsidR="00365CA3" w:rsidRDefault="00365CA3" w:rsidP="00365CA3">
      <w:pPr>
        <w:jc w:val="center"/>
        <w:rPr>
          <w:rFonts w:cs="Times New Roman"/>
          <w:szCs w:val="24"/>
        </w:rPr>
      </w:pPr>
    </w:p>
    <w:p w14:paraId="69FB505E" w14:textId="69470A1A" w:rsidR="00365CA3" w:rsidRDefault="00365CA3" w:rsidP="00365CA3">
      <w:pPr>
        <w:jc w:val="center"/>
        <w:rPr>
          <w:rFonts w:cs="Times New Roman"/>
          <w:szCs w:val="24"/>
        </w:rPr>
      </w:pPr>
    </w:p>
    <w:p w14:paraId="655B6D1F" w14:textId="77777777" w:rsidR="00365CA3" w:rsidRDefault="00365CA3" w:rsidP="00365CA3">
      <w:pPr>
        <w:jc w:val="center"/>
        <w:rPr>
          <w:rFonts w:cs="Times New Roman"/>
          <w:szCs w:val="24"/>
        </w:rPr>
      </w:pPr>
    </w:p>
    <w:p w14:paraId="5ADC4228" w14:textId="729AC01E" w:rsidR="00365CA3" w:rsidRDefault="00365CA3" w:rsidP="00365CA3">
      <w:pPr>
        <w:jc w:val="center"/>
        <w:rPr>
          <w:rFonts w:cs="Times New Roman"/>
          <w:szCs w:val="24"/>
        </w:rPr>
      </w:pPr>
      <w:r>
        <w:rPr>
          <w:rFonts w:cs="Times New Roman"/>
          <w:szCs w:val="24"/>
        </w:rPr>
        <w:t>By</w:t>
      </w:r>
    </w:p>
    <w:p w14:paraId="35C93716" w14:textId="3BEC03AB" w:rsidR="00365CA3" w:rsidRDefault="00365CA3" w:rsidP="00365CA3">
      <w:pPr>
        <w:jc w:val="center"/>
        <w:rPr>
          <w:rFonts w:cs="Times New Roman"/>
          <w:szCs w:val="24"/>
        </w:rPr>
      </w:pPr>
      <w:r>
        <w:rPr>
          <w:rFonts w:cs="Times New Roman"/>
          <w:szCs w:val="24"/>
        </w:rPr>
        <w:t>DARIN KOPP</w:t>
      </w:r>
    </w:p>
    <w:p w14:paraId="06962B37" w14:textId="26ABF80E" w:rsidR="00365CA3" w:rsidRDefault="00365CA3" w:rsidP="00365CA3">
      <w:pPr>
        <w:jc w:val="center"/>
        <w:rPr>
          <w:rFonts w:cs="Times New Roman"/>
          <w:szCs w:val="24"/>
        </w:rPr>
      </w:pPr>
      <w:r>
        <w:rPr>
          <w:rFonts w:cs="Times New Roman"/>
          <w:szCs w:val="24"/>
        </w:rPr>
        <w:t>Norman, OK</w:t>
      </w:r>
    </w:p>
    <w:p w14:paraId="2E580335" w14:textId="50592814" w:rsidR="00365CA3" w:rsidRDefault="00365CA3" w:rsidP="00365CA3">
      <w:pPr>
        <w:jc w:val="center"/>
        <w:rPr>
          <w:rFonts w:cs="Times New Roman"/>
          <w:szCs w:val="24"/>
        </w:rPr>
      </w:pPr>
      <w:r>
        <w:rPr>
          <w:rFonts w:cs="Times New Roman"/>
          <w:szCs w:val="24"/>
        </w:rPr>
        <w:t>2021</w:t>
      </w:r>
    </w:p>
    <w:p w14:paraId="4B33C80F" w14:textId="77777777" w:rsidR="00860F02" w:rsidRDefault="00860F02" w:rsidP="00365CA3">
      <w:pPr>
        <w:jc w:val="center"/>
        <w:rPr>
          <w:rFonts w:cs="Times New Roman"/>
          <w:szCs w:val="24"/>
        </w:rPr>
      </w:pPr>
    </w:p>
    <w:p w14:paraId="0988A662" w14:textId="63C9AE62" w:rsidR="00365CA3" w:rsidRDefault="00365CA3" w:rsidP="00365CA3">
      <w:pPr>
        <w:jc w:val="center"/>
        <w:rPr>
          <w:rFonts w:cs="Times New Roman"/>
          <w:szCs w:val="24"/>
        </w:rPr>
      </w:pPr>
      <w:r>
        <w:rPr>
          <w:rFonts w:cs="Times New Roman"/>
          <w:szCs w:val="24"/>
        </w:rPr>
        <w:t>GEOGRAPHICAL VARIATION IN THE AQUATIC-TO-TERRESTRIAL RESOURCE SUBSIDY PATHWAY</w:t>
      </w:r>
    </w:p>
    <w:p w14:paraId="07635A37" w14:textId="4C9C1E23" w:rsidR="00365CA3" w:rsidRDefault="00365CA3" w:rsidP="00365CA3">
      <w:pPr>
        <w:jc w:val="center"/>
        <w:rPr>
          <w:rFonts w:cs="Times New Roman"/>
          <w:szCs w:val="24"/>
        </w:rPr>
      </w:pPr>
    </w:p>
    <w:p w14:paraId="19D7EA52" w14:textId="77777777" w:rsidR="0070649D" w:rsidRDefault="0070649D" w:rsidP="00365CA3">
      <w:pPr>
        <w:jc w:val="center"/>
        <w:rPr>
          <w:rFonts w:cs="Times New Roman"/>
          <w:szCs w:val="24"/>
        </w:rPr>
      </w:pPr>
    </w:p>
    <w:p w14:paraId="3CCF6679" w14:textId="312E198E" w:rsidR="00365CA3" w:rsidRDefault="00365CA3" w:rsidP="00365CA3">
      <w:pPr>
        <w:jc w:val="center"/>
        <w:rPr>
          <w:rFonts w:cs="Times New Roman"/>
          <w:szCs w:val="24"/>
        </w:rPr>
      </w:pPr>
    </w:p>
    <w:p w14:paraId="50971C59" w14:textId="77777777" w:rsidR="0070649D" w:rsidRDefault="0070649D" w:rsidP="00365CA3">
      <w:pPr>
        <w:jc w:val="center"/>
        <w:rPr>
          <w:rFonts w:cs="Times New Roman"/>
          <w:szCs w:val="24"/>
        </w:rPr>
      </w:pPr>
    </w:p>
    <w:p w14:paraId="0646A39D" w14:textId="53161E9E" w:rsidR="00365CA3" w:rsidRDefault="00365CA3" w:rsidP="00365CA3">
      <w:pPr>
        <w:jc w:val="center"/>
        <w:rPr>
          <w:rFonts w:cs="Times New Roman"/>
          <w:szCs w:val="24"/>
        </w:rPr>
      </w:pPr>
      <w:r>
        <w:rPr>
          <w:rFonts w:cs="Times New Roman"/>
          <w:szCs w:val="24"/>
        </w:rPr>
        <w:t xml:space="preserve">A DISSERTATION APPROVED FOR THE </w:t>
      </w:r>
    </w:p>
    <w:p w14:paraId="12A17B7A" w14:textId="5ECBF2DA" w:rsidR="00365CA3" w:rsidRDefault="00365CA3" w:rsidP="00365CA3">
      <w:pPr>
        <w:jc w:val="center"/>
        <w:rPr>
          <w:rFonts w:cs="Times New Roman"/>
          <w:szCs w:val="24"/>
        </w:rPr>
      </w:pPr>
      <w:r>
        <w:rPr>
          <w:rFonts w:cs="Times New Roman"/>
          <w:szCs w:val="24"/>
        </w:rPr>
        <w:t>DEPARTMENT OF BIOLOGY</w:t>
      </w:r>
    </w:p>
    <w:p w14:paraId="51308224" w14:textId="0B4512E6" w:rsidR="00365CA3" w:rsidRDefault="00365CA3" w:rsidP="00365CA3">
      <w:pPr>
        <w:jc w:val="center"/>
        <w:rPr>
          <w:rFonts w:cs="Times New Roman"/>
          <w:szCs w:val="24"/>
        </w:rPr>
      </w:pPr>
    </w:p>
    <w:p w14:paraId="73F2C37D" w14:textId="43428C9E" w:rsidR="0070649D" w:rsidRDefault="0070649D" w:rsidP="00365CA3">
      <w:pPr>
        <w:jc w:val="center"/>
        <w:rPr>
          <w:rFonts w:cs="Times New Roman"/>
          <w:szCs w:val="24"/>
        </w:rPr>
      </w:pPr>
    </w:p>
    <w:p w14:paraId="6B196D20" w14:textId="497C5BC3" w:rsidR="0070649D" w:rsidRDefault="0070649D" w:rsidP="00365CA3">
      <w:pPr>
        <w:jc w:val="center"/>
        <w:rPr>
          <w:rFonts w:cs="Times New Roman"/>
          <w:szCs w:val="24"/>
        </w:rPr>
      </w:pPr>
    </w:p>
    <w:p w14:paraId="70950C54" w14:textId="2106D426" w:rsidR="0070649D" w:rsidRDefault="0070649D" w:rsidP="00860F02">
      <w:pPr>
        <w:rPr>
          <w:rFonts w:cs="Times New Roman"/>
          <w:szCs w:val="24"/>
        </w:rPr>
      </w:pPr>
    </w:p>
    <w:p w14:paraId="1E05835C" w14:textId="63A2401A" w:rsidR="0070649D" w:rsidRDefault="0070649D" w:rsidP="00365CA3">
      <w:pPr>
        <w:jc w:val="center"/>
        <w:rPr>
          <w:rFonts w:cs="Times New Roman"/>
          <w:szCs w:val="24"/>
        </w:rPr>
      </w:pPr>
    </w:p>
    <w:p w14:paraId="62820607" w14:textId="77777777" w:rsidR="0070649D" w:rsidRDefault="0070649D" w:rsidP="00365CA3">
      <w:pPr>
        <w:jc w:val="center"/>
        <w:rPr>
          <w:rFonts w:cs="Times New Roman"/>
          <w:szCs w:val="24"/>
        </w:rPr>
      </w:pPr>
    </w:p>
    <w:p w14:paraId="33AFDA0F" w14:textId="1C3D1C76" w:rsidR="00365CA3" w:rsidRDefault="00365CA3" w:rsidP="00365CA3">
      <w:pPr>
        <w:jc w:val="center"/>
        <w:rPr>
          <w:rFonts w:cs="Times New Roman"/>
          <w:szCs w:val="24"/>
        </w:rPr>
      </w:pPr>
      <w:r>
        <w:rPr>
          <w:rFonts w:cs="Times New Roman"/>
          <w:szCs w:val="24"/>
        </w:rPr>
        <w:t xml:space="preserve">BY THE COMMITTEE CONSISTING OF </w:t>
      </w:r>
    </w:p>
    <w:p w14:paraId="6F798DAA" w14:textId="548D13D2" w:rsidR="00365CA3" w:rsidRDefault="00365CA3" w:rsidP="00365CA3">
      <w:pPr>
        <w:jc w:val="center"/>
        <w:rPr>
          <w:rFonts w:cs="Times New Roman"/>
          <w:szCs w:val="24"/>
        </w:rPr>
      </w:pPr>
    </w:p>
    <w:p w14:paraId="5FBFFEE3" w14:textId="77777777" w:rsidR="0070649D" w:rsidRDefault="0070649D" w:rsidP="00365CA3">
      <w:pPr>
        <w:jc w:val="center"/>
        <w:rPr>
          <w:rFonts w:cs="Times New Roman"/>
          <w:szCs w:val="24"/>
        </w:rPr>
      </w:pPr>
    </w:p>
    <w:p w14:paraId="258A8F07" w14:textId="7B9FFF47" w:rsidR="00365CA3" w:rsidRDefault="00365CA3" w:rsidP="00365CA3">
      <w:pPr>
        <w:jc w:val="center"/>
        <w:rPr>
          <w:rFonts w:cs="Times New Roman"/>
          <w:szCs w:val="24"/>
        </w:rPr>
      </w:pPr>
    </w:p>
    <w:p w14:paraId="44113922" w14:textId="77777777" w:rsidR="00860F02" w:rsidRDefault="00860F02" w:rsidP="007D02D7">
      <w:pPr>
        <w:rPr>
          <w:rFonts w:cs="Times New Roman"/>
          <w:szCs w:val="24"/>
        </w:rPr>
      </w:pPr>
    </w:p>
    <w:p w14:paraId="7475C41C" w14:textId="64F15284" w:rsidR="00365CA3" w:rsidRDefault="00365CA3" w:rsidP="00365CA3">
      <w:pPr>
        <w:jc w:val="center"/>
        <w:rPr>
          <w:rFonts w:cs="Times New Roman"/>
          <w:szCs w:val="24"/>
        </w:rPr>
      </w:pPr>
    </w:p>
    <w:p w14:paraId="18F784F9" w14:textId="4C68B09C" w:rsidR="00365CA3" w:rsidRDefault="00365CA3" w:rsidP="00365CA3">
      <w:pPr>
        <w:jc w:val="right"/>
        <w:rPr>
          <w:rFonts w:cs="Times New Roman"/>
          <w:szCs w:val="24"/>
        </w:rPr>
      </w:pPr>
      <w:r>
        <w:rPr>
          <w:rFonts w:cs="Times New Roman"/>
          <w:szCs w:val="24"/>
        </w:rPr>
        <w:t>Dr. Daniel Allen</w:t>
      </w:r>
      <w:r w:rsidR="0070649D">
        <w:rPr>
          <w:rFonts w:cs="Times New Roman"/>
          <w:szCs w:val="24"/>
        </w:rPr>
        <w:t>, Chair</w:t>
      </w:r>
    </w:p>
    <w:p w14:paraId="62055CF2" w14:textId="77777777" w:rsidR="0070649D" w:rsidRDefault="0070649D" w:rsidP="00365CA3">
      <w:pPr>
        <w:jc w:val="right"/>
        <w:rPr>
          <w:rFonts w:cs="Times New Roman"/>
          <w:szCs w:val="24"/>
        </w:rPr>
      </w:pPr>
      <w:r>
        <w:rPr>
          <w:rFonts w:cs="Times New Roman"/>
          <w:szCs w:val="24"/>
        </w:rPr>
        <w:t xml:space="preserve">Dr. Michael </w:t>
      </w:r>
      <w:proofErr w:type="spellStart"/>
      <w:r>
        <w:rPr>
          <w:rFonts w:cs="Times New Roman"/>
          <w:szCs w:val="24"/>
        </w:rPr>
        <w:t>Kaspari</w:t>
      </w:r>
      <w:proofErr w:type="spellEnd"/>
    </w:p>
    <w:p w14:paraId="4BE98576" w14:textId="518DFE47" w:rsidR="0070649D" w:rsidRDefault="0070649D" w:rsidP="00365CA3">
      <w:pPr>
        <w:jc w:val="right"/>
        <w:rPr>
          <w:rFonts w:cs="Times New Roman"/>
          <w:szCs w:val="24"/>
        </w:rPr>
      </w:pPr>
      <w:r>
        <w:rPr>
          <w:rFonts w:cs="Times New Roman"/>
          <w:szCs w:val="24"/>
        </w:rPr>
        <w:t>Dr. Jeffrey Kelly</w:t>
      </w:r>
    </w:p>
    <w:p w14:paraId="4F2B60F7" w14:textId="77777777" w:rsidR="0070649D" w:rsidRDefault="0070649D" w:rsidP="00365CA3">
      <w:pPr>
        <w:jc w:val="right"/>
        <w:rPr>
          <w:rFonts w:cs="Times New Roman"/>
          <w:szCs w:val="24"/>
        </w:rPr>
      </w:pPr>
      <w:r>
        <w:rPr>
          <w:rFonts w:cs="Times New Roman"/>
          <w:szCs w:val="24"/>
        </w:rPr>
        <w:t xml:space="preserve">Dr. Thomas </w:t>
      </w:r>
      <w:proofErr w:type="spellStart"/>
      <w:r>
        <w:rPr>
          <w:rFonts w:cs="Times New Roman"/>
          <w:szCs w:val="24"/>
        </w:rPr>
        <w:t>Neeson</w:t>
      </w:r>
      <w:proofErr w:type="spellEnd"/>
    </w:p>
    <w:p w14:paraId="358A0FCC" w14:textId="50277246" w:rsidR="0070649D" w:rsidRDefault="0070649D" w:rsidP="00365CA3">
      <w:pPr>
        <w:jc w:val="right"/>
        <w:rPr>
          <w:rFonts w:cs="Times New Roman"/>
          <w:szCs w:val="24"/>
        </w:rPr>
      </w:pPr>
      <w:r>
        <w:rPr>
          <w:rFonts w:cs="Times New Roman"/>
          <w:szCs w:val="24"/>
        </w:rPr>
        <w:t xml:space="preserve">Dr. </w:t>
      </w:r>
      <w:proofErr w:type="spellStart"/>
      <w:r>
        <w:rPr>
          <w:rFonts w:cs="Times New Roman"/>
          <w:szCs w:val="24"/>
        </w:rPr>
        <w:t>Jianguo</w:t>
      </w:r>
      <w:proofErr w:type="spellEnd"/>
      <w:r>
        <w:rPr>
          <w:rFonts w:cs="Times New Roman"/>
          <w:szCs w:val="24"/>
        </w:rPr>
        <w:t xml:space="preserve"> Wu </w:t>
      </w:r>
    </w:p>
    <w:p w14:paraId="1457CF82" w14:textId="07C06D2C" w:rsidR="0070649D" w:rsidRDefault="0070649D" w:rsidP="00365CA3">
      <w:pPr>
        <w:jc w:val="right"/>
        <w:rPr>
          <w:rFonts w:cs="Times New Roman"/>
          <w:szCs w:val="24"/>
        </w:rPr>
      </w:pPr>
    </w:p>
    <w:p w14:paraId="7C28D446" w14:textId="45647079" w:rsidR="0070649D" w:rsidRDefault="0070649D" w:rsidP="00365CA3">
      <w:pPr>
        <w:jc w:val="right"/>
        <w:rPr>
          <w:rFonts w:cs="Times New Roman"/>
          <w:szCs w:val="24"/>
        </w:rPr>
      </w:pPr>
    </w:p>
    <w:p w14:paraId="393BB34A" w14:textId="4259F5D9" w:rsidR="0070649D" w:rsidRDefault="0070649D" w:rsidP="00365CA3">
      <w:pPr>
        <w:jc w:val="right"/>
        <w:rPr>
          <w:rFonts w:cs="Times New Roman"/>
          <w:szCs w:val="24"/>
        </w:rPr>
      </w:pPr>
    </w:p>
    <w:p w14:paraId="1039691E" w14:textId="05824ADD" w:rsidR="0070649D" w:rsidRDefault="0070649D" w:rsidP="0070649D">
      <w:pPr>
        <w:jc w:val="center"/>
        <w:rPr>
          <w:rFonts w:cs="Times New Roman"/>
          <w:szCs w:val="24"/>
        </w:rPr>
      </w:pPr>
    </w:p>
    <w:p w14:paraId="727EC524" w14:textId="045DF383" w:rsidR="0070649D" w:rsidRDefault="0070649D" w:rsidP="0070649D">
      <w:pPr>
        <w:jc w:val="center"/>
        <w:rPr>
          <w:rFonts w:cs="Times New Roman"/>
          <w:szCs w:val="24"/>
        </w:rPr>
      </w:pPr>
    </w:p>
    <w:p w14:paraId="23539EC4" w14:textId="59FE8531" w:rsidR="0070649D" w:rsidRDefault="0070649D" w:rsidP="0070649D">
      <w:pPr>
        <w:jc w:val="center"/>
        <w:rPr>
          <w:rFonts w:cs="Times New Roman"/>
          <w:szCs w:val="24"/>
        </w:rPr>
      </w:pPr>
    </w:p>
    <w:p w14:paraId="1448874A" w14:textId="3D7AD73B" w:rsidR="0070649D" w:rsidRDefault="0070649D" w:rsidP="0070649D">
      <w:pPr>
        <w:jc w:val="center"/>
        <w:rPr>
          <w:rFonts w:cs="Times New Roman"/>
          <w:szCs w:val="24"/>
        </w:rPr>
      </w:pPr>
    </w:p>
    <w:p w14:paraId="2C9FD8DD" w14:textId="0B4F5561" w:rsidR="0070649D" w:rsidRDefault="0070649D" w:rsidP="0070649D">
      <w:pPr>
        <w:jc w:val="center"/>
        <w:rPr>
          <w:rFonts w:cs="Times New Roman"/>
          <w:szCs w:val="24"/>
        </w:rPr>
      </w:pPr>
    </w:p>
    <w:p w14:paraId="7D8B1B76" w14:textId="5CA98B08" w:rsidR="0070649D" w:rsidRDefault="0070649D" w:rsidP="0070649D">
      <w:pPr>
        <w:jc w:val="center"/>
        <w:rPr>
          <w:rFonts w:cs="Times New Roman"/>
          <w:szCs w:val="24"/>
        </w:rPr>
      </w:pPr>
    </w:p>
    <w:p w14:paraId="6F4793D6" w14:textId="27FF6218" w:rsidR="0070649D" w:rsidRDefault="0070649D" w:rsidP="0070649D">
      <w:pPr>
        <w:jc w:val="center"/>
        <w:rPr>
          <w:rFonts w:cs="Times New Roman"/>
          <w:szCs w:val="24"/>
        </w:rPr>
      </w:pPr>
    </w:p>
    <w:p w14:paraId="0B62F52F" w14:textId="6E64C3F8" w:rsidR="0070649D" w:rsidRDefault="0070649D" w:rsidP="0070649D">
      <w:pPr>
        <w:jc w:val="center"/>
        <w:rPr>
          <w:rFonts w:cs="Times New Roman"/>
          <w:szCs w:val="24"/>
        </w:rPr>
      </w:pPr>
    </w:p>
    <w:p w14:paraId="2ABEEE44" w14:textId="79C77334" w:rsidR="0070649D" w:rsidRDefault="0070649D" w:rsidP="0070649D">
      <w:pPr>
        <w:jc w:val="center"/>
        <w:rPr>
          <w:rFonts w:cs="Times New Roman"/>
          <w:szCs w:val="24"/>
        </w:rPr>
      </w:pPr>
    </w:p>
    <w:p w14:paraId="739B7D2F" w14:textId="2F1E7879" w:rsidR="0070649D" w:rsidRDefault="0070649D" w:rsidP="0070649D">
      <w:pPr>
        <w:jc w:val="center"/>
        <w:rPr>
          <w:rFonts w:cs="Times New Roman"/>
          <w:szCs w:val="24"/>
        </w:rPr>
      </w:pPr>
    </w:p>
    <w:p w14:paraId="3F00924C" w14:textId="13F94D5F" w:rsidR="0070649D" w:rsidRDefault="0070649D" w:rsidP="0070649D">
      <w:pPr>
        <w:jc w:val="center"/>
        <w:rPr>
          <w:rFonts w:cs="Times New Roman"/>
          <w:szCs w:val="24"/>
        </w:rPr>
      </w:pPr>
    </w:p>
    <w:p w14:paraId="5E19EE3B" w14:textId="23D53A88" w:rsidR="0070649D" w:rsidRDefault="0070649D" w:rsidP="0070649D">
      <w:pPr>
        <w:jc w:val="center"/>
        <w:rPr>
          <w:rFonts w:cs="Times New Roman"/>
          <w:szCs w:val="24"/>
        </w:rPr>
      </w:pPr>
    </w:p>
    <w:p w14:paraId="463338DD" w14:textId="36195EBC" w:rsidR="0070649D" w:rsidRDefault="0070649D" w:rsidP="0070649D">
      <w:pPr>
        <w:jc w:val="center"/>
        <w:rPr>
          <w:rFonts w:cs="Times New Roman"/>
          <w:szCs w:val="24"/>
        </w:rPr>
      </w:pPr>
    </w:p>
    <w:p w14:paraId="06543415" w14:textId="675EBEAD" w:rsidR="0070649D" w:rsidRDefault="0070649D" w:rsidP="0070649D">
      <w:pPr>
        <w:jc w:val="center"/>
        <w:rPr>
          <w:rFonts w:cs="Times New Roman"/>
          <w:szCs w:val="24"/>
        </w:rPr>
      </w:pPr>
    </w:p>
    <w:p w14:paraId="38C5E3C4" w14:textId="1ABFA5C8" w:rsidR="0070649D" w:rsidRDefault="0070649D" w:rsidP="0070649D">
      <w:pPr>
        <w:jc w:val="center"/>
        <w:rPr>
          <w:rFonts w:cs="Times New Roman"/>
          <w:szCs w:val="24"/>
        </w:rPr>
      </w:pPr>
    </w:p>
    <w:p w14:paraId="45479963" w14:textId="66D4397D" w:rsidR="0070649D" w:rsidRDefault="0070649D" w:rsidP="0070649D">
      <w:pPr>
        <w:jc w:val="center"/>
        <w:rPr>
          <w:rFonts w:cs="Times New Roman"/>
          <w:szCs w:val="24"/>
        </w:rPr>
      </w:pPr>
    </w:p>
    <w:p w14:paraId="76AE5808" w14:textId="19743321" w:rsidR="0070649D" w:rsidRDefault="0070649D" w:rsidP="0070649D">
      <w:pPr>
        <w:jc w:val="center"/>
        <w:rPr>
          <w:rFonts w:cs="Times New Roman"/>
          <w:szCs w:val="24"/>
        </w:rPr>
      </w:pPr>
    </w:p>
    <w:p w14:paraId="19DA3529" w14:textId="633613E6" w:rsidR="0070649D" w:rsidRDefault="0070649D" w:rsidP="0070649D">
      <w:pPr>
        <w:jc w:val="center"/>
        <w:rPr>
          <w:rFonts w:cs="Times New Roman"/>
          <w:szCs w:val="24"/>
        </w:rPr>
      </w:pPr>
    </w:p>
    <w:p w14:paraId="2CA64CA0" w14:textId="02D66973" w:rsidR="0070649D" w:rsidRDefault="0070649D" w:rsidP="0070649D">
      <w:pPr>
        <w:jc w:val="center"/>
        <w:rPr>
          <w:rFonts w:cs="Times New Roman"/>
          <w:szCs w:val="24"/>
        </w:rPr>
      </w:pPr>
    </w:p>
    <w:p w14:paraId="769813A7" w14:textId="4336D452" w:rsidR="0070649D" w:rsidRDefault="0070649D" w:rsidP="0070649D">
      <w:pPr>
        <w:jc w:val="center"/>
        <w:rPr>
          <w:rFonts w:cs="Times New Roman"/>
          <w:szCs w:val="24"/>
        </w:rPr>
      </w:pPr>
    </w:p>
    <w:p w14:paraId="297C38DD" w14:textId="1D9E3F6B" w:rsidR="0070649D" w:rsidRDefault="0070649D" w:rsidP="0070649D">
      <w:pPr>
        <w:jc w:val="center"/>
        <w:rPr>
          <w:rFonts w:cs="Times New Roman"/>
          <w:szCs w:val="24"/>
        </w:rPr>
      </w:pPr>
    </w:p>
    <w:p w14:paraId="5AF3AA23" w14:textId="50D2D861" w:rsidR="0070649D" w:rsidRDefault="0070649D" w:rsidP="0070649D">
      <w:pPr>
        <w:jc w:val="center"/>
        <w:rPr>
          <w:rFonts w:cs="Times New Roman"/>
          <w:szCs w:val="24"/>
        </w:rPr>
      </w:pPr>
    </w:p>
    <w:p w14:paraId="43C3EF02" w14:textId="4EB4FD89" w:rsidR="0070649D" w:rsidRDefault="0070649D" w:rsidP="0070649D">
      <w:pPr>
        <w:jc w:val="center"/>
        <w:rPr>
          <w:rFonts w:cs="Times New Roman"/>
          <w:szCs w:val="24"/>
        </w:rPr>
      </w:pPr>
    </w:p>
    <w:p w14:paraId="106F5A7F" w14:textId="1AEF78EE" w:rsidR="0070649D" w:rsidRDefault="0070649D" w:rsidP="0070649D">
      <w:pPr>
        <w:jc w:val="center"/>
        <w:rPr>
          <w:rFonts w:cs="Times New Roman"/>
          <w:szCs w:val="24"/>
        </w:rPr>
      </w:pPr>
    </w:p>
    <w:p w14:paraId="6FFEFE2D" w14:textId="2469FBA3" w:rsidR="0070649D" w:rsidRDefault="0070649D" w:rsidP="0070649D">
      <w:pPr>
        <w:jc w:val="center"/>
        <w:rPr>
          <w:rFonts w:cs="Times New Roman"/>
          <w:szCs w:val="24"/>
        </w:rPr>
      </w:pPr>
    </w:p>
    <w:p w14:paraId="59F355FA" w14:textId="6736461D" w:rsidR="0070649D" w:rsidRDefault="0070649D" w:rsidP="0070649D">
      <w:pPr>
        <w:rPr>
          <w:rFonts w:cs="Times New Roman"/>
          <w:szCs w:val="24"/>
        </w:rPr>
      </w:pPr>
    </w:p>
    <w:p w14:paraId="36A8D34D" w14:textId="5E493D63" w:rsidR="0070649D" w:rsidRDefault="0070649D" w:rsidP="0070649D">
      <w:pPr>
        <w:jc w:val="center"/>
        <w:rPr>
          <w:rFonts w:cs="Times New Roman"/>
          <w:szCs w:val="24"/>
        </w:rPr>
      </w:pPr>
      <w:r>
        <w:rPr>
          <w:rFonts w:cs="Times New Roman"/>
          <w:szCs w:val="24"/>
        </w:rPr>
        <w:t>© Copyright by DARIN KOPP 2021</w:t>
      </w:r>
    </w:p>
    <w:p w14:paraId="53E8D493" w14:textId="3773AA2F" w:rsidR="00EC799B" w:rsidRDefault="0070649D" w:rsidP="0070649D">
      <w:pPr>
        <w:jc w:val="center"/>
        <w:rPr>
          <w:rFonts w:cs="Times New Roman"/>
          <w:szCs w:val="24"/>
        </w:rPr>
        <w:sectPr w:rsidR="00EC799B" w:rsidSect="00C02A3F">
          <w:footerReference w:type="default" r:id="rId8"/>
          <w:type w:val="continuous"/>
          <w:pgSz w:w="12240" w:h="15840"/>
          <w:pgMar w:top="1440" w:right="1440" w:bottom="1440" w:left="1440" w:header="720" w:footer="720" w:gutter="0"/>
          <w:pgNumType w:start="1"/>
          <w:cols w:space="720"/>
          <w:docGrid w:linePitch="360"/>
        </w:sectPr>
      </w:pPr>
      <w:r>
        <w:rPr>
          <w:rFonts w:cs="Times New Roman"/>
          <w:szCs w:val="24"/>
        </w:rPr>
        <w:t>All Rights Reserve</w:t>
      </w:r>
      <w:r w:rsidR="006E25A1">
        <w:rPr>
          <w:rFonts w:cs="Times New Roman"/>
          <w:szCs w:val="24"/>
        </w:rPr>
        <w:t>d</w:t>
      </w:r>
      <w:r w:rsidR="000002F8">
        <w:rPr>
          <w:rFonts w:cs="Times New Roman"/>
          <w:szCs w:val="24"/>
        </w:rPr>
        <w:t>.</w:t>
      </w:r>
    </w:p>
    <w:p w14:paraId="53FDF74E" w14:textId="7ECB2F77" w:rsidR="0070649D" w:rsidRDefault="0070649D" w:rsidP="006E25A1">
      <w:pPr>
        <w:rPr>
          <w:rFonts w:cs="Times New Roman"/>
          <w:szCs w:val="24"/>
        </w:rPr>
      </w:pPr>
    </w:p>
    <w:p w14:paraId="2D9AD2A9" w14:textId="30CB3F60" w:rsidR="0036431A" w:rsidRPr="0036431A" w:rsidRDefault="00015D0D" w:rsidP="0036431A">
      <w:pPr>
        <w:pStyle w:val="Heading1"/>
        <w:numPr>
          <w:ilvl w:val="0"/>
          <w:numId w:val="0"/>
        </w:numPr>
        <w:spacing w:line="480" w:lineRule="auto"/>
        <w:contextualSpacing/>
      </w:pPr>
      <w:bookmarkStart w:id="0" w:name="_Toc60841206"/>
      <w:r w:rsidRPr="005023AB">
        <w:t>Acknowledgements</w:t>
      </w:r>
      <w:bookmarkEnd w:id="0"/>
      <w:r w:rsidRPr="005023AB">
        <w:t xml:space="preserve"> </w:t>
      </w:r>
    </w:p>
    <w:p w14:paraId="3724D46D" w14:textId="6ADA29B5" w:rsidR="00CD24D0" w:rsidRDefault="0036431A" w:rsidP="0036431A">
      <w:pPr>
        <w:spacing w:line="480" w:lineRule="auto"/>
        <w:ind w:firstLine="720"/>
        <w:contextualSpacing/>
      </w:pPr>
      <w:r>
        <w:t>This dissertation would not have been possible without the guidance, encouragement, and support of others, to whom I am forever grateful. Specifically, I would like to thank my graduate advisor, Daniel Allen, for providing feedback</w:t>
      </w:r>
      <w:r w:rsidR="003E1DB2">
        <w:t xml:space="preserve"> through this</w:t>
      </w:r>
      <w:r>
        <w:t xml:space="preserve"> dissertation and several years </w:t>
      </w:r>
      <w:r w:rsidR="003E1DB2">
        <w:t>of financial support through research assistantship</w:t>
      </w:r>
      <w:r>
        <w:t xml:space="preserve">. I would also like to thank the members of my graduate advisory committee, Jeffrey Kelly, </w:t>
      </w:r>
      <w:proofErr w:type="spellStart"/>
      <w:r>
        <w:t>Jianguo</w:t>
      </w:r>
      <w:proofErr w:type="spellEnd"/>
      <w:r>
        <w:t xml:space="preserve"> Wu, Thomas </w:t>
      </w:r>
      <w:proofErr w:type="spellStart"/>
      <w:r>
        <w:t>Neeson</w:t>
      </w:r>
      <w:proofErr w:type="spellEnd"/>
      <w:r>
        <w:t xml:space="preserve">, and Michael </w:t>
      </w:r>
      <w:proofErr w:type="spellStart"/>
      <w:r>
        <w:t>Kaspari</w:t>
      </w:r>
      <w:proofErr w:type="spellEnd"/>
      <w:r>
        <w:t xml:space="preserve"> for their participation in committee meetings and guidance on research approaches and writing. My parents, Diane and Dale, </w:t>
      </w:r>
      <w:r w:rsidR="003E1DB2">
        <w:t xml:space="preserve">were most encouraging </w:t>
      </w:r>
      <w:r w:rsidR="00407D5E">
        <w:t xml:space="preserve">and </w:t>
      </w:r>
      <w:r>
        <w:t xml:space="preserve">my </w:t>
      </w:r>
      <w:r w:rsidR="00407D5E">
        <w:t xml:space="preserve">elder </w:t>
      </w:r>
      <w:r>
        <w:t>siblings, Dana and DJ</w:t>
      </w:r>
      <w:r w:rsidR="00407D5E">
        <w:t xml:space="preserve"> provided a great example of what can be accomplished with hard work</w:t>
      </w:r>
      <w:r>
        <w:t xml:space="preserve">. </w:t>
      </w:r>
      <w:r w:rsidR="00407D5E">
        <w:t xml:space="preserve">Thank you all. </w:t>
      </w:r>
      <w:r>
        <w:t>Finally, thank you to my partner, Mary</w:t>
      </w:r>
      <w:r w:rsidR="006635D1">
        <w:t xml:space="preserve"> Welsh</w:t>
      </w:r>
      <w:r>
        <w:t xml:space="preserve">, for your </w:t>
      </w:r>
      <w:r w:rsidR="00407D5E">
        <w:t>constant</w:t>
      </w:r>
      <w:r w:rsidR="006635D1">
        <w:t xml:space="preserve"> optimism and</w:t>
      </w:r>
      <w:r w:rsidR="00407D5E">
        <w:t xml:space="preserve"> </w:t>
      </w:r>
      <w:r>
        <w:t xml:space="preserve">my friends, Nathan </w:t>
      </w:r>
      <w:proofErr w:type="spellStart"/>
      <w:r>
        <w:t>Levek</w:t>
      </w:r>
      <w:proofErr w:type="spellEnd"/>
      <w:r>
        <w:t xml:space="preserve">, Daniel Nelson, Rebecca Prather, and Emily </w:t>
      </w:r>
      <w:proofErr w:type="spellStart"/>
      <w:r w:rsidRPr="006664CD">
        <w:t>Kiehnau</w:t>
      </w:r>
      <w:proofErr w:type="spellEnd"/>
      <w:r>
        <w:t xml:space="preserve"> for always lending an open ear during stressful times. </w:t>
      </w:r>
    </w:p>
    <w:p w14:paraId="6EE166BB" w14:textId="3862F631" w:rsidR="00CD24D0" w:rsidRDefault="00CD24D0" w:rsidP="00D268D5"/>
    <w:p w14:paraId="478B76D7" w14:textId="77777777" w:rsidR="00B2092D" w:rsidRDefault="00B2092D" w:rsidP="00D268D5"/>
    <w:p w14:paraId="21553231" w14:textId="5C733B7F" w:rsidR="00CD24D0" w:rsidRDefault="00CD24D0" w:rsidP="00D268D5"/>
    <w:p w14:paraId="4BBE4BBB" w14:textId="5E6C218B" w:rsidR="00CD24D0" w:rsidRDefault="00CD24D0" w:rsidP="00D268D5"/>
    <w:p w14:paraId="754FBED0" w14:textId="0F58324B" w:rsidR="00CD24D0" w:rsidRDefault="00CD24D0" w:rsidP="00D268D5"/>
    <w:p w14:paraId="458E1D1F" w14:textId="77FFF8BD" w:rsidR="00CD24D0" w:rsidRDefault="00CD24D0" w:rsidP="00D268D5"/>
    <w:p w14:paraId="31F659A1" w14:textId="52D94FC7" w:rsidR="00CD24D0" w:rsidRDefault="00CD24D0" w:rsidP="00D268D5"/>
    <w:p w14:paraId="75D65A69" w14:textId="3B57552C" w:rsidR="00CD24D0" w:rsidRDefault="00CD24D0" w:rsidP="00D268D5"/>
    <w:p w14:paraId="206B4989" w14:textId="4EF0CA5C" w:rsidR="00CD24D0" w:rsidRDefault="00CD24D0" w:rsidP="00D268D5"/>
    <w:p w14:paraId="0690111A" w14:textId="5FECD894" w:rsidR="00CD24D0" w:rsidRDefault="00CD24D0" w:rsidP="00D268D5"/>
    <w:p w14:paraId="1C3D8035" w14:textId="7E6C2DF1" w:rsidR="00CD24D0" w:rsidRDefault="00CD24D0" w:rsidP="00D268D5"/>
    <w:p w14:paraId="1B5BF504" w14:textId="77777777" w:rsidR="00CD24D0" w:rsidRPr="00D268D5" w:rsidRDefault="00CD24D0" w:rsidP="00D268D5"/>
    <w:p w14:paraId="26A6C701" w14:textId="77777777" w:rsidR="00015D0D" w:rsidRDefault="00015D0D" w:rsidP="007B4B12">
      <w:pPr>
        <w:rPr>
          <w:rFonts w:cs="Times New Roman"/>
          <w:szCs w:val="24"/>
        </w:rPr>
      </w:pPr>
    </w:p>
    <w:sdt>
      <w:sdtPr>
        <w:rPr>
          <w:rFonts w:eastAsiaTheme="minorHAnsi" w:cstheme="minorBidi"/>
          <w:b w:val="0"/>
          <w:sz w:val="24"/>
          <w:szCs w:val="22"/>
        </w:rPr>
        <w:id w:val="-162943783"/>
        <w:docPartObj>
          <w:docPartGallery w:val="Table of Contents"/>
          <w:docPartUnique/>
        </w:docPartObj>
      </w:sdtPr>
      <w:sdtEndPr>
        <w:rPr>
          <w:bCs/>
          <w:noProof/>
        </w:rPr>
      </w:sdtEndPr>
      <w:sdtContent>
        <w:p w14:paraId="69B2C88A" w14:textId="3577885A" w:rsidR="008A6C2C" w:rsidRDefault="004A70A1" w:rsidP="004A70A1">
          <w:pPr>
            <w:pStyle w:val="TOCHeading"/>
            <w:numPr>
              <w:ilvl w:val="0"/>
              <w:numId w:val="0"/>
            </w:numPr>
            <w:jc w:val="center"/>
            <w:rPr>
              <w:rFonts w:eastAsiaTheme="minorHAnsi" w:cstheme="minorBidi"/>
              <w:bCs/>
              <w:sz w:val="32"/>
            </w:rPr>
          </w:pPr>
          <w:r w:rsidRPr="004A70A1">
            <w:rPr>
              <w:rFonts w:eastAsiaTheme="minorHAnsi" w:cstheme="minorBidi"/>
              <w:bCs/>
              <w:sz w:val="32"/>
            </w:rPr>
            <w:t>Table of Contents</w:t>
          </w:r>
        </w:p>
        <w:p w14:paraId="45B6B82A" w14:textId="77777777" w:rsidR="004A70A1" w:rsidRPr="004A70A1" w:rsidRDefault="004A70A1" w:rsidP="004A70A1"/>
        <w:p w14:paraId="77098C7D" w14:textId="3698D595" w:rsidR="00CD24D0" w:rsidRDefault="008A6C2C">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60841206" w:history="1">
            <w:r w:rsidR="00CD24D0" w:rsidRPr="00AD64DC">
              <w:rPr>
                <w:rStyle w:val="Hyperlink"/>
                <w:noProof/>
              </w:rPr>
              <w:t>Acknowledgements</w:t>
            </w:r>
            <w:r w:rsidR="00CD24D0">
              <w:rPr>
                <w:noProof/>
                <w:webHidden/>
              </w:rPr>
              <w:tab/>
            </w:r>
            <w:r w:rsidR="00CD24D0">
              <w:rPr>
                <w:noProof/>
                <w:webHidden/>
              </w:rPr>
              <w:fldChar w:fldCharType="begin"/>
            </w:r>
            <w:r w:rsidR="00CD24D0">
              <w:rPr>
                <w:noProof/>
                <w:webHidden/>
              </w:rPr>
              <w:instrText xml:space="preserve"> PAGEREF _Toc60841206 \h </w:instrText>
            </w:r>
            <w:r w:rsidR="00CD24D0">
              <w:rPr>
                <w:noProof/>
                <w:webHidden/>
              </w:rPr>
            </w:r>
            <w:r w:rsidR="00CD24D0">
              <w:rPr>
                <w:noProof/>
                <w:webHidden/>
              </w:rPr>
              <w:fldChar w:fldCharType="separate"/>
            </w:r>
            <w:r w:rsidR="000C6138">
              <w:rPr>
                <w:noProof/>
                <w:webHidden/>
              </w:rPr>
              <w:t>iv</w:t>
            </w:r>
            <w:r w:rsidR="00CD24D0">
              <w:rPr>
                <w:noProof/>
                <w:webHidden/>
              </w:rPr>
              <w:fldChar w:fldCharType="end"/>
            </w:r>
          </w:hyperlink>
        </w:p>
        <w:p w14:paraId="445F8448" w14:textId="226C45E1" w:rsidR="00CD24D0" w:rsidRDefault="00B5442B">
          <w:pPr>
            <w:pStyle w:val="TOC1"/>
            <w:tabs>
              <w:tab w:val="right" w:leader="dot" w:pos="9350"/>
            </w:tabs>
            <w:rPr>
              <w:rFonts w:asciiTheme="minorHAnsi" w:eastAsiaTheme="minorEastAsia" w:hAnsiTheme="minorHAnsi"/>
              <w:noProof/>
              <w:sz w:val="22"/>
            </w:rPr>
          </w:pPr>
          <w:hyperlink w:anchor="_Toc60841207" w:history="1">
            <w:r w:rsidR="00CD24D0" w:rsidRPr="00AD64DC">
              <w:rPr>
                <w:rStyle w:val="Hyperlink"/>
                <w:noProof/>
              </w:rPr>
              <w:t>Abstract</w:t>
            </w:r>
            <w:r w:rsidR="00CD24D0">
              <w:rPr>
                <w:noProof/>
                <w:webHidden/>
              </w:rPr>
              <w:tab/>
            </w:r>
            <w:r w:rsidR="00CD24D0">
              <w:rPr>
                <w:noProof/>
                <w:webHidden/>
              </w:rPr>
              <w:fldChar w:fldCharType="begin"/>
            </w:r>
            <w:r w:rsidR="00CD24D0">
              <w:rPr>
                <w:noProof/>
                <w:webHidden/>
              </w:rPr>
              <w:instrText xml:space="preserve"> PAGEREF _Toc60841207 \h </w:instrText>
            </w:r>
            <w:r w:rsidR="00CD24D0">
              <w:rPr>
                <w:noProof/>
                <w:webHidden/>
              </w:rPr>
            </w:r>
            <w:r w:rsidR="00CD24D0">
              <w:rPr>
                <w:noProof/>
                <w:webHidden/>
              </w:rPr>
              <w:fldChar w:fldCharType="separate"/>
            </w:r>
            <w:r w:rsidR="000C6138">
              <w:rPr>
                <w:noProof/>
                <w:webHidden/>
              </w:rPr>
              <w:t>viii</w:t>
            </w:r>
            <w:r w:rsidR="00CD24D0">
              <w:rPr>
                <w:noProof/>
                <w:webHidden/>
              </w:rPr>
              <w:fldChar w:fldCharType="end"/>
            </w:r>
          </w:hyperlink>
        </w:p>
        <w:p w14:paraId="1F629526" w14:textId="51B86547" w:rsidR="00CD24D0" w:rsidRDefault="00B5442B">
          <w:pPr>
            <w:pStyle w:val="TOC1"/>
            <w:tabs>
              <w:tab w:val="left" w:pos="440"/>
              <w:tab w:val="right" w:leader="dot" w:pos="9350"/>
            </w:tabs>
            <w:rPr>
              <w:rFonts w:asciiTheme="minorHAnsi" w:eastAsiaTheme="minorEastAsia" w:hAnsiTheme="minorHAnsi"/>
              <w:noProof/>
              <w:sz w:val="22"/>
            </w:rPr>
          </w:pPr>
          <w:hyperlink w:anchor="_Toc60841208" w:history="1">
            <w:r w:rsidR="00CD24D0" w:rsidRPr="00AD64DC">
              <w:rPr>
                <w:rStyle w:val="Hyperlink"/>
                <w:noProof/>
              </w:rPr>
              <w:t>1.</w:t>
            </w:r>
            <w:r w:rsidR="00CD24D0">
              <w:rPr>
                <w:rFonts w:asciiTheme="minorHAnsi" w:eastAsiaTheme="minorEastAsia" w:hAnsiTheme="minorHAnsi"/>
                <w:noProof/>
                <w:sz w:val="22"/>
              </w:rPr>
              <w:tab/>
            </w:r>
            <w:r w:rsidR="00CD24D0" w:rsidRPr="00AD64DC">
              <w:rPr>
                <w:rStyle w:val="Hyperlink"/>
                <w:noProof/>
              </w:rPr>
              <w:t>Stream Network Geometry and the Spatial Influence of Aquatic Insect Subsidies across the Contiguous United States</w:t>
            </w:r>
            <w:r w:rsidR="00CD24D0">
              <w:rPr>
                <w:noProof/>
                <w:webHidden/>
              </w:rPr>
              <w:tab/>
            </w:r>
            <w:r w:rsidR="00CD24D0">
              <w:rPr>
                <w:noProof/>
                <w:webHidden/>
              </w:rPr>
              <w:fldChar w:fldCharType="begin"/>
            </w:r>
            <w:r w:rsidR="00CD24D0">
              <w:rPr>
                <w:noProof/>
                <w:webHidden/>
              </w:rPr>
              <w:instrText xml:space="preserve"> PAGEREF _Toc60841208 \h </w:instrText>
            </w:r>
            <w:r w:rsidR="00CD24D0">
              <w:rPr>
                <w:noProof/>
                <w:webHidden/>
              </w:rPr>
            </w:r>
            <w:r w:rsidR="00CD24D0">
              <w:rPr>
                <w:noProof/>
                <w:webHidden/>
              </w:rPr>
              <w:fldChar w:fldCharType="separate"/>
            </w:r>
            <w:r w:rsidR="000C6138">
              <w:rPr>
                <w:noProof/>
                <w:webHidden/>
              </w:rPr>
              <w:t>1</w:t>
            </w:r>
            <w:r w:rsidR="00CD24D0">
              <w:rPr>
                <w:noProof/>
                <w:webHidden/>
              </w:rPr>
              <w:fldChar w:fldCharType="end"/>
            </w:r>
          </w:hyperlink>
        </w:p>
        <w:p w14:paraId="2400A83A" w14:textId="18E6D3C1" w:rsidR="00CD24D0" w:rsidRDefault="00B5442B">
          <w:pPr>
            <w:pStyle w:val="TOC2"/>
            <w:tabs>
              <w:tab w:val="right" w:leader="dot" w:pos="9350"/>
            </w:tabs>
            <w:rPr>
              <w:rFonts w:asciiTheme="minorHAnsi" w:eastAsiaTheme="minorEastAsia" w:hAnsiTheme="minorHAnsi"/>
              <w:noProof/>
              <w:sz w:val="22"/>
            </w:rPr>
          </w:pPr>
          <w:hyperlink w:anchor="_Toc60841209" w:history="1">
            <w:r w:rsidR="00CD24D0" w:rsidRPr="00AD64DC">
              <w:rPr>
                <w:rStyle w:val="Hyperlink"/>
                <w:rFonts w:cs="Times New Roman"/>
                <w:noProof/>
              </w:rPr>
              <w:t>Abstract</w:t>
            </w:r>
            <w:r w:rsidR="00CD24D0">
              <w:rPr>
                <w:noProof/>
                <w:webHidden/>
              </w:rPr>
              <w:tab/>
            </w:r>
            <w:r w:rsidR="00CD24D0">
              <w:rPr>
                <w:noProof/>
                <w:webHidden/>
              </w:rPr>
              <w:fldChar w:fldCharType="begin"/>
            </w:r>
            <w:r w:rsidR="00CD24D0">
              <w:rPr>
                <w:noProof/>
                <w:webHidden/>
              </w:rPr>
              <w:instrText xml:space="preserve"> PAGEREF _Toc60841209 \h </w:instrText>
            </w:r>
            <w:r w:rsidR="00CD24D0">
              <w:rPr>
                <w:noProof/>
                <w:webHidden/>
              </w:rPr>
            </w:r>
            <w:r w:rsidR="00CD24D0">
              <w:rPr>
                <w:noProof/>
                <w:webHidden/>
              </w:rPr>
              <w:fldChar w:fldCharType="separate"/>
            </w:r>
            <w:r w:rsidR="000C6138">
              <w:rPr>
                <w:noProof/>
                <w:webHidden/>
              </w:rPr>
              <w:t>2</w:t>
            </w:r>
            <w:r w:rsidR="00CD24D0">
              <w:rPr>
                <w:noProof/>
                <w:webHidden/>
              </w:rPr>
              <w:fldChar w:fldCharType="end"/>
            </w:r>
          </w:hyperlink>
        </w:p>
        <w:p w14:paraId="48426F3E" w14:textId="0F318EBD" w:rsidR="00CD24D0" w:rsidRDefault="00B5442B">
          <w:pPr>
            <w:pStyle w:val="TOC2"/>
            <w:tabs>
              <w:tab w:val="right" w:leader="dot" w:pos="9350"/>
            </w:tabs>
            <w:rPr>
              <w:rFonts w:asciiTheme="minorHAnsi" w:eastAsiaTheme="minorEastAsia" w:hAnsiTheme="minorHAnsi"/>
              <w:noProof/>
              <w:sz w:val="22"/>
            </w:rPr>
          </w:pPr>
          <w:hyperlink w:anchor="_Toc60841210" w:history="1">
            <w:r w:rsidR="00CD24D0" w:rsidRPr="00AD64DC">
              <w:rPr>
                <w:rStyle w:val="Hyperlink"/>
                <w:noProof/>
              </w:rPr>
              <w:t>Introduction</w:t>
            </w:r>
            <w:r w:rsidR="00CD24D0">
              <w:rPr>
                <w:noProof/>
                <w:webHidden/>
              </w:rPr>
              <w:tab/>
            </w:r>
            <w:r w:rsidR="00CD24D0">
              <w:rPr>
                <w:noProof/>
                <w:webHidden/>
              </w:rPr>
              <w:fldChar w:fldCharType="begin"/>
            </w:r>
            <w:r w:rsidR="00CD24D0">
              <w:rPr>
                <w:noProof/>
                <w:webHidden/>
              </w:rPr>
              <w:instrText xml:space="preserve"> PAGEREF _Toc60841210 \h </w:instrText>
            </w:r>
            <w:r w:rsidR="00CD24D0">
              <w:rPr>
                <w:noProof/>
                <w:webHidden/>
              </w:rPr>
            </w:r>
            <w:r w:rsidR="00CD24D0">
              <w:rPr>
                <w:noProof/>
                <w:webHidden/>
              </w:rPr>
              <w:fldChar w:fldCharType="separate"/>
            </w:r>
            <w:r w:rsidR="000C6138">
              <w:rPr>
                <w:noProof/>
                <w:webHidden/>
              </w:rPr>
              <w:t>3</w:t>
            </w:r>
            <w:r w:rsidR="00CD24D0">
              <w:rPr>
                <w:noProof/>
                <w:webHidden/>
              </w:rPr>
              <w:fldChar w:fldCharType="end"/>
            </w:r>
          </w:hyperlink>
        </w:p>
        <w:p w14:paraId="37B283E0" w14:textId="093C329E" w:rsidR="00CD24D0" w:rsidRDefault="00B5442B">
          <w:pPr>
            <w:pStyle w:val="TOC2"/>
            <w:tabs>
              <w:tab w:val="right" w:leader="dot" w:pos="9350"/>
            </w:tabs>
            <w:rPr>
              <w:rFonts w:asciiTheme="minorHAnsi" w:eastAsiaTheme="minorEastAsia" w:hAnsiTheme="minorHAnsi"/>
              <w:noProof/>
              <w:sz w:val="22"/>
            </w:rPr>
          </w:pPr>
          <w:hyperlink w:anchor="_Toc60841211" w:history="1">
            <w:r w:rsidR="00CD24D0" w:rsidRPr="00AD64DC">
              <w:rPr>
                <w:rStyle w:val="Hyperlink"/>
                <w:noProof/>
              </w:rPr>
              <w:t>Methods</w:t>
            </w:r>
            <w:r w:rsidR="00CD24D0">
              <w:rPr>
                <w:noProof/>
                <w:webHidden/>
              </w:rPr>
              <w:tab/>
            </w:r>
            <w:r w:rsidR="00CD24D0">
              <w:rPr>
                <w:noProof/>
                <w:webHidden/>
              </w:rPr>
              <w:fldChar w:fldCharType="begin"/>
            </w:r>
            <w:r w:rsidR="00CD24D0">
              <w:rPr>
                <w:noProof/>
                <w:webHidden/>
              </w:rPr>
              <w:instrText xml:space="preserve"> PAGEREF _Toc60841211 \h </w:instrText>
            </w:r>
            <w:r w:rsidR="00CD24D0">
              <w:rPr>
                <w:noProof/>
                <w:webHidden/>
              </w:rPr>
            </w:r>
            <w:r w:rsidR="00CD24D0">
              <w:rPr>
                <w:noProof/>
                <w:webHidden/>
              </w:rPr>
              <w:fldChar w:fldCharType="separate"/>
            </w:r>
            <w:r w:rsidR="000C6138">
              <w:rPr>
                <w:noProof/>
                <w:webHidden/>
              </w:rPr>
              <w:t>5</w:t>
            </w:r>
            <w:r w:rsidR="00CD24D0">
              <w:rPr>
                <w:noProof/>
                <w:webHidden/>
              </w:rPr>
              <w:fldChar w:fldCharType="end"/>
            </w:r>
          </w:hyperlink>
        </w:p>
        <w:p w14:paraId="567A06DC" w14:textId="5E81B1A5" w:rsidR="00CD24D0" w:rsidRDefault="00B5442B">
          <w:pPr>
            <w:pStyle w:val="TOC2"/>
            <w:tabs>
              <w:tab w:val="right" w:leader="dot" w:pos="9350"/>
            </w:tabs>
            <w:rPr>
              <w:rFonts w:asciiTheme="minorHAnsi" w:eastAsiaTheme="minorEastAsia" w:hAnsiTheme="minorHAnsi"/>
              <w:noProof/>
              <w:sz w:val="22"/>
            </w:rPr>
          </w:pPr>
          <w:hyperlink w:anchor="_Toc60841212" w:history="1">
            <w:r w:rsidR="00CD24D0" w:rsidRPr="00AD64DC">
              <w:rPr>
                <w:rStyle w:val="Hyperlink"/>
                <w:noProof/>
              </w:rPr>
              <w:t>Results</w:t>
            </w:r>
            <w:r w:rsidR="00CD24D0">
              <w:rPr>
                <w:noProof/>
                <w:webHidden/>
              </w:rPr>
              <w:tab/>
            </w:r>
            <w:r w:rsidR="00CD24D0">
              <w:rPr>
                <w:noProof/>
                <w:webHidden/>
              </w:rPr>
              <w:fldChar w:fldCharType="begin"/>
            </w:r>
            <w:r w:rsidR="00CD24D0">
              <w:rPr>
                <w:noProof/>
                <w:webHidden/>
              </w:rPr>
              <w:instrText xml:space="preserve"> PAGEREF _Toc60841212 \h </w:instrText>
            </w:r>
            <w:r w:rsidR="00CD24D0">
              <w:rPr>
                <w:noProof/>
                <w:webHidden/>
              </w:rPr>
            </w:r>
            <w:r w:rsidR="00CD24D0">
              <w:rPr>
                <w:noProof/>
                <w:webHidden/>
              </w:rPr>
              <w:fldChar w:fldCharType="separate"/>
            </w:r>
            <w:r w:rsidR="000C6138">
              <w:rPr>
                <w:noProof/>
                <w:webHidden/>
              </w:rPr>
              <w:t>10</w:t>
            </w:r>
            <w:r w:rsidR="00CD24D0">
              <w:rPr>
                <w:noProof/>
                <w:webHidden/>
              </w:rPr>
              <w:fldChar w:fldCharType="end"/>
            </w:r>
          </w:hyperlink>
        </w:p>
        <w:p w14:paraId="226601A3" w14:textId="132BF065" w:rsidR="00CD24D0" w:rsidRDefault="00B5442B">
          <w:pPr>
            <w:pStyle w:val="TOC2"/>
            <w:tabs>
              <w:tab w:val="right" w:leader="dot" w:pos="9350"/>
            </w:tabs>
            <w:rPr>
              <w:rFonts w:asciiTheme="minorHAnsi" w:eastAsiaTheme="minorEastAsia" w:hAnsiTheme="minorHAnsi"/>
              <w:noProof/>
              <w:sz w:val="22"/>
            </w:rPr>
          </w:pPr>
          <w:hyperlink w:anchor="_Toc60841213" w:history="1">
            <w:r w:rsidR="00CD24D0" w:rsidRPr="00AD64DC">
              <w:rPr>
                <w:rStyle w:val="Hyperlink"/>
                <w:noProof/>
              </w:rPr>
              <w:t>Discussion</w:t>
            </w:r>
            <w:r w:rsidR="00CD24D0">
              <w:rPr>
                <w:noProof/>
                <w:webHidden/>
              </w:rPr>
              <w:tab/>
            </w:r>
            <w:r w:rsidR="00CD24D0">
              <w:rPr>
                <w:noProof/>
                <w:webHidden/>
              </w:rPr>
              <w:fldChar w:fldCharType="begin"/>
            </w:r>
            <w:r w:rsidR="00CD24D0">
              <w:rPr>
                <w:noProof/>
                <w:webHidden/>
              </w:rPr>
              <w:instrText xml:space="preserve"> PAGEREF _Toc60841213 \h </w:instrText>
            </w:r>
            <w:r w:rsidR="00CD24D0">
              <w:rPr>
                <w:noProof/>
                <w:webHidden/>
              </w:rPr>
            </w:r>
            <w:r w:rsidR="00CD24D0">
              <w:rPr>
                <w:noProof/>
                <w:webHidden/>
              </w:rPr>
              <w:fldChar w:fldCharType="separate"/>
            </w:r>
            <w:r w:rsidR="000C6138">
              <w:rPr>
                <w:noProof/>
                <w:webHidden/>
              </w:rPr>
              <w:t>13</w:t>
            </w:r>
            <w:r w:rsidR="00CD24D0">
              <w:rPr>
                <w:noProof/>
                <w:webHidden/>
              </w:rPr>
              <w:fldChar w:fldCharType="end"/>
            </w:r>
          </w:hyperlink>
        </w:p>
        <w:p w14:paraId="3E598A47" w14:textId="22DA3A59" w:rsidR="00CD24D0" w:rsidRDefault="00B5442B">
          <w:pPr>
            <w:pStyle w:val="TOC2"/>
            <w:tabs>
              <w:tab w:val="right" w:leader="dot" w:pos="9350"/>
            </w:tabs>
            <w:rPr>
              <w:rFonts w:asciiTheme="minorHAnsi" w:eastAsiaTheme="minorEastAsia" w:hAnsiTheme="minorHAnsi"/>
              <w:noProof/>
              <w:sz w:val="22"/>
            </w:rPr>
          </w:pPr>
          <w:hyperlink w:anchor="_Toc60841214" w:history="1">
            <w:r w:rsidR="00CD24D0" w:rsidRPr="00AD64DC">
              <w:rPr>
                <w:rStyle w:val="Hyperlink"/>
                <w:noProof/>
              </w:rPr>
              <w:t>Acknowledgements</w:t>
            </w:r>
            <w:r w:rsidR="00CD24D0">
              <w:rPr>
                <w:noProof/>
                <w:webHidden/>
              </w:rPr>
              <w:tab/>
            </w:r>
            <w:r w:rsidR="00CD24D0">
              <w:rPr>
                <w:noProof/>
                <w:webHidden/>
              </w:rPr>
              <w:fldChar w:fldCharType="begin"/>
            </w:r>
            <w:r w:rsidR="00CD24D0">
              <w:rPr>
                <w:noProof/>
                <w:webHidden/>
              </w:rPr>
              <w:instrText xml:space="preserve"> PAGEREF _Toc60841214 \h </w:instrText>
            </w:r>
            <w:r w:rsidR="00CD24D0">
              <w:rPr>
                <w:noProof/>
                <w:webHidden/>
              </w:rPr>
            </w:r>
            <w:r w:rsidR="00CD24D0">
              <w:rPr>
                <w:noProof/>
                <w:webHidden/>
              </w:rPr>
              <w:fldChar w:fldCharType="separate"/>
            </w:r>
            <w:r w:rsidR="000C6138">
              <w:rPr>
                <w:noProof/>
                <w:webHidden/>
              </w:rPr>
              <w:t>19</w:t>
            </w:r>
            <w:r w:rsidR="00CD24D0">
              <w:rPr>
                <w:noProof/>
                <w:webHidden/>
              </w:rPr>
              <w:fldChar w:fldCharType="end"/>
            </w:r>
          </w:hyperlink>
        </w:p>
        <w:p w14:paraId="0C1AAB40" w14:textId="140C0440" w:rsidR="00CD24D0" w:rsidRDefault="00B5442B">
          <w:pPr>
            <w:pStyle w:val="TOC2"/>
            <w:tabs>
              <w:tab w:val="right" w:leader="dot" w:pos="9350"/>
            </w:tabs>
            <w:rPr>
              <w:rFonts w:asciiTheme="minorHAnsi" w:eastAsiaTheme="minorEastAsia" w:hAnsiTheme="minorHAnsi"/>
              <w:noProof/>
              <w:sz w:val="22"/>
            </w:rPr>
          </w:pPr>
          <w:hyperlink w:anchor="_Toc60841215" w:history="1">
            <w:r w:rsidR="00CD24D0" w:rsidRPr="00AD64DC">
              <w:rPr>
                <w:rStyle w:val="Hyperlink"/>
                <w:noProof/>
              </w:rPr>
              <w:t>References</w:t>
            </w:r>
            <w:r w:rsidR="00CD24D0">
              <w:rPr>
                <w:noProof/>
                <w:webHidden/>
              </w:rPr>
              <w:tab/>
            </w:r>
            <w:r w:rsidR="00CD24D0">
              <w:rPr>
                <w:noProof/>
                <w:webHidden/>
              </w:rPr>
              <w:fldChar w:fldCharType="begin"/>
            </w:r>
            <w:r w:rsidR="00CD24D0">
              <w:rPr>
                <w:noProof/>
                <w:webHidden/>
              </w:rPr>
              <w:instrText xml:space="preserve"> PAGEREF _Toc60841215 \h </w:instrText>
            </w:r>
            <w:r w:rsidR="00CD24D0">
              <w:rPr>
                <w:noProof/>
                <w:webHidden/>
              </w:rPr>
            </w:r>
            <w:r w:rsidR="00CD24D0">
              <w:rPr>
                <w:noProof/>
                <w:webHidden/>
              </w:rPr>
              <w:fldChar w:fldCharType="separate"/>
            </w:r>
            <w:r w:rsidR="000C6138">
              <w:rPr>
                <w:noProof/>
                <w:webHidden/>
              </w:rPr>
              <w:t>19</w:t>
            </w:r>
            <w:r w:rsidR="00CD24D0">
              <w:rPr>
                <w:noProof/>
                <w:webHidden/>
              </w:rPr>
              <w:fldChar w:fldCharType="end"/>
            </w:r>
          </w:hyperlink>
        </w:p>
        <w:p w14:paraId="7628677A" w14:textId="59F6F35C" w:rsidR="00CD24D0" w:rsidRDefault="00B5442B">
          <w:pPr>
            <w:pStyle w:val="TOC2"/>
            <w:tabs>
              <w:tab w:val="right" w:leader="dot" w:pos="9350"/>
            </w:tabs>
            <w:rPr>
              <w:rFonts w:asciiTheme="minorHAnsi" w:eastAsiaTheme="minorEastAsia" w:hAnsiTheme="minorHAnsi"/>
              <w:noProof/>
              <w:sz w:val="22"/>
            </w:rPr>
          </w:pPr>
          <w:hyperlink w:anchor="_Toc60841216" w:history="1">
            <w:r w:rsidR="00CD24D0" w:rsidRPr="00AD64DC">
              <w:rPr>
                <w:rStyle w:val="Hyperlink"/>
                <w:rFonts w:cs="Times New Roman"/>
                <w:noProof/>
              </w:rPr>
              <w:t>Appendix S1. Supporting Information</w:t>
            </w:r>
            <w:r w:rsidR="00CD24D0">
              <w:rPr>
                <w:noProof/>
                <w:webHidden/>
              </w:rPr>
              <w:tab/>
            </w:r>
            <w:r w:rsidR="00CD24D0">
              <w:rPr>
                <w:noProof/>
                <w:webHidden/>
              </w:rPr>
              <w:fldChar w:fldCharType="begin"/>
            </w:r>
            <w:r w:rsidR="00CD24D0">
              <w:rPr>
                <w:noProof/>
                <w:webHidden/>
              </w:rPr>
              <w:instrText xml:space="preserve"> PAGEREF _Toc60841216 \h </w:instrText>
            </w:r>
            <w:r w:rsidR="00CD24D0">
              <w:rPr>
                <w:noProof/>
                <w:webHidden/>
              </w:rPr>
            </w:r>
            <w:r w:rsidR="00CD24D0">
              <w:rPr>
                <w:noProof/>
                <w:webHidden/>
              </w:rPr>
              <w:fldChar w:fldCharType="separate"/>
            </w:r>
            <w:r w:rsidR="000C6138">
              <w:rPr>
                <w:noProof/>
                <w:webHidden/>
              </w:rPr>
              <w:t>54</w:t>
            </w:r>
            <w:r w:rsidR="00CD24D0">
              <w:rPr>
                <w:noProof/>
                <w:webHidden/>
              </w:rPr>
              <w:fldChar w:fldCharType="end"/>
            </w:r>
          </w:hyperlink>
        </w:p>
        <w:p w14:paraId="07169A20" w14:textId="2DA8AB51" w:rsidR="00CD24D0" w:rsidRDefault="00B5442B">
          <w:pPr>
            <w:pStyle w:val="TOC1"/>
            <w:tabs>
              <w:tab w:val="left" w:pos="440"/>
              <w:tab w:val="right" w:leader="dot" w:pos="9350"/>
            </w:tabs>
            <w:rPr>
              <w:rFonts w:asciiTheme="minorHAnsi" w:eastAsiaTheme="minorEastAsia" w:hAnsiTheme="minorHAnsi"/>
              <w:noProof/>
              <w:sz w:val="22"/>
            </w:rPr>
          </w:pPr>
          <w:hyperlink w:anchor="_Toc60841217" w:history="1">
            <w:r w:rsidR="00CD24D0" w:rsidRPr="00AD64DC">
              <w:rPr>
                <w:rStyle w:val="Hyperlink"/>
                <w:noProof/>
              </w:rPr>
              <w:t>2.</w:t>
            </w:r>
            <w:r w:rsidR="00CD24D0">
              <w:rPr>
                <w:rFonts w:asciiTheme="minorHAnsi" w:eastAsiaTheme="minorEastAsia" w:hAnsiTheme="minorHAnsi"/>
                <w:noProof/>
                <w:sz w:val="22"/>
              </w:rPr>
              <w:tab/>
            </w:r>
            <w:r w:rsidR="00CD24D0" w:rsidRPr="00AD64DC">
              <w:rPr>
                <w:rStyle w:val="Hyperlink"/>
                <w:noProof/>
              </w:rPr>
              <w:t>Trait-environment relationships could alter the spatial and temporal characteristics of aquatic insect subsidies at the macrospatial scale</w:t>
            </w:r>
            <w:r w:rsidR="00CD24D0">
              <w:rPr>
                <w:noProof/>
                <w:webHidden/>
              </w:rPr>
              <w:tab/>
            </w:r>
            <w:r w:rsidR="00CD24D0">
              <w:rPr>
                <w:noProof/>
                <w:webHidden/>
              </w:rPr>
              <w:fldChar w:fldCharType="begin"/>
            </w:r>
            <w:r w:rsidR="00CD24D0">
              <w:rPr>
                <w:noProof/>
                <w:webHidden/>
              </w:rPr>
              <w:instrText xml:space="preserve"> PAGEREF _Toc60841217 \h </w:instrText>
            </w:r>
            <w:r w:rsidR="00CD24D0">
              <w:rPr>
                <w:noProof/>
                <w:webHidden/>
              </w:rPr>
            </w:r>
            <w:r w:rsidR="00CD24D0">
              <w:rPr>
                <w:noProof/>
                <w:webHidden/>
              </w:rPr>
              <w:fldChar w:fldCharType="separate"/>
            </w:r>
            <w:r w:rsidR="000C6138">
              <w:rPr>
                <w:noProof/>
                <w:webHidden/>
              </w:rPr>
              <w:t>59</w:t>
            </w:r>
            <w:r w:rsidR="00CD24D0">
              <w:rPr>
                <w:noProof/>
                <w:webHidden/>
              </w:rPr>
              <w:fldChar w:fldCharType="end"/>
            </w:r>
          </w:hyperlink>
        </w:p>
        <w:p w14:paraId="09237932" w14:textId="1CB9B623" w:rsidR="00CD24D0" w:rsidRDefault="00B5442B">
          <w:pPr>
            <w:pStyle w:val="TOC2"/>
            <w:tabs>
              <w:tab w:val="right" w:leader="dot" w:pos="9350"/>
            </w:tabs>
            <w:rPr>
              <w:rFonts w:asciiTheme="minorHAnsi" w:eastAsiaTheme="minorEastAsia" w:hAnsiTheme="minorHAnsi"/>
              <w:noProof/>
              <w:sz w:val="22"/>
            </w:rPr>
          </w:pPr>
          <w:hyperlink w:anchor="_Toc60841218" w:history="1">
            <w:r w:rsidR="00CD24D0" w:rsidRPr="00AD64DC">
              <w:rPr>
                <w:rStyle w:val="Hyperlink"/>
                <w:noProof/>
              </w:rPr>
              <w:t>Abstract</w:t>
            </w:r>
            <w:r w:rsidR="00CD24D0">
              <w:rPr>
                <w:noProof/>
                <w:webHidden/>
              </w:rPr>
              <w:tab/>
            </w:r>
            <w:r w:rsidR="00CD24D0">
              <w:rPr>
                <w:noProof/>
                <w:webHidden/>
              </w:rPr>
              <w:fldChar w:fldCharType="begin"/>
            </w:r>
            <w:r w:rsidR="00CD24D0">
              <w:rPr>
                <w:noProof/>
                <w:webHidden/>
              </w:rPr>
              <w:instrText xml:space="preserve"> PAGEREF _Toc60841218 \h </w:instrText>
            </w:r>
            <w:r w:rsidR="00CD24D0">
              <w:rPr>
                <w:noProof/>
                <w:webHidden/>
              </w:rPr>
            </w:r>
            <w:r w:rsidR="00CD24D0">
              <w:rPr>
                <w:noProof/>
                <w:webHidden/>
              </w:rPr>
              <w:fldChar w:fldCharType="separate"/>
            </w:r>
            <w:r w:rsidR="000C6138">
              <w:rPr>
                <w:noProof/>
                <w:webHidden/>
              </w:rPr>
              <w:t>60</w:t>
            </w:r>
            <w:r w:rsidR="00CD24D0">
              <w:rPr>
                <w:noProof/>
                <w:webHidden/>
              </w:rPr>
              <w:fldChar w:fldCharType="end"/>
            </w:r>
          </w:hyperlink>
        </w:p>
        <w:p w14:paraId="30ED3627" w14:textId="10311CC4" w:rsidR="00CD24D0" w:rsidRDefault="00B5442B">
          <w:pPr>
            <w:pStyle w:val="TOC2"/>
            <w:tabs>
              <w:tab w:val="right" w:leader="dot" w:pos="9350"/>
            </w:tabs>
            <w:rPr>
              <w:rFonts w:asciiTheme="minorHAnsi" w:eastAsiaTheme="minorEastAsia" w:hAnsiTheme="minorHAnsi"/>
              <w:noProof/>
              <w:sz w:val="22"/>
            </w:rPr>
          </w:pPr>
          <w:hyperlink w:anchor="_Toc60841219" w:history="1">
            <w:r w:rsidR="00CD24D0" w:rsidRPr="00AD64DC">
              <w:rPr>
                <w:rStyle w:val="Hyperlink"/>
                <w:noProof/>
              </w:rPr>
              <w:t>Introduction</w:t>
            </w:r>
            <w:r w:rsidR="00CD24D0">
              <w:rPr>
                <w:noProof/>
                <w:webHidden/>
              </w:rPr>
              <w:tab/>
            </w:r>
            <w:r w:rsidR="00CD24D0">
              <w:rPr>
                <w:noProof/>
                <w:webHidden/>
              </w:rPr>
              <w:fldChar w:fldCharType="begin"/>
            </w:r>
            <w:r w:rsidR="00CD24D0">
              <w:rPr>
                <w:noProof/>
                <w:webHidden/>
              </w:rPr>
              <w:instrText xml:space="preserve"> PAGEREF _Toc60841219 \h </w:instrText>
            </w:r>
            <w:r w:rsidR="00CD24D0">
              <w:rPr>
                <w:noProof/>
                <w:webHidden/>
              </w:rPr>
            </w:r>
            <w:r w:rsidR="00CD24D0">
              <w:rPr>
                <w:noProof/>
                <w:webHidden/>
              </w:rPr>
              <w:fldChar w:fldCharType="separate"/>
            </w:r>
            <w:r w:rsidR="000C6138">
              <w:rPr>
                <w:noProof/>
                <w:webHidden/>
              </w:rPr>
              <w:t>61</w:t>
            </w:r>
            <w:r w:rsidR="00CD24D0">
              <w:rPr>
                <w:noProof/>
                <w:webHidden/>
              </w:rPr>
              <w:fldChar w:fldCharType="end"/>
            </w:r>
          </w:hyperlink>
        </w:p>
        <w:p w14:paraId="1743387B" w14:textId="15256193" w:rsidR="00CD24D0" w:rsidRDefault="00B5442B">
          <w:pPr>
            <w:pStyle w:val="TOC2"/>
            <w:tabs>
              <w:tab w:val="right" w:leader="dot" w:pos="9350"/>
            </w:tabs>
            <w:rPr>
              <w:rFonts w:asciiTheme="minorHAnsi" w:eastAsiaTheme="minorEastAsia" w:hAnsiTheme="minorHAnsi"/>
              <w:noProof/>
              <w:sz w:val="22"/>
            </w:rPr>
          </w:pPr>
          <w:hyperlink w:anchor="_Toc60841220" w:history="1">
            <w:r w:rsidR="00CD24D0" w:rsidRPr="00AD64DC">
              <w:rPr>
                <w:rStyle w:val="Hyperlink"/>
                <w:noProof/>
              </w:rPr>
              <w:t>Methods</w:t>
            </w:r>
            <w:r w:rsidR="00CD24D0">
              <w:rPr>
                <w:noProof/>
                <w:webHidden/>
              </w:rPr>
              <w:tab/>
            </w:r>
            <w:r w:rsidR="00CD24D0">
              <w:rPr>
                <w:noProof/>
                <w:webHidden/>
              </w:rPr>
              <w:fldChar w:fldCharType="begin"/>
            </w:r>
            <w:r w:rsidR="00CD24D0">
              <w:rPr>
                <w:noProof/>
                <w:webHidden/>
              </w:rPr>
              <w:instrText xml:space="preserve"> PAGEREF _Toc60841220 \h </w:instrText>
            </w:r>
            <w:r w:rsidR="00CD24D0">
              <w:rPr>
                <w:noProof/>
                <w:webHidden/>
              </w:rPr>
            </w:r>
            <w:r w:rsidR="00CD24D0">
              <w:rPr>
                <w:noProof/>
                <w:webHidden/>
              </w:rPr>
              <w:fldChar w:fldCharType="separate"/>
            </w:r>
            <w:r w:rsidR="000C6138">
              <w:rPr>
                <w:noProof/>
                <w:webHidden/>
              </w:rPr>
              <w:t>63</w:t>
            </w:r>
            <w:r w:rsidR="00CD24D0">
              <w:rPr>
                <w:noProof/>
                <w:webHidden/>
              </w:rPr>
              <w:fldChar w:fldCharType="end"/>
            </w:r>
          </w:hyperlink>
        </w:p>
        <w:p w14:paraId="08DA9703" w14:textId="31D3F399" w:rsidR="00CD24D0" w:rsidRDefault="00B5442B">
          <w:pPr>
            <w:pStyle w:val="TOC2"/>
            <w:tabs>
              <w:tab w:val="right" w:leader="dot" w:pos="9350"/>
            </w:tabs>
            <w:rPr>
              <w:rFonts w:asciiTheme="minorHAnsi" w:eastAsiaTheme="minorEastAsia" w:hAnsiTheme="minorHAnsi"/>
              <w:noProof/>
              <w:sz w:val="22"/>
            </w:rPr>
          </w:pPr>
          <w:hyperlink w:anchor="_Toc60841221" w:history="1">
            <w:r w:rsidR="00CD24D0" w:rsidRPr="00AD64DC">
              <w:rPr>
                <w:rStyle w:val="Hyperlink"/>
                <w:noProof/>
              </w:rPr>
              <w:t>Results</w:t>
            </w:r>
            <w:r w:rsidR="00CD24D0">
              <w:rPr>
                <w:noProof/>
                <w:webHidden/>
              </w:rPr>
              <w:tab/>
            </w:r>
            <w:r w:rsidR="00CD24D0">
              <w:rPr>
                <w:noProof/>
                <w:webHidden/>
              </w:rPr>
              <w:fldChar w:fldCharType="begin"/>
            </w:r>
            <w:r w:rsidR="00CD24D0">
              <w:rPr>
                <w:noProof/>
                <w:webHidden/>
              </w:rPr>
              <w:instrText xml:space="preserve"> PAGEREF _Toc60841221 \h </w:instrText>
            </w:r>
            <w:r w:rsidR="00CD24D0">
              <w:rPr>
                <w:noProof/>
                <w:webHidden/>
              </w:rPr>
            </w:r>
            <w:r w:rsidR="00CD24D0">
              <w:rPr>
                <w:noProof/>
                <w:webHidden/>
              </w:rPr>
              <w:fldChar w:fldCharType="separate"/>
            </w:r>
            <w:r w:rsidR="000C6138">
              <w:rPr>
                <w:noProof/>
                <w:webHidden/>
              </w:rPr>
              <w:t>68</w:t>
            </w:r>
            <w:r w:rsidR="00CD24D0">
              <w:rPr>
                <w:noProof/>
                <w:webHidden/>
              </w:rPr>
              <w:fldChar w:fldCharType="end"/>
            </w:r>
          </w:hyperlink>
        </w:p>
        <w:p w14:paraId="44DFF6C7" w14:textId="2D99955B" w:rsidR="00CD24D0" w:rsidRDefault="00B5442B">
          <w:pPr>
            <w:pStyle w:val="TOC2"/>
            <w:tabs>
              <w:tab w:val="right" w:leader="dot" w:pos="9350"/>
            </w:tabs>
            <w:rPr>
              <w:rFonts w:asciiTheme="minorHAnsi" w:eastAsiaTheme="minorEastAsia" w:hAnsiTheme="minorHAnsi"/>
              <w:noProof/>
              <w:sz w:val="22"/>
            </w:rPr>
          </w:pPr>
          <w:hyperlink w:anchor="_Toc60841222" w:history="1">
            <w:r w:rsidR="00CD24D0" w:rsidRPr="00AD64DC">
              <w:rPr>
                <w:rStyle w:val="Hyperlink"/>
                <w:noProof/>
              </w:rPr>
              <w:t>Discussion</w:t>
            </w:r>
            <w:r w:rsidR="00CD24D0">
              <w:rPr>
                <w:noProof/>
                <w:webHidden/>
              </w:rPr>
              <w:tab/>
            </w:r>
            <w:r w:rsidR="00CD24D0">
              <w:rPr>
                <w:noProof/>
                <w:webHidden/>
              </w:rPr>
              <w:fldChar w:fldCharType="begin"/>
            </w:r>
            <w:r w:rsidR="00CD24D0">
              <w:rPr>
                <w:noProof/>
                <w:webHidden/>
              </w:rPr>
              <w:instrText xml:space="preserve"> PAGEREF _Toc60841222 \h </w:instrText>
            </w:r>
            <w:r w:rsidR="00CD24D0">
              <w:rPr>
                <w:noProof/>
                <w:webHidden/>
              </w:rPr>
            </w:r>
            <w:r w:rsidR="00CD24D0">
              <w:rPr>
                <w:noProof/>
                <w:webHidden/>
              </w:rPr>
              <w:fldChar w:fldCharType="separate"/>
            </w:r>
            <w:r w:rsidR="000C6138">
              <w:rPr>
                <w:noProof/>
                <w:webHidden/>
              </w:rPr>
              <w:t>70</w:t>
            </w:r>
            <w:r w:rsidR="00CD24D0">
              <w:rPr>
                <w:noProof/>
                <w:webHidden/>
              </w:rPr>
              <w:fldChar w:fldCharType="end"/>
            </w:r>
          </w:hyperlink>
        </w:p>
        <w:p w14:paraId="5F0AFBF8" w14:textId="3C12A625" w:rsidR="00CD24D0" w:rsidRDefault="00B5442B">
          <w:pPr>
            <w:pStyle w:val="TOC2"/>
            <w:tabs>
              <w:tab w:val="right" w:leader="dot" w:pos="9350"/>
            </w:tabs>
            <w:rPr>
              <w:rFonts w:asciiTheme="minorHAnsi" w:eastAsiaTheme="minorEastAsia" w:hAnsiTheme="minorHAnsi"/>
              <w:noProof/>
              <w:sz w:val="22"/>
            </w:rPr>
          </w:pPr>
          <w:hyperlink w:anchor="_Toc60841223" w:history="1">
            <w:r w:rsidR="00CD24D0" w:rsidRPr="00AD64DC">
              <w:rPr>
                <w:rStyle w:val="Hyperlink"/>
                <w:noProof/>
              </w:rPr>
              <w:t>Acknowledgements</w:t>
            </w:r>
            <w:r w:rsidR="00CD24D0">
              <w:rPr>
                <w:noProof/>
                <w:webHidden/>
              </w:rPr>
              <w:tab/>
            </w:r>
            <w:r w:rsidR="00CD24D0">
              <w:rPr>
                <w:noProof/>
                <w:webHidden/>
              </w:rPr>
              <w:fldChar w:fldCharType="begin"/>
            </w:r>
            <w:r w:rsidR="00CD24D0">
              <w:rPr>
                <w:noProof/>
                <w:webHidden/>
              </w:rPr>
              <w:instrText xml:space="preserve"> PAGEREF _Toc60841223 \h </w:instrText>
            </w:r>
            <w:r w:rsidR="00CD24D0">
              <w:rPr>
                <w:noProof/>
                <w:webHidden/>
              </w:rPr>
            </w:r>
            <w:r w:rsidR="00CD24D0">
              <w:rPr>
                <w:noProof/>
                <w:webHidden/>
              </w:rPr>
              <w:fldChar w:fldCharType="separate"/>
            </w:r>
            <w:r w:rsidR="000C6138">
              <w:rPr>
                <w:noProof/>
                <w:webHidden/>
              </w:rPr>
              <w:t>77</w:t>
            </w:r>
            <w:r w:rsidR="00CD24D0">
              <w:rPr>
                <w:noProof/>
                <w:webHidden/>
              </w:rPr>
              <w:fldChar w:fldCharType="end"/>
            </w:r>
          </w:hyperlink>
        </w:p>
        <w:p w14:paraId="43714477" w14:textId="7244C1DD" w:rsidR="00CD24D0" w:rsidRDefault="00B5442B">
          <w:pPr>
            <w:pStyle w:val="TOC2"/>
            <w:tabs>
              <w:tab w:val="right" w:leader="dot" w:pos="9350"/>
            </w:tabs>
            <w:rPr>
              <w:rFonts w:asciiTheme="minorHAnsi" w:eastAsiaTheme="minorEastAsia" w:hAnsiTheme="minorHAnsi"/>
              <w:noProof/>
              <w:sz w:val="22"/>
            </w:rPr>
          </w:pPr>
          <w:hyperlink w:anchor="_Toc60841224" w:history="1">
            <w:r w:rsidR="00CD24D0" w:rsidRPr="00AD64DC">
              <w:rPr>
                <w:rStyle w:val="Hyperlink"/>
                <w:noProof/>
              </w:rPr>
              <w:t>References</w:t>
            </w:r>
            <w:r w:rsidR="00CD24D0">
              <w:rPr>
                <w:noProof/>
                <w:webHidden/>
              </w:rPr>
              <w:tab/>
            </w:r>
            <w:r w:rsidR="00CD24D0">
              <w:rPr>
                <w:noProof/>
                <w:webHidden/>
              </w:rPr>
              <w:fldChar w:fldCharType="begin"/>
            </w:r>
            <w:r w:rsidR="00CD24D0">
              <w:rPr>
                <w:noProof/>
                <w:webHidden/>
              </w:rPr>
              <w:instrText xml:space="preserve"> PAGEREF _Toc60841224 \h </w:instrText>
            </w:r>
            <w:r w:rsidR="00CD24D0">
              <w:rPr>
                <w:noProof/>
                <w:webHidden/>
              </w:rPr>
            </w:r>
            <w:r w:rsidR="00CD24D0">
              <w:rPr>
                <w:noProof/>
                <w:webHidden/>
              </w:rPr>
              <w:fldChar w:fldCharType="separate"/>
            </w:r>
            <w:r w:rsidR="000C6138">
              <w:rPr>
                <w:noProof/>
                <w:webHidden/>
              </w:rPr>
              <w:t>77</w:t>
            </w:r>
            <w:r w:rsidR="00CD24D0">
              <w:rPr>
                <w:noProof/>
                <w:webHidden/>
              </w:rPr>
              <w:fldChar w:fldCharType="end"/>
            </w:r>
          </w:hyperlink>
        </w:p>
        <w:p w14:paraId="6B5C6E3B" w14:textId="4B79CB6B" w:rsidR="00CD24D0" w:rsidRDefault="00B5442B">
          <w:pPr>
            <w:pStyle w:val="TOC2"/>
            <w:tabs>
              <w:tab w:val="right" w:leader="dot" w:pos="9350"/>
            </w:tabs>
            <w:rPr>
              <w:rFonts w:asciiTheme="minorHAnsi" w:eastAsiaTheme="minorEastAsia" w:hAnsiTheme="minorHAnsi"/>
              <w:noProof/>
              <w:sz w:val="22"/>
            </w:rPr>
          </w:pPr>
          <w:hyperlink w:anchor="_Toc60841225" w:history="1">
            <w:r w:rsidR="00CD24D0" w:rsidRPr="00AD64DC">
              <w:rPr>
                <w:rStyle w:val="Hyperlink"/>
                <w:noProof/>
              </w:rPr>
              <w:t>Appendix S1. Supporting Information</w:t>
            </w:r>
            <w:r w:rsidR="00CD24D0">
              <w:rPr>
                <w:noProof/>
                <w:webHidden/>
              </w:rPr>
              <w:tab/>
            </w:r>
            <w:r w:rsidR="00CD24D0">
              <w:rPr>
                <w:noProof/>
                <w:webHidden/>
              </w:rPr>
              <w:fldChar w:fldCharType="begin"/>
            </w:r>
            <w:r w:rsidR="00CD24D0">
              <w:rPr>
                <w:noProof/>
                <w:webHidden/>
              </w:rPr>
              <w:instrText xml:space="preserve"> PAGEREF _Toc60841225 \h </w:instrText>
            </w:r>
            <w:r w:rsidR="00CD24D0">
              <w:rPr>
                <w:noProof/>
                <w:webHidden/>
              </w:rPr>
            </w:r>
            <w:r w:rsidR="00CD24D0">
              <w:rPr>
                <w:noProof/>
                <w:webHidden/>
              </w:rPr>
              <w:fldChar w:fldCharType="separate"/>
            </w:r>
            <w:r w:rsidR="000C6138">
              <w:rPr>
                <w:noProof/>
                <w:webHidden/>
              </w:rPr>
              <w:t>111</w:t>
            </w:r>
            <w:r w:rsidR="00CD24D0">
              <w:rPr>
                <w:noProof/>
                <w:webHidden/>
              </w:rPr>
              <w:fldChar w:fldCharType="end"/>
            </w:r>
          </w:hyperlink>
        </w:p>
        <w:p w14:paraId="53FDC7F1" w14:textId="5FCE7F01" w:rsidR="00CD24D0" w:rsidRDefault="00B5442B">
          <w:pPr>
            <w:pStyle w:val="TOC1"/>
            <w:tabs>
              <w:tab w:val="left" w:pos="440"/>
              <w:tab w:val="right" w:leader="dot" w:pos="9350"/>
            </w:tabs>
            <w:rPr>
              <w:rFonts w:asciiTheme="minorHAnsi" w:eastAsiaTheme="minorEastAsia" w:hAnsiTheme="minorHAnsi"/>
              <w:noProof/>
              <w:sz w:val="22"/>
            </w:rPr>
          </w:pPr>
          <w:hyperlink w:anchor="_Toc60841226" w:history="1">
            <w:r w:rsidR="00CD24D0" w:rsidRPr="00AD64DC">
              <w:rPr>
                <w:rStyle w:val="Hyperlink"/>
                <w:noProof/>
              </w:rPr>
              <w:t>3.</w:t>
            </w:r>
            <w:r w:rsidR="00CD24D0">
              <w:rPr>
                <w:rFonts w:asciiTheme="minorHAnsi" w:eastAsiaTheme="minorEastAsia" w:hAnsiTheme="minorHAnsi"/>
                <w:noProof/>
                <w:sz w:val="22"/>
              </w:rPr>
              <w:tab/>
            </w:r>
            <w:r w:rsidR="00CD24D0" w:rsidRPr="00AD64DC">
              <w:rPr>
                <w:rStyle w:val="Hyperlink"/>
                <w:noProof/>
              </w:rPr>
              <w:t>Climate change effects the quantity of aquatic insect subsidies emerging from streams and rivers of the United States</w:t>
            </w:r>
            <w:r w:rsidR="00CD24D0">
              <w:rPr>
                <w:noProof/>
                <w:webHidden/>
              </w:rPr>
              <w:tab/>
            </w:r>
            <w:r w:rsidR="00CD24D0">
              <w:rPr>
                <w:noProof/>
                <w:webHidden/>
              </w:rPr>
              <w:fldChar w:fldCharType="begin"/>
            </w:r>
            <w:r w:rsidR="00CD24D0">
              <w:rPr>
                <w:noProof/>
                <w:webHidden/>
              </w:rPr>
              <w:instrText xml:space="preserve"> PAGEREF _Toc60841226 \h </w:instrText>
            </w:r>
            <w:r w:rsidR="00CD24D0">
              <w:rPr>
                <w:noProof/>
                <w:webHidden/>
              </w:rPr>
            </w:r>
            <w:r w:rsidR="00CD24D0">
              <w:rPr>
                <w:noProof/>
                <w:webHidden/>
              </w:rPr>
              <w:fldChar w:fldCharType="separate"/>
            </w:r>
            <w:r w:rsidR="000C6138">
              <w:rPr>
                <w:noProof/>
                <w:webHidden/>
              </w:rPr>
              <w:t>120</w:t>
            </w:r>
            <w:r w:rsidR="00CD24D0">
              <w:rPr>
                <w:noProof/>
                <w:webHidden/>
              </w:rPr>
              <w:fldChar w:fldCharType="end"/>
            </w:r>
          </w:hyperlink>
        </w:p>
        <w:p w14:paraId="49EC41CA" w14:textId="4D6CD423" w:rsidR="00CD24D0" w:rsidRDefault="00B5442B">
          <w:pPr>
            <w:pStyle w:val="TOC2"/>
            <w:tabs>
              <w:tab w:val="right" w:leader="dot" w:pos="9350"/>
            </w:tabs>
            <w:rPr>
              <w:rFonts w:asciiTheme="minorHAnsi" w:eastAsiaTheme="minorEastAsia" w:hAnsiTheme="minorHAnsi"/>
              <w:noProof/>
              <w:sz w:val="22"/>
            </w:rPr>
          </w:pPr>
          <w:hyperlink w:anchor="_Toc60841227" w:history="1">
            <w:r w:rsidR="00CD24D0" w:rsidRPr="00AD64DC">
              <w:rPr>
                <w:rStyle w:val="Hyperlink"/>
                <w:noProof/>
              </w:rPr>
              <w:t>Abstract</w:t>
            </w:r>
            <w:r w:rsidR="00CD24D0">
              <w:rPr>
                <w:noProof/>
                <w:webHidden/>
              </w:rPr>
              <w:tab/>
            </w:r>
            <w:r w:rsidR="00CD24D0">
              <w:rPr>
                <w:noProof/>
                <w:webHidden/>
              </w:rPr>
              <w:fldChar w:fldCharType="begin"/>
            </w:r>
            <w:r w:rsidR="00CD24D0">
              <w:rPr>
                <w:noProof/>
                <w:webHidden/>
              </w:rPr>
              <w:instrText xml:space="preserve"> PAGEREF _Toc60841227 \h </w:instrText>
            </w:r>
            <w:r w:rsidR="00CD24D0">
              <w:rPr>
                <w:noProof/>
                <w:webHidden/>
              </w:rPr>
            </w:r>
            <w:r w:rsidR="00CD24D0">
              <w:rPr>
                <w:noProof/>
                <w:webHidden/>
              </w:rPr>
              <w:fldChar w:fldCharType="separate"/>
            </w:r>
            <w:r w:rsidR="000C6138">
              <w:rPr>
                <w:noProof/>
                <w:webHidden/>
              </w:rPr>
              <w:t>121</w:t>
            </w:r>
            <w:r w:rsidR="00CD24D0">
              <w:rPr>
                <w:noProof/>
                <w:webHidden/>
              </w:rPr>
              <w:fldChar w:fldCharType="end"/>
            </w:r>
          </w:hyperlink>
        </w:p>
        <w:p w14:paraId="07A4C90A" w14:textId="6E91ACE3" w:rsidR="00CD24D0" w:rsidRDefault="00B5442B">
          <w:pPr>
            <w:pStyle w:val="TOC2"/>
            <w:tabs>
              <w:tab w:val="right" w:leader="dot" w:pos="9350"/>
            </w:tabs>
            <w:rPr>
              <w:rFonts w:asciiTheme="minorHAnsi" w:eastAsiaTheme="minorEastAsia" w:hAnsiTheme="minorHAnsi"/>
              <w:noProof/>
              <w:sz w:val="22"/>
            </w:rPr>
          </w:pPr>
          <w:hyperlink w:anchor="_Toc60841228" w:history="1">
            <w:r w:rsidR="00CD24D0" w:rsidRPr="00AD64DC">
              <w:rPr>
                <w:rStyle w:val="Hyperlink"/>
                <w:noProof/>
              </w:rPr>
              <w:t>Introduction</w:t>
            </w:r>
            <w:r w:rsidR="00CD24D0">
              <w:rPr>
                <w:noProof/>
                <w:webHidden/>
              </w:rPr>
              <w:tab/>
            </w:r>
            <w:r w:rsidR="00CD24D0">
              <w:rPr>
                <w:noProof/>
                <w:webHidden/>
              </w:rPr>
              <w:fldChar w:fldCharType="begin"/>
            </w:r>
            <w:r w:rsidR="00CD24D0">
              <w:rPr>
                <w:noProof/>
                <w:webHidden/>
              </w:rPr>
              <w:instrText xml:space="preserve"> PAGEREF _Toc60841228 \h </w:instrText>
            </w:r>
            <w:r w:rsidR="00CD24D0">
              <w:rPr>
                <w:noProof/>
                <w:webHidden/>
              </w:rPr>
            </w:r>
            <w:r w:rsidR="00CD24D0">
              <w:rPr>
                <w:noProof/>
                <w:webHidden/>
              </w:rPr>
              <w:fldChar w:fldCharType="separate"/>
            </w:r>
            <w:r w:rsidR="000C6138">
              <w:rPr>
                <w:noProof/>
                <w:webHidden/>
              </w:rPr>
              <w:t>121</w:t>
            </w:r>
            <w:r w:rsidR="00CD24D0">
              <w:rPr>
                <w:noProof/>
                <w:webHidden/>
              </w:rPr>
              <w:fldChar w:fldCharType="end"/>
            </w:r>
          </w:hyperlink>
        </w:p>
        <w:p w14:paraId="57C13243" w14:textId="224F3E90" w:rsidR="00CD24D0" w:rsidRDefault="00B5442B">
          <w:pPr>
            <w:pStyle w:val="TOC2"/>
            <w:tabs>
              <w:tab w:val="right" w:leader="dot" w:pos="9350"/>
            </w:tabs>
            <w:rPr>
              <w:rFonts w:asciiTheme="minorHAnsi" w:eastAsiaTheme="minorEastAsia" w:hAnsiTheme="minorHAnsi"/>
              <w:noProof/>
              <w:sz w:val="22"/>
            </w:rPr>
          </w:pPr>
          <w:hyperlink w:anchor="_Toc60841229" w:history="1">
            <w:r w:rsidR="00CD24D0" w:rsidRPr="00AD64DC">
              <w:rPr>
                <w:rStyle w:val="Hyperlink"/>
                <w:noProof/>
              </w:rPr>
              <w:t>Methods</w:t>
            </w:r>
            <w:r w:rsidR="00CD24D0">
              <w:rPr>
                <w:noProof/>
                <w:webHidden/>
              </w:rPr>
              <w:tab/>
            </w:r>
            <w:r w:rsidR="00CD24D0">
              <w:rPr>
                <w:noProof/>
                <w:webHidden/>
              </w:rPr>
              <w:fldChar w:fldCharType="begin"/>
            </w:r>
            <w:r w:rsidR="00CD24D0">
              <w:rPr>
                <w:noProof/>
                <w:webHidden/>
              </w:rPr>
              <w:instrText xml:space="preserve"> PAGEREF _Toc60841229 \h </w:instrText>
            </w:r>
            <w:r w:rsidR="00CD24D0">
              <w:rPr>
                <w:noProof/>
                <w:webHidden/>
              </w:rPr>
            </w:r>
            <w:r w:rsidR="00CD24D0">
              <w:rPr>
                <w:noProof/>
                <w:webHidden/>
              </w:rPr>
              <w:fldChar w:fldCharType="separate"/>
            </w:r>
            <w:r w:rsidR="000C6138">
              <w:rPr>
                <w:noProof/>
                <w:webHidden/>
              </w:rPr>
              <w:t>125</w:t>
            </w:r>
            <w:r w:rsidR="00CD24D0">
              <w:rPr>
                <w:noProof/>
                <w:webHidden/>
              </w:rPr>
              <w:fldChar w:fldCharType="end"/>
            </w:r>
          </w:hyperlink>
        </w:p>
        <w:p w14:paraId="29B225EF" w14:textId="428514C4" w:rsidR="00CD24D0" w:rsidRDefault="00B5442B">
          <w:pPr>
            <w:pStyle w:val="TOC2"/>
            <w:tabs>
              <w:tab w:val="right" w:leader="dot" w:pos="9350"/>
            </w:tabs>
            <w:rPr>
              <w:rFonts w:asciiTheme="minorHAnsi" w:eastAsiaTheme="minorEastAsia" w:hAnsiTheme="minorHAnsi"/>
              <w:noProof/>
              <w:sz w:val="22"/>
            </w:rPr>
          </w:pPr>
          <w:hyperlink w:anchor="_Toc60841230" w:history="1">
            <w:r w:rsidR="00CD24D0" w:rsidRPr="00AD64DC">
              <w:rPr>
                <w:rStyle w:val="Hyperlink"/>
                <w:noProof/>
              </w:rPr>
              <w:t>Results</w:t>
            </w:r>
            <w:r w:rsidR="00CD24D0">
              <w:rPr>
                <w:noProof/>
                <w:webHidden/>
              </w:rPr>
              <w:tab/>
            </w:r>
            <w:r w:rsidR="00CD24D0">
              <w:rPr>
                <w:noProof/>
                <w:webHidden/>
              </w:rPr>
              <w:fldChar w:fldCharType="begin"/>
            </w:r>
            <w:r w:rsidR="00CD24D0">
              <w:rPr>
                <w:noProof/>
                <w:webHidden/>
              </w:rPr>
              <w:instrText xml:space="preserve"> PAGEREF _Toc60841230 \h </w:instrText>
            </w:r>
            <w:r w:rsidR="00CD24D0">
              <w:rPr>
                <w:noProof/>
                <w:webHidden/>
              </w:rPr>
            </w:r>
            <w:r w:rsidR="00CD24D0">
              <w:rPr>
                <w:noProof/>
                <w:webHidden/>
              </w:rPr>
              <w:fldChar w:fldCharType="separate"/>
            </w:r>
            <w:r w:rsidR="000C6138">
              <w:rPr>
                <w:noProof/>
                <w:webHidden/>
              </w:rPr>
              <w:t>125</w:t>
            </w:r>
            <w:r w:rsidR="00CD24D0">
              <w:rPr>
                <w:noProof/>
                <w:webHidden/>
              </w:rPr>
              <w:fldChar w:fldCharType="end"/>
            </w:r>
          </w:hyperlink>
        </w:p>
        <w:p w14:paraId="32660363" w14:textId="25F62B55" w:rsidR="00CD24D0" w:rsidRDefault="00B5442B">
          <w:pPr>
            <w:pStyle w:val="TOC2"/>
            <w:tabs>
              <w:tab w:val="right" w:leader="dot" w:pos="9350"/>
            </w:tabs>
            <w:rPr>
              <w:rFonts w:asciiTheme="minorHAnsi" w:eastAsiaTheme="minorEastAsia" w:hAnsiTheme="minorHAnsi"/>
              <w:noProof/>
              <w:sz w:val="22"/>
            </w:rPr>
          </w:pPr>
          <w:hyperlink w:anchor="_Toc60841231" w:history="1">
            <w:r w:rsidR="00CD24D0" w:rsidRPr="00AD64DC">
              <w:rPr>
                <w:rStyle w:val="Hyperlink"/>
                <w:noProof/>
              </w:rPr>
              <w:t>Discussion</w:t>
            </w:r>
            <w:r w:rsidR="00CD24D0">
              <w:rPr>
                <w:noProof/>
                <w:webHidden/>
              </w:rPr>
              <w:tab/>
            </w:r>
            <w:r w:rsidR="00CD24D0">
              <w:rPr>
                <w:noProof/>
                <w:webHidden/>
              </w:rPr>
              <w:fldChar w:fldCharType="begin"/>
            </w:r>
            <w:r w:rsidR="00CD24D0">
              <w:rPr>
                <w:noProof/>
                <w:webHidden/>
              </w:rPr>
              <w:instrText xml:space="preserve"> PAGEREF _Toc60841231 \h </w:instrText>
            </w:r>
            <w:r w:rsidR="00CD24D0">
              <w:rPr>
                <w:noProof/>
                <w:webHidden/>
              </w:rPr>
            </w:r>
            <w:r w:rsidR="00CD24D0">
              <w:rPr>
                <w:noProof/>
                <w:webHidden/>
              </w:rPr>
              <w:fldChar w:fldCharType="separate"/>
            </w:r>
            <w:r w:rsidR="000C6138">
              <w:rPr>
                <w:noProof/>
                <w:webHidden/>
              </w:rPr>
              <w:t>131</w:t>
            </w:r>
            <w:r w:rsidR="00CD24D0">
              <w:rPr>
                <w:noProof/>
                <w:webHidden/>
              </w:rPr>
              <w:fldChar w:fldCharType="end"/>
            </w:r>
          </w:hyperlink>
        </w:p>
        <w:p w14:paraId="0E9CC456" w14:textId="5C82F645" w:rsidR="00CD24D0" w:rsidRDefault="00B5442B">
          <w:pPr>
            <w:pStyle w:val="TOC2"/>
            <w:tabs>
              <w:tab w:val="right" w:leader="dot" w:pos="9350"/>
            </w:tabs>
            <w:rPr>
              <w:rFonts w:asciiTheme="minorHAnsi" w:eastAsiaTheme="minorEastAsia" w:hAnsiTheme="minorHAnsi"/>
              <w:noProof/>
              <w:sz w:val="22"/>
            </w:rPr>
          </w:pPr>
          <w:hyperlink w:anchor="_Toc60841232" w:history="1">
            <w:r w:rsidR="00CD24D0" w:rsidRPr="00AD64DC">
              <w:rPr>
                <w:rStyle w:val="Hyperlink"/>
                <w:noProof/>
              </w:rPr>
              <w:t>References</w:t>
            </w:r>
            <w:r w:rsidR="00CD24D0">
              <w:rPr>
                <w:noProof/>
                <w:webHidden/>
              </w:rPr>
              <w:tab/>
            </w:r>
            <w:r w:rsidR="00CD24D0">
              <w:rPr>
                <w:noProof/>
                <w:webHidden/>
              </w:rPr>
              <w:fldChar w:fldCharType="begin"/>
            </w:r>
            <w:r w:rsidR="00CD24D0">
              <w:rPr>
                <w:noProof/>
                <w:webHidden/>
              </w:rPr>
              <w:instrText xml:space="preserve"> PAGEREF _Toc60841232 \h </w:instrText>
            </w:r>
            <w:r w:rsidR="00CD24D0">
              <w:rPr>
                <w:noProof/>
                <w:webHidden/>
              </w:rPr>
            </w:r>
            <w:r w:rsidR="00CD24D0">
              <w:rPr>
                <w:noProof/>
                <w:webHidden/>
              </w:rPr>
              <w:fldChar w:fldCharType="separate"/>
            </w:r>
            <w:r w:rsidR="000C6138">
              <w:rPr>
                <w:noProof/>
                <w:webHidden/>
              </w:rPr>
              <w:t>141</w:t>
            </w:r>
            <w:r w:rsidR="00CD24D0">
              <w:rPr>
                <w:noProof/>
                <w:webHidden/>
              </w:rPr>
              <w:fldChar w:fldCharType="end"/>
            </w:r>
          </w:hyperlink>
        </w:p>
        <w:p w14:paraId="2F24C2C7" w14:textId="42FBCB9F" w:rsidR="00CD24D0" w:rsidRDefault="00B5442B">
          <w:pPr>
            <w:pStyle w:val="TOC2"/>
            <w:tabs>
              <w:tab w:val="right" w:leader="dot" w:pos="9350"/>
            </w:tabs>
            <w:rPr>
              <w:rFonts w:asciiTheme="minorHAnsi" w:eastAsiaTheme="minorEastAsia" w:hAnsiTheme="minorHAnsi"/>
              <w:noProof/>
              <w:sz w:val="22"/>
            </w:rPr>
          </w:pPr>
          <w:hyperlink w:anchor="_Toc60841233" w:history="1">
            <w:r w:rsidR="00CD24D0" w:rsidRPr="00AD64DC">
              <w:rPr>
                <w:rStyle w:val="Hyperlink"/>
                <w:noProof/>
              </w:rPr>
              <w:t>Appendix S1. Supporting Information</w:t>
            </w:r>
            <w:r w:rsidR="00CD24D0">
              <w:rPr>
                <w:noProof/>
                <w:webHidden/>
              </w:rPr>
              <w:tab/>
            </w:r>
            <w:r w:rsidR="00CD24D0">
              <w:rPr>
                <w:noProof/>
                <w:webHidden/>
              </w:rPr>
              <w:fldChar w:fldCharType="begin"/>
            </w:r>
            <w:r w:rsidR="00CD24D0">
              <w:rPr>
                <w:noProof/>
                <w:webHidden/>
              </w:rPr>
              <w:instrText xml:space="preserve"> PAGEREF _Toc60841233 \h </w:instrText>
            </w:r>
            <w:r w:rsidR="00CD24D0">
              <w:rPr>
                <w:noProof/>
                <w:webHidden/>
              </w:rPr>
            </w:r>
            <w:r w:rsidR="00CD24D0">
              <w:rPr>
                <w:noProof/>
                <w:webHidden/>
              </w:rPr>
              <w:fldChar w:fldCharType="separate"/>
            </w:r>
            <w:r w:rsidR="000C6138">
              <w:rPr>
                <w:noProof/>
                <w:webHidden/>
              </w:rPr>
              <w:t>160</w:t>
            </w:r>
            <w:r w:rsidR="00CD24D0">
              <w:rPr>
                <w:noProof/>
                <w:webHidden/>
              </w:rPr>
              <w:fldChar w:fldCharType="end"/>
            </w:r>
          </w:hyperlink>
        </w:p>
        <w:p w14:paraId="3051143A" w14:textId="5B7998D2" w:rsidR="00CD24D0" w:rsidRDefault="00B5442B">
          <w:pPr>
            <w:pStyle w:val="TOC1"/>
            <w:tabs>
              <w:tab w:val="left" w:pos="440"/>
              <w:tab w:val="right" w:leader="dot" w:pos="9350"/>
            </w:tabs>
            <w:rPr>
              <w:rFonts w:asciiTheme="minorHAnsi" w:eastAsiaTheme="minorEastAsia" w:hAnsiTheme="minorHAnsi"/>
              <w:noProof/>
              <w:sz w:val="22"/>
            </w:rPr>
          </w:pPr>
          <w:hyperlink w:anchor="_Toc60841234" w:history="1">
            <w:r w:rsidR="00CD24D0" w:rsidRPr="00AD64DC">
              <w:rPr>
                <w:rStyle w:val="Hyperlink"/>
                <w:noProof/>
              </w:rPr>
              <w:t>4.</w:t>
            </w:r>
            <w:r w:rsidR="00CD24D0">
              <w:rPr>
                <w:rFonts w:asciiTheme="minorHAnsi" w:eastAsiaTheme="minorEastAsia" w:hAnsiTheme="minorHAnsi"/>
                <w:noProof/>
                <w:sz w:val="22"/>
              </w:rPr>
              <w:tab/>
            </w:r>
            <w:r w:rsidR="00CD24D0" w:rsidRPr="00AD64DC">
              <w:rPr>
                <w:rStyle w:val="Hyperlink"/>
                <w:noProof/>
              </w:rPr>
              <w:t>Scaling landscape pattern in river networks: the effects of spatial extent, grain size and thematic resolution</w:t>
            </w:r>
            <w:r w:rsidR="00CD24D0">
              <w:rPr>
                <w:noProof/>
                <w:webHidden/>
              </w:rPr>
              <w:tab/>
            </w:r>
            <w:r w:rsidR="00CD24D0">
              <w:rPr>
                <w:noProof/>
                <w:webHidden/>
              </w:rPr>
              <w:fldChar w:fldCharType="begin"/>
            </w:r>
            <w:r w:rsidR="00CD24D0">
              <w:rPr>
                <w:noProof/>
                <w:webHidden/>
              </w:rPr>
              <w:instrText xml:space="preserve"> PAGEREF _Toc60841234 \h </w:instrText>
            </w:r>
            <w:r w:rsidR="00CD24D0">
              <w:rPr>
                <w:noProof/>
                <w:webHidden/>
              </w:rPr>
            </w:r>
            <w:r w:rsidR="00CD24D0">
              <w:rPr>
                <w:noProof/>
                <w:webHidden/>
              </w:rPr>
              <w:fldChar w:fldCharType="separate"/>
            </w:r>
            <w:r w:rsidR="000C6138">
              <w:rPr>
                <w:noProof/>
                <w:webHidden/>
              </w:rPr>
              <w:t>163</w:t>
            </w:r>
            <w:r w:rsidR="00CD24D0">
              <w:rPr>
                <w:noProof/>
                <w:webHidden/>
              </w:rPr>
              <w:fldChar w:fldCharType="end"/>
            </w:r>
          </w:hyperlink>
        </w:p>
        <w:p w14:paraId="3181B6EF" w14:textId="11F5F866" w:rsidR="00CD24D0" w:rsidRDefault="00B5442B">
          <w:pPr>
            <w:pStyle w:val="TOC2"/>
            <w:tabs>
              <w:tab w:val="right" w:leader="dot" w:pos="9350"/>
            </w:tabs>
            <w:rPr>
              <w:rFonts w:asciiTheme="minorHAnsi" w:eastAsiaTheme="minorEastAsia" w:hAnsiTheme="minorHAnsi"/>
              <w:noProof/>
              <w:sz w:val="22"/>
            </w:rPr>
          </w:pPr>
          <w:hyperlink w:anchor="_Toc60841235" w:history="1">
            <w:r w:rsidR="00CD24D0" w:rsidRPr="00AD64DC">
              <w:rPr>
                <w:rStyle w:val="Hyperlink"/>
                <w:noProof/>
              </w:rPr>
              <w:t>Abstract</w:t>
            </w:r>
            <w:r w:rsidR="00CD24D0">
              <w:rPr>
                <w:noProof/>
                <w:webHidden/>
              </w:rPr>
              <w:tab/>
            </w:r>
            <w:r w:rsidR="00CD24D0">
              <w:rPr>
                <w:noProof/>
                <w:webHidden/>
              </w:rPr>
              <w:fldChar w:fldCharType="begin"/>
            </w:r>
            <w:r w:rsidR="00CD24D0">
              <w:rPr>
                <w:noProof/>
                <w:webHidden/>
              </w:rPr>
              <w:instrText xml:space="preserve"> PAGEREF _Toc60841235 \h </w:instrText>
            </w:r>
            <w:r w:rsidR="00CD24D0">
              <w:rPr>
                <w:noProof/>
                <w:webHidden/>
              </w:rPr>
            </w:r>
            <w:r w:rsidR="00CD24D0">
              <w:rPr>
                <w:noProof/>
                <w:webHidden/>
              </w:rPr>
              <w:fldChar w:fldCharType="separate"/>
            </w:r>
            <w:r w:rsidR="000C6138">
              <w:rPr>
                <w:noProof/>
                <w:webHidden/>
              </w:rPr>
              <w:t>164</w:t>
            </w:r>
            <w:r w:rsidR="00CD24D0">
              <w:rPr>
                <w:noProof/>
                <w:webHidden/>
              </w:rPr>
              <w:fldChar w:fldCharType="end"/>
            </w:r>
          </w:hyperlink>
        </w:p>
        <w:p w14:paraId="5853BBB3" w14:textId="582A5D36" w:rsidR="00CD24D0" w:rsidRDefault="00B5442B">
          <w:pPr>
            <w:pStyle w:val="TOC2"/>
            <w:tabs>
              <w:tab w:val="right" w:leader="dot" w:pos="9350"/>
            </w:tabs>
            <w:rPr>
              <w:rFonts w:asciiTheme="minorHAnsi" w:eastAsiaTheme="minorEastAsia" w:hAnsiTheme="minorHAnsi"/>
              <w:noProof/>
              <w:sz w:val="22"/>
            </w:rPr>
          </w:pPr>
          <w:hyperlink w:anchor="_Toc60841236" w:history="1">
            <w:r w:rsidR="00CD24D0" w:rsidRPr="00AD64DC">
              <w:rPr>
                <w:rStyle w:val="Hyperlink"/>
                <w:noProof/>
              </w:rPr>
              <w:t>Introduction</w:t>
            </w:r>
            <w:r w:rsidR="00CD24D0">
              <w:rPr>
                <w:noProof/>
                <w:webHidden/>
              </w:rPr>
              <w:tab/>
            </w:r>
            <w:r w:rsidR="00CD24D0">
              <w:rPr>
                <w:noProof/>
                <w:webHidden/>
              </w:rPr>
              <w:fldChar w:fldCharType="begin"/>
            </w:r>
            <w:r w:rsidR="00CD24D0">
              <w:rPr>
                <w:noProof/>
                <w:webHidden/>
              </w:rPr>
              <w:instrText xml:space="preserve"> PAGEREF _Toc60841236 \h </w:instrText>
            </w:r>
            <w:r w:rsidR="00CD24D0">
              <w:rPr>
                <w:noProof/>
                <w:webHidden/>
              </w:rPr>
            </w:r>
            <w:r w:rsidR="00CD24D0">
              <w:rPr>
                <w:noProof/>
                <w:webHidden/>
              </w:rPr>
              <w:fldChar w:fldCharType="separate"/>
            </w:r>
            <w:r w:rsidR="000C6138">
              <w:rPr>
                <w:noProof/>
                <w:webHidden/>
              </w:rPr>
              <w:t>165</w:t>
            </w:r>
            <w:r w:rsidR="00CD24D0">
              <w:rPr>
                <w:noProof/>
                <w:webHidden/>
              </w:rPr>
              <w:fldChar w:fldCharType="end"/>
            </w:r>
          </w:hyperlink>
        </w:p>
        <w:p w14:paraId="1F54A9CE" w14:textId="73518ACF" w:rsidR="00CD24D0" w:rsidRDefault="00B5442B">
          <w:pPr>
            <w:pStyle w:val="TOC2"/>
            <w:tabs>
              <w:tab w:val="right" w:leader="dot" w:pos="9350"/>
            </w:tabs>
            <w:rPr>
              <w:rFonts w:asciiTheme="minorHAnsi" w:eastAsiaTheme="minorEastAsia" w:hAnsiTheme="minorHAnsi"/>
              <w:noProof/>
              <w:sz w:val="22"/>
            </w:rPr>
          </w:pPr>
          <w:hyperlink w:anchor="_Toc60841237" w:history="1">
            <w:r w:rsidR="00CD24D0" w:rsidRPr="00AD64DC">
              <w:rPr>
                <w:rStyle w:val="Hyperlink"/>
                <w:noProof/>
              </w:rPr>
              <w:t>Methods</w:t>
            </w:r>
            <w:r w:rsidR="00CD24D0">
              <w:rPr>
                <w:noProof/>
                <w:webHidden/>
              </w:rPr>
              <w:tab/>
            </w:r>
            <w:r w:rsidR="00CD24D0">
              <w:rPr>
                <w:noProof/>
                <w:webHidden/>
              </w:rPr>
              <w:fldChar w:fldCharType="begin"/>
            </w:r>
            <w:r w:rsidR="00CD24D0">
              <w:rPr>
                <w:noProof/>
                <w:webHidden/>
              </w:rPr>
              <w:instrText xml:space="preserve"> PAGEREF _Toc60841237 \h </w:instrText>
            </w:r>
            <w:r w:rsidR="00CD24D0">
              <w:rPr>
                <w:noProof/>
                <w:webHidden/>
              </w:rPr>
            </w:r>
            <w:r w:rsidR="00CD24D0">
              <w:rPr>
                <w:noProof/>
                <w:webHidden/>
              </w:rPr>
              <w:fldChar w:fldCharType="separate"/>
            </w:r>
            <w:r w:rsidR="000C6138">
              <w:rPr>
                <w:noProof/>
                <w:webHidden/>
              </w:rPr>
              <w:t>168</w:t>
            </w:r>
            <w:r w:rsidR="00CD24D0">
              <w:rPr>
                <w:noProof/>
                <w:webHidden/>
              </w:rPr>
              <w:fldChar w:fldCharType="end"/>
            </w:r>
          </w:hyperlink>
        </w:p>
        <w:p w14:paraId="0E030D45" w14:textId="32921C46" w:rsidR="00CD24D0" w:rsidRDefault="00B5442B">
          <w:pPr>
            <w:pStyle w:val="TOC2"/>
            <w:tabs>
              <w:tab w:val="right" w:leader="dot" w:pos="9350"/>
            </w:tabs>
            <w:rPr>
              <w:rFonts w:asciiTheme="minorHAnsi" w:eastAsiaTheme="minorEastAsia" w:hAnsiTheme="minorHAnsi"/>
              <w:noProof/>
              <w:sz w:val="22"/>
            </w:rPr>
          </w:pPr>
          <w:hyperlink w:anchor="_Toc60841238" w:history="1">
            <w:r w:rsidR="00CD24D0" w:rsidRPr="00AD64DC">
              <w:rPr>
                <w:rStyle w:val="Hyperlink"/>
                <w:noProof/>
              </w:rPr>
              <w:t>Results</w:t>
            </w:r>
            <w:r w:rsidR="00CD24D0">
              <w:rPr>
                <w:noProof/>
                <w:webHidden/>
              </w:rPr>
              <w:tab/>
            </w:r>
            <w:r w:rsidR="00CD24D0">
              <w:rPr>
                <w:noProof/>
                <w:webHidden/>
              </w:rPr>
              <w:fldChar w:fldCharType="begin"/>
            </w:r>
            <w:r w:rsidR="00CD24D0">
              <w:rPr>
                <w:noProof/>
                <w:webHidden/>
              </w:rPr>
              <w:instrText xml:space="preserve"> PAGEREF _Toc60841238 \h </w:instrText>
            </w:r>
            <w:r w:rsidR="00CD24D0">
              <w:rPr>
                <w:noProof/>
                <w:webHidden/>
              </w:rPr>
            </w:r>
            <w:r w:rsidR="00CD24D0">
              <w:rPr>
                <w:noProof/>
                <w:webHidden/>
              </w:rPr>
              <w:fldChar w:fldCharType="separate"/>
            </w:r>
            <w:r w:rsidR="000C6138">
              <w:rPr>
                <w:noProof/>
                <w:webHidden/>
              </w:rPr>
              <w:t>168</w:t>
            </w:r>
            <w:r w:rsidR="00CD24D0">
              <w:rPr>
                <w:noProof/>
                <w:webHidden/>
              </w:rPr>
              <w:fldChar w:fldCharType="end"/>
            </w:r>
          </w:hyperlink>
        </w:p>
        <w:p w14:paraId="2620C3D8" w14:textId="61A05712" w:rsidR="00CD24D0" w:rsidRDefault="00B5442B">
          <w:pPr>
            <w:pStyle w:val="TOC2"/>
            <w:tabs>
              <w:tab w:val="right" w:leader="dot" w:pos="9350"/>
            </w:tabs>
            <w:rPr>
              <w:rFonts w:asciiTheme="minorHAnsi" w:eastAsiaTheme="minorEastAsia" w:hAnsiTheme="minorHAnsi"/>
              <w:noProof/>
              <w:sz w:val="22"/>
            </w:rPr>
          </w:pPr>
          <w:hyperlink w:anchor="_Toc60841239" w:history="1">
            <w:r w:rsidR="00CD24D0" w:rsidRPr="00AD64DC">
              <w:rPr>
                <w:rStyle w:val="Hyperlink"/>
                <w:noProof/>
              </w:rPr>
              <w:t>Discussion</w:t>
            </w:r>
            <w:r w:rsidR="00CD24D0">
              <w:rPr>
                <w:noProof/>
                <w:webHidden/>
              </w:rPr>
              <w:tab/>
            </w:r>
            <w:r w:rsidR="00CD24D0">
              <w:rPr>
                <w:noProof/>
                <w:webHidden/>
              </w:rPr>
              <w:fldChar w:fldCharType="begin"/>
            </w:r>
            <w:r w:rsidR="00CD24D0">
              <w:rPr>
                <w:noProof/>
                <w:webHidden/>
              </w:rPr>
              <w:instrText xml:space="preserve"> PAGEREF _Toc60841239 \h </w:instrText>
            </w:r>
            <w:r w:rsidR="00CD24D0">
              <w:rPr>
                <w:noProof/>
                <w:webHidden/>
              </w:rPr>
            </w:r>
            <w:r w:rsidR="00CD24D0">
              <w:rPr>
                <w:noProof/>
                <w:webHidden/>
              </w:rPr>
              <w:fldChar w:fldCharType="separate"/>
            </w:r>
            <w:r w:rsidR="000C6138">
              <w:rPr>
                <w:noProof/>
                <w:webHidden/>
              </w:rPr>
              <w:t>175</w:t>
            </w:r>
            <w:r w:rsidR="00CD24D0">
              <w:rPr>
                <w:noProof/>
                <w:webHidden/>
              </w:rPr>
              <w:fldChar w:fldCharType="end"/>
            </w:r>
          </w:hyperlink>
        </w:p>
        <w:p w14:paraId="5205FCA6" w14:textId="3334B189" w:rsidR="00CD24D0" w:rsidRDefault="00B5442B">
          <w:pPr>
            <w:pStyle w:val="TOC2"/>
            <w:tabs>
              <w:tab w:val="right" w:leader="dot" w:pos="9350"/>
            </w:tabs>
            <w:rPr>
              <w:rFonts w:asciiTheme="minorHAnsi" w:eastAsiaTheme="minorEastAsia" w:hAnsiTheme="minorHAnsi"/>
              <w:noProof/>
              <w:sz w:val="22"/>
            </w:rPr>
          </w:pPr>
          <w:hyperlink w:anchor="_Toc60841240" w:history="1">
            <w:r w:rsidR="00CD24D0" w:rsidRPr="00AD64DC">
              <w:rPr>
                <w:rStyle w:val="Hyperlink"/>
                <w:noProof/>
              </w:rPr>
              <w:t>Acknowledgements</w:t>
            </w:r>
            <w:r w:rsidR="00CD24D0">
              <w:rPr>
                <w:noProof/>
                <w:webHidden/>
              </w:rPr>
              <w:tab/>
            </w:r>
            <w:r w:rsidR="00CD24D0">
              <w:rPr>
                <w:noProof/>
                <w:webHidden/>
              </w:rPr>
              <w:fldChar w:fldCharType="begin"/>
            </w:r>
            <w:r w:rsidR="00CD24D0">
              <w:rPr>
                <w:noProof/>
                <w:webHidden/>
              </w:rPr>
              <w:instrText xml:space="preserve"> PAGEREF _Toc60841240 \h </w:instrText>
            </w:r>
            <w:r w:rsidR="00CD24D0">
              <w:rPr>
                <w:noProof/>
                <w:webHidden/>
              </w:rPr>
            </w:r>
            <w:r w:rsidR="00CD24D0">
              <w:rPr>
                <w:noProof/>
                <w:webHidden/>
              </w:rPr>
              <w:fldChar w:fldCharType="separate"/>
            </w:r>
            <w:r w:rsidR="000C6138">
              <w:rPr>
                <w:noProof/>
                <w:webHidden/>
              </w:rPr>
              <w:t>175</w:t>
            </w:r>
            <w:r w:rsidR="00CD24D0">
              <w:rPr>
                <w:noProof/>
                <w:webHidden/>
              </w:rPr>
              <w:fldChar w:fldCharType="end"/>
            </w:r>
          </w:hyperlink>
        </w:p>
        <w:p w14:paraId="4ABA5B93" w14:textId="11BCAA9E" w:rsidR="00CD24D0" w:rsidRDefault="00B5442B">
          <w:pPr>
            <w:pStyle w:val="TOC2"/>
            <w:tabs>
              <w:tab w:val="right" w:leader="dot" w:pos="9350"/>
            </w:tabs>
            <w:rPr>
              <w:rFonts w:asciiTheme="minorHAnsi" w:eastAsiaTheme="minorEastAsia" w:hAnsiTheme="minorHAnsi"/>
              <w:noProof/>
              <w:sz w:val="22"/>
            </w:rPr>
          </w:pPr>
          <w:hyperlink w:anchor="_Toc60841241" w:history="1">
            <w:r w:rsidR="00CD24D0" w:rsidRPr="00AD64DC">
              <w:rPr>
                <w:rStyle w:val="Hyperlink"/>
                <w:noProof/>
              </w:rPr>
              <w:t>References</w:t>
            </w:r>
            <w:r w:rsidR="00CD24D0">
              <w:rPr>
                <w:noProof/>
                <w:webHidden/>
              </w:rPr>
              <w:tab/>
            </w:r>
            <w:r w:rsidR="00CD24D0">
              <w:rPr>
                <w:noProof/>
                <w:webHidden/>
              </w:rPr>
              <w:fldChar w:fldCharType="begin"/>
            </w:r>
            <w:r w:rsidR="00CD24D0">
              <w:rPr>
                <w:noProof/>
                <w:webHidden/>
              </w:rPr>
              <w:instrText xml:space="preserve"> PAGEREF _Toc60841241 \h </w:instrText>
            </w:r>
            <w:r w:rsidR="00CD24D0">
              <w:rPr>
                <w:noProof/>
                <w:webHidden/>
              </w:rPr>
            </w:r>
            <w:r w:rsidR="00CD24D0">
              <w:rPr>
                <w:noProof/>
                <w:webHidden/>
              </w:rPr>
              <w:fldChar w:fldCharType="separate"/>
            </w:r>
            <w:r w:rsidR="000C6138">
              <w:rPr>
                <w:noProof/>
                <w:webHidden/>
              </w:rPr>
              <w:t>182</w:t>
            </w:r>
            <w:r w:rsidR="00CD24D0">
              <w:rPr>
                <w:noProof/>
                <w:webHidden/>
              </w:rPr>
              <w:fldChar w:fldCharType="end"/>
            </w:r>
          </w:hyperlink>
        </w:p>
        <w:p w14:paraId="6A57E620" w14:textId="6CE67EE9" w:rsidR="00CD24D0" w:rsidRDefault="00B5442B">
          <w:pPr>
            <w:pStyle w:val="TOC2"/>
            <w:tabs>
              <w:tab w:val="right" w:leader="dot" w:pos="9350"/>
            </w:tabs>
            <w:rPr>
              <w:rFonts w:asciiTheme="minorHAnsi" w:eastAsiaTheme="minorEastAsia" w:hAnsiTheme="minorHAnsi"/>
              <w:noProof/>
              <w:sz w:val="22"/>
            </w:rPr>
          </w:pPr>
          <w:hyperlink w:anchor="_Toc60841242" w:history="1">
            <w:r w:rsidR="00CD24D0" w:rsidRPr="00AD64DC">
              <w:rPr>
                <w:rStyle w:val="Hyperlink"/>
                <w:noProof/>
              </w:rPr>
              <w:t>Appendix S1. Supporting Information</w:t>
            </w:r>
            <w:r w:rsidR="00CD24D0">
              <w:rPr>
                <w:noProof/>
                <w:webHidden/>
              </w:rPr>
              <w:tab/>
            </w:r>
            <w:r w:rsidR="00CD24D0">
              <w:rPr>
                <w:noProof/>
                <w:webHidden/>
              </w:rPr>
              <w:fldChar w:fldCharType="begin"/>
            </w:r>
            <w:r w:rsidR="00CD24D0">
              <w:rPr>
                <w:noProof/>
                <w:webHidden/>
              </w:rPr>
              <w:instrText xml:space="preserve"> PAGEREF _Toc60841242 \h </w:instrText>
            </w:r>
            <w:r w:rsidR="00CD24D0">
              <w:rPr>
                <w:noProof/>
                <w:webHidden/>
              </w:rPr>
            </w:r>
            <w:r w:rsidR="00CD24D0">
              <w:rPr>
                <w:noProof/>
                <w:webHidden/>
              </w:rPr>
              <w:fldChar w:fldCharType="separate"/>
            </w:r>
            <w:r w:rsidR="000C6138">
              <w:rPr>
                <w:noProof/>
                <w:webHidden/>
              </w:rPr>
              <w:t>217</w:t>
            </w:r>
            <w:r w:rsidR="00CD24D0">
              <w:rPr>
                <w:noProof/>
                <w:webHidden/>
              </w:rPr>
              <w:fldChar w:fldCharType="end"/>
            </w:r>
          </w:hyperlink>
        </w:p>
        <w:p w14:paraId="1733BC33" w14:textId="64DD545B" w:rsidR="00396EC1" w:rsidRDefault="008A6C2C" w:rsidP="000324C2">
          <w:pPr>
            <w:rPr>
              <w:bCs/>
              <w:noProof/>
            </w:rPr>
          </w:pPr>
          <w:r>
            <w:rPr>
              <w:b/>
              <w:bCs/>
              <w:noProof/>
            </w:rPr>
            <w:fldChar w:fldCharType="end"/>
          </w:r>
        </w:p>
      </w:sdtContent>
    </w:sdt>
    <w:p w14:paraId="19FA04CC" w14:textId="042313BC" w:rsidR="006E25A1" w:rsidRDefault="006E25A1" w:rsidP="000324C2">
      <w:pPr>
        <w:rPr>
          <w:bCs/>
          <w:noProof/>
        </w:rPr>
      </w:pPr>
    </w:p>
    <w:p w14:paraId="50B8CB6B" w14:textId="77777777" w:rsidR="006E25A1" w:rsidRPr="000324C2" w:rsidRDefault="006E25A1" w:rsidP="000324C2"/>
    <w:p w14:paraId="37FF5851" w14:textId="66C86090" w:rsidR="00CD24D0" w:rsidRDefault="00F81898" w:rsidP="008D4BF7">
      <w:pPr>
        <w:jc w:val="center"/>
        <w:rPr>
          <w:rFonts w:cs="Times New Roman"/>
          <w:b/>
          <w:bCs/>
          <w:sz w:val="36"/>
          <w:szCs w:val="36"/>
        </w:rPr>
      </w:pPr>
      <w:r>
        <w:rPr>
          <w:rFonts w:cs="Times New Roman"/>
          <w:b/>
          <w:bCs/>
          <w:sz w:val="36"/>
          <w:szCs w:val="36"/>
        </w:rPr>
        <w:t>List of Tables</w:t>
      </w:r>
    </w:p>
    <w:p w14:paraId="2746878C" w14:textId="6D6E3B99" w:rsidR="00F81898" w:rsidRDefault="00F81898">
      <w:pPr>
        <w:pStyle w:val="TableofFigures"/>
        <w:tabs>
          <w:tab w:val="right" w:leader="dot" w:pos="9350"/>
        </w:tabs>
        <w:rPr>
          <w:rFonts w:asciiTheme="minorHAnsi" w:eastAsiaTheme="minorEastAsia" w:hAnsiTheme="minorHAnsi"/>
          <w:noProof/>
          <w:sz w:val="22"/>
        </w:rPr>
      </w:pPr>
      <w:r>
        <w:rPr>
          <w:rFonts w:cs="Times New Roman"/>
          <w:b/>
          <w:bCs/>
          <w:sz w:val="36"/>
          <w:szCs w:val="36"/>
        </w:rPr>
        <w:fldChar w:fldCharType="begin"/>
      </w:r>
      <w:r>
        <w:rPr>
          <w:rFonts w:cs="Times New Roman"/>
          <w:b/>
          <w:bCs/>
          <w:sz w:val="36"/>
          <w:szCs w:val="36"/>
        </w:rPr>
        <w:instrText xml:space="preserve"> TOC \c "Table" </w:instrText>
      </w:r>
      <w:r>
        <w:rPr>
          <w:rFonts w:cs="Times New Roman"/>
          <w:b/>
          <w:bCs/>
          <w:sz w:val="36"/>
          <w:szCs w:val="36"/>
        </w:rPr>
        <w:fldChar w:fldCharType="separate"/>
      </w:r>
      <w:r>
        <w:rPr>
          <w:noProof/>
        </w:rPr>
        <w:t>Table 1.1.</w:t>
      </w:r>
      <w:r>
        <w:rPr>
          <w:noProof/>
        </w:rPr>
        <w:tab/>
      </w:r>
      <w:r>
        <w:rPr>
          <w:noProof/>
        </w:rPr>
        <w:fldChar w:fldCharType="begin"/>
      </w:r>
      <w:r>
        <w:rPr>
          <w:noProof/>
        </w:rPr>
        <w:instrText xml:space="preserve"> PAGEREF _Toc61883046 \h </w:instrText>
      </w:r>
      <w:r>
        <w:rPr>
          <w:noProof/>
        </w:rPr>
      </w:r>
      <w:r>
        <w:rPr>
          <w:noProof/>
        </w:rPr>
        <w:fldChar w:fldCharType="separate"/>
      </w:r>
      <w:r w:rsidR="000C6138">
        <w:rPr>
          <w:noProof/>
        </w:rPr>
        <w:t>45</w:t>
      </w:r>
      <w:r>
        <w:rPr>
          <w:noProof/>
        </w:rPr>
        <w:fldChar w:fldCharType="end"/>
      </w:r>
    </w:p>
    <w:p w14:paraId="57CADF06" w14:textId="1EFFD714" w:rsidR="00F81898" w:rsidRDefault="00F81898">
      <w:pPr>
        <w:pStyle w:val="TableofFigures"/>
        <w:tabs>
          <w:tab w:val="right" w:leader="dot" w:pos="9350"/>
        </w:tabs>
        <w:rPr>
          <w:rFonts w:asciiTheme="minorHAnsi" w:eastAsiaTheme="minorEastAsia" w:hAnsiTheme="minorHAnsi"/>
          <w:noProof/>
          <w:sz w:val="22"/>
        </w:rPr>
      </w:pPr>
      <w:r>
        <w:rPr>
          <w:noProof/>
        </w:rPr>
        <w:t>Table 1.2</w:t>
      </w:r>
      <w:r w:rsidRPr="00A40137">
        <w:rPr>
          <w:rFonts w:cs="Times New Roman"/>
          <w:noProof/>
        </w:rPr>
        <w:t>.</w:t>
      </w:r>
      <w:r>
        <w:rPr>
          <w:noProof/>
        </w:rPr>
        <w:tab/>
      </w:r>
      <w:r>
        <w:rPr>
          <w:noProof/>
        </w:rPr>
        <w:fldChar w:fldCharType="begin"/>
      </w:r>
      <w:r>
        <w:rPr>
          <w:noProof/>
        </w:rPr>
        <w:instrText xml:space="preserve"> PAGEREF _Toc61883047 \h </w:instrText>
      </w:r>
      <w:r>
        <w:rPr>
          <w:noProof/>
        </w:rPr>
      </w:r>
      <w:r>
        <w:rPr>
          <w:noProof/>
        </w:rPr>
        <w:fldChar w:fldCharType="separate"/>
      </w:r>
      <w:r w:rsidR="000C6138">
        <w:rPr>
          <w:noProof/>
        </w:rPr>
        <w:t>46</w:t>
      </w:r>
      <w:r>
        <w:rPr>
          <w:noProof/>
        </w:rPr>
        <w:fldChar w:fldCharType="end"/>
      </w:r>
    </w:p>
    <w:p w14:paraId="1CDAC8DE" w14:textId="68704656" w:rsidR="00F81898" w:rsidRDefault="00F81898">
      <w:pPr>
        <w:pStyle w:val="TableofFigures"/>
        <w:tabs>
          <w:tab w:val="right" w:leader="dot" w:pos="9350"/>
        </w:tabs>
        <w:rPr>
          <w:rFonts w:asciiTheme="minorHAnsi" w:eastAsiaTheme="minorEastAsia" w:hAnsiTheme="minorHAnsi"/>
          <w:noProof/>
          <w:sz w:val="22"/>
        </w:rPr>
      </w:pPr>
      <w:r>
        <w:rPr>
          <w:noProof/>
        </w:rPr>
        <w:t>Table S1.1</w:t>
      </w:r>
      <w:r w:rsidRPr="00A40137">
        <w:rPr>
          <w:rFonts w:eastAsiaTheme="minorEastAsia" w:cs="Times New Roman"/>
          <w:noProof/>
        </w:rPr>
        <w:t>.</w:t>
      </w:r>
      <w:r>
        <w:rPr>
          <w:noProof/>
        </w:rPr>
        <w:tab/>
      </w:r>
      <w:r>
        <w:rPr>
          <w:noProof/>
        </w:rPr>
        <w:fldChar w:fldCharType="begin"/>
      </w:r>
      <w:r>
        <w:rPr>
          <w:noProof/>
        </w:rPr>
        <w:instrText xml:space="preserve"> PAGEREF _Toc61883048 \h </w:instrText>
      </w:r>
      <w:r>
        <w:rPr>
          <w:noProof/>
        </w:rPr>
      </w:r>
      <w:r>
        <w:rPr>
          <w:noProof/>
        </w:rPr>
        <w:fldChar w:fldCharType="separate"/>
      </w:r>
      <w:r w:rsidR="000C6138">
        <w:rPr>
          <w:noProof/>
        </w:rPr>
        <w:t>57</w:t>
      </w:r>
      <w:r>
        <w:rPr>
          <w:noProof/>
        </w:rPr>
        <w:fldChar w:fldCharType="end"/>
      </w:r>
    </w:p>
    <w:p w14:paraId="10589E67" w14:textId="66C4CE56" w:rsidR="00F81898" w:rsidRDefault="00F81898">
      <w:pPr>
        <w:pStyle w:val="TableofFigures"/>
        <w:tabs>
          <w:tab w:val="right" w:leader="dot" w:pos="9350"/>
        </w:tabs>
        <w:rPr>
          <w:rFonts w:asciiTheme="minorHAnsi" w:eastAsiaTheme="minorEastAsia" w:hAnsiTheme="minorHAnsi"/>
          <w:noProof/>
          <w:sz w:val="22"/>
        </w:rPr>
      </w:pPr>
      <w:r>
        <w:rPr>
          <w:noProof/>
        </w:rPr>
        <w:t>Table S1.2.</w:t>
      </w:r>
      <w:r>
        <w:rPr>
          <w:noProof/>
        </w:rPr>
        <w:tab/>
      </w:r>
      <w:r>
        <w:rPr>
          <w:noProof/>
        </w:rPr>
        <w:fldChar w:fldCharType="begin"/>
      </w:r>
      <w:r>
        <w:rPr>
          <w:noProof/>
        </w:rPr>
        <w:instrText xml:space="preserve"> PAGEREF _Toc61883049 \h </w:instrText>
      </w:r>
      <w:r>
        <w:rPr>
          <w:noProof/>
        </w:rPr>
      </w:r>
      <w:r>
        <w:rPr>
          <w:noProof/>
        </w:rPr>
        <w:fldChar w:fldCharType="separate"/>
      </w:r>
      <w:r w:rsidR="000C6138">
        <w:rPr>
          <w:noProof/>
        </w:rPr>
        <w:t>58</w:t>
      </w:r>
      <w:r>
        <w:rPr>
          <w:noProof/>
        </w:rPr>
        <w:fldChar w:fldCharType="end"/>
      </w:r>
    </w:p>
    <w:p w14:paraId="32C1A046" w14:textId="78A549A9" w:rsidR="00F81898" w:rsidRDefault="00F81898">
      <w:pPr>
        <w:pStyle w:val="TableofFigures"/>
        <w:tabs>
          <w:tab w:val="right" w:leader="dot" w:pos="9350"/>
        </w:tabs>
        <w:rPr>
          <w:rFonts w:asciiTheme="minorHAnsi" w:eastAsiaTheme="minorEastAsia" w:hAnsiTheme="minorHAnsi"/>
          <w:noProof/>
          <w:sz w:val="22"/>
        </w:rPr>
      </w:pPr>
      <w:r>
        <w:rPr>
          <w:noProof/>
        </w:rPr>
        <w:t>Table 2.1.</w:t>
      </w:r>
      <w:r>
        <w:rPr>
          <w:noProof/>
        </w:rPr>
        <w:tab/>
      </w:r>
      <w:r>
        <w:rPr>
          <w:noProof/>
        </w:rPr>
        <w:fldChar w:fldCharType="begin"/>
      </w:r>
      <w:r>
        <w:rPr>
          <w:noProof/>
        </w:rPr>
        <w:instrText xml:space="preserve"> PAGEREF _Toc61883050 \h </w:instrText>
      </w:r>
      <w:r>
        <w:rPr>
          <w:noProof/>
        </w:rPr>
      </w:r>
      <w:r>
        <w:rPr>
          <w:noProof/>
        </w:rPr>
        <w:fldChar w:fldCharType="separate"/>
      </w:r>
      <w:r w:rsidR="000C6138">
        <w:rPr>
          <w:noProof/>
        </w:rPr>
        <w:t>105</w:t>
      </w:r>
      <w:r>
        <w:rPr>
          <w:noProof/>
        </w:rPr>
        <w:fldChar w:fldCharType="end"/>
      </w:r>
    </w:p>
    <w:p w14:paraId="492E6283" w14:textId="61970589" w:rsidR="00F81898" w:rsidRDefault="00F81898">
      <w:pPr>
        <w:pStyle w:val="TableofFigures"/>
        <w:tabs>
          <w:tab w:val="right" w:leader="dot" w:pos="9350"/>
        </w:tabs>
        <w:rPr>
          <w:rFonts w:asciiTheme="minorHAnsi" w:eastAsiaTheme="minorEastAsia" w:hAnsiTheme="minorHAnsi"/>
          <w:noProof/>
          <w:sz w:val="22"/>
        </w:rPr>
      </w:pPr>
      <w:r>
        <w:rPr>
          <w:noProof/>
        </w:rPr>
        <w:t>Table 2.2</w:t>
      </w:r>
      <w:r w:rsidRPr="00A40137">
        <w:rPr>
          <w:rFonts w:cs="Times New Roman"/>
          <w:noProof/>
        </w:rPr>
        <w:t>..</w:t>
      </w:r>
      <w:r>
        <w:rPr>
          <w:noProof/>
        </w:rPr>
        <w:tab/>
      </w:r>
      <w:r>
        <w:rPr>
          <w:noProof/>
        </w:rPr>
        <w:fldChar w:fldCharType="begin"/>
      </w:r>
      <w:r>
        <w:rPr>
          <w:noProof/>
        </w:rPr>
        <w:instrText xml:space="preserve"> PAGEREF _Toc61883051 \h </w:instrText>
      </w:r>
      <w:r>
        <w:rPr>
          <w:noProof/>
        </w:rPr>
      </w:r>
      <w:r>
        <w:rPr>
          <w:noProof/>
        </w:rPr>
        <w:fldChar w:fldCharType="separate"/>
      </w:r>
      <w:r w:rsidR="000C6138">
        <w:rPr>
          <w:noProof/>
        </w:rPr>
        <w:t>106</w:t>
      </w:r>
      <w:r>
        <w:rPr>
          <w:noProof/>
        </w:rPr>
        <w:fldChar w:fldCharType="end"/>
      </w:r>
    </w:p>
    <w:p w14:paraId="13862791" w14:textId="4580CA3D"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noProof/>
        </w:rPr>
        <w:t>S</w:t>
      </w:r>
      <w:r>
        <w:rPr>
          <w:rFonts w:cs="Times New Roman"/>
          <w:noProof/>
        </w:rPr>
        <w:t>2.1</w:t>
      </w:r>
      <w:r w:rsidRPr="00A40137">
        <w:rPr>
          <w:rFonts w:cs="Times New Roman"/>
          <w:noProof/>
        </w:rPr>
        <w:t>.</w:t>
      </w:r>
      <w:r>
        <w:rPr>
          <w:noProof/>
        </w:rPr>
        <w:tab/>
      </w:r>
      <w:r>
        <w:rPr>
          <w:noProof/>
        </w:rPr>
        <w:fldChar w:fldCharType="begin"/>
      </w:r>
      <w:r>
        <w:rPr>
          <w:noProof/>
        </w:rPr>
        <w:instrText xml:space="preserve"> PAGEREF _Toc61883052 \h </w:instrText>
      </w:r>
      <w:r>
        <w:rPr>
          <w:noProof/>
        </w:rPr>
      </w:r>
      <w:r>
        <w:rPr>
          <w:noProof/>
        </w:rPr>
        <w:fldChar w:fldCharType="separate"/>
      </w:r>
      <w:r w:rsidR="000C6138">
        <w:rPr>
          <w:noProof/>
        </w:rPr>
        <w:t>111</w:t>
      </w:r>
      <w:r>
        <w:rPr>
          <w:noProof/>
        </w:rPr>
        <w:fldChar w:fldCharType="end"/>
      </w:r>
    </w:p>
    <w:p w14:paraId="1CA88F57" w14:textId="12B9B4C7"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noProof/>
        </w:rPr>
        <w:t>S2</w:t>
      </w:r>
      <w:r>
        <w:rPr>
          <w:rFonts w:cs="Times New Roman"/>
          <w:noProof/>
        </w:rPr>
        <w:t>.2</w:t>
      </w:r>
      <w:r>
        <w:rPr>
          <w:noProof/>
        </w:rPr>
        <w:tab/>
      </w:r>
      <w:r>
        <w:rPr>
          <w:noProof/>
        </w:rPr>
        <w:fldChar w:fldCharType="begin"/>
      </w:r>
      <w:r>
        <w:rPr>
          <w:noProof/>
        </w:rPr>
        <w:instrText xml:space="preserve"> PAGEREF _Toc61883053 \h </w:instrText>
      </w:r>
      <w:r>
        <w:rPr>
          <w:noProof/>
        </w:rPr>
      </w:r>
      <w:r>
        <w:rPr>
          <w:noProof/>
        </w:rPr>
        <w:fldChar w:fldCharType="separate"/>
      </w:r>
      <w:r w:rsidR="000C6138">
        <w:rPr>
          <w:noProof/>
        </w:rPr>
        <w:t>112</w:t>
      </w:r>
      <w:r>
        <w:rPr>
          <w:noProof/>
        </w:rPr>
        <w:fldChar w:fldCharType="end"/>
      </w:r>
    </w:p>
    <w:p w14:paraId="098FAFC9" w14:textId="66545679"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noProof/>
        </w:rPr>
        <w:t>S</w:t>
      </w:r>
      <w:r>
        <w:rPr>
          <w:rFonts w:cs="Times New Roman"/>
          <w:noProof/>
        </w:rPr>
        <w:t>2.</w:t>
      </w:r>
      <w:r w:rsidRPr="00A40137">
        <w:rPr>
          <w:rFonts w:cs="Times New Roman"/>
          <w:noProof/>
        </w:rPr>
        <w:t>3</w:t>
      </w:r>
      <w:r>
        <w:rPr>
          <w:rFonts w:cs="Times New Roman"/>
          <w:noProof/>
        </w:rPr>
        <w:t>.</w:t>
      </w:r>
      <w:r>
        <w:rPr>
          <w:noProof/>
        </w:rPr>
        <w:tab/>
      </w:r>
      <w:r>
        <w:rPr>
          <w:noProof/>
        </w:rPr>
        <w:fldChar w:fldCharType="begin"/>
      </w:r>
      <w:r>
        <w:rPr>
          <w:noProof/>
        </w:rPr>
        <w:instrText xml:space="preserve"> PAGEREF _Toc61883054 \h </w:instrText>
      </w:r>
      <w:r>
        <w:rPr>
          <w:noProof/>
        </w:rPr>
      </w:r>
      <w:r>
        <w:rPr>
          <w:noProof/>
        </w:rPr>
        <w:fldChar w:fldCharType="separate"/>
      </w:r>
      <w:r w:rsidR="000C6138">
        <w:rPr>
          <w:noProof/>
        </w:rPr>
        <w:t>113</w:t>
      </w:r>
      <w:r>
        <w:rPr>
          <w:noProof/>
        </w:rPr>
        <w:fldChar w:fldCharType="end"/>
      </w:r>
    </w:p>
    <w:p w14:paraId="685767D1" w14:textId="57FBEF65"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noProof/>
        </w:rPr>
        <w:t>S</w:t>
      </w:r>
      <w:r>
        <w:rPr>
          <w:rFonts w:cs="Times New Roman"/>
          <w:noProof/>
        </w:rPr>
        <w:t>2.4</w:t>
      </w:r>
      <w:r>
        <w:rPr>
          <w:noProof/>
        </w:rPr>
        <w:tab/>
      </w:r>
      <w:r>
        <w:rPr>
          <w:noProof/>
        </w:rPr>
        <w:fldChar w:fldCharType="begin"/>
      </w:r>
      <w:r>
        <w:rPr>
          <w:noProof/>
        </w:rPr>
        <w:instrText xml:space="preserve"> PAGEREF _Toc61883055 \h </w:instrText>
      </w:r>
      <w:r>
        <w:rPr>
          <w:noProof/>
        </w:rPr>
      </w:r>
      <w:r>
        <w:rPr>
          <w:noProof/>
        </w:rPr>
        <w:fldChar w:fldCharType="separate"/>
      </w:r>
      <w:r w:rsidR="000C6138">
        <w:rPr>
          <w:noProof/>
        </w:rPr>
        <w:t>113</w:t>
      </w:r>
      <w:r>
        <w:rPr>
          <w:noProof/>
        </w:rPr>
        <w:fldChar w:fldCharType="end"/>
      </w:r>
    </w:p>
    <w:p w14:paraId="7C36A6CC" w14:textId="047BFD79" w:rsidR="00F81898" w:rsidRDefault="00F81898">
      <w:pPr>
        <w:pStyle w:val="TableofFigures"/>
        <w:tabs>
          <w:tab w:val="right" w:leader="dot" w:pos="9350"/>
        </w:tabs>
        <w:rPr>
          <w:rFonts w:asciiTheme="minorHAnsi" w:eastAsiaTheme="minorEastAsia" w:hAnsiTheme="minorHAnsi"/>
          <w:noProof/>
          <w:sz w:val="22"/>
        </w:rPr>
      </w:pPr>
      <w:r>
        <w:rPr>
          <w:noProof/>
        </w:rPr>
        <w:t>Table 3.1</w:t>
      </w:r>
      <w:r w:rsidRPr="00A40137">
        <w:rPr>
          <w:rFonts w:cs="Times New Roman"/>
          <w:bCs/>
          <w:noProof/>
        </w:rPr>
        <w:t>.</w:t>
      </w:r>
      <w:r>
        <w:rPr>
          <w:noProof/>
        </w:rPr>
        <w:tab/>
      </w:r>
      <w:r>
        <w:rPr>
          <w:noProof/>
        </w:rPr>
        <w:fldChar w:fldCharType="begin"/>
      </w:r>
      <w:r>
        <w:rPr>
          <w:noProof/>
        </w:rPr>
        <w:instrText xml:space="preserve"> PAGEREF _Toc61883056 \h </w:instrText>
      </w:r>
      <w:r>
        <w:rPr>
          <w:noProof/>
        </w:rPr>
      </w:r>
      <w:r>
        <w:rPr>
          <w:noProof/>
        </w:rPr>
        <w:fldChar w:fldCharType="separate"/>
      </w:r>
      <w:r w:rsidR="000C6138">
        <w:rPr>
          <w:noProof/>
        </w:rPr>
        <w:t>152</w:t>
      </w:r>
      <w:r>
        <w:rPr>
          <w:noProof/>
        </w:rPr>
        <w:fldChar w:fldCharType="end"/>
      </w:r>
    </w:p>
    <w:p w14:paraId="57A9D333" w14:textId="5C8CE8EC"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bCs/>
          <w:noProof/>
        </w:rPr>
        <w:t>S</w:t>
      </w:r>
      <w:r>
        <w:rPr>
          <w:rFonts w:cs="Times New Roman"/>
          <w:bCs/>
          <w:noProof/>
        </w:rPr>
        <w:t>3.</w:t>
      </w:r>
      <w:r w:rsidRPr="00A40137">
        <w:rPr>
          <w:rFonts w:cs="Times New Roman"/>
          <w:bCs/>
          <w:noProof/>
        </w:rPr>
        <w:t>1</w:t>
      </w:r>
      <w:r>
        <w:rPr>
          <w:rFonts w:cs="Times New Roman"/>
          <w:bCs/>
          <w:noProof/>
        </w:rPr>
        <w:t>.</w:t>
      </w:r>
      <w:r>
        <w:rPr>
          <w:noProof/>
        </w:rPr>
        <w:tab/>
      </w:r>
      <w:r>
        <w:rPr>
          <w:noProof/>
        </w:rPr>
        <w:fldChar w:fldCharType="begin"/>
      </w:r>
      <w:r>
        <w:rPr>
          <w:noProof/>
        </w:rPr>
        <w:instrText xml:space="preserve"> PAGEREF _Toc61883057 \h </w:instrText>
      </w:r>
      <w:r>
        <w:rPr>
          <w:noProof/>
        </w:rPr>
      </w:r>
      <w:r>
        <w:rPr>
          <w:noProof/>
        </w:rPr>
        <w:fldChar w:fldCharType="separate"/>
      </w:r>
      <w:r w:rsidR="000C6138">
        <w:rPr>
          <w:noProof/>
        </w:rPr>
        <w:t>160</w:t>
      </w:r>
      <w:r>
        <w:rPr>
          <w:noProof/>
        </w:rPr>
        <w:fldChar w:fldCharType="end"/>
      </w:r>
    </w:p>
    <w:p w14:paraId="2918255E" w14:textId="72610688"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bCs/>
          <w:noProof/>
        </w:rPr>
        <w:t>S</w:t>
      </w:r>
      <w:r>
        <w:rPr>
          <w:rFonts w:cs="Times New Roman"/>
          <w:bCs/>
          <w:noProof/>
        </w:rPr>
        <w:t>3.2.</w:t>
      </w:r>
      <w:r>
        <w:rPr>
          <w:noProof/>
        </w:rPr>
        <w:tab/>
      </w:r>
      <w:r>
        <w:rPr>
          <w:noProof/>
        </w:rPr>
        <w:fldChar w:fldCharType="begin"/>
      </w:r>
      <w:r>
        <w:rPr>
          <w:noProof/>
        </w:rPr>
        <w:instrText xml:space="preserve"> PAGEREF _Toc61883058 \h </w:instrText>
      </w:r>
      <w:r>
        <w:rPr>
          <w:noProof/>
        </w:rPr>
      </w:r>
      <w:r>
        <w:rPr>
          <w:noProof/>
        </w:rPr>
        <w:fldChar w:fldCharType="separate"/>
      </w:r>
      <w:r w:rsidR="000C6138">
        <w:rPr>
          <w:noProof/>
        </w:rPr>
        <w:t>161</w:t>
      </w:r>
      <w:r>
        <w:rPr>
          <w:noProof/>
        </w:rPr>
        <w:fldChar w:fldCharType="end"/>
      </w:r>
    </w:p>
    <w:p w14:paraId="1E5E58D3" w14:textId="517D457E"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Pr="00A40137">
        <w:rPr>
          <w:rFonts w:cs="Times New Roman"/>
          <w:bCs/>
          <w:noProof/>
        </w:rPr>
        <w:t>S</w:t>
      </w:r>
      <w:r>
        <w:rPr>
          <w:rFonts w:cs="Times New Roman"/>
          <w:bCs/>
          <w:noProof/>
        </w:rPr>
        <w:t>3.2</w:t>
      </w:r>
      <w:r w:rsidRPr="00A40137">
        <w:rPr>
          <w:rFonts w:cs="Times New Roman"/>
          <w:bCs/>
          <w:noProof/>
        </w:rPr>
        <w:t>.</w:t>
      </w:r>
      <w:r>
        <w:rPr>
          <w:noProof/>
        </w:rPr>
        <w:tab/>
      </w:r>
      <w:r>
        <w:rPr>
          <w:noProof/>
        </w:rPr>
        <w:fldChar w:fldCharType="begin"/>
      </w:r>
      <w:r>
        <w:rPr>
          <w:noProof/>
        </w:rPr>
        <w:instrText xml:space="preserve"> PAGEREF _Toc61883059 \h </w:instrText>
      </w:r>
      <w:r>
        <w:rPr>
          <w:noProof/>
        </w:rPr>
      </w:r>
      <w:r>
        <w:rPr>
          <w:noProof/>
        </w:rPr>
        <w:fldChar w:fldCharType="separate"/>
      </w:r>
      <w:r w:rsidR="000C6138">
        <w:rPr>
          <w:noProof/>
        </w:rPr>
        <w:t>162</w:t>
      </w:r>
      <w:r>
        <w:rPr>
          <w:noProof/>
        </w:rPr>
        <w:fldChar w:fldCharType="end"/>
      </w:r>
    </w:p>
    <w:p w14:paraId="248249AE" w14:textId="1CA2A141" w:rsidR="00F81898" w:rsidRDefault="00F81898">
      <w:pPr>
        <w:pStyle w:val="TableofFigures"/>
        <w:tabs>
          <w:tab w:val="right" w:leader="dot" w:pos="9350"/>
        </w:tabs>
        <w:rPr>
          <w:rFonts w:asciiTheme="minorHAnsi" w:eastAsiaTheme="minorEastAsia" w:hAnsiTheme="minorHAnsi"/>
          <w:noProof/>
          <w:sz w:val="22"/>
        </w:rPr>
      </w:pPr>
      <w:r>
        <w:rPr>
          <w:noProof/>
        </w:rPr>
        <w:t>Table 4.1</w:t>
      </w:r>
      <w:r w:rsidRPr="00A40137">
        <w:rPr>
          <w:rFonts w:cs="Times New Roman"/>
          <w:noProof/>
        </w:rPr>
        <w:t>.</w:t>
      </w:r>
      <w:r>
        <w:rPr>
          <w:noProof/>
        </w:rPr>
        <w:tab/>
      </w:r>
      <w:r>
        <w:rPr>
          <w:noProof/>
        </w:rPr>
        <w:fldChar w:fldCharType="begin"/>
      </w:r>
      <w:r>
        <w:rPr>
          <w:noProof/>
        </w:rPr>
        <w:instrText xml:space="preserve"> PAGEREF _Toc61883060 \h </w:instrText>
      </w:r>
      <w:r>
        <w:rPr>
          <w:noProof/>
        </w:rPr>
      </w:r>
      <w:r>
        <w:rPr>
          <w:noProof/>
        </w:rPr>
        <w:fldChar w:fldCharType="separate"/>
      </w:r>
      <w:r w:rsidR="000C6138">
        <w:rPr>
          <w:noProof/>
        </w:rPr>
        <w:t>209</w:t>
      </w:r>
      <w:r>
        <w:rPr>
          <w:noProof/>
        </w:rPr>
        <w:fldChar w:fldCharType="end"/>
      </w:r>
    </w:p>
    <w:p w14:paraId="35516670" w14:textId="74E37EFF" w:rsidR="00F81898" w:rsidRDefault="00F81898">
      <w:pPr>
        <w:pStyle w:val="TableofFigures"/>
        <w:tabs>
          <w:tab w:val="right" w:leader="dot" w:pos="9350"/>
        </w:tabs>
        <w:rPr>
          <w:rFonts w:asciiTheme="minorHAnsi" w:eastAsiaTheme="minorEastAsia" w:hAnsiTheme="minorHAnsi"/>
          <w:noProof/>
          <w:sz w:val="22"/>
        </w:rPr>
      </w:pPr>
      <w:r>
        <w:rPr>
          <w:noProof/>
        </w:rPr>
        <w:t>Table 4.2.</w:t>
      </w:r>
      <w:r>
        <w:rPr>
          <w:noProof/>
        </w:rPr>
        <w:tab/>
      </w:r>
      <w:r>
        <w:rPr>
          <w:noProof/>
        </w:rPr>
        <w:fldChar w:fldCharType="begin"/>
      </w:r>
      <w:r>
        <w:rPr>
          <w:noProof/>
        </w:rPr>
        <w:instrText xml:space="preserve"> PAGEREF _Toc61883061 \h </w:instrText>
      </w:r>
      <w:r>
        <w:rPr>
          <w:noProof/>
        </w:rPr>
      </w:r>
      <w:r>
        <w:rPr>
          <w:noProof/>
        </w:rPr>
        <w:fldChar w:fldCharType="separate"/>
      </w:r>
      <w:r w:rsidR="000C6138">
        <w:rPr>
          <w:noProof/>
        </w:rPr>
        <w:t>210</w:t>
      </w:r>
      <w:r>
        <w:rPr>
          <w:noProof/>
        </w:rPr>
        <w:fldChar w:fldCharType="end"/>
      </w:r>
    </w:p>
    <w:p w14:paraId="0ED3A271" w14:textId="50C65494" w:rsidR="00F81898" w:rsidRDefault="00F81898">
      <w:pPr>
        <w:pStyle w:val="TableofFigures"/>
        <w:tabs>
          <w:tab w:val="right" w:leader="dot" w:pos="9350"/>
        </w:tabs>
        <w:rPr>
          <w:rFonts w:asciiTheme="minorHAnsi" w:eastAsiaTheme="minorEastAsia" w:hAnsiTheme="minorHAnsi"/>
          <w:noProof/>
          <w:sz w:val="22"/>
        </w:rPr>
      </w:pPr>
      <w:r>
        <w:rPr>
          <w:noProof/>
        </w:rPr>
        <w:t>Table 4.3</w:t>
      </w:r>
      <w:r w:rsidRPr="00A40137">
        <w:rPr>
          <w:rFonts w:cs="Times New Roman"/>
          <w:noProof/>
        </w:rPr>
        <w:t>.</w:t>
      </w:r>
      <w:r>
        <w:rPr>
          <w:noProof/>
        </w:rPr>
        <w:tab/>
      </w:r>
      <w:r>
        <w:rPr>
          <w:noProof/>
        </w:rPr>
        <w:fldChar w:fldCharType="begin"/>
      </w:r>
      <w:r>
        <w:rPr>
          <w:noProof/>
        </w:rPr>
        <w:instrText xml:space="preserve"> PAGEREF _Toc61883062 \h </w:instrText>
      </w:r>
      <w:r>
        <w:rPr>
          <w:noProof/>
        </w:rPr>
      </w:r>
      <w:r>
        <w:rPr>
          <w:noProof/>
        </w:rPr>
        <w:fldChar w:fldCharType="separate"/>
      </w:r>
      <w:r w:rsidR="000C6138">
        <w:rPr>
          <w:noProof/>
        </w:rPr>
        <w:t>211</w:t>
      </w:r>
      <w:r>
        <w:rPr>
          <w:noProof/>
        </w:rPr>
        <w:fldChar w:fldCharType="end"/>
      </w:r>
    </w:p>
    <w:p w14:paraId="680B9507" w14:textId="2C8CB787" w:rsidR="00F81898" w:rsidRDefault="00F81898">
      <w:pPr>
        <w:pStyle w:val="TableofFigures"/>
        <w:tabs>
          <w:tab w:val="right" w:leader="dot" w:pos="9350"/>
        </w:tabs>
        <w:rPr>
          <w:rFonts w:asciiTheme="minorHAnsi" w:eastAsiaTheme="minorEastAsia" w:hAnsiTheme="minorHAnsi"/>
          <w:noProof/>
          <w:sz w:val="22"/>
        </w:rPr>
      </w:pPr>
      <w:r>
        <w:rPr>
          <w:noProof/>
        </w:rPr>
        <w:t xml:space="preserve">Table </w:t>
      </w:r>
      <w:r w:rsidR="00244F9E">
        <w:rPr>
          <w:noProof/>
        </w:rPr>
        <w:t>S4</w:t>
      </w:r>
      <w:r>
        <w:rPr>
          <w:noProof/>
        </w:rPr>
        <w:t>.</w:t>
      </w:r>
      <w:r w:rsidR="00244F9E">
        <w:rPr>
          <w:noProof/>
        </w:rPr>
        <w:t>1</w:t>
      </w:r>
      <w:r w:rsidRPr="00A40137">
        <w:rPr>
          <w:rFonts w:cs="Times New Roman"/>
          <w:noProof/>
        </w:rPr>
        <w:t>.</w:t>
      </w:r>
      <w:r>
        <w:rPr>
          <w:noProof/>
        </w:rPr>
        <w:tab/>
      </w:r>
      <w:r>
        <w:rPr>
          <w:noProof/>
        </w:rPr>
        <w:fldChar w:fldCharType="begin"/>
      </w:r>
      <w:r>
        <w:rPr>
          <w:noProof/>
        </w:rPr>
        <w:instrText xml:space="preserve"> PAGEREF _Toc61883063 \h </w:instrText>
      </w:r>
      <w:r>
        <w:rPr>
          <w:noProof/>
        </w:rPr>
      </w:r>
      <w:r>
        <w:rPr>
          <w:noProof/>
        </w:rPr>
        <w:fldChar w:fldCharType="separate"/>
      </w:r>
      <w:r w:rsidR="000C6138">
        <w:rPr>
          <w:noProof/>
        </w:rPr>
        <w:t>212</w:t>
      </w:r>
      <w:r>
        <w:rPr>
          <w:noProof/>
        </w:rPr>
        <w:fldChar w:fldCharType="end"/>
      </w:r>
    </w:p>
    <w:p w14:paraId="3258F9E7" w14:textId="1F610E6D" w:rsidR="00D268D5" w:rsidRDefault="00F81898" w:rsidP="008D4BF7">
      <w:pPr>
        <w:jc w:val="center"/>
        <w:rPr>
          <w:rFonts w:cs="Times New Roman"/>
          <w:b/>
          <w:bCs/>
          <w:sz w:val="36"/>
          <w:szCs w:val="36"/>
        </w:rPr>
      </w:pPr>
      <w:r>
        <w:rPr>
          <w:rFonts w:cs="Times New Roman"/>
          <w:b/>
          <w:bCs/>
          <w:sz w:val="36"/>
          <w:szCs w:val="36"/>
        </w:rPr>
        <w:fldChar w:fldCharType="end"/>
      </w:r>
    </w:p>
    <w:p w14:paraId="12A5EF62" w14:textId="77777777" w:rsidR="00F81898" w:rsidRDefault="00F81898" w:rsidP="009919FB">
      <w:pPr>
        <w:rPr>
          <w:rFonts w:cs="Times New Roman"/>
          <w:b/>
          <w:bCs/>
          <w:sz w:val="36"/>
          <w:szCs w:val="36"/>
        </w:rPr>
      </w:pPr>
    </w:p>
    <w:p w14:paraId="09E8F2B9" w14:textId="226907B2" w:rsidR="004A70A1" w:rsidRDefault="004A70A1" w:rsidP="008D4BF7">
      <w:pPr>
        <w:jc w:val="center"/>
        <w:rPr>
          <w:rFonts w:cs="Times New Roman"/>
          <w:b/>
          <w:bCs/>
          <w:sz w:val="36"/>
          <w:szCs w:val="36"/>
        </w:rPr>
      </w:pPr>
      <w:r>
        <w:rPr>
          <w:rFonts w:cs="Times New Roman"/>
          <w:b/>
          <w:bCs/>
          <w:sz w:val="36"/>
          <w:szCs w:val="36"/>
        </w:rPr>
        <w:lastRenderedPageBreak/>
        <w:t>List of Figures</w:t>
      </w:r>
    </w:p>
    <w:p w14:paraId="4896E491" w14:textId="425AA9F6" w:rsidR="00315283" w:rsidRDefault="00315283">
      <w:pPr>
        <w:pStyle w:val="TableofFigures"/>
        <w:tabs>
          <w:tab w:val="right" w:leader="dot" w:pos="9350"/>
        </w:tabs>
        <w:rPr>
          <w:rFonts w:asciiTheme="minorHAnsi" w:eastAsiaTheme="minorEastAsia" w:hAnsiTheme="minorHAnsi"/>
          <w:noProof/>
          <w:sz w:val="22"/>
        </w:rPr>
      </w:pPr>
      <w:r>
        <w:rPr>
          <w:rFonts w:cs="Times New Roman"/>
          <w:b/>
          <w:bCs/>
          <w:sz w:val="36"/>
          <w:szCs w:val="36"/>
        </w:rPr>
        <w:fldChar w:fldCharType="begin"/>
      </w:r>
      <w:r>
        <w:rPr>
          <w:rFonts w:cs="Times New Roman"/>
          <w:b/>
          <w:bCs/>
          <w:sz w:val="36"/>
          <w:szCs w:val="36"/>
        </w:rPr>
        <w:instrText xml:space="preserve"> TOC \h \z \c "Figure" </w:instrText>
      </w:r>
      <w:r>
        <w:rPr>
          <w:rFonts w:cs="Times New Roman"/>
          <w:b/>
          <w:bCs/>
          <w:sz w:val="36"/>
          <w:szCs w:val="36"/>
        </w:rPr>
        <w:fldChar w:fldCharType="separate"/>
      </w:r>
      <w:hyperlink w:anchor="_Toc60480643" w:history="1">
        <w:r w:rsidRPr="004A160A">
          <w:rPr>
            <w:rStyle w:val="Hyperlink"/>
            <w:noProof/>
          </w:rPr>
          <w:t>Figure 1.1</w:t>
        </w:r>
        <w:r>
          <w:rPr>
            <w:noProof/>
            <w:webHidden/>
          </w:rPr>
          <w:tab/>
        </w:r>
        <w:r>
          <w:rPr>
            <w:noProof/>
            <w:webHidden/>
          </w:rPr>
          <w:fldChar w:fldCharType="begin"/>
        </w:r>
        <w:r>
          <w:rPr>
            <w:noProof/>
            <w:webHidden/>
          </w:rPr>
          <w:instrText xml:space="preserve"> PAGEREF _Toc60480643 \h </w:instrText>
        </w:r>
        <w:r>
          <w:rPr>
            <w:noProof/>
            <w:webHidden/>
          </w:rPr>
        </w:r>
        <w:r>
          <w:rPr>
            <w:noProof/>
            <w:webHidden/>
          </w:rPr>
          <w:fldChar w:fldCharType="separate"/>
        </w:r>
        <w:r w:rsidR="000C6138">
          <w:rPr>
            <w:noProof/>
            <w:webHidden/>
          </w:rPr>
          <w:t>49</w:t>
        </w:r>
        <w:r>
          <w:rPr>
            <w:noProof/>
            <w:webHidden/>
          </w:rPr>
          <w:fldChar w:fldCharType="end"/>
        </w:r>
      </w:hyperlink>
    </w:p>
    <w:p w14:paraId="5FCB5F72" w14:textId="7998AD93" w:rsidR="00315283" w:rsidRDefault="00B5442B">
      <w:pPr>
        <w:pStyle w:val="TableofFigures"/>
        <w:tabs>
          <w:tab w:val="right" w:leader="dot" w:pos="9350"/>
        </w:tabs>
        <w:rPr>
          <w:rFonts w:asciiTheme="minorHAnsi" w:eastAsiaTheme="minorEastAsia" w:hAnsiTheme="minorHAnsi"/>
          <w:noProof/>
          <w:sz w:val="22"/>
        </w:rPr>
      </w:pPr>
      <w:hyperlink w:anchor="_Toc60480644" w:history="1">
        <w:r w:rsidR="00315283" w:rsidRPr="004A160A">
          <w:rPr>
            <w:rStyle w:val="Hyperlink"/>
            <w:noProof/>
          </w:rPr>
          <w:t>Figure 1.2</w:t>
        </w:r>
        <w:r w:rsidR="00315283">
          <w:rPr>
            <w:noProof/>
            <w:webHidden/>
          </w:rPr>
          <w:tab/>
        </w:r>
        <w:r w:rsidR="00315283">
          <w:rPr>
            <w:noProof/>
            <w:webHidden/>
          </w:rPr>
          <w:fldChar w:fldCharType="begin"/>
        </w:r>
        <w:r w:rsidR="00315283">
          <w:rPr>
            <w:noProof/>
            <w:webHidden/>
          </w:rPr>
          <w:instrText xml:space="preserve"> PAGEREF _Toc60480644 \h </w:instrText>
        </w:r>
        <w:r w:rsidR="00315283">
          <w:rPr>
            <w:noProof/>
            <w:webHidden/>
          </w:rPr>
        </w:r>
        <w:r w:rsidR="00315283">
          <w:rPr>
            <w:noProof/>
            <w:webHidden/>
          </w:rPr>
          <w:fldChar w:fldCharType="separate"/>
        </w:r>
        <w:r w:rsidR="000C6138">
          <w:rPr>
            <w:noProof/>
            <w:webHidden/>
          </w:rPr>
          <w:t>50</w:t>
        </w:r>
        <w:r w:rsidR="00315283">
          <w:rPr>
            <w:noProof/>
            <w:webHidden/>
          </w:rPr>
          <w:fldChar w:fldCharType="end"/>
        </w:r>
      </w:hyperlink>
    </w:p>
    <w:p w14:paraId="18199147" w14:textId="6A52F094" w:rsidR="00315283" w:rsidRDefault="00B5442B">
      <w:pPr>
        <w:pStyle w:val="TableofFigures"/>
        <w:tabs>
          <w:tab w:val="right" w:leader="dot" w:pos="9350"/>
        </w:tabs>
        <w:rPr>
          <w:rFonts w:asciiTheme="minorHAnsi" w:eastAsiaTheme="minorEastAsia" w:hAnsiTheme="minorHAnsi"/>
          <w:noProof/>
          <w:sz w:val="22"/>
        </w:rPr>
      </w:pPr>
      <w:hyperlink w:anchor="_Toc60480645" w:history="1">
        <w:r w:rsidR="00315283" w:rsidRPr="004A160A">
          <w:rPr>
            <w:rStyle w:val="Hyperlink"/>
            <w:noProof/>
          </w:rPr>
          <w:t>Figure 1.3</w:t>
        </w:r>
        <w:r w:rsidR="00315283">
          <w:rPr>
            <w:noProof/>
            <w:webHidden/>
          </w:rPr>
          <w:tab/>
        </w:r>
        <w:r w:rsidR="00315283">
          <w:rPr>
            <w:noProof/>
            <w:webHidden/>
          </w:rPr>
          <w:fldChar w:fldCharType="begin"/>
        </w:r>
        <w:r w:rsidR="00315283">
          <w:rPr>
            <w:noProof/>
            <w:webHidden/>
          </w:rPr>
          <w:instrText xml:space="preserve"> PAGEREF _Toc60480645 \h </w:instrText>
        </w:r>
        <w:r w:rsidR="00315283">
          <w:rPr>
            <w:noProof/>
            <w:webHidden/>
          </w:rPr>
        </w:r>
        <w:r w:rsidR="00315283">
          <w:rPr>
            <w:noProof/>
            <w:webHidden/>
          </w:rPr>
          <w:fldChar w:fldCharType="separate"/>
        </w:r>
        <w:r w:rsidR="000C6138">
          <w:rPr>
            <w:noProof/>
            <w:webHidden/>
          </w:rPr>
          <w:t>51</w:t>
        </w:r>
        <w:r w:rsidR="00315283">
          <w:rPr>
            <w:noProof/>
            <w:webHidden/>
          </w:rPr>
          <w:fldChar w:fldCharType="end"/>
        </w:r>
      </w:hyperlink>
    </w:p>
    <w:p w14:paraId="27E703BF" w14:textId="7274ED1D" w:rsidR="00315283" w:rsidRDefault="00B5442B">
      <w:pPr>
        <w:pStyle w:val="TableofFigures"/>
        <w:tabs>
          <w:tab w:val="right" w:leader="dot" w:pos="9350"/>
        </w:tabs>
        <w:rPr>
          <w:rFonts w:asciiTheme="minorHAnsi" w:eastAsiaTheme="minorEastAsia" w:hAnsiTheme="minorHAnsi"/>
          <w:noProof/>
          <w:sz w:val="22"/>
        </w:rPr>
      </w:pPr>
      <w:hyperlink w:anchor="_Toc60480646" w:history="1">
        <w:r w:rsidR="00315283" w:rsidRPr="004A160A">
          <w:rPr>
            <w:rStyle w:val="Hyperlink"/>
            <w:noProof/>
          </w:rPr>
          <w:t>Figure 1.4</w:t>
        </w:r>
        <w:r w:rsidR="00315283">
          <w:rPr>
            <w:noProof/>
            <w:webHidden/>
          </w:rPr>
          <w:tab/>
        </w:r>
        <w:r w:rsidR="00315283">
          <w:rPr>
            <w:noProof/>
            <w:webHidden/>
          </w:rPr>
          <w:fldChar w:fldCharType="begin"/>
        </w:r>
        <w:r w:rsidR="00315283">
          <w:rPr>
            <w:noProof/>
            <w:webHidden/>
          </w:rPr>
          <w:instrText xml:space="preserve"> PAGEREF _Toc60480646 \h </w:instrText>
        </w:r>
        <w:r w:rsidR="00315283">
          <w:rPr>
            <w:noProof/>
            <w:webHidden/>
          </w:rPr>
        </w:r>
        <w:r w:rsidR="00315283">
          <w:rPr>
            <w:noProof/>
            <w:webHidden/>
          </w:rPr>
          <w:fldChar w:fldCharType="separate"/>
        </w:r>
        <w:r w:rsidR="000C6138">
          <w:rPr>
            <w:noProof/>
            <w:webHidden/>
          </w:rPr>
          <w:t>52</w:t>
        </w:r>
        <w:r w:rsidR="00315283">
          <w:rPr>
            <w:noProof/>
            <w:webHidden/>
          </w:rPr>
          <w:fldChar w:fldCharType="end"/>
        </w:r>
      </w:hyperlink>
    </w:p>
    <w:p w14:paraId="64877DA4" w14:textId="04731242" w:rsidR="00315283" w:rsidRDefault="00B5442B">
      <w:pPr>
        <w:pStyle w:val="TableofFigures"/>
        <w:tabs>
          <w:tab w:val="right" w:leader="dot" w:pos="9350"/>
        </w:tabs>
        <w:rPr>
          <w:rFonts w:asciiTheme="minorHAnsi" w:eastAsiaTheme="minorEastAsia" w:hAnsiTheme="minorHAnsi"/>
          <w:noProof/>
          <w:sz w:val="22"/>
        </w:rPr>
      </w:pPr>
      <w:hyperlink w:anchor="_Toc60480647" w:history="1">
        <w:r w:rsidR="00315283" w:rsidRPr="004A160A">
          <w:rPr>
            <w:rStyle w:val="Hyperlink"/>
            <w:noProof/>
          </w:rPr>
          <w:t>Figure 1.5</w:t>
        </w:r>
        <w:r w:rsidR="00315283">
          <w:rPr>
            <w:noProof/>
            <w:webHidden/>
          </w:rPr>
          <w:tab/>
        </w:r>
        <w:r w:rsidR="00315283">
          <w:rPr>
            <w:noProof/>
            <w:webHidden/>
          </w:rPr>
          <w:fldChar w:fldCharType="begin"/>
        </w:r>
        <w:r w:rsidR="00315283">
          <w:rPr>
            <w:noProof/>
            <w:webHidden/>
          </w:rPr>
          <w:instrText xml:space="preserve"> PAGEREF _Toc60480647 \h </w:instrText>
        </w:r>
        <w:r w:rsidR="00315283">
          <w:rPr>
            <w:noProof/>
            <w:webHidden/>
          </w:rPr>
        </w:r>
        <w:r w:rsidR="00315283">
          <w:rPr>
            <w:noProof/>
            <w:webHidden/>
          </w:rPr>
          <w:fldChar w:fldCharType="separate"/>
        </w:r>
        <w:r w:rsidR="000C6138">
          <w:rPr>
            <w:noProof/>
            <w:webHidden/>
          </w:rPr>
          <w:t>53</w:t>
        </w:r>
        <w:r w:rsidR="00315283">
          <w:rPr>
            <w:noProof/>
            <w:webHidden/>
          </w:rPr>
          <w:fldChar w:fldCharType="end"/>
        </w:r>
      </w:hyperlink>
    </w:p>
    <w:p w14:paraId="3CEBF2D1" w14:textId="2FFDF2AE" w:rsidR="00315283" w:rsidRDefault="00B5442B">
      <w:pPr>
        <w:pStyle w:val="TableofFigures"/>
        <w:tabs>
          <w:tab w:val="right" w:leader="dot" w:pos="9350"/>
        </w:tabs>
        <w:rPr>
          <w:rFonts w:asciiTheme="minorHAnsi" w:eastAsiaTheme="minorEastAsia" w:hAnsiTheme="minorHAnsi"/>
          <w:noProof/>
          <w:sz w:val="22"/>
        </w:rPr>
      </w:pPr>
      <w:hyperlink w:anchor="_Toc60480648" w:history="1">
        <w:r w:rsidR="00315283" w:rsidRPr="004A160A">
          <w:rPr>
            <w:rStyle w:val="Hyperlink"/>
            <w:noProof/>
          </w:rPr>
          <w:t xml:space="preserve">Figure </w:t>
        </w:r>
        <w:r w:rsidR="0063365A">
          <w:rPr>
            <w:rStyle w:val="Hyperlink"/>
            <w:rFonts w:cs="Times New Roman"/>
            <w:noProof/>
          </w:rPr>
          <w:t>S</w:t>
        </w:r>
        <w:r w:rsidR="00315283" w:rsidRPr="004A160A">
          <w:rPr>
            <w:rStyle w:val="Hyperlink"/>
            <w:rFonts w:cs="Times New Roman"/>
            <w:noProof/>
          </w:rPr>
          <w:t>1</w:t>
        </w:r>
        <w:r w:rsidR="00812326">
          <w:rPr>
            <w:rStyle w:val="Hyperlink"/>
            <w:rFonts w:cs="Times New Roman"/>
            <w:noProof/>
          </w:rPr>
          <w:t>.1</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_Toc60480648 \h </w:instrText>
        </w:r>
        <w:r w:rsidR="00315283">
          <w:rPr>
            <w:noProof/>
            <w:webHidden/>
          </w:rPr>
        </w:r>
        <w:r w:rsidR="00315283">
          <w:rPr>
            <w:noProof/>
            <w:webHidden/>
          </w:rPr>
          <w:fldChar w:fldCharType="separate"/>
        </w:r>
        <w:r w:rsidR="000C6138">
          <w:rPr>
            <w:noProof/>
            <w:webHidden/>
          </w:rPr>
          <w:t>56</w:t>
        </w:r>
        <w:r w:rsidR="00315283">
          <w:rPr>
            <w:noProof/>
            <w:webHidden/>
          </w:rPr>
          <w:fldChar w:fldCharType="end"/>
        </w:r>
      </w:hyperlink>
    </w:p>
    <w:p w14:paraId="42CF0787" w14:textId="7731821B" w:rsidR="00315283" w:rsidRDefault="00B5442B">
      <w:pPr>
        <w:pStyle w:val="TableofFigures"/>
        <w:tabs>
          <w:tab w:val="right" w:leader="dot" w:pos="9350"/>
        </w:tabs>
        <w:rPr>
          <w:rFonts w:asciiTheme="minorHAnsi" w:eastAsiaTheme="minorEastAsia" w:hAnsiTheme="minorHAnsi"/>
          <w:noProof/>
          <w:sz w:val="22"/>
        </w:rPr>
      </w:pPr>
      <w:hyperlink w:anchor="_Toc60480649" w:history="1">
        <w:r w:rsidR="00315283" w:rsidRPr="004A160A">
          <w:rPr>
            <w:rStyle w:val="Hyperlink"/>
            <w:noProof/>
          </w:rPr>
          <w:t>Figure 2.1</w:t>
        </w:r>
        <w:r w:rsidR="00315283">
          <w:rPr>
            <w:noProof/>
            <w:webHidden/>
          </w:rPr>
          <w:tab/>
        </w:r>
        <w:r w:rsidR="00315283">
          <w:rPr>
            <w:noProof/>
            <w:webHidden/>
          </w:rPr>
          <w:fldChar w:fldCharType="begin"/>
        </w:r>
        <w:r w:rsidR="00315283">
          <w:rPr>
            <w:noProof/>
            <w:webHidden/>
          </w:rPr>
          <w:instrText xml:space="preserve"> PAGEREF _Toc60480649 \h </w:instrText>
        </w:r>
        <w:r w:rsidR="00315283">
          <w:rPr>
            <w:noProof/>
            <w:webHidden/>
          </w:rPr>
        </w:r>
        <w:r w:rsidR="00315283">
          <w:rPr>
            <w:noProof/>
            <w:webHidden/>
          </w:rPr>
          <w:fldChar w:fldCharType="separate"/>
        </w:r>
        <w:r w:rsidR="000C6138">
          <w:rPr>
            <w:noProof/>
            <w:webHidden/>
          </w:rPr>
          <w:t>109</w:t>
        </w:r>
        <w:r w:rsidR="00315283">
          <w:rPr>
            <w:noProof/>
            <w:webHidden/>
          </w:rPr>
          <w:fldChar w:fldCharType="end"/>
        </w:r>
      </w:hyperlink>
    </w:p>
    <w:p w14:paraId="1B60AA73" w14:textId="1A470299" w:rsidR="00315283" w:rsidRDefault="00B5442B">
      <w:pPr>
        <w:pStyle w:val="TableofFigures"/>
        <w:tabs>
          <w:tab w:val="right" w:leader="dot" w:pos="9350"/>
        </w:tabs>
        <w:rPr>
          <w:rFonts w:asciiTheme="minorHAnsi" w:eastAsiaTheme="minorEastAsia" w:hAnsiTheme="minorHAnsi"/>
          <w:noProof/>
          <w:sz w:val="22"/>
        </w:rPr>
      </w:pPr>
      <w:hyperlink w:anchor="_Toc60480650" w:history="1">
        <w:r w:rsidR="00315283" w:rsidRPr="004A160A">
          <w:rPr>
            <w:rStyle w:val="Hyperlink"/>
            <w:noProof/>
          </w:rPr>
          <w:t>Figure 2.2</w:t>
        </w:r>
        <w:r w:rsidR="00315283">
          <w:rPr>
            <w:noProof/>
            <w:webHidden/>
          </w:rPr>
          <w:tab/>
        </w:r>
        <w:r w:rsidR="00315283">
          <w:rPr>
            <w:noProof/>
            <w:webHidden/>
          </w:rPr>
          <w:fldChar w:fldCharType="begin"/>
        </w:r>
        <w:r w:rsidR="00315283">
          <w:rPr>
            <w:noProof/>
            <w:webHidden/>
          </w:rPr>
          <w:instrText xml:space="preserve"> PAGEREF _Toc60480650 \h </w:instrText>
        </w:r>
        <w:r w:rsidR="00315283">
          <w:rPr>
            <w:noProof/>
            <w:webHidden/>
          </w:rPr>
        </w:r>
        <w:r w:rsidR="00315283">
          <w:rPr>
            <w:noProof/>
            <w:webHidden/>
          </w:rPr>
          <w:fldChar w:fldCharType="separate"/>
        </w:r>
        <w:r w:rsidR="000C6138">
          <w:rPr>
            <w:noProof/>
            <w:webHidden/>
          </w:rPr>
          <w:t>110</w:t>
        </w:r>
        <w:r w:rsidR="00315283">
          <w:rPr>
            <w:noProof/>
            <w:webHidden/>
          </w:rPr>
          <w:fldChar w:fldCharType="end"/>
        </w:r>
      </w:hyperlink>
    </w:p>
    <w:p w14:paraId="6677C089" w14:textId="505A1B01" w:rsidR="00315283" w:rsidRDefault="00B5442B">
      <w:pPr>
        <w:pStyle w:val="TableofFigures"/>
        <w:tabs>
          <w:tab w:val="right" w:leader="dot" w:pos="9350"/>
        </w:tabs>
        <w:rPr>
          <w:rFonts w:asciiTheme="minorHAnsi" w:eastAsiaTheme="minorEastAsia" w:hAnsiTheme="minorHAnsi"/>
          <w:noProof/>
          <w:sz w:val="22"/>
        </w:rPr>
      </w:pPr>
      <w:hyperlink w:anchor="_Toc60480651" w:history="1">
        <w:r w:rsidR="00315283" w:rsidRPr="004A160A">
          <w:rPr>
            <w:rStyle w:val="Hyperlink"/>
            <w:noProof/>
          </w:rPr>
          <w:t>Figure 2.3</w:t>
        </w:r>
        <w:r w:rsidR="00315283">
          <w:rPr>
            <w:noProof/>
            <w:webHidden/>
          </w:rPr>
          <w:tab/>
        </w:r>
        <w:r w:rsidR="00315283">
          <w:rPr>
            <w:noProof/>
            <w:webHidden/>
          </w:rPr>
          <w:fldChar w:fldCharType="begin"/>
        </w:r>
        <w:r w:rsidR="00315283">
          <w:rPr>
            <w:noProof/>
            <w:webHidden/>
          </w:rPr>
          <w:instrText xml:space="preserve"> PAGEREF _Toc60480651 \h </w:instrText>
        </w:r>
        <w:r w:rsidR="00315283">
          <w:rPr>
            <w:noProof/>
            <w:webHidden/>
          </w:rPr>
        </w:r>
        <w:r w:rsidR="00315283">
          <w:rPr>
            <w:noProof/>
            <w:webHidden/>
          </w:rPr>
          <w:fldChar w:fldCharType="separate"/>
        </w:r>
        <w:r w:rsidR="000C6138">
          <w:rPr>
            <w:noProof/>
            <w:webHidden/>
          </w:rPr>
          <w:t>110</w:t>
        </w:r>
        <w:r w:rsidR="00315283">
          <w:rPr>
            <w:noProof/>
            <w:webHidden/>
          </w:rPr>
          <w:fldChar w:fldCharType="end"/>
        </w:r>
      </w:hyperlink>
    </w:p>
    <w:p w14:paraId="1B2241E8" w14:textId="1F64A517" w:rsidR="00315283" w:rsidRDefault="00B5442B">
      <w:pPr>
        <w:pStyle w:val="TableofFigures"/>
        <w:tabs>
          <w:tab w:val="right" w:leader="dot" w:pos="9350"/>
        </w:tabs>
        <w:rPr>
          <w:rFonts w:asciiTheme="minorHAnsi" w:eastAsiaTheme="minorEastAsia" w:hAnsiTheme="minorHAnsi"/>
          <w:noProof/>
          <w:sz w:val="22"/>
        </w:rPr>
      </w:pPr>
      <w:hyperlink w:anchor="_Toc60480652" w:history="1">
        <w:r w:rsidR="00315283" w:rsidRPr="004A160A">
          <w:rPr>
            <w:rStyle w:val="Hyperlink"/>
            <w:noProof/>
          </w:rPr>
          <w:t xml:space="preserve">Figure </w:t>
        </w:r>
        <w:r w:rsidR="00315283" w:rsidRPr="004A160A">
          <w:rPr>
            <w:rStyle w:val="Hyperlink"/>
            <w:rFonts w:cs="Times New Roman"/>
            <w:noProof/>
          </w:rPr>
          <w:t>S</w:t>
        </w:r>
        <w:r w:rsidR="00812326">
          <w:rPr>
            <w:rStyle w:val="Hyperlink"/>
            <w:rFonts w:cs="Times New Roman"/>
            <w:noProof/>
          </w:rPr>
          <w:t>2.1</w:t>
        </w:r>
        <w:r w:rsidR="00315283">
          <w:rPr>
            <w:noProof/>
            <w:webHidden/>
          </w:rPr>
          <w:tab/>
        </w:r>
        <w:r w:rsidR="00315283">
          <w:rPr>
            <w:noProof/>
            <w:webHidden/>
          </w:rPr>
          <w:fldChar w:fldCharType="begin"/>
        </w:r>
        <w:r w:rsidR="00315283">
          <w:rPr>
            <w:noProof/>
            <w:webHidden/>
          </w:rPr>
          <w:instrText xml:space="preserve"> PAGEREF _Toc60480652 \h </w:instrText>
        </w:r>
        <w:r w:rsidR="00315283">
          <w:rPr>
            <w:noProof/>
            <w:webHidden/>
          </w:rPr>
        </w:r>
        <w:r w:rsidR="00315283">
          <w:rPr>
            <w:noProof/>
            <w:webHidden/>
          </w:rPr>
          <w:fldChar w:fldCharType="separate"/>
        </w:r>
        <w:r w:rsidR="000C6138">
          <w:rPr>
            <w:noProof/>
            <w:webHidden/>
          </w:rPr>
          <w:t>114</w:t>
        </w:r>
        <w:r w:rsidR="00315283">
          <w:rPr>
            <w:noProof/>
            <w:webHidden/>
          </w:rPr>
          <w:fldChar w:fldCharType="end"/>
        </w:r>
      </w:hyperlink>
    </w:p>
    <w:p w14:paraId="0C47179C" w14:textId="6605480A" w:rsidR="00315283" w:rsidRDefault="00B5442B">
      <w:pPr>
        <w:pStyle w:val="TableofFigures"/>
        <w:tabs>
          <w:tab w:val="right" w:leader="dot" w:pos="9350"/>
        </w:tabs>
        <w:rPr>
          <w:rFonts w:asciiTheme="minorHAnsi" w:eastAsiaTheme="minorEastAsia" w:hAnsiTheme="minorHAnsi"/>
          <w:noProof/>
          <w:sz w:val="22"/>
        </w:rPr>
      </w:pPr>
      <w:hyperlink w:anchor="_Toc60480653" w:history="1">
        <w:r w:rsidR="00315283" w:rsidRPr="004A160A">
          <w:rPr>
            <w:rStyle w:val="Hyperlink"/>
            <w:noProof/>
          </w:rPr>
          <w:t xml:space="preserve">Figure </w:t>
        </w:r>
        <w:r w:rsidR="00315283" w:rsidRPr="004A160A">
          <w:rPr>
            <w:rStyle w:val="Hyperlink"/>
            <w:rFonts w:cs="Times New Roman"/>
            <w:noProof/>
          </w:rPr>
          <w:t>S2</w:t>
        </w:r>
        <w:r w:rsidR="00812326">
          <w:rPr>
            <w:rStyle w:val="Hyperlink"/>
            <w:rFonts w:cs="Times New Roman"/>
            <w:noProof/>
          </w:rPr>
          <w:t>.2</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_Toc60480653 \h </w:instrText>
        </w:r>
        <w:r w:rsidR="00315283">
          <w:rPr>
            <w:noProof/>
            <w:webHidden/>
          </w:rPr>
        </w:r>
        <w:r w:rsidR="00315283">
          <w:rPr>
            <w:noProof/>
            <w:webHidden/>
          </w:rPr>
          <w:fldChar w:fldCharType="separate"/>
        </w:r>
        <w:r w:rsidR="000C6138">
          <w:rPr>
            <w:noProof/>
            <w:webHidden/>
          </w:rPr>
          <w:t>115</w:t>
        </w:r>
        <w:r w:rsidR="00315283">
          <w:rPr>
            <w:noProof/>
            <w:webHidden/>
          </w:rPr>
          <w:fldChar w:fldCharType="end"/>
        </w:r>
      </w:hyperlink>
    </w:p>
    <w:p w14:paraId="1E61633D" w14:textId="49FE0370" w:rsidR="00315283" w:rsidRDefault="00B5442B">
      <w:pPr>
        <w:pStyle w:val="TableofFigures"/>
        <w:tabs>
          <w:tab w:val="right" w:leader="dot" w:pos="9350"/>
        </w:tabs>
        <w:rPr>
          <w:rFonts w:asciiTheme="minorHAnsi" w:eastAsiaTheme="minorEastAsia" w:hAnsiTheme="minorHAnsi"/>
          <w:noProof/>
          <w:sz w:val="22"/>
        </w:rPr>
      </w:pPr>
      <w:hyperlink w:anchor="_Toc60480654" w:history="1">
        <w:r w:rsidR="00315283" w:rsidRPr="004A160A">
          <w:rPr>
            <w:rStyle w:val="Hyperlink"/>
            <w:noProof/>
          </w:rPr>
          <w:t xml:space="preserve">Figure </w:t>
        </w:r>
        <w:r w:rsidR="00315283" w:rsidRPr="004A160A">
          <w:rPr>
            <w:rStyle w:val="Hyperlink"/>
            <w:rFonts w:cs="Times New Roman"/>
            <w:noProof/>
          </w:rPr>
          <w:t>S</w:t>
        </w:r>
        <w:r w:rsidR="00812326">
          <w:rPr>
            <w:rStyle w:val="Hyperlink"/>
            <w:rFonts w:cs="Times New Roman"/>
            <w:noProof/>
          </w:rPr>
          <w:t>2.3</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_Toc60480654 \h </w:instrText>
        </w:r>
        <w:r w:rsidR="00315283">
          <w:rPr>
            <w:noProof/>
            <w:webHidden/>
          </w:rPr>
        </w:r>
        <w:r w:rsidR="00315283">
          <w:rPr>
            <w:noProof/>
            <w:webHidden/>
          </w:rPr>
          <w:fldChar w:fldCharType="separate"/>
        </w:r>
        <w:r w:rsidR="000C6138">
          <w:rPr>
            <w:noProof/>
            <w:webHidden/>
          </w:rPr>
          <w:t>116</w:t>
        </w:r>
        <w:r w:rsidR="00315283">
          <w:rPr>
            <w:noProof/>
            <w:webHidden/>
          </w:rPr>
          <w:fldChar w:fldCharType="end"/>
        </w:r>
      </w:hyperlink>
    </w:p>
    <w:p w14:paraId="1928CB0B" w14:textId="38C63FA5" w:rsidR="00315283" w:rsidRDefault="00B5442B">
      <w:pPr>
        <w:pStyle w:val="TableofFigures"/>
        <w:tabs>
          <w:tab w:val="right" w:leader="dot" w:pos="9350"/>
        </w:tabs>
        <w:rPr>
          <w:rFonts w:asciiTheme="minorHAnsi" w:eastAsiaTheme="minorEastAsia" w:hAnsiTheme="minorHAnsi"/>
          <w:noProof/>
          <w:sz w:val="22"/>
        </w:rPr>
      </w:pPr>
      <w:hyperlink w:anchor="_Toc60480655" w:history="1">
        <w:r w:rsidR="00315283" w:rsidRPr="004A160A">
          <w:rPr>
            <w:rStyle w:val="Hyperlink"/>
            <w:noProof/>
          </w:rPr>
          <w:t xml:space="preserve">Figure </w:t>
        </w:r>
        <w:r w:rsidR="00315283" w:rsidRPr="004A160A">
          <w:rPr>
            <w:rStyle w:val="Hyperlink"/>
            <w:rFonts w:cs="Times New Roman"/>
            <w:noProof/>
          </w:rPr>
          <w:t>S</w:t>
        </w:r>
        <w:r w:rsidR="00812326">
          <w:rPr>
            <w:rStyle w:val="Hyperlink"/>
            <w:rFonts w:cs="Times New Roman"/>
            <w:noProof/>
          </w:rPr>
          <w:t>2.4</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_Toc60480655 \h </w:instrText>
        </w:r>
        <w:r w:rsidR="00315283">
          <w:rPr>
            <w:noProof/>
            <w:webHidden/>
          </w:rPr>
        </w:r>
        <w:r w:rsidR="00315283">
          <w:rPr>
            <w:noProof/>
            <w:webHidden/>
          </w:rPr>
          <w:fldChar w:fldCharType="separate"/>
        </w:r>
        <w:r w:rsidR="000C6138">
          <w:rPr>
            <w:noProof/>
            <w:webHidden/>
          </w:rPr>
          <w:t>117</w:t>
        </w:r>
        <w:r w:rsidR="00315283">
          <w:rPr>
            <w:noProof/>
            <w:webHidden/>
          </w:rPr>
          <w:fldChar w:fldCharType="end"/>
        </w:r>
      </w:hyperlink>
    </w:p>
    <w:p w14:paraId="4D021B18" w14:textId="7E5A567A" w:rsidR="00315283" w:rsidRDefault="00B5442B">
      <w:pPr>
        <w:pStyle w:val="TableofFigures"/>
        <w:tabs>
          <w:tab w:val="right" w:leader="dot" w:pos="9350"/>
        </w:tabs>
        <w:rPr>
          <w:rFonts w:asciiTheme="minorHAnsi" w:eastAsiaTheme="minorEastAsia" w:hAnsiTheme="minorHAnsi"/>
          <w:noProof/>
          <w:sz w:val="22"/>
        </w:rPr>
      </w:pPr>
      <w:hyperlink w:anchor="_Toc60480656" w:history="1">
        <w:r w:rsidR="00315283" w:rsidRPr="004A160A">
          <w:rPr>
            <w:rStyle w:val="Hyperlink"/>
            <w:noProof/>
          </w:rPr>
          <w:t xml:space="preserve">Figure </w:t>
        </w:r>
        <w:r w:rsidR="00315283" w:rsidRPr="004A160A">
          <w:rPr>
            <w:rStyle w:val="Hyperlink"/>
            <w:rFonts w:cs="Times New Roman"/>
            <w:noProof/>
          </w:rPr>
          <w:t>S</w:t>
        </w:r>
        <w:r w:rsidR="00812326">
          <w:rPr>
            <w:rStyle w:val="Hyperlink"/>
            <w:rFonts w:cs="Times New Roman"/>
            <w:noProof/>
          </w:rPr>
          <w:t>2.5</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_Toc60480656 \h </w:instrText>
        </w:r>
        <w:r w:rsidR="00315283">
          <w:rPr>
            <w:noProof/>
            <w:webHidden/>
          </w:rPr>
        </w:r>
        <w:r w:rsidR="00315283">
          <w:rPr>
            <w:noProof/>
            <w:webHidden/>
          </w:rPr>
          <w:fldChar w:fldCharType="separate"/>
        </w:r>
        <w:r w:rsidR="000C6138">
          <w:rPr>
            <w:noProof/>
            <w:webHidden/>
          </w:rPr>
          <w:t>118</w:t>
        </w:r>
        <w:r w:rsidR="00315283">
          <w:rPr>
            <w:noProof/>
            <w:webHidden/>
          </w:rPr>
          <w:fldChar w:fldCharType="end"/>
        </w:r>
      </w:hyperlink>
    </w:p>
    <w:p w14:paraId="64D6471A" w14:textId="2B8B0991" w:rsidR="00315283" w:rsidRDefault="00B5442B">
      <w:pPr>
        <w:pStyle w:val="TableofFigures"/>
        <w:tabs>
          <w:tab w:val="right" w:leader="dot" w:pos="9350"/>
        </w:tabs>
        <w:rPr>
          <w:rFonts w:asciiTheme="minorHAnsi" w:eastAsiaTheme="minorEastAsia" w:hAnsiTheme="minorHAnsi"/>
          <w:noProof/>
          <w:sz w:val="22"/>
        </w:rPr>
      </w:pPr>
      <w:hyperlink w:anchor="_Toc60480657" w:history="1">
        <w:r w:rsidR="00315283" w:rsidRPr="004A160A">
          <w:rPr>
            <w:rStyle w:val="Hyperlink"/>
            <w:noProof/>
          </w:rPr>
          <w:t xml:space="preserve">Figure </w:t>
        </w:r>
        <w:r w:rsidR="00315283" w:rsidRPr="004A160A">
          <w:rPr>
            <w:rStyle w:val="Hyperlink"/>
            <w:rFonts w:cs="Times New Roman"/>
            <w:noProof/>
          </w:rPr>
          <w:t>S</w:t>
        </w:r>
        <w:r w:rsidR="00812326">
          <w:rPr>
            <w:rStyle w:val="Hyperlink"/>
            <w:rFonts w:cs="Times New Roman"/>
            <w:noProof/>
          </w:rPr>
          <w:t>2.6</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_Toc60480657 \h </w:instrText>
        </w:r>
        <w:r w:rsidR="00315283">
          <w:rPr>
            <w:noProof/>
            <w:webHidden/>
          </w:rPr>
        </w:r>
        <w:r w:rsidR="00315283">
          <w:rPr>
            <w:noProof/>
            <w:webHidden/>
          </w:rPr>
          <w:fldChar w:fldCharType="separate"/>
        </w:r>
        <w:r w:rsidR="000C6138">
          <w:rPr>
            <w:noProof/>
            <w:webHidden/>
          </w:rPr>
          <w:t>119</w:t>
        </w:r>
        <w:r w:rsidR="00315283">
          <w:rPr>
            <w:noProof/>
            <w:webHidden/>
          </w:rPr>
          <w:fldChar w:fldCharType="end"/>
        </w:r>
      </w:hyperlink>
    </w:p>
    <w:p w14:paraId="0B72930E" w14:textId="208F4725" w:rsidR="00315283" w:rsidRDefault="00B5442B">
      <w:pPr>
        <w:pStyle w:val="TableofFigures"/>
        <w:tabs>
          <w:tab w:val="right" w:leader="dot" w:pos="9350"/>
        </w:tabs>
        <w:rPr>
          <w:rFonts w:asciiTheme="minorHAnsi" w:eastAsiaTheme="minorEastAsia" w:hAnsiTheme="minorHAnsi"/>
          <w:noProof/>
          <w:sz w:val="22"/>
        </w:rPr>
      </w:pPr>
      <w:hyperlink w:anchor="_Toc60480658" w:history="1">
        <w:r w:rsidR="00315283" w:rsidRPr="004A160A">
          <w:rPr>
            <w:rStyle w:val="Hyperlink"/>
            <w:noProof/>
          </w:rPr>
          <w:t>Figure 3.1</w:t>
        </w:r>
        <w:r w:rsidR="00315283">
          <w:rPr>
            <w:noProof/>
            <w:webHidden/>
          </w:rPr>
          <w:tab/>
        </w:r>
        <w:r w:rsidR="00315283">
          <w:rPr>
            <w:noProof/>
            <w:webHidden/>
          </w:rPr>
          <w:fldChar w:fldCharType="begin"/>
        </w:r>
        <w:r w:rsidR="00315283">
          <w:rPr>
            <w:noProof/>
            <w:webHidden/>
          </w:rPr>
          <w:instrText xml:space="preserve"> PAGEREF _Toc60480658 \h </w:instrText>
        </w:r>
        <w:r w:rsidR="00315283">
          <w:rPr>
            <w:noProof/>
            <w:webHidden/>
          </w:rPr>
        </w:r>
        <w:r w:rsidR="00315283">
          <w:rPr>
            <w:noProof/>
            <w:webHidden/>
          </w:rPr>
          <w:fldChar w:fldCharType="separate"/>
        </w:r>
        <w:r w:rsidR="000C6138">
          <w:rPr>
            <w:noProof/>
            <w:webHidden/>
          </w:rPr>
          <w:t>155</w:t>
        </w:r>
        <w:r w:rsidR="00315283">
          <w:rPr>
            <w:noProof/>
            <w:webHidden/>
          </w:rPr>
          <w:fldChar w:fldCharType="end"/>
        </w:r>
      </w:hyperlink>
    </w:p>
    <w:p w14:paraId="4580350F" w14:textId="7689B291" w:rsidR="00315283" w:rsidRDefault="00B5442B">
      <w:pPr>
        <w:pStyle w:val="TableofFigures"/>
        <w:tabs>
          <w:tab w:val="right" w:leader="dot" w:pos="9350"/>
        </w:tabs>
        <w:rPr>
          <w:rFonts w:asciiTheme="minorHAnsi" w:eastAsiaTheme="minorEastAsia" w:hAnsiTheme="minorHAnsi"/>
          <w:noProof/>
          <w:sz w:val="22"/>
        </w:rPr>
      </w:pPr>
      <w:hyperlink w:anchor="_Toc60480659" w:history="1">
        <w:r w:rsidR="00315283" w:rsidRPr="004A160A">
          <w:rPr>
            <w:rStyle w:val="Hyperlink"/>
            <w:noProof/>
          </w:rPr>
          <w:t>Figure 3.2</w:t>
        </w:r>
        <w:r w:rsidR="00315283">
          <w:rPr>
            <w:noProof/>
            <w:webHidden/>
          </w:rPr>
          <w:tab/>
        </w:r>
        <w:r w:rsidR="00315283">
          <w:rPr>
            <w:noProof/>
            <w:webHidden/>
          </w:rPr>
          <w:fldChar w:fldCharType="begin"/>
        </w:r>
        <w:r w:rsidR="00315283">
          <w:rPr>
            <w:noProof/>
            <w:webHidden/>
          </w:rPr>
          <w:instrText xml:space="preserve"> PAGEREF _Toc60480659 \h </w:instrText>
        </w:r>
        <w:r w:rsidR="00315283">
          <w:rPr>
            <w:noProof/>
            <w:webHidden/>
          </w:rPr>
        </w:r>
        <w:r w:rsidR="00315283">
          <w:rPr>
            <w:noProof/>
            <w:webHidden/>
          </w:rPr>
          <w:fldChar w:fldCharType="separate"/>
        </w:r>
        <w:r w:rsidR="000C6138">
          <w:rPr>
            <w:noProof/>
            <w:webHidden/>
          </w:rPr>
          <w:t>156</w:t>
        </w:r>
        <w:r w:rsidR="00315283">
          <w:rPr>
            <w:noProof/>
            <w:webHidden/>
          </w:rPr>
          <w:fldChar w:fldCharType="end"/>
        </w:r>
      </w:hyperlink>
    </w:p>
    <w:p w14:paraId="62806A65" w14:textId="257C0E3F" w:rsidR="00315283" w:rsidRDefault="00B5442B">
      <w:pPr>
        <w:pStyle w:val="TableofFigures"/>
        <w:tabs>
          <w:tab w:val="right" w:leader="dot" w:pos="9350"/>
        </w:tabs>
        <w:rPr>
          <w:rFonts w:asciiTheme="minorHAnsi" w:eastAsiaTheme="minorEastAsia" w:hAnsiTheme="minorHAnsi"/>
          <w:noProof/>
          <w:sz w:val="22"/>
        </w:rPr>
      </w:pPr>
      <w:hyperlink w:anchor="_Toc60480660" w:history="1">
        <w:r w:rsidR="00315283" w:rsidRPr="004A160A">
          <w:rPr>
            <w:rStyle w:val="Hyperlink"/>
            <w:noProof/>
          </w:rPr>
          <w:t>Figure 3.3</w:t>
        </w:r>
        <w:r w:rsidR="00315283">
          <w:rPr>
            <w:noProof/>
            <w:webHidden/>
          </w:rPr>
          <w:tab/>
        </w:r>
        <w:r w:rsidR="00315283">
          <w:rPr>
            <w:noProof/>
            <w:webHidden/>
          </w:rPr>
          <w:fldChar w:fldCharType="begin"/>
        </w:r>
        <w:r w:rsidR="00315283">
          <w:rPr>
            <w:noProof/>
            <w:webHidden/>
          </w:rPr>
          <w:instrText xml:space="preserve"> PAGEREF _Toc60480660 \h </w:instrText>
        </w:r>
        <w:r w:rsidR="00315283">
          <w:rPr>
            <w:noProof/>
            <w:webHidden/>
          </w:rPr>
        </w:r>
        <w:r w:rsidR="00315283">
          <w:rPr>
            <w:noProof/>
            <w:webHidden/>
          </w:rPr>
          <w:fldChar w:fldCharType="separate"/>
        </w:r>
        <w:r w:rsidR="000C6138">
          <w:rPr>
            <w:noProof/>
            <w:webHidden/>
          </w:rPr>
          <w:t>157</w:t>
        </w:r>
        <w:r w:rsidR="00315283">
          <w:rPr>
            <w:noProof/>
            <w:webHidden/>
          </w:rPr>
          <w:fldChar w:fldCharType="end"/>
        </w:r>
      </w:hyperlink>
    </w:p>
    <w:p w14:paraId="737E9EBF" w14:textId="336E659F" w:rsidR="00315283" w:rsidRDefault="00B5442B">
      <w:pPr>
        <w:pStyle w:val="TableofFigures"/>
        <w:tabs>
          <w:tab w:val="right" w:leader="dot" w:pos="9350"/>
        </w:tabs>
        <w:rPr>
          <w:rFonts w:asciiTheme="minorHAnsi" w:eastAsiaTheme="minorEastAsia" w:hAnsiTheme="minorHAnsi"/>
          <w:noProof/>
          <w:sz w:val="22"/>
        </w:rPr>
      </w:pPr>
      <w:hyperlink w:anchor="_Toc60480661" w:history="1">
        <w:r w:rsidR="00315283" w:rsidRPr="004A160A">
          <w:rPr>
            <w:rStyle w:val="Hyperlink"/>
            <w:noProof/>
          </w:rPr>
          <w:t>Figure 3.4</w:t>
        </w:r>
        <w:r w:rsidR="00315283">
          <w:rPr>
            <w:noProof/>
            <w:webHidden/>
          </w:rPr>
          <w:tab/>
        </w:r>
        <w:r w:rsidR="00315283">
          <w:rPr>
            <w:noProof/>
            <w:webHidden/>
          </w:rPr>
          <w:fldChar w:fldCharType="begin"/>
        </w:r>
        <w:r w:rsidR="00315283">
          <w:rPr>
            <w:noProof/>
            <w:webHidden/>
          </w:rPr>
          <w:instrText xml:space="preserve"> PAGEREF _Toc60480661 \h </w:instrText>
        </w:r>
        <w:r w:rsidR="00315283">
          <w:rPr>
            <w:noProof/>
            <w:webHidden/>
          </w:rPr>
        </w:r>
        <w:r w:rsidR="00315283">
          <w:rPr>
            <w:noProof/>
            <w:webHidden/>
          </w:rPr>
          <w:fldChar w:fldCharType="separate"/>
        </w:r>
        <w:r w:rsidR="000C6138">
          <w:rPr>
            <w:noProof/>
            <w:webHidden/>
          </w:rPr>
          <w:t>158</w:t>
        </w:r>
        <w:r w:rsidR="00315283">
          <w:rPr>
            <w:noProof/>
            <w:webHidden/>
          </w:rPr>
          <w:fldChar w:fldCharType="end"/>
        </w:r>
      </w:hyperlink>
    </w:p>
    <w:p w14:paraId="5B9D0177" w14:textId="237A8D1D" w:rsidR="00315283" w:rsidRDefault="00B5442B">
      <w:pPr>
        <w:pStyle w:val="TableofFigures"/>
        <w:tabs>
          <w:tab w:val="right" w:leader="dot" w:pos="9350"/>
        </w:tabs>
        <w:rPr>
          <w:rFonts w:asciiTheme="minorHAnsi" w:eastAsiaTheme="minorEastAsia" w:hAnsiTheme="minorHAnsi"/>
          <w:noProof/>
          <w:sz w:val="22"/>
        </w:rPr>
      </w:pPr>
      <w:hyperlink w:anchor="_Toc60480662" w:history="1">
        <w:r w:rsidR="00315283" w:rsidRPr="004A160A">
          <w:rPr>
            <w:rStyle w:val="Hyperlink"/>
            <w:noProof/>
          </w:rPr>
          <w:t>Figure 3.5</w:t>
        </w:r>
        <w:r w:rsidR="00315283">
          <w:rPr>
            <w:noProof/>
            <w:webHidden/>
          </w:rPr>
          <w:tab/>
        </w:r>
        <w:r w:rsidR="00315283">
          <w:rPr>
            <w:noProof/>
            <w:webHidden/>
          </w:rPr>
          <w:fldChar w:fldCharType="begin"/>
        </w:r>
        <w:r w:rsidR="00315283">
          <w:rPr>
            <w:noProof/>
            <w:webHidden/>
          </w:rPr>
          <w:instrText xml:space="preserve"> PAGEREF _Toc60480662 \h </w:instrText>
        </w:r>
        <w:r w:rsidR="00315283">
          <w:rPr>
            <w:noProof/>
            <w:webHidden/>
          </w:rPr>
        </w:r>
        <w:r w:rsidR="00315283">
          <w:rPr>
            <w:noProof/>
            <w:webHidden/>
          </w:rPr>
          <w:fldChar w:fldCharType="separate"/>
        </w:r>
        <w:r w:rsidR="000C6138">
          <w:rPr>
            <w:noProof/>
            <w:webHidden/>
          </w:rPr>
          <w:t>159</w:t>
        </w:r>
        <w:r w:rsidR="00315283">
          <w:rPr>
            <w:noProof/>
            <w:webHidden/>
          </w:rPr>
          <w:fldChar w:fldCharType="end"/>
        </w:r>
      </w:hyperlink>
    </w:p>
    <w:p w14:paraId="314E2AA4" w14:textId="05014018" w:rsidR="00315283" w:rsidRDefault="00B5442B">
      <w:pPr>
        <w:pStyle w:val="TableofFigures"/>
        <w:tabs>
          <w:tab w:val="right" w:leader="dot" w:pos="9350"/>
        </w:tabs>
        <w:rPr>
          <w:rFonts w:asciiTheme="minorHAnsi" w:eastAsiaTheme="minorEastAsia" w:hAnsiTheme="minorHAnsi"/>
          <w:noProof/>
          <w:sz w:val="22"/>
        </w:rPr>
      </w:pPr>
      <w:hyperlink w:anchor="_Toc60480663" w:history="1">
        <w:r w:rsidR="00315283" w:rsidRPr="004A160A">
          <w:rPr>
            <w:rStyle w:val="Hyperlink"/>
            <w:noProof/>
          </w:rPr>
          <w:t>Figure 4.1</w:t>
        </w:r>
        <w:r w:rsidR="00315283">
          <w:rPr>
            <w:noProof/>
            <w:webHidden/>
          </w:rPr>
          <w:tab/>
        </w:r>
        <w:r w:rsidR="00315283">
          <w:rPr>
            <w:noProof/>
            <w:webHidden/>
          </w:rPr>
          <w:fldChar w:fldCharType="begin"/>
        </w:r>
        <w:r w:rsidR="00315283">
          <w:rPr>
            <w:noProof/>
            <w:webHidden/>
          </w:rPr>
          <w:instrText xml:space="preserve"> PAGEREF _Toc60480663 \h </w:instrText>
        </w:r>
        <w:r w:rsidR="00315283">
          <w:rPr>
            <w:noProof/>
            <w:webHidden/>
          </w:rPr>
        </w:r>
        <w:r w:rsidR="00315283">
          <w:rPr>
            <w:noProof/>
            <w:webHidden/>
          </w:rPr>
          <w:fldChar w:fldCharType="separate"/>
        </w:r>
        <w:r w:rsidR="000C6138">
          <w:rPr>
            <w:noProof/>
            <w:webHidden/>
          </w:rPr>
          <w:t>214</w:t>
        </w:r>
        <w:r w:rsidR="00315283">
          <w:rPr>
            <w:noProof/>
            <w:webHidden/>
          </w:rPr>
          <w:fldChar w:fldCharType="end"/>
        </w:r>
      </w:hyperlink>
    </w:p>
    <w:p w14:paraId="1EC6AB73" w14:textId="77DBF0CE" w:rsidR="00315283" w:rsidRDefault="00B5442B">
      <w:pPr>
        <w:pStyle w:val="TableofFigures"/>
        <w:tabs>
          <w:tab w:val="right" w:leader="dot" w:pos="9350"/>
        </w:tabs>
        <w:rPr>
          <w:rFonts w:asciiTheme="minorHAnsi" w:eastAsiaTheme="minorEastAsia" w:hAnsiTheme="minorHAnsi"/>
          <w:noProof/>
          <w:sz w:val="22"/>
        </w:rPr>
      </w:pPr>
      <w:hyperlink w:anchor="_Toc60480664" w:history="1">
        <w:r w:rsidR="00315283" w:rsidRPr="004A160A">
          <w:rPr>
            <w:rStyle w:val="Hyperlink"/>
            <w:noProof/>
          </w:rPr>
          <w:t>Figure 4.2</w:t>
        </w:r>
        <w:r w:rsidR="00315283">
          <w:rPr>
            <w:noProof/>
            <w:webHidden/>
          </w:rPr>
          <w:tab/>
        </w:r>
        <w:r w:rsidR="00315283">
          <w:rPr>
            <w:noProof/>
            <w:webHidden/>
          </w:rPr>
          <w:fldChar w:fldCharType="begin"/>
        </w:r>
        <w:r w:rsidR="00315283">
          <w:rPr>
            <w:noProof/>
            <w:webHidden/>
          </w:rPr>
          <w:instrText xml:space="preserve"> PAGEREF _Toc60480664 \h </w:instrText>
        </w:r>
        <w:r w:rsidR="00315283">
          <w:rPr>
            <w:noProof/>
            <w:webHidden/>
          </w:rPr>
        </w:r>
        <w:r w:rsidR="00315283">
          <w:rPr>
            <w:noProof/>
            <w:webHidden/>
          </w:rPr>
          <w:fldChar w:fldCharType="separate"/>
        </w:r>
        <w:r w:rsidR="000C6138">
          <w:rPr>
            <w:noProof/>
            <w:webHidden/>
          </w:rPr>
          <w:t>215</w:t>
        </w:r>
        <w:r w:rsidR="00315283">
          <w:rPr>
            <w:noProof/>
            <w:webHidden/>
          </w:rPr>
          <w:fldChar w:fldCharType="end"/>
        </w:r>
      </w:hyperlink>
    </w:p>
    <w:p w14:paraId="46AC1466" w14:textId="064E831C" w:rsidR="00315283" w:rsidRDefault="00B5442B">
      <w:pPr>
        <w:pStyle w:val="TableofFigures"/>
        <w:tabs>
          <w:tab w:val="right" w:leader="dot" w:pos="9350"/>
        </w:tabs>
        <w:rPr>
          <w:rFonts w:asciiTheme="minorHAnsi" w:eastAsiaTheme="minorEastAsia" w:hAnsiTheme="minorHAnsi"/>
          <w:noProof/>
          <w:sz w:val="22"/>
        </w:rPr>
      </w:pPr>
      <w:hyperlink w:anchor="_Toc60480665" w:history="1">
        <w:r w:rsidR="00315283" w:rsidRPr="004A160A">
          <w:rPr>
            <w:rStyle w:val="Hyperlink"/>
            <w:noProof/>
          </w:rPr>
          <w:t>Figure 4.3</w:t>
        </w:r>
        <w:r w:rsidR="00315283">
          <w:rPr>
            <w:noProof/>
            <w:webHidden/>
          </w:rPr>
          <w:tab/>
        </w:r>
        <w:r w:rsidR="00315283">
          <w:rPr>
            <w:noProof/>
            <w:webHidden/>
          </w:rPr>
          <w:fldChar w:fldCharType="begin"/>
        </w:r>
        <w:r w:rsidR="00315283">
          <w:rPr>
            <w:noProof/>
            <w:webHidden/>
          </w:rPr>
          <w:instrText xml:space="preserve"> PAGEREF _Toc60480665 \h </w:instrText>
        </w:r>
        <w:r w:rsidR="00315283">
          <w:rPr>
            <w:noProof/>
            <w:webHidden/>
          </w:rPr>
        </w:r>
        <w:r w:rsidR="00315283">
          <w:rPr>
            <w:noProof/>
            <w:webHidden/>
          </w:rPr>
          <w:fldChar w:fldCharType="separate"/>
        </w:r>
        <w:r w:rsidR="000C6138">
          <w:rPr>
            <w:noProof/>
            <w:webHidden/>
          </w:rPr>
          <w:t>216</w:t>
        </w:r>
        <w:r w:rsidR="00315283">
          <w:rPr>
            <w:noProof/>
            <w:webHidden/>
          </w:rPr>
          <w:fldChar w:fldCharType="end"/>
        </w:r>
      </w:hyperlink>
    </w:p>
    <w:p w14:paraId="52975AAE" w14:textId="188BEA86" w:rsidR="00315283" w:rsidRDefault="00B5442B">
      <w:pPr>
        <w:pStyle w:val="TableofFigures"/>
        <w:tabs>
          <w:tab w:val="right" w:leader="dot" w:pos="9350"/>
        </w:tabs>
        <w:rPr>
          <w:rFonts w:asciiTheme="minorHAnsi" w:eastAsiaTheme="minorEastAsia" w:hAnsiTheme="minorHAnsi"/>
          <w:noProof/>
          <w:sz w:val="22"/>
        </w:rPr>
      </w:pPr>
      <w:hyperlink w:anchor="_Toc60480666" w:history="1">
        <w:r w:rsidR="00315283" w:rsidRPr="004A160A">
          <w:rPr>
            <w:rStyle w:val="Hyperlink"/>
            <w:noProof/>
          </w:rPr>
          <w:t xml:space="preserve">Figure </w:t>
        </w:r>
        <w:r w:rsidR="00315283" w:rsidRPr="004A160A">
          <w:rPr>
            <w:rStyle w:val="Hyperlink"/>
            <w:rFonts w:cs="Times New Roman"/>
            <w:noProof/>
          </w:rPr>
          <w:t>S</w:t>
        </w:r>
        <w:r w:rsidR="00A409BB">
          <w:rPr>
            <w:rStyle w:val="Hyperlink"/>
            <w:rFonts w:cs="Times New Roman"/>
            <w:noProof/>
          </w:rPr>
          <w:t>4.1</w:t>
        </w:r>
        <w:r w:rsidR="00315283" w:rsidRPr="004A160A">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_Toc60480666 \h </w:instrText>
        </w:r>
        <w:r w:rsidR="00315283">
          <w:rPr>
            <w:noProof/>
            <w:webHidden/>
          </w:rPr>
        </w:r>
        <w:r w:rsidR="00315283">
          <w:rPr>
            <w:noProof/>
            <w:webHidden/>
          </w:rPr>
          <w:fldChar w:fldCharType="separate"/>
        </w:r>
        <w:r w:rsidR="000C6138">
          <w:rPr>
            <w:noProof/>
            <w:webHidden/>
          </w:rPr>
          <w:t>217</w:t>
        </w:r>
        <w:r w:rsidR="00315283">
          <w:rPr>
            <w:noProof/>
            <w:webHidden/>
          </w:rPr>
          <w:fldChar w:fldCharType="end"/>
        </w:r>
      </w:hyperlink>
    </w:p>
    <w:p w14:paraId="137EA5F2" w14:textId="7DA0F72C" w:rsidR="00315283" w:rsidRDefault="00B5442B">
      <w:pPr>
        <w:pStyle w:val="TableofFigures"/>
        <w:tabs>
          <w:tab w:val="right" w:leader="dot" w:pos="9350"/>
        </w:tabs>
        <w:rPr>
          <w:rFonts w:asciiTheme="minorHAnsi" w:eastAsiaTheme="minorEastAsia" w:hAnsiTheme="minorHAnsi"/>
          <w:noProof/>
          <w:sz w:val="22"/>
        </w:rPr>
      </w:pPr>
      <w:hyperlink w:anchor="_Toc60480667" w:history="1">
        <w:r w:rsidR="00315283" w:rsidRPr="004A160A">
          <w:rPr>
            <w:rStyle w:val="Hyperlink"/>
            <w:noProof/>
          </w:rPr>
          <w:t xml:space="preserve">Figure </w:t>
        </w:r>
        <w:r w:rsidR="00315283" w:rsidRPr="004A160A">
          <w:rPr>
            <w:rStyle w:val="Hyperlink"/>
            <w:rFonts w:cs="Times New Roman"/>
            <w:noProof/>
          </w:rPr>
          <w:t>S</w:t>
        </w:r>
        <w:r w:rsidR="00A409BB">
          <w:rPr>
            <w:rStyle w:val="Hyperlink"/>
            <w:rFonts w:cs="Times New Roman"/>
            <w:noProof/>
          </w:rPr>
          <w:t>4.2</w:t>
        </w:r>
        <w:r w:rsidR="00315283">
          <w:rPr>
            <w:rStyle w:val="Hyperlink"/>
            <w:rFonts w:cs="Times New Roman"/>
            <w:noProof/>
          </w:rPr>
          <w:t>.</w:t>
        </w:r>
        <w:r w:rsidR="00315283">
          <w:rPr>
            <w:noProof/>
            <w:webHidden/>
          </w:rPr>
          <w:tab/>
        </w:r>
        <w:r w:rsidR="00315283">
          <w:rPr>
            <w:noProof/>
            <w:webHidden/>
          </w:rPr>
          <w:fldChar w:fldCharType="begin"/>
        </w:r>
        <w:r w:rsidR="00315283">
          <w:rPr>
            <w:noProof/>
            <w:webHidden/>
          </w:rPr>
          <w:instrText xml:space="preserve"> PAGEREF _Toc60480667 \h </w:instrText>
        </w:r>
        <w:r w:rsidR="00315283">
          <w:rPr>
            <w:noProof/>
            <w:webHidden/>
          </w:rPr>
        </w:r>
        <w:r w:rsidR="00315283">
          <w:rPr>
            <w:noProof/>
            <w:webHidden/>
          </w:rPr>
          <w:fldChar w:fldCharType="separate"/>
        </w:r>
        <w:r w:rsidR="000C6138">
          <w:rPr>
            <w:noProof/>
            <w:webHidden/>
          </w:rPr>
          <w:t>218</w:t>
        </w:r>
        <w:r w:rsidR="00315283">
          <w:rPr>
            <w:noProof/>
            <w:webHidden/>
          </w:rPr>
          <w:fldChar w:fldCharType="end"/>
        </w:r>
      </w:hyperlink>
    </w:p>
    <w:p w14:paraId="28EE90E7" w14:textId="7CB0FB7E" w:rsidR="00315283" w:rsidRDefault="00315283" w:rsidP="008D4BF7">
      <w:pPr>
        <w:jc w:val="center"/>
        <w:rPr>
          <w:rFonts w:cs="Times New Roman"/>
          <w:b/>
          <w:bCs/>
          <w:sz w:val="36"/>
          <w:szCs w:val="36"/>
        </w:rPr>
      </w:pPr>
      <w:r>
        <w:rPr>
          <w:rFonts w:cs="Times New Roman"/>
          <w:b/>
          <w:bCs/>
          <w:sz w:val="36"/>
          <w:szCs w:val="36"/>
        </w:rPr>
        <w:fldChar w:fldCharType="end"/>
      </w:r>
    </w:p>
    <w:p w14:paraId="54B8FCF7" w14:textId="77777777" w:rsidR="00D268D5" w:rsidRDefault="00D268D5" w:rsidP="004A70A1">
      <w:pPr>
        <w:pStyle w:val="Caption"/>
        <w:rPr>
          <w:rFonts w:cs="Times New Roman"/>
          <w:b/>
          <w:bCs/>
          <w:sz w:val="36"/>
          <w:szCs w:val="36"/>
        </w:rPr>
      </w:pPr>
    </w:p>
    <w:p w14:paraId="00E45A5C" w14:textId="77777777" w:rsidR="00D268D5" w:rsidRDefault="00D268D5" w:rsidP="004A70A1">
      <w:pPr>
        <w:pStyle w:val="Caption"/>
        <w:rPr>
          <w:rFonts w:cs="Times New Roman"/>
          <w:b/>
          <w:bCs/>
          <w:sz w:val="36"/>
          <w:szCs w:val="36"/>
        </w:rPr>
      </w:pPr>
    </w:p>
    <w:p w14:paraId="4FAB797B" w14:textId="77777777" w:rsidR="00D268D5" w:rsidRDefault="00D268D5" w:rsidP="004A70A1">
      <w:pPr>
        <w:pStyle w:val="Caption"/>
        <w:rPr>
          <w:rFonts w:cs="Times New Roman"/>
          <w:b/>
          <w:bCs/>
          <w:sz w:val="36"/>
          <w:szCs w:val="36"/>
        </w:rPr>
      </w:pPr>
    </w:p>
    <w:p w14:paraId="07AF0926" w14:textId="77777777" w:rsidR="00D268D5" w:rsidRDefault="00D268D5" w:rsidP="004A70A1">
      <w:pPr>
        <w:pStyle w:val="Caption"/>
        <w:rPr>
          <w:rFonts w:cs="Times New Roman"/>
          <w:b/>
          <w:bCs/>
          <w:sz w:val="36"/>
          <w:szCs w:val="36"/>
        </w:rPr>
      </w:pPr>
    </w:p>
    <w:p w14:paraId="2A0B2FFF" w14:textId="00604120" w:rsidR="00935B80" w:rsidRDefault="00935B80" w:rsidP="004A70A1">
      <w:pPr>
        <w:pStyle w:val="Caption"/>
        <w:rPr>
          <w:noProof/>
        </w:rPr>
      </w:pPr>
      <w:r>
        <w:rPr>
          <w:rFonts w:cs="Times New Roman"/>
          <w:b/>
          <w:bCs/>
          <w:sz w:val="36"/>
          <w:szCs w:val="36"/>
        </w:rPr>
        <w:fldChar w:fldCharType="begin"/>
      </w:r>
      <w:r>
        <w:rPr>
          <w:rFonts w:cs="Times New Roman"/>
          <w:b/>
          <w:bCs/>
          <w:sz w:val="36"/>
          <w:szCs w:val="36"/>
        </w:rPr>
        <w:instrText xml:space="preserve"> TOC \h \z \c "Figure S" </w:instrText>
      </w:r>
      <w:r>
        <w:rPr>
          <w:rFonts w:cs="Times New Roman"/>
          <w:b/>
          <w:bCs/>
          <w:sz w:val="36"/>
          <w:szCs w:val="36"/>
        </w:rPr>
        <w:fldChar w:fldCharType="separate"/>
      </w:r>
    </w:p>
    <w:p w14:paraId="400263DE" w14:textId="72DD636E" w:rsidR="000D1FCF" w:rsidRPr="004B7069" w:rsidRDefault="00935B80" w:rsidP="00135D1F">
      <w:pPr>
        <w:pStyle w:val="Heading1"/>
        <w:numPr>
          <w:ilvl w:val="0"/>
          <w:numId w:val="0"/>
        </w:numPr>
        <w:spacing w:line="480" w:lineRule="auto"/>
        <w:contextualSpacing/>
        <w:rPr>
          <w:rFonts w:cs="Times New Roman"/>
          <w:bCs/>
          <w:sz w:val="36"/>
          <w:szCs w:val="36"/>
        </w:rPr>
      </w:pPr>
      <w:r>
        <w:rPr>
          <w:rFonts w:cs="Times New Roman"/>
          <w:bCs/>
          <w:sz w:val="36"/>
          <w:szCs w:val="36"/>
        </w:rPr>
        <w:lastRenderedPageBreak/>
        <w:fldChar w:fldCharType="end"/>
      </w:r>
      <w:bookmarkStart w:id="1" w:name="_Toc60841207"/>
      <w:r w:rsidR="007B4B12">
        <w:t>Abstract</w:t>
      </w:r>
      <w:bookmarkEnd w:id="1"/>
    </w:p>
    <w:p w14:paraId="27BC7E95" w14:textId="77777777" w:rsidR="009A68E3" w:rsidRPr="00733D83" w:rsidRDefault="009A68E3" w:rsidP="009A68E3">
      <w:pPr>
        <w:pStyle w:val="Default"/>
        <w:spacing w:line="480" w:lineRule="auto"/>
        <w:ind w:firstLine="720"/>
        <w:contextualSpacing/>
      </w:pPr>
      <w:bookmarkStart w:id="2" w:name="_Hlk64369385"/>
      <w:r w:rsidRPr="00733D83">
        <w:t>The redistribution of energy and materials across ecosystem boundaries (i.e. resource subsidies) can have substantial consequences for ecosystem processes but the magnitude of these effects are known to vary. Since most investigations are conducted at local spatial scales our understanding of whether, and how, geography underpins this variation is limited. Aquatic insects that metamorphose into terrestrial adults, shuttle resource subsidies from aquatic ecosystems to terrestrial ecosystems</w:t>
      </w:r>
      <w:r w:rsidRPr="00733D83">
        <w:rPr>
          <w:rFonts w:eastAsia="Times New Roman"/>
          <w:color w:val="222222"/>
        </w:rPr>
        <w:t xml:space="preserve">. </w:t>
      </w:r>
      <w:r w:rsidRPr="00733D83">
        <w:t xml:space="preserve">My dissertation explores how aquatic insect resource subsidies can vary geographically because of regional differences in 1) the shape of aquatic ecosystems, 2) the trait-composition of aquatic insect communities, and 3) the quantity of insect biomass exported from streams and rivers. Finally, to integrate these findings with previous studies, I also explore geographical variation in scaling functions that can be used to transfer information from one scale to another. </w:t>
      </w:r>
    </w:p>
    <w:p w14:paraId="0550EDC1" w14:textId="77777777" w:rsidR="009A68E3" w:rsidRPr="00733D83" w:rsidRDefault="009A68E3" w:rsidP="009A68E3">
      <w:pPr>
        <w:shd w:val="clear" w:color="auto" w:fill="FFFFFF"/>
        <w:spacing w:after="0" w:line="480" w:lineRule="auto"/>
        <w:ind w:firstLine="720"/>
        <w:contextualSpacing/>
        <w:rPr>
          <w:rFonts w:cs="Times New Roman"/>
          <w:szCs w:val="24"/>
        </w:rPr>
      </w:pPr>
      <w:r w:rsidRPr="00733D83">
        <w:rPr>
          <w:rFonts w:cs="Times New Roman"/>
          <w:szCs w:val="24"/>
        </w:rPr>
        <w:t>In chapter one, I investigate how climate, topography, lithology, and vegetation could drive variation in stream network geometry and constrain the spatial extent of aquatic insect subsidies at the continental scale. The geometric properties of stream networks could influence the spatial extent of aquatic subsidies by influencing the degree of contact between the water and land. I found that some level of aquatic insect subsidies can travel throughout the entire terrestrial ecosystem and is strongly influenced by the drainage density (the length of streams per unit watershed area) of the stream network. In turn, drainage density varied across the contiguous US and was strongly influenced by overland runoff. These results suggest that the spatial extent of aquatic insect subsidies in terrestrial ecosystems varies geographically because of the geometry of the stream network</w:t>
      </w:r>
      <w:r>
        <w:rPr>
          <w:rFonts w:cs="Times New Roman"/>
          <w:szCs w:val="24"/>
        </w:rPr>
        <w:t>s</w:t>
      </w:r>
      <w:r w:rsidRPr="00733D83">
        <w:rPr>
          <w:rFonts w:cs="Times New Roman"/>
          <w:szCs w:val="24"/>
        </w:rPr>
        <w:t xml:space="preserve">. </w:t>
      </w:r>
    </w:p>
    <w:p w14:paraId="0CBDAD81" w14:textId="77777777" w:rsidR="009A68E3" w:rsidRPr="00733D83" w:rsidRDefault="009A68E3" w:rsidP="009A68E3">
      <w:pPr>
        <w:spacing w:line="480" w:lineRule="auto"/>
        <w:ind w:firstLine="720"/>
        <w:contextualSpacing/>
        <w:rPr>
          <w:rFonts w:eastAsia="Times New Roman" w:cs="Times New Roman"/>
          <w:szCs w:val="24"/>
        </w:rPr>
      </w:pPr>
      <w:r w:rsidRPr="00733D83">
        <w:rPr>
          <w:rFonts w:eastAsia="Times New Roman" w:cs="Times New Roman"/>
          <w:szCs w:val="24"/>
        </w:rPr>
        <w:lastRenderedPageBreak/>
        <w:t xml:space="preserve">In chapter two, I synthesize aquatic biomonitoring and biological trait data to quantify the relative importance of several environmental gradients on the potential spatial and temporal characteristics of aquatic insect subsidies. Species traits related to the development and dispersal of adult aquatic insects should determine their availability to terrestrial consumers. I found trait composition of benthic macroinvertebrate communities varies among hydrologic regions and could affect how aquatic insects transport subsidies as adults. Further, </w:t>
      </w:r>
      <w:r w:rsidRPr="00733D83">
        <w:rPr>
          <w:rFonts w:cs="Times New Roman"/>
          <w:szCs w:val="24"/>
        </w:rPr>
        <w:t>anthropogenic impacts</w:t>
      </w:r>
      <w:r w:rsidRPr="00733D83">
        <w:rPr>
          <w:rFonts w:eastAsia="Times New Roman" w:cs="Times New Roman"/>
          <w:szCs w:val="24"/>
        </w:rPr>
        <w:t xml:space="preserve"> could modify the natural variation in community trait composition by decreasing the frequency of individuals with adult flight and extending the distance subsidies travel into the terrestrial ecosystem. These results suggest that natural and anthropogenic gradients could affect aquatic insect subsidies by changing the trait composition of benthic macroinvertebrate communities across large spatial scales. </w:t>
      </w:r>
    </w:p>
    <w:p w14:paraId="63B5DDAA" w14:textId="77777777" w:rsidR="009A68E3" w:rsidRDefault="009A68E3" w:rsidP="009A68E3">
      <w:pPr>
        <w:spacing w:line="480" w:lineRule="auto"/>
        <w:ind w:firstLine="720"/>
        <w:contextualSpacing/>
        <w:rPr>
          <w:rFonts w:cs="Times New Roman"/>
          <w:bCs/>
          <w:szCs w:val="24"/>
        </w:rPr>
      </w:pPr>
      <w:r w:rsidRPr="00733D83">
        <w:rPr>
          <w:rFonts w:cs="Times New Roman"/>
          <w:bCs/>
          <w:szCs w:val="24"/>
        </w:rPr>
        <w:t xml:space="preserve">In chapter three, I </w:t>
      </w:r>
      <w:r w:rsidRPr="00733D83">
        <w:rPr>
          <w:rFonts w:cs="Times New Roman"/>
          <w:szCs w:val="24"/>
        </w:rPr>
        <w:t xml:space="preserve">investigate how the quantity of aquatic insect subsidies exported form streams and rivers in the </w:t>
      </w:r>
      <w:r>
        <w:rPr>
          <w:rFonts w:cs="Times New Roman"/>
          <w:szCs w:val="24"/>
        </w:rPr>
        <w:t xml:space="preserve">contiguous United States </w:t>
      </w:r>
      <w:r w:rsidRPr="00733D83">
        <w:rPr>
          <w:rFonts w:cs="Times New Roman"/>
          <w:szCs w:val="24"/>
        </w:rPr>
        <w:t>could be altered by climate change.</w:t>
      </w:r>
      <w:r w:rsidRPr="00733D83">
        <w:rPr>
          <w:rFonts w:cs="Times New Roman"/>
          <w:bCs/>
          <w:szCs w:val="24"/>
        </w:rPr>
        <w:t xml:space="preserve"> I estimate that streams and rivers can export 78,197 (95% PI: 2,155 - 2.19 x 10</w:t>
      </w:r>
      <w:r w:rsidRPr="00733D83">
        <w:rPr>
          <w:rFonts w:cs="Times New Roman"/>
          <w:bCs/>
          <w:szCs w:val="24"/>
          <w:vertAlign w:val="superscript"/>
        </w:rPr>
        <w:t>6</w:t>
      </w:r>
      <w:r w:rsidRPr="00733D83">
        <w:rPr>
          <w:rFonts w:cs="Times New Roman"/>
          <w:bCs/>
          <w:szCs w:val="24"/>
        </w:rPr>
        <w:t xml:space="preserve">) metric tons of insect biomass and found that the effects of climate change could lead to as much as a 250% increase in some regions while others could experience a 50% decrease. I also show that these changes could resonate through terrestrial ecosystems and have consequences for common avian aerial insectivores by altering the amount of aquatic insect subsidies available to them. Collectively, these results suggest that climate change effects on one ecosystem will resonate throughout other ecosystems due to cross-ecosystem linkages. </w:t>
      </w:r>
    </w:p>
    <w:p w14:paraId="1A5A5E86" w14:textId="5305BE9D" w:rsidR="00E4495B" w:rsidRPr="00733D83" w:rsidRDefault="009A68E3" w:rsidP="009A68E3">
      <w:pPr>
        <w:spacing w:line="480" w:lineRule="auto"/>
        <w:ind w:firstLine="720"/>
        <w:contextualSpacing/>
        <w:rPr>
          <w:rFonts w:cs="Times New Roman"/>
          <w:bCs/>
          <w:szCs w:val="24"/>
        </w:rPr>
      </w:pPr>
      <w:r w:rsidRPr="00733D83">
        <w:rPr>
          <w:rFonts w:cs="Times New Roman"/>
          <w:szCs w:val="24"/>
        </w:rPr>
        <w:t xml:space="preserve">In my last chapter, I assess whether simple scaling functions can accurately transfer information from one scale of observation to another. Scaling functions can provide a concise description of scale dependency and improve our ability to synthesize research conducted at </w:t>
      </w:r>
      <w:r w:rsidRPr="00733D83">
        <w:rPr>
          <w:rFonts w:cs="Times New Roman"/>
          <w:szCs w:val="24"/>
        </w:rPr>
        <w:lastRenderedPageBreak/>
        <w:t xml:space="preserve">different scales. I quantified spatial pattern of </w:t>
      </w:r>
      <w:proofErr w:type="spellStart"/>
      <w:r w:rsidRPr="00733D83">
        <w:rPr>
          <w:rFonts w:cs="Times New Roman"/>
          <w:szCs w:val="24"/>
        </w:rPr>
        <w:t>hydrogeomorphic</w:t>
      </w:r>
      <w:proofErr w:type="spellEnd"/>
      <w:r w:rsidRPr="00733D83">
        <w:rPr>
          <w:rFonts w:cs="Times New Roman"/>
          <w:szCs w:val="24"/>
        </w:rPr>
        <w:t xml:space="preserve"> habitat patches in riverine landscapes and investigated how it changes with different scale components: spatial extent, grain size, and thematic resolution. I found each component of scale influenced the spatial pattern in river networks and, when predictable, scaling functions took linear, logarithmic, or power forms. Contrary to previous findings from other, well-studied landscapes, our results suggest the effects of changing spatial grain may be less predictable than changing spatial extent and thematic resolution. Together, these results support the notion that scaling relationships in riverine landscapes operate differently than other ecosystems because of their dendritic form.</w:t>
      </w:r>
    </w:p>
    <w:bookmarkEnd w:id="2"/>
    <w:p w14:paraId="78C93498" w14:textId="77777777" w:rsidR="00EC799B" w:rsidRDefault="00EC799B" w:rsidP="00C67F66">
      <w:pPr>
        <w:rPr>
          <w:rFonts w:cs="Times New Roman"/>
          <w:b/>
          <w:bCs/>
          <w:sz w:val="36"/>
          <w:szCs w:val="36"/>
        </w:rPr>
      </w:pPr>
    </w:p>
    <w:p w14:paraId="3440B252" w14:textId="79EF9F8F" w:rsidR="00E4495B" w:rsidRDefault="00E4495B" w:rsidP="00C67F66">
      <w:pPr>
        <w:rPr>
          <w:rFonts w:cs="Times New Roman"/>
          <w:b/>
          <w:bCs/>
          <w:sz w:val="36"/>
          <w:szCs w:val="36"/>
        </w:rPr>
        <w:sectPr w:rsidR="00E4495B" w:rsidSect="00C02A3F">
          <w:footerReference w:type="default" r:id="rId9"/>
          <w:pgSz w:w="12240" w:h="15840"/>
          <w:pgMar w:top="1440" w:right="1440" w:bottom="1440" w:left="1440" w:header="720" w:footer="720" w:gutter="0"/>
          <w:pgNumType w:fmt="lowerRoman" w:start="4"/>
          <w:cols w:space="720"/>
          <w:docGrid w:linePitch="360"/>
        </w:sectPr>
      </w:pPr>
    </w:p>
    <w:p w14:paraId="2E543F92" w14:textId="60D05B05" w:rsidR="00EC799B" w:rsidRDefault="00EC799B" w:rsidP="002507FE">
      <w:pPr>
        <w:rPr>
          <w:rFonts w:cs="Times New Roman"/>
          <w:b/>
          <w:bCs/>
          <w:sz w:val="36"/>
          <w:szCs w:val="36"/>
        </w:rPr>
      </w:pPr>
    </w:p>
    <w:p w14:paraId="6A227588" w14:textId="2C2AFBFE" w:rsidR="00BE5C6B" w:rsidRDefault="00BE5C6B" w:rsidP="002507FE">
      <w:pPr>
        <w:pStyle w:val="Heading1"/>
        <w:jc w:val="center"/>
      </w:pPr>
      <w:bookmarkStart w:id="3" w:name="_Toc60841208"/>
      <w:r w:rsidRPr="00110D79">
        <w:t xml:space="preserve">Stream </w:t>
      </w:r>
      <w:r w:rsidR="00B2092D">
        <w:t>n</w:t>
      </w:r>
      <w:r w:rsidRPr="00110D79">
        <w:t xml:space="preserve">etwork </w:t>
      </w:r>
      <w:r w:rsidR="00B2092D">
        <w:t>g</w:t>
      </w:r>
      <w:r w:rsidRPr="00110D79">
        <w:t xml:space="preserve">eometry and the </w:t>
      </w:r>
      <w:r w:rsidR="00B2092D">
        <w:t>s</w:t>
      </w:r>
      <w:r w:rsidRPr="00110D79">
        <w:t xml:space="preserve">patial </w:t>
      </w:r>
      <w:r w:rsidR="00B2092D">
        <w:t>i</w:t>
      </w:r>
      <w:r w:rsidRPr="00110D79">
        <w:t xml:space="preserve">nfluence of </w:t>
      </w:r>
      <w:r w:rsidR="00B2092D">
        <w:t>a</w:t>
      </w:r>
      <w:r w:rsidRPr="00110D79">
        <w:t xml:space="preserve">quatic </w:t>
      </w:r>
      <w:r w:rsidR="00B2092D">
        <w:t>i</w:t>
      </w:r>
      <w:r w:rsidRPr="00110D79">
        <w:t xml:space="preserve">nsect </w:t>
      </w:r>
      <w:r w:rsidR="00B2092D">
        <w:t>s</w:t>
      </w:r>
      <w:r w:rsidRPr="00110D79">
        <w:t xml:space="preserve">ubsidies across the </w:t>
      </w:r>
      <w:r w:rsidR="00B2092D">
        <w:t>c</w:t>
      </w:r>
      <w:r w:rsidRPr="00007B70">
        <w:t>ontiguous</w:t>
      </w:r>
      <w:r w:rsidRPr="00110D79">
        <w:t xml:space="preserve"> United States</w:t>
      </w:r>
      <w:bookmarkEnd w:id="3"/>
    </w:p>
    <w:p w14:paraId="7A39B138" w14:textId="32498980" w:rsidR="00AB3EB0" w:rsidRDefault="00AB3EB0" w:rsidP="008D4BF7">
      <w:pPr>
        <w:jc w:val="center"/>
      </w:pPr>
    </w:p>
    <w:p w14:paraId="4A2CCF70" w14:textId="77777777" w:rsidR="008D4BF7" w:rsidRDefault="008D4BF7" w:rsidP="008D4BF7">
      <w:pPr>
        <w:jc w:val="center"/>
      </w:pPr>
    </w:p>
    <w:p w14:paraId="4687B5FD" w14:textId="55BD6904" w:rsidR="008D4BF7" w:rsidRPr="008D4BF7" w:rsidRDefault="00AB3EB0" w:rsidP="008D4BF7">
      <w:pPr>
        <w:jc w:val="center"/>
        <w:rPr>
          <w:rFonts w:cs="Times New Roman"/>
          <w:szCs w:val="24"/>
        </w:rPr>
      </w:pPr>
      <w:r w:rsidRPr="008D4BF7">
        <w:rPr>
          <w:rFonts w:cs="Times New Roman"/>
          <w:szCs w:val="24"/>
        </w:rPr>
        <w:t xml:space="preserve">Published in 2019 at </w:t>
      </w:r>
      <w:r w:rsidRPr="008D4BF7">
        <w:rPr>
          <w:rFonts w:cs="Times New Roman"/>
          <w:i/>
          <w:iCs/>
          <w:szCs w:val="24"/>
        </w:rPr>
        <w:t xml:space="preserve">Ecosphere </w:t>
      </w:r>
      <w:r w:rsidR="008D4BF7" w:rsidRPr="008D4BF7">
        <w:rPr>
          <w:rFonts w:cs="Times New Roman"/>
          <w:szCs w:val="24"/>
        </w:rPr>
        <w:t>10</w:t>
      </w:r>
      <w:r w:rsidR="00155D79">
        <w:rPr>
          <w:rFonts w:cs="Times New Roman"/>
          <w:szCs w:val="24"/>
        </w:rPr>
        <w:t xml:space="preserve"> (11)</w:t>
      </w:r>
      <w:r w:rsidR="008D4BF7" w:rsidRPr="008D4BF7">
        <w:rPr>
          <w:rFonts w:cs="Times New Roman"/>
          <w:szCs w:val="24"/>
        </w:rPr>
        <w:t>: Article e02926</w:t>
      </w:r>
    </w:p>
    <w:p w14:paraId="1D379620" w14:textId="77777777" w:rsidR="008D4BF7" w:rsidRPr="008D4BF7" w:rsidRDefault="008D4BF7" w:rsidP="008D4BF7">
      <w:pPr>
        <w:rPr>
          <w:rFonts w:cs="Times New Roman"/>
          <w:szCs w:val="24"/>
        </w:rPr>
      </w:pPr>
    </w:p>
    <w:p w14:paraId="6DD7A916" w14:textId="7D8A00B1" w:rsidR="008D4BF7" w:rsidRPr="008D4BF7" w:rsidRDefault="008D4BF7" w:rsidP="008D4BF7">
      <w:pPr>
        <w:jc w:val="center"/>
        <w:rPr>
          <w:rFonts w:cs="Times New Roman"/>
          <w:szCs w:val="24"/>
        </w:rPr>
      </w:pPr>
      <w:r w:rsidRPr="008D4BF7">
        <w:rPr>
          <w:rFonts w:cs="Times New Roman"/>
          <w:szCs w:val="24"/>
        </w:rPr>
        <w:t>Darin A. Kopp and Daniel C. Allen</w:t>
      </w:r>
    </w:p>
    <w:p w14:paraId="057E9F37" w14:textId="77777777" w:rsidR="008D4BF7" w:rsidRPr="008D4BF7" w:rsidRDefault="008D4BF7" w:rsidP="008D4BF7">
      <w:pPr>
        <w:spacing w:line="480" w:lineRule="auto"/>
        <w:contextualSpacing/>
        <w:jc w:val="center"/>
        <w:rPr>
          <w:rFonts w:cs="Times New Roman"/>
          <w:szCs w:val="24"/>
        </w:rPr>
      </w:pPr>
    </w:p>
    <w:p w14:paraId="65AEBBF2" w14:textId="77777777" w:rsidR="008D4BF7" w:rsidRPr="008D4BF7" w:rsidRDefault="008D4BF7" w:rsidP="008D4BF7">
      <w:pPr>
        <w:spacing w:line="480" w:lineRule="auto"/>
        <w:contextualSpacing/>
        <w:jc w:val="center"/>
        <w:rPr>
          <w:rFonts w:cs="Times New Roman"/>
          <w:szCs w:val="24"/>
        </w:rPr>
      </w:pPr>
      <w:r w:rsidRPr="008D4BF7">
        <w:rPr>
          <w:rFonts w:cs="Times New Roman"/>
          <w:szCs w:val="24"/>
        </w:rPr>
        <w:t>Ecology and Evolutionary Biology Program, Department of Biology, University of Oklahoma, Norman, Oklahoma 73071</w:t>
      </w:r>
    </w:p>
    <w:p w14:paraId="73786C17" w14:textId="77777777" w:rsidR="008D4BF7" w:rsidRPr="008D4BF7" w:rsidRDefault="008D4BF7" w:rsidP="008D4BF7">
      <w:pPr>
        <w:jc w:val="center"/>
        <w:rPr>
          <w:rFonts w:cs="Times New Roman"/>
          <w:szCs w:val="24"/>
        </w:rPr>
      </w:pPr>
    </w:p>
    <w:p w14:paraId="2C480BFB" w14:textId="78EED32E" w:rsidR="008A6C2C" w:rsidRDefault="008A6C2C" w:rsidP="008A6C2C">
      <w:pPr>
        <w:rPr>
          <w:rFonts w:cs="Times New Roman"/>
          <w:szCs w:val="24"/>
        </w:rPr>
      </w:pPr>
    </w:p>
    <w:p w14:paraId="7D288E4F" w14:textId="17E85D9E" w:rsidR="004A70A1" w:rsidRDefault="004A70A1" w:rsidP="008A6C2C">
      <w:pPr>
        <w:rPr>
          <w:rFonts w:cs="Times New Roman"/>
          <w:szCs w:val="24"/>
        </w:rPr>
      </w:pPr>
    </w:p>
    <w:p w14:paraId="485C460C" w14:textId="1C66D938" w:rsidR="004A70A1" w:rsidRDefault="004A70A1" w:rsidP="008A6C2C">
      <w:pPr>
        <w:rPr>
          <w:rFonts w:cs="Times New Roman"/>
          <w:szCs w:val="24"/>
        </w:rPr>
      </w:pPr>
    </w:p>
    <w:p w14:paraId="30A7F151" w14:textId="4971B7DE" w:rsidR="004A70A1" w:rsidRDefault="004A70A1" w:rsidP="008A6C2C">
      <w:pPr>
        <w:rPr>
          <w:rFonts w:cs="Times New Roman"/>
          <w:szCs w:val="24"/>
        </w:rPr>
      </w:pPr>
    </w:p>
    <w:p w14:paraId="2AA79E49" w14:textId="4C77F018" w:rsidR="004A70A1" w:rsidRDefault="004A70A1" w:rsidP="008A6C2C">
      <w:pPr>
        <w:rPr>
          <w:rFonts w:cs="Times New Roman"/>
          <w:szCs w:val="24"/>
        </w:rPr>
      </w:pPr>
    </w:p>
    <w:p w14:paraId="3042A03C" w14:textId="20196A1C" w:rsidR="004A70A1" w:rsidRDefault="004A70A1" w:rsidP="008A6C2C">
      <w:pPr>
        <w:rPr>
          <w:rFonts w:cs="Times New Roman"/>
          <w:szCs w:val="24"/>
        </w:rPr>
      </w:pPr>
    </w:p>
    <w:p w14:paraId="0A087A02" w14:textId="772BB385" w:rsidR="004A70A1" w:rsidRDefault="004A70A1" w:rsidP="008A6C2C">
      <w:pPr>
        <w:rPr>
          <w:rFonts w:cs="Times New Roman"/>
          <w:szCs w:val="24"/>
        </w:rPr>
      </w:pPr>
    </w:p>
    <w:p w14:paraId="6292EB9E" w14:textId="6CA40C96" w:rsidR="004A70A1" w:rsidRDefault="004A70A1" w:rsidP="008A6C2C">
      <w:pPr>
        <w:rPr>
          <w:rFonts w:cs="Times New Roman"/>
          <w:szCs w:val="24"/>
        </w:rPr>
      </w:pPr>
    </w:p>
    <w:p w14:paraId="6C83CDC7" w14:textId="38BB14D2" w:rsidR="004A70A1" w:rsidRDefault="004A70A1" w:rsidP="008A6C2C">
      <w:pPr>
        <w:rPr>
          <w:rFonts w:cs="Times New Roman"/>
          <w:szCs w:val="24"/>
        </w:rPr>
      </w:pPr>
    </w:p>
    <w:p w14:paraId="7C1A80FF" w14:textId="51E0BA70" w:rsidR="004A70A1" w:rsidRDefault="004A70A1" w:rsidP="008A6C2C">
      <w:pPr>
        <w:rPr>
          <w:rFonts w:cs="Times New Roman"/>
          <w:szCs w:val="24"/>
        </w:rPr>
      </w:pPr>
    </w:p>
    <w:p w14:paraId="355D4B75" w14:textId="77777777" w:rsidR="00CD24D0" w:rsidRDefault="00CD24D0" w:rsidP="008A6C2C">
      <w:pPr>
        <w:rPr>
          <w:rFonts w:cs="Times New Roman"/>
          <w:szCs w:val="24"/>
        </w:rPr>
      </w:pPr>
    </w:p>
    <w:p w14:paraId="43E2E895" w14:textId="66AE30DF" w:rsidR="004A70A1" w:rsidRDefault="004A70A1" w:rsidP="008A6C2C">
      <w:pPr>
        <w:rPr>
          <w:rFonts w:cs="Times New Roman"/>
          <w:szCs w:val="24"/>
        </w:rPr>
      </w:pPr>
    </w:p>
    <w:p w14:paraId="4395C410" w14:textId="77777777" w:rsidR="004A70A1" w:rsidRPr="00110D79" w:rsidRDefault="004A70A1" w:rsidP="008A6C2C">
      <w:pPr>
        <w:rPr>
          <w:rFonts w:cs="Times New Roman"/>
          <w:szCs w:val="24"/>
        </w:rPr>
      </w:pPr>
    </w:p>
    <w:p w14:paraId="076E5969" w14:textId="77777777" w:rsidR="00DE2F83" w:rsidRPr="00110D79" w:rsidRDefault="00DE2F83" w:rsidP="00110D79">
      <w:pPr>
        <w:pStyle w:val="Heading2"/>
        <w:rPr>
          <w:rFonts w:cs="Times New Roman"/>
          <w:szCs w:val="24"/>
        </w:rPr>
      </w:pPr>
      <w:bookmarkStart w:id="4" w:name="_Toc60841209"/>
      <w:r w:rsidRPr="00110D79">
        <w:rPr>
          <w:rFonts w:cs="Times New Roman"/>
          <w:szCs w:val="24"/>
        </w:rPr>
        <w:lastRenderedPageBreak/>
        <w:t>Abstract</w:t>
      </w:r>
      <w:bookmarkEnd w:id="4"/>
    </w:p>
    <w:p w14:paraId="03CA7BD0" w14:textId="50539303" w:rsidR="00DE2F83" w:rsidRDefault="00DE2F83" w:rsidP="00DE2F83">
      <w:pPr>
        <w:spacing w:before="100" w:beforeAutospacing="1" w:after="100" w:afterAutospacing="1" w:line="480" w:lineRule="auto"/>
        <w:ind w:firstLine="720"/>
        <w:contextualSpacing/>
        <w:rPr>
          <w:rFonts w:cs="Times New Roman"/>
          <w:szCs w:val="24"/>
        </w:rPr>
      </w:pPr>
      <w:r w:rsidRPr="00110D79">
        <w:rPr>
          <w:rFonts w:cs="Times New Roman"/>
          <w:szCs w:val="24"/>
        </w:rPr>
        <w:t>Emergent aquatic insects</w:t>
      </w:r>
      <w:r w:rsidRPr="00640B45">
        <w:rPr>
          <w:rFonts w:cs="Times New Roman"/>
          <w:szCs w:val="24"/>
        </w:rPr>
        <w:t xml:space="preserve"> transport aquatic-derived resources into terrestrial ecosystems but are rarely studied</w:t>
      </w:r>
      <w:r>
        <w:rPr>
          <w:rFonts w:cs="Times New Roman"/>
          <w:szCs w:val="24"/>
        </w:rPr>
        <w:t xml:space="preserve"> at landscape or regional scales</w:t>
      </w:r>
      <w:r w:rsidRPr="00640B45">
        <w:rPr>
          <w:rFonts w:cs="Times New Roman"/>
          <w:szCs w:val="24"/>
        </w:rPr>
        <w:t xml:space="preserve">. </w:t>
      </w:r>
      <w:r>
        <w:rPr>
          <w:rFonts w:cs="Times New Roman"/>
          <w:szCs w:val="24"/>
        </w:rPr>
        <w:t>Here, w</w:t>
      </w:r>
      <w:r w:rsidRPr="00640B45">
        <w:rPr>
          <w:rFonts w:cs="Times New Roman"/>
          <w:szCs w:val="24"/>
        </w:rPr>
        <w:t>e</w:t>
      </w:r>
      <w:r>
        <w:rPr>
          <w:rFonts w:cs="Times New Roman"/>
          <w:szCs w:val="24"/>
        </w:rPr>
        <w:t xml:space="preserve"> </w:t>
      </w:r>
      <w:r w:rsidRPr="00640B45">
        <w:rPr>
          <w:rFonts w:cs="Times New Roman"/>
          <w:szCs w:val="24"/>
        </w:rPr>
        <w:t xml:space="preserve">investigate </w:t>
      </w:r>
      <w:r>
        <w:rPr>
          <w:rFonts w:cs="Times New Roman"/>
          <w:szCs w:val="24"/>
        </w:rPr>
        <w:t>how</w:t>
      </w:r>
      <w:r w:rsidRPr="00640B45">
        <w:rPr>
          <w:rFonts w:cs="Times New Roman"/>
          <w:szCs w:val="24"/>
        </w:rPr>
        <w:t xml:space="preserve"> </w:t>
      </w:r>
      <w:r>
        <w:rPr>
          <w:rFonts w:cs="Times New Roman"/>
          <w:szCs w:val="24"/>
        </w:rPr>
        <w:t>stream network geometry</w:t>
      </w:r>
      <w:r w:rsidRPr="00640B45">
        <w:rPr>
          <w:rFonts w:cs="Times New Roman"/>
          <w:szCs w:val="24"/>
        </w:rPr>
        <w:t xml:space="preserve"> </w:t>
      </w:r>
      <w:r>
        <w:rPr>
          <w:rFonts w:cs="Times New Roman"/>
          <w:szCs w:val="24"/>
        </w:rPr>
        <w:t xml:space="preserve">constrains the </w:t>
      </w:r>
      <w:r w:rsidRPr="00640B45">
        <w:rPr>
          <w:rFonts w:cs="Times New Roman"/>
          <w:szCs w:val="24"/>
        </w:rPr>
        <w:t xml:space="preserve">spatial </w:t>
      </w:r>
      <w:r>
        <w:rPr>
          <w:rFonts w:cs="Times New Roman"/>
          <w:szCs w:val="24"/>
        </w:rPr>
        <w:t xml:space="preserve">influence </w:t>
      </w:r>
      <w:r w:rsidRPr="00640B45">
        <w:rPr>
          <w:rFonts w:cs="Times New Roman"/>
          <w:szCs w:val="24"/>
        </w:rPr>
        <w:t xml:space="preserve">of aquatic insect subsidies </w:t>
      </w:r>
      <w:r>
        <w:rPr>
          <w:rFonts w:cs="Times New Roman"/>
          <w:szCs w:val="24"/>
        </w:rPr>
        <w:t xml:space="preserve">in terrestrial ecosystems. We also explore potential factors (i.e. </w:t>
      </w:r>
      <w:r w:rsidRPr="00640B45">
        <w:rPr>
          <w:rFonts w:cs="Times New Roman"/>
          <w:szCs w:val="24"/>
        </w:rPr>
        <w:t>climate, topography, soils and vegetation</w:t>
      </w:r>
      <w:r>
        <w:rPr>
          <w:rFonts w:cs="Times New Roman"/>
          <w:szCs w:val="24"/>
        </w:rPr>
        <w:t>) that could produce variation in stream network geometry and thus change the extent of aquatic insect subsidies form one region to another</w:t>
      </w:r>
      <w:r w:rsidRPr="00640B45">
        <w:rPr>
          <w:rFonts w:cs="Times New Roman"/>
          <w:szCs w:val="24"/>
        </w:rPr>
        <w:t xml:space="preserve">. The “stream signature” </w:t>
      </w:r>
      <w:r>
        <w:rPr>
          <w:rFonts w:cs="Times New Roman"/>
          <w:szCs w:val="24"/>
        </w:rPr>
        <w:t>is</w:t>
      </w:r>
      <w:r w:rsidRPr="00640B45">
        <w:rPr>
          <w:rFonts w:cs="Times New Roman"/>
          <w:szCs w:val="24"/>
        </w:rPr>
        <w:t xml:space="preserve"> the </w:t>
      </w:r>
      <w:r>
        <w:rPr>
          <w:rFonts w:cs="Times New Roman"/>
          <w:szCs w:val="24"/>
        </w:rPr>
        <w:t>percentage</w:t>
      </w:r>
      <w:r w:rsidRPr="00640B45">
        <w:rPr>
          <w:rFonts w:cs="Times New Roman"/>
          <w:szCs w:val="24"/>
        </w:rPr>
        <w:t xml:space="preserve"> of aquatic insect subsidies</w:t>
      </w:r>
      <w:r>
        <w:rPr>
          <w:rFonts w:cs="Times New Roman"/>
          <w:szCs w:val="24"/>
        </w:rPr>
        <w:t xml:space="preserve"> traveling </w:t>
      </w:r>
      <w:r w:rsidRPr="00640B45">
        <w:rPr>
          <w:rFonts w:cs="Times New Roman"/>
          <w:szCs w:val="24"/>
        </w:rPr>
        <w:t>a</w:t>
      </w:r>
      <w:r>
        <w:rPr>
          <w:rFonts w:cs="Times New Roman"/>
          <w:szCs w:val="24"/>
        </w:rPr>
        <w:t xml:space="preserve"> given</w:t>
      </w:r>
      <w:r w:rsidRPr="00640B45">
        <w:rPr>
          <w:rFonts w:cs="Times New Roman"/>
          <w:szCs w:val="24"/>
        </w:rPr>
        <w:t xml:space="preserve"> distance</w:t>
      </w:r>
      <w:r>
        <w:rPr>
          <w:rFonts w:cs="Times New Roman"/>
          <w:szCs w:val="24"/>
        </w:rPr>
        <w:t xml:space="preserve"> into the </w:t>
      </w:r>
      <w:r w:rsidRPr="00640B45">
        <w:rPr>
          <w:rFonts w:cs="Times New Roman"/>
          <w:szCs w:val="24"/>
        </w:rPr>
        <w:t>terrestrial ecosystem</w:t>
      </w:r>
      <w:r>
        <w:rPr>
          <w:rFonts w:cs="Times New Roman"/>
          <w:szCs w:val="24"/>
        </w:rPr>
        <w:t>, relative to what comes out of the stream.</w:t>
      </w:r>
      <w:r w:rsidRPr="00640B45">
        <w:rPr>
          <w:rFonts w:cs="Times New Roman"/>
          <w:szCs w:val="24"/>
        </w:rPr>
        <w:t xml:space="preserve"> We use this concept to model the spatial extent </w:t>
      </w:r>
      <w:r>
        <w:rPr>
          <w:rFonts w:cs="Times New Roman"/>
          <w:szCs w:val="24"/>
        </w:rPr>
        <w:t xml:space="preserve">(area) </w:t>
      </w:r>
      <w:r w:rsidRPr="00640B45">
        <w:rPr>
          <w:rFonts w:cs="Times New Roman"/>
          <w:szCs w:val="24"/>
        </w:rPr>
        <w:t xml:space="preserve">and distribution </w:t>
      </w:r>
      <w:r>
        <w:rPr>
          <w:rFonts w:cs="Times New Roman"/>
          <w:szCs w:val="24"/>
        </w:rPr>
        <w:t xml:space="preserve">(spatial patterning) </w:t>
      </w:r>
      <w:r w:rsidRPr="00640B45">
        <w:rPr>
          <w:rFonts w:cs="Times New Roman"/>
          <w:szCs w:val="24"/>
        </w:rPr>
        <w:t>of aquatic subsidies in terrestrial ecosystems across the contiguous US. Our findings suggest</w:t>
      </w:r>
      <w:r>
        <w:rPr>
          <w:rFonts w:cs="Times New Roman"/>
          <w:szCs w:val="24"/>
        </w:rPr>
        <w:t xml:space="preserve"> that</w:t>
      </w:r>
      <w:r w:rsidRPr="00640B45">
        <w:rPr>
          <w:rFonts w:cs="Times New Roman"/>
          <w:szCs w:val="24"/>
        </w:rPr>
        <w:t xml:space="preserve"> at least 8% of the subsidies measured at the aquatic-terrestrial boundary (i.e. the 8% stream signature) are </w:t>
      </w:r>
      <w:r>
        <w:rPr>
          <w:rFonts w:cs="Times New Roman"/>
          <w:szCs w:val="24"/>
        </w:rPr>
        <w:t xml:space="preserve">typically </w:t>
      </w:r>
      <w:r w:rsidRPr="00640B45">
        <w:rPr>
          <w:rFonts w:cs="Times New Roman"/>
          <w:szCs w:val="24"/>
        </w:rPr>
        <w:t>transferred throughout the entire watershed and that variation in this spatial extent is largel</w:t>
      </w:r>
      <w:r>
        <w:rPr>
          <w:rFonts w:cs="Times New Roman"/>
          <w:szCs w:val="24"/>
        </w:rPr>
        <w:t xml:space="preserve">y influenced by the drainage </w:t>
      </w:r>
      <w:r w:rsidRPr="00640B45">
        <w:rPr>
          <w:rFonts w:cs="Times New Roman"/>
          <w:szCs w:val="24"/>
        </w:rPr>
        <w:t>density</w:t>
      </w:r>
      <w:r>
        <w:rPr>
          <w:rFonts w:cs="Times New Roman"/>
          <w:szCs w:val="24"/>
        </w:rPr>
        <w:t xml:space="preserve"> of the stream network</w:t>
      </w:r>
      <w:r w:rsidRPr="00640B45">
        <w:rPr>
          <w:rFonts w:cs="Times New Roman"/>
          <w:szCs w:val="24"/>
        </w:rPr>
        <w:t xml:space="preserve">. Moreover, we </w:t>
      </w:r>
      <w:r>
        <w:rPr>
          <w:rFonts w:cs="Times New Roman"/>
          <w:szCs w:val="24"/>
        </w:rPr>
        <w:t>found</w:t>
      </w:r>
      <w:r w:rsidRPr="00640B45">
        <w:rPr>
          <w:rFonts w:cs="Times New Roman"/>
          <w:szCs w:val="24"/>
        </w:rPr>
        <w:t xml:space="preserve"> </w:t>
      </w:r>
      <w:r>
        <w:rPr>
          <w:rFonts w:cs="Times New Roman"/>
          <w:szCs w:val="24"/>
        </w:rPr>
        <w:t>stream signatures from individual stream reaches overlap such that the spatial extent of the 8% stream signature often includes inputs from multiple stream reaches. Landscape-scale stream network characteristics increased the area of overlapping stream signatures more than reach-scale channel properties</w:t>
      </w:r>
      <w:r w:rsidRPr="00640B45">
        <w:rPr>
          <w:rFonts w:cs="Times New Roman"/>
          <w:szCs w:val="24"/>
        </w:rPr>
        <w:t xml:space="preserve">. Finally, </w:t>
      </w:r>
      <w:r>
        <w:rPr>
          <w:rFonts w:cs="Times New Roman"/>
          <w:szCs w:val="24"/>
        </w:rPr>
        <w:t xml:space="preserve">we found runoff was an important factor influencing </w:t>
      </w:r>
      <w:r w:rsidRPr="00640B45">
        <w:rPr>
          <w:rFonts w:cs="Times New Roman"/>
          <w:szCs w:val="24"/>
        </w:rPr>
        <w:t>stream network geometry</w:t>
      </w:r>
      <w:r>
        <w:rPr>
          <w:rFonts w:cs="Times New Roman"/>
          <w:szCs w:val="24"/>
        </w:rPr>
        <w:t xml:space="preserve"> suggesting a potential effect of climate on </w:t>
      </w:r>
      <w:r w:rsidRPr="00640B45">
        <w:rPr>
          <w:rFonts w:cs="Times New Roman"/>
          <w:szCs w:val="24"/>
        </w:rPr>
        <w:t>aquatic-</w:t>
      </w:r>
      <w:r>
        <w:rPr>
          <w:rFonts w:cs="Times New Roman"/>
          <w:szCs w:val="24"/>
        </w:rPr>
        <w:t>to-</w:t>
      </w:r>
      <w:r w:rsidRPr="00640B45">
        <w:rPr>
          <w:rFonts w:cs="Times New Roman"/>
          <w:szCs w:val="24"/>
        </w:rPr>
        <w:t>terrestrial linkages</w:t>
      </w:r>
      <w:r>
        <w:rPr>
          <w:rFonts w:cs="Times New Roman"/>
          <w:szCs w:val="24"/>
        </w:rPr>
        <w:t xml:space="preserve"> that has been understudied.</w:t>
      </w:r>
      <w:r w:rsidRPr="00640B45">
        <w:rPr>
          <w:rFonts w:cs="Times New Roman"/>
          <w:szCs w:val="24"/>
        </w:rPr>
        <w:t xml:space="preserve"> </w:t>
      </w:r>
    </w:p>
    <w:p w14:paraId="3C5504E2" w14:textId="77777777" w:rsidR="00FD42FE" w:rsidRDefault="00FD42FE" w:rsidP="00FD42FE">
      <w:pPr>
        <w:spacing w:before="100" w:beforeAutospacing="1" w:after="100" w:afterAutospacing="1" w:line="480" w:lineRule="auto"/>
        <w:contextualSpacing/>
        <w:rPr>
          <w:rFonts w:cs="Times New Roman"/>
          <w:szCs w:val="24"/>
        </w:rPr>
      </w:pPr>
    </w:p>
    <w:p w14:paraId="313BBEB8" w14:textId="05BD541E" w:rsidR="00B27B90" w:rsidRDefault="00FD42FE" w:rsidP="00FD42FE">
      <w:pPr>
        <w:spacing w:before="100" w:beforeAutospacing="1" w:after="100" w:afterAutospacing="1" w:line="480" w:lineRule="auto"/>
        <w:contextualSpacing/>
        <w:rPr>
          <w:rFonts w:cs="Times New Roman"/>
          <w:szCs w:val="24"/>
        </w:rPr>
      </w:pPr>
      <w:r w:rsidRPr="00FD42FE">
        <w:rPr>
          <w:rFonts w:cs="Times New Roman"/>
          <w:b/>
          <w:bCs/>
          <w:szCs w:val="24"/>
        </w:rPr>
        <w:t>Keywords:</w:t>
      </w:r>
      <w:r>
        <w:rPr>
          <w:rFonts w:cs="Times New Roman"/>
          <w:szCs w:val="24"/>
        </w:rPr>
        <w:t xml:space="preserve"> Aquatic Insects, Confluences, Meanders, Resource Subsidy, Spatial Patterns, Stream Networks, Sub-basins</w:t>
      </w:r>
    </w:p>
    <w:p w14:paraId="4B50C822" w14:textId="77777777" w:rsidR="00FD42FE" w:rsidRPr="00640B45" w:rsidRDefault="00FD42FE" w:rsidP="00FD42FE">
      <w:pPr>
        <w:spacing w:before="100" w:beforeAutospacing="1" w:after="100" w:afterAutospacing="1" w:line="480" w:lineRule="auto"/>
        <w:contextualSpacing/>
        <w:rPr>
          <w:rFonts w:cs="Times New Roman"/>
          <w:szCs w:val="24"/>
        </w:rPr>
      </w:pPr>
    </w:p>
    <w:p w14:paraId="4703D92B" w14:textId="77777777" w:rsidR="00BE5C6B" w:rsidRPr="005023AB" w:rsidRDefault="00BE5C6B" w:rsidP="00110D79">
      <w:pPr>
        <w:pStyle w:val="Heading2"/>
      </w:pPr>
      <w:bookmarkStart w:id="5" w:name="_Toc60841210"/>
      <w:r w:rsidRPr="005023AB">
        <w:lastRenderedPageBreak/>
        <w:t>Introduction</w:t>
      </w:r>
      <w:bookmarkEnd w:id="5"/>
    </w:p>
    <w:p w14:paraId="79AF1CA3" w14:textId="4067E19B" w:rsidR="00BE5C6B" w:rsidRPr="00640B45" w:rsidRDefault="00BE5C6B" w:rsidP="00BE5C6B">
      <w:pPr>
        <w:spacing w:before="100" w:beforeAutospacing="1" w:after="100" w:afterAutospacing="1" w:line="480" w:lineRule="auto"/>
        <w:ind w:firstLine="720"/>
        <w:contextualSpacing/>
        <w:rPr>
          <w:rFonts w:eastAsia="Times New Roman" w:cs="Times New Roman"/>
          <w:szCs w:val="24"/>
        </w:rPr>
      </w:pPr>
      <w:r w:rsidRPr="00640B45">
        <w:rPr>
          <w:rFonts w:eastAsia="Times New Roman" w:cs="Times New Roman"/>
          <w:szCs w:val="24"/>
        </w:rPr>
        <w:t xml:space="preserve">Aquatic and terrestrial ecosystems comprise a meta-ecosystem linked by flows of material and energy across their boundaries </w:t>
      </w:r>
      <w:r w:rsidR="0096235C">
        <w:rPr>
          <w:rFonts w:eastAsia="Times New Roman" w:cs="Times New Roman"/>
          <w:szCs w:val="24"/>
        </w:rPr>
        <w:fldChar w:fldCharType="begin" w:fldLock="1"/>
      </w:r>
      <w:r w:rsidR="008759C3">
        <w:rPr>
          <w:rFonts w:eastAsia="Times New Roman" w:cs="Times New Roman"/>
          <w:szCs w:val="24"/>
        </w:rPr>
        <w:instrText>ADDIN CSL_CITATION {"citationItems":[{"id":"ITEM-1","itemData":{"DOI":"10.1146/annurev.ecolsys.28.1.289","ISBN":"0066-4162","ISSN":"0066-4162","PMID":"4606","abstract":"We focus on the implications of movement, landscape variables, and spatial heterogeneity for food web dynamics. Movements of nutrients, detritus, prey, and consumers among habitats are ubiquitous in diverse biomes and can strongly influence population, consumer-resource, food web, and community dynamics. Nutrient and detrital subsidies usually increase primary and secondary productivity, both directly and indirectly. Prey subsidies, by movement of either prey or predators, usually enhance predator abundance beyond what local resources can support. Top-down effects occur when spatially subsidized consumers affect local resources by suppressing key resources and occasionally by initiating trophic cascades. Effects on community dynamics vary with the relative amount of input, the trophic roles of the mobile and recipient entities, and the local food web structure. Landscape variables such as the perimeter/area ratio of the focal habitat, permeability of habitat boundaries, and relative productivity of trophically connected habitats affect the degree and importance of spatial subsidization.","author":[{"dropping-particle":"","family":"Polis","given":"Gary A.","non-dropping-particle":"","parse-names":false,"suffix":""},{"dropping-particle":"","family":"Anderson","given":"Wendy B.","non-dropping-particle":"","parse-names":false,"suffix":""},{"dropping-particle":"","family":"Holt","given":"Robert D.","non-dropping-particle":"","parse-names":false,"suffix":""}],"container-title":"Annual Review of Ecology and Systematics","id":"ITEM-1","issue":"1","issued":{"date-parts":[["1997"]]},"note":"1. Introduction\n2. Landscape Considerations\n3. Flow and matial subsidies: direct effects \n3A. Movement of nutrients and detritus \n3aa. water to water\n3ab. land to water\n3ac. water to land\n3ad. land to land \n3B. Movement of Prey\n3ba. water to water\n3bb. land to water\n3bc. water to land\n3bd. land to land \n3C. Movement of Consumers\n3ca. water to water\n3cb. between land and water\n3bc. land to land\n4. Flow and spatial subsidies: indirect effects on trophic dynamics \n4A. Donor control\n4B. Movement of Nutrients\n4C. Movement of Detritus\n4D. Movement of Prey\n4E. Movement of Consumers\n5. Case Study: Isalnds and the ocean-land interface\n6. Direct and indirect efffects of saptial subsidies: theory \n6A. Prey Flow, Specialist Predator \n6B. Flow of Alternative Prey, Generalist Predator \n6C. Predator Flow, Resident Prey \n6D. Landscape Variables Influencing Immigration and Input Rates \n7. Overview","page":"289-316","title":"Toward an integration of landscape and food web ecology: the dynamics of spatially subsidized food webs","type":"article-journal","volume":"28"},"uris":["http://www.mendeley.com/documents/?uuid=f3f09f25-5139-450d-b5ea-5cd1938f60b3"]},{"id":"ITEM-2","itemData":{"DOI":"10.1046/j.1461-0248.2003.00483.x","ISSN":"1461-023X","author":[{"dropping-particle":"","family":"Loreau","given":"Michel","non-dropping-particle":"","parse-names":false,"suffix":""},{"dropping-particle":"","family":"Mouquet","given":"Nicolas","non-dropping-particle":"","parse-names":false,"suffix":""},{"dropping-particle":"","family":"Holt","given":"Robert D.","non-dropping-particle":"","parse-names":false,"suffix":""}],"container-title":"Ecology Letters","id":"ITEM-2","issue":"8","issued":{"date-parts":[["2003","8"]]},"page":"673-679","title":"Meta-ecosystems: a theoretical framework for a spatial ecosystem ecology","type":"article-journal","volume":"6"},"uris":["http://www.mendeley.com/documents/?uuid=d40acc60-0beb-4a28-a0d6-470e5da099b4"]},{"id":"ITEM-3","itemData":{"DOI":"10.1007/s10021-016-0050-7","ISBN":"1435-0629","ISSN":"14350629","abstract":"Floods, spatially complex water flows, and organism movements all generate important fluxes of aquatic-derived materials into terrestrial habitats, counteracting the gravity-driven downhill transport of matter from terrestrial-to-aquatic ecosystems. The magnitude of these aquatic subsidies is often smaller than terrestrial subsidies to aquatic ecosystems but higher in nutritional quality, energy density, and nutrient concentration. The lateral extent of biological aquatic subsidies is typically small, extending only a few meters into riparian habitat; however, terrestrial consumers often aggregate on shorelines to capitalize on these high-quality resources. Although the ecological effects of aquatic subsidies remain partially understood, it is clear that ongoing human modification to aquatic ecosystems, riparian habitats and river floodplains affect the magnitude, quality, and spatial and temporal patterning of aquatic subsidies in terrestrial landscapes. These changes will alter the character of aquatic–terrestrial coupling and have consequences for terrestrial organisms that rely on these high-quality and temporally dependable resource subsidies. Homogenization of landscapes and flow regimes, eutrophication, exotic species, and contaminants all represent threats to the vital flows of aquatic-derived resources into terrestrial ecosystems. Research emphasizing that landscapes are integrated terrestrial–aquatic systems, characterized by both biological and hydrological flows among habitats, is needed for understanding the consequences of aquatic subsidies and managing ecological risks of ongoing human development.","author":[{"dropping-particle":"","family":"Schindler","given":"Daniel E.","non-dropping-particle":"","parse-names":false,"suffix":""},{"dropping-particle":"","family":"Smits","given":"Adrianne P.","non-dropping-particle":"","parse-names":false,"suffix":""}],"container-title":"Ecosystems","id":"ITEM-3","issued":{"date-parts":[["2017"]]},"page":"78-93","publisher":"Springer US","title":"Subsidies of Aquatic Resources in Terrestrial Ecosystems","type":"article-journal","volume":"20"},"uris":["http://www.mendeley.com/documents/?uuid=befe7691-520e-4605-a56a-8f676565a217"]}],"mendeley":{"formattedCitation":"(Polis et al. 1997, Loreau et al. 2003, Schindler and Smits 2017)","manualFormatting":"(i.e. “resource subsidies”, Polis et al. 1997, Loreau et al. 2003, Schindler and Smits 2017)","plainTextFormattedCitation":"(Polis et al. 1997, Loreau et al. 2003, Schindler and Smits 2017)","previouslyFormattedCitation":"(Polis et al. 1997, Loreau et al. 2003, Schindler and Smits 2017)"},"properties":{"noteIndex":0},"schema":"https://github.com/citation-style-language/schema/raw/master/csl-citation.json"}</w:instrText>
      </w:r>
      <w:r w:rsidR="0096235C">
        <w:rPr>
          <w:rFonts w:eastAsia="Times New Roman" w:cs="Times New Roman"/>
          <w:szCs w:val="24"/>
        </w:rPr>
        <w:fldChar w:fldCharType="separate"/>
      </w:r>
      <w:r w:rsidR="0096235C" w:rsidRPr="0096235C">
        <w:rPr>
          <w:rFonts w:eastAsia="Times New Roman" w:cs="Times New Roman"/>
          <w:noProof/>
          <w:szCs w:val="24"/>
        </w:rPr>
        <w:t>(</w:t>
      </w:r>
      <w:r w:rsidR="00325B81" w:rsidRPr="00640B45">
        <w:rPr>
          <w:rFonts w:eastAsia="Times New Roman" w:cs="Times New Roman"/>
          <w:noProof/>
          <w:szCs w:val="24"/>
        </w:rPr>
        <w:t xml:space="preserve">i.e. </w:t>
      </w:r>
      <w:r w:rsidR="00325B81">
        <w:rPr>
          <w:rFonts w:eastAsia="Times New Roman" w:cs="Times New Roman"/>
          <w:noProof/>
          <w:szCs w:val="24"/>
        </w:rPr>
        <w:t>“resource subsidies”,</w:t>
      </w:r>
      <w:r w:rsidR="00325B81" w:rsidRPr="00640B45">
        <w:rPr>
          <w:rFonts w:eastAsia="Times New Roman" w:cs="Times New Roman"/>
          <w:noProof/>
          <w:szCs w:val="24"/>
        </w:rPr>
        <w:t xml:space="preserve"> </w:t>
      </w:r>
      <w:r w:rsidR="0096235C" w:rsidRPr="0096235C">
        <w:rPr>
          <w:rFonts w:eastAsia="Times New Roman" w:cs="Times New Roman"/>
          <w:noProof/>
          <w:szCs w:val="24"/>
        </w:rPr>
        <w:t>Polis et al. 1997, Loreau et al. 2003, Schindler and Smits 2017)</w:t>
      </w:r>
      <w:r w:rsidR="0096235C">
        <w:rPr>
          <w:rFonts w:eastAsia="Times New Roman" w:cs="Times New Roman"/>
          <w:szCs w:val="24"/>
        </w:rPr>
        <w:fldChar w:fldCharType="end"/>
      </w:r>
      <w:r w:rsidRPr="00640B45">
        <w:rPr>
          <w:rFonts w:eastAsia="Times New Roman" w:cs="Times New Roman"/>
          <w:szCs w:val="24"/>
        </w:rPr>
        <w:t>. Emergent aquatic insects</w:t>
      </w:r>
      <w:r w:rsidR="00FA60D1">
        <w:rPr>
          <w:rFonts w:eastAsia="Times New Roman" w:cs="Times New Roman"/>
          <w:szCs w:val="24"/>
        </w:rPr>
        <w:t xml:space="preserve"> counteract gradational forces and transport</w:t>
      </w:r>
      <w:r w:rsidRPr="00640B45">
        <w:rPr>
          <w:rFonts w:eastAsia="Times New Roman" w:cs="Times New Roman"/>
          <w:szCs w:val="24"/>
        </w:rPr>
        <w:t xml:space="preserve"> aquatic-derived </w:t>
      </w:r>
      <w:r w:rsidR="00FA60D1">
        <w:rPr>
          <w:rFonts w:eastAsia="Times New Roman" w:cs="Times New Roman"/>
          <w:szCs w:val="24"/>
        </w:rPr>
        <w:t>resource</w:t>
      </w:r>
      <w:r w:rsidRPr="00640B45">
        <w:rPr>
          <w:rFonts w:eastAsia="Times New Roman" w:cs="Times New Roman"/>
          <w:szCs w:val="24"/>
        </w:rPr>
        <w:t xml:space="preserve"> subsidies to terrestrial ecosystems </w:t>
      </w:r>
      <w:r w:rsidRPr="00640B45">
        <w:rPr>
          <w:rStyle w:val="FootnoteReference"/>
          <w:rFonts w:eastAsia="Times New Roman" w:cs="Times New Roman"/>
          <w:szCs w:val="24"/>
        </w:rPr>
        <w:fldChar w:fldCharType="begin" w:fldLock="1"/>
      </w:r>
      <w:r w:rsidR="00306019">
        <w:rPr>
          <w:rFonts w:eastAsia="Times New Roman" w:cs="Times New Roman"/>
          <w:szCs w:val="24"/>
        </w:rPr>
        <w:instrText>ADDIN CSL_CITATION {"citationItems":[{"id":"ITEM-1","itemData":{"DOI":"10.1111/j.1365-2427.2004.01328.x","ISBN":"0046-5070","ISSN":"00465070","abstract":"1.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Biology","id":"ITEM-1","issue":"2","issued":{"date-parts":[["2005"]]},"note":"1.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zones","type":"article-journal","volume":"50"},"uris":["http://www.mendeley.com/documents/?uuid=02c84270-0e51-41d1-a8fa-ddbed6efb2f2"]},{"id":"ITEM-2","itemData":{"DOI":"10.1007/s10021-016-0050-7","ISBN":"1435-0629","ISSN":"14350629","abstract":"Floods, spatially complex water flows, and organism movements all generate important fluxes of aquatic-derived materials into terrestrial habitats, counteracting the gravity-driven downhill transport of matter from terrestrial-to-aquatic ecosystems. The magnitude of these aquatic subsidies is often smaller than terrestrial subsidies to aquatic ecosystems but higher in nutritional quality, energy density, and nutrient concentration. The lateral extent of biological aquatic subsidies is typically small, extending only a few meters into riparian habitat; however, terrestrial consumers often aggregate on shorelines to capitalize on these high-quality resources. Although the ecological effects of aquatic subsidies remain partially understood, it is clear that ongoing human modification to aquatic ecosystems, riparian habitats and river floodplains affect the magnitude, quality, and spatial and temporal patterning of aquatic subsidies in terrestrial landscapes. These changes will alter the character of aquatic–terrestrial coupling and have consequences for terrestrial organisms that rely on these high-quality and temporally dependable resource subsidies. Homogenization of landscapes and flow regimes, eutrophication, exotic species, and contaminants all represent threats to the vital flows of aquatic-derived resources into terrestrial ecosystems. Research emphasizing that landscapes are integrated terrestrial–aquatic systems, characterized by both biological and hydrological flows among habitats, is needed for understanding the consequences of aquatic subsidies and managing ecological risks of ongoing human development.","author":[{"dropping-particle":"","family":"Schindler","given":"Daniel E.","non-dropping-particle":"","parse-names":false,"suffix":""},{"dropping-particle":"","family":"Smits","given":"Adrianne P.","non-dropping-particle":"","parse-names":false,"suffix":""}],"container-title":"Ecosystems","id":"ITEM-2","issued":{"date-parts":[["2017"]]},"page":"78-93","publisher":"Springer US","title":"Subsidies of Aquatic Resources in Terrestrial Ecosystems","type":"article-journal","volume":"20"},"uris":["http://www.mendeley.com/documents/?uuid=befe7691-520e-4605-a56a-8f676565a217"]}],"mendeley":{"formattedCitation":"(Baxter et al. 2005, Schindler and Smits 2017)","plainTextFormattedCitation":"(Baxter et al. 2005, Schindler and Smits 2017)","previouslyFormattedCitation":"(Baxter et al. 2005, Schindler and Smits 2017)"},"properties":{"noteIndex":0},"schema":"https://github.com/citation-style-language/schema/raw/master/csl-citation.json"}</w:instrText>
      </w:r>
      <w:r w:rsidRPr="00640B45">
        <w:rPr>
          <w:rStyle w:val="FootnoteReference"/>
          <w:rFonts w:eastAsia="Times New Roman" w:cs="Times New Roman"/>
          <w:szCs w:val="24"/>
        </w:rPr>
        <w:fldChar w:fldCharType="separate"/>
      </w:r>
      <w:r w:rsidR="0034241C" w:rsidRPr="0034241C">
        <w:rPr>
          <w:rFonts w:eastAsia="Times New Roman" w:cs="Times New Roman"/>
          <w:bCs/>
          <w:noProof/>
          <w:szCs w:val="24"/>
        </w:rPr>
        <w:t>(Baxter et al. 2005, Schindler and Smits 2017)</w:t>
      </w:r>
      <w:r w:rsidRPr="00640B45">
        <w:rPr>
          <w:rStyle w:val="FootnoteReference"/>
          <w:rFonts w:eastAsia="Times New Roman" w:cs="Times New Roman"/>
          <w:szCs w:val="24"/>
        </w:rPr>
        <w:fldChar w:fldCharType="end"/>
      </w:r>
      <w:r w:rsidR="00007B70">
        <w:rPr>
          <w:rFonts w:eastAsia="Times New Roman" w:cs="Times New Roman"/>
          <w:szCs w:val="24"/>
        </w:rPr>
        <w:t xml:space="preserve">. </w:t>
      </w:r>
      <w:r w:rsidRPr="00640B45">
        <w:rPr>
          <w:rFonts w:eastAsia="Times New Roman" w:cs="Times New Roman"/>
          <w:szCs w:val="24"/>
        </w:rPr>
        <w:t xml:space="preserve">These insects, largely members of the orders </w:t>
      </w:r>
      <w:proofErr w:type="spellStart"/>
      <w:r w:rsidRPr="00640B45">
        <w:rPr>
          <w:rFonts w:eastAsia="Times New Roman" w:cs="Times New Roman"/>
          <w:szCs w:val="24"/>
        </w:rPr>
        <w:t>Diptera</w:t>
      </w:r>
      <w:proofErr w:type="spellEnd"/>
      <w:r w:rsidRPr="00640B45">
        <w:rPr>
          <w:rFonts w:eastAsia="Times New Roman" w:cs="Times New Roman"/>
          <w:szCs w:val="24"/>
        </w:rPr>
        <w:t xml:space="preserve"> (</w:t>
      </w:r>
      <w:proofErr w:type="spellStart"/>
      <w:r w:rsidRPr="00640B45">
        <w:rPr>
          <w:rFonts w:eastAsia="Times New Roman" w:cs="Times New Roman"/>
          <w:szCs w:val="24"/>
        </w:rPr>
        <w:t>Chironomidae</w:t>
      </w:r>
      <w:proofErr w:type="spellEnd"/>
      <w:r w:rsidRPr="00640B45">
        <w:rPr>
          <w:rFonts w:eastAsia="Times New Roman" w:cs="Times New Roman"/>
          <w:szCs w:val="24"/>
        </w:rPr>
        <w:t xml:space="preserve">), </w:t>
      </w:r>
      <w:proofErr w:type="spellStart"/>
      <w:r w:rsidRPr="00640B45">
        <w:rPr>
          <w:rFonts w:eastAsia="Times New Roman" w:cs="Times New Roman"/>
          <w:szCs w:val="24"/>
        </w:rPr>
        <w:t>Ephemeroptera</w:t>
      </w:r>
      <w:proofErr w:type="spellEnd"/>
      <w:r w:rsidRPr="00640B45">
        <w:rPr>
          <w:rFonts w:eastAsia="Times New Roman" w:cs="Times New Roman"/>
          <w:szCs w:val="24"/>
        </w:rPr>
        <w:t xml:space="preserve">, </w:t>
      </w:r>
      <w:proofErr w:type="spellStart"/>
      <w:r w:rsidRPr="00640B45">
        <w:rPr>
          <w:rFonts w:eastAsia="Times New Roman" w:cs="Times New Roman"/>
          <w:szCs w:val="24"/>
        </w:rPr>
        <w:t>Plecoptera</w:t>
      </w:r>
      <w:proofErr w:type="spellEnd"/>
      <w:r w:rsidRPr="00640B45">
        <w:rPr>
          <w:rFonts w:eastAsia="Times New Roman" w:cs="Times New Roman"/>
          <w:szCs w:val="24"/>
        </w:rPr>
        <w:t xml:space="preserve">, </w:t>
      </w:r>
      <w:proofErr w:type="spellStart"/>
      <w:r w:rsidRPr="00640B45">
        <w:rPr>
          <w:rFonts w:eastAsia="Times New Roman" w:cs="Times New Roman"/>
          <w:szCs w:val="24"/>
        </w:rPr>
        <w:t>Trichoptera</w:t>
      </w:r>
      <w:proofErr w:type="spellEnd"/>
      <w:r w:rsidRPr="00640B45">
        <w:rPr>
          <w:rFonts w:eastAsia="Times New Roman" w:cs="Times New Roman"/>
          <w:szCs w:val="24"/>
        </w:rPr>
        <w:t xml:space="preserve"> and </w:t>
      </w:r>
      <w:proofErr w:type="spellStart"/>
      <w:r w:rsidRPr="00640B45">
        <w:rPr>
          <w:rFonts w:eastAsia="Times New Roman" w:cs="Times New Roman"/>
          <w:szCs w:val="24"/>
        </w:rPr>
        <w:t>Odonata</w:t>
      </w:r>
      <w:proofErr w:type="spellEnd"/>
      <w:r w:rsidRPr="00640B45">
        <w:rPr>
          <w:rFonts w:eastAsia="Times New Roman" w:cs="Times New Roman"/>
          <w:szCs w:val="24"/>
        </w:rPr>
        <w:t xml:space="preserve"> </w:t>
      </w:r>
      <w:r w:rsidRPr="00640B45">
        <w:rPr>
          <w:rStyle w:val="FootnoteReference"/>
          <w:rFonts w:eastAsia="Times New Roman" w:cs="Times New Roman"/>
          <w:szCs w:val="24"/>
        </w:rPr>
        <w:fldChar w:fldCharType="begin" w:fldLock="1"/>
      </w:r>
      <w:r w:rsidR="00306019">
        <w:rPr>
          <w:rFonts w:eastAsia="Times New Roman" w:cs="Times New Roman"/>
          <w:szCs w:val="24"/>
        </w:rPr>
        <w:instrText>ADDIN CSL_CITATION {"citationItems":[{"id":"ITEM-1","itemData":{"DOI":"10.1111/j.1365-2427.2004.01328.x","ISBN":"0046-5070","ISSN":"00465070","abstract":"1.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Biology","id":"ITEM-1","issue":"2","issued":{"date-parts":[["2005"]]},"note":"1.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zones","type":"article-journal","volume":"50"},"uris":["http://www.mendeley.com/documents/?uuid=02c84270-0e51-41d1-a8fa-ddbed6efb2f2"]}],"mendeley":{"formattedCitation":"(Baxter et al. 2005)","plainTextFormattedCitation":"(Baxter et al. 2005)","previouslyFormattedCitation":"(Baxter et al. 2005)"},"properties":{"noteIndex":0},"schema":"https://github.com/citation-style-language/schema/raw/master/csl-citation.json"}</w:instrText>
      </w:r>
      <w:r w:rsidRPr="00640B45">
        <w:rPr>
          <w:rStyle w:val="FootnoteReference"/>
          <w:rFonts w:eastAsia="Times New Roman" w:cs="Times New Roman"/>
          <w:szCs w:val="24"/>
        </w:rPr>
        <w:fldChar w:fldCharType="separate"/>
      </w:r>
      <w:r w:rsidR="0034241C" w:rsidRPr="0034241C">
        <w:rPr>
          <w:rFonts w:eastAsia="Times New Roman" w:cs="Times New Roman"/>
          <w:noProof/>
          <w:szCs w:val="24"/>
        </w:rPr>
        <w:t>(Baxter et al. 2005)</w:t>
      </w:r>
      <w:r w:rsidRPr="00640B45">
        <w:rPr>
          <w:rStyle w:val="FootnoteReference"/>
          <w:rFonts w:eastAsia="Times New Roman" w:cs="Times New Roman"/>
          <w:szCs w:val="24"/>
        </w:rPr>
        <w:fldChar w:fldCharType="end"/>
      </w:r>
      <w:r w:rsidRPr="00640B45">
        <w:rPr>
          <w:rFonts w:eastAsia="Times New Roman" w:cs="Times New Roman"/>
          <w:szCs w:val="24"/>
        </w:rPr>
        <w:t>, begin life as aquatic larva and metamorphose into winged, terrestrial adults.</w:t>
      </w:r>
      <w:r>
        <w:rPr>
          <w:rFonts w:eastAsia="Times New Roman" w:cs="Times New Roman"/>
          <w:szCs w:val="24"/>
        </w:rPr>
        <w:t xml:space="preserve"> Meta-analysis have demonstrated</w:t>
      </w:r>
      <w:r w:rsidRPr="00640B45">
        <w:rPr>
          <w:rFonts w:eastAsia="Times New Roman" w:cs="Times New Roman"/>
          <w:szCs w:val="24"/>
        </w:rPr>
        <w:t xml:space="preserve"> </w:t>
      </w:r>
      <w:r>
        <w:rPr>
          <w:rFonts w:eastAsia="Times New Roman" w:cs="Times New Roman"/>
          <w:szCs w:val="24"/>
        </w:rPr>
        <w:t>t</w:t>
      </w:r>
      <w:r w:rsidRPr="00640B45">
        <w:rPr>
          <w:rFonts w:eastAsia="Times New Roman" w:cs="Times New Roman"/>
          <w:szCs w:val="24"/>
        </w:rPr>
        <w:t xml:space="preserve">he effects of these aquatic insect subsidies in terrestrial ecosystems can be large </w:t>
      </w:r>
      <w:r w:rsidRPr="00640B45">
        <w:rPr>
          <w:rStyle w:val="FootnoteReference"/>
          <w:rFonts w:eastAsia="Times New Roman" w:cs="Times New Roman"/>
          <w:szCs w:val="24"/>
        </w:rPr>
        <w:fldChar w:fldCharType="begin" w:fldLock="1"/>
      </w:r>
      <w:r w:rsidR="00306019">
        <w:rPr>
          <w:rFonts w:eastAsia="Times New Roman" w:cs="Times New Roman"/>
          <w:szCs w:val="24"/>
        </w:rPr>
        <w:instrText>ADDIN CSL_CITATION {"citationItems":[{"id":"ITEM-1","itemData":{"abstract":"Studies of the effects of cross-habitat resource subsidies have been a feature of food web ecology over the past decade. To date, most studies have focused on demonstrating the magnitude of a subsidy or documenting it effect in the recipient habitat. Ecologists have yet to develop a staisfactory framework for predicting the magnitude of these effects. We used 115 data sets from 32 studies to compare consumer reponses to resource subsidies actross recipient habitat type, trophic level, and functiona group. Changes in consumer denity or biomass in response to subsidies were inconistent actoss habitat, trophic and functional groups. Responses in stream cobble har and coastline habitats were larger that in other habitat. comtrary to expectation, the magnitude of consumer response was not addected by recipient habitat productivity or the ratio of productivity between donor and recipient habitats. however, consumer response was significantly related to the ratio of subsidy resources to equivalent resources in the recipient habitat. Broad contrasts in productivity are modified by subsity type, vector and the physical and abiotic characteristics of both donor and recipient habitats. for this reason, the ratio of subsidy to equilivant resources is a more useful tool for predictin the possible effects of a subsidy than coarser contrasts of in situ productivity. The commonness of subsidy effects suggest that many ecosystems need to be studied as open systems.","author":[{"dropping-particle":"","family":"Marczak","given":"Laurie B","non-dropping-particle":"","parse-names":false,"suffix":""},{"dropping-particle":"","family":"Thompson","given":"Ross M","non-dropping-particle":"","parse-names":false,"suffix":""},{"dropping-particle":"","family":"Richardson","given":"John S","non-dropping-particle":"","parse-names":false,"suffix":""}],"container-title":"Eocology","id":"ITEM-1","issue":"1","issued":{"date-parts":[["2007"]]},"page":"140-148","title":"Meta-Analysis: Trophic Level, Habitat, and Productivity Shape the Food Web Effects of Resource Subsidies","type":"article-journal","volume":"88"},"uris":["http://www.mendeley.com/documents/?uuid=9c48ce22-9a4f-49d8-8056-81e298db9547"]},{"id":"ITEM-2","itemData":{"DOI":"10.1890/07-1861.1","ISBN":"0012-9658","ISSN":"00129658","PMID":"7189","abstract":"Synthesis: comparing effects of resource and consumer fluxes into recipient food webs using meta- analysis","author":[{"dropping-particle":"","family":"Allen","given":"Daniel C.","non-dropping-particle":"","parse-names":false,"suffix":""},{"dropping-particle":"","family":"Wesner","given":"Jeff","non-dropping-particle":"","parse-names":false,"suffix":""}],"container-title":"Ecology","id":"ITEM-2","issue":"3","issued":{"date-parts":[["2016"]]},"page":"594-604","title":"Synthesis: comparing effects of resource and consumer fluxes into recipient food webs using meta-analysis","type":"article-journal","volume":"97"},"uris":["http://www.mendeley.com/documents/?uuid=e2ab06ba-dc78-4187-be1e-20752122502a"]},{"id":"ITEM-3","itemData":{"DOI":"10.1111/ele.13185","ISSN":"1461-023X","PMID":"30548746","author":[{"dropping-particle":"","family":"Montagano","given":"Laurent","non-dropping-particle":"","parse-names":false,"suffix":""},{"dropping-particle":"","family":"Leroux","given":"Shawn J.","non-dropping-particle":"","parse-names":false,"suffix":""},{"dropping-particle":"","family":"Giroux","given":"Marie‐Andrée","non-dropping-particle":"","parse-names":false,"suffix":""},{"dropping-particle":"","family":"Lecomte","given":"Nicolas","non-dropping-particle":"","parse-names":false,"suffix":""}],"container-title":"Ecology Letters","id":"ITEM-3","issued":{"date-parts":[["2018"]]},"page":"265-274","title":"The strength of ecological subsidies across ecosystems: a latitudinal gradient of direct and indirect impacts on food webs","type":"article-journal","volume":"22"},"uris":["http://www.mendeley.com/documents/?uuid=70141943-0f66-4c67-b484-9a5d82d7ea36"]}],"mendeley":{"formattedCitation":"(Marczak et al. 2007, Allen and Wesner 2016, Montagano et al. 2018)","plainTextFormattedCitation":"(Marczak et al. 2007, Allen and Wesner 2016, Montagano et al. 2018)","previouslyFormattedCitation":"(Marczak et al. 2007, Allen and Wesner 2016, Montagano et al. 2018)"},"properties":{"noteIndex":0},"schema":"https://github.com/citation-style-language/schema/raw/master/csl-citation.json"}</w:instrText>
      </w:r>
      <w:r w:rsidRPr="00640B45">
        <w:rPr>
          <w:rStyle w:val="FootnoteReference"/>
          <w:rFonts w:eastAsia="Times New Roman" w:cs="Times New Roman"/>
          <w:szCs w:val="24"/>
        </w:rPr>
        <w:fldChar w:fldCharType="separate"/>
      </w:r>
      <w:r w:rsidR="0034241C" w:rsidRPr="0034241C">
        <w:rPr>
          <w:rFonts w:eastAsia="Times New Roman" w:cs="Times New Roman"/>
          <w:bCs/>
          <w:noProof/>
          <w:szCs w:val="24"/>
        </w:rPr>
        <w:t>(Marczak et al. 2007, Allen and Wesner 2016, Montagano et al. 2018)</w:t>
      </w:r>
      <w:r w:rsidRPr="00640B45">
        <w:rPr>
          <w:rStyle w:val="FootnoteReference"/>
          <w:rFonts w:eastAsia="Times New Roman" w:cs="Times New Roman"/>
          <w:szCs w:val="24"/>
        </w:rPr>
        <w:fldChar w:fldCharType="end"/>
      </w:r>
      <w:r w:rsidRPr="00640B45">
        <w:rPr>
          <w:rFonts w:eastAsia="Times New Roman" w:cs="Times New Roman"/>
          <w:szCs w:val="24"/>
        </w:rPr>
        <w:t xml:space="preserve"> but they are typically studied along individual stream reaches </w:t>
      </w:r>
      <w:r w:rsidRPr="00640B45">
        <w:rPr>
          <w:rStyle w:val="FootnoteReference"/>
          <w:rFonts w:eastAsia="Times New Roman" w:cs="Times New Roman"/>
          <w:szCs w:val="24"/>
        </w:rPr>
        <w:fldChar w:fldCharType="begin" w:fldLock="1"/>
      </w:r>
      <w:r w:rsidR="00306019">
        <w:rPr>
          <w:rFonts w:eastAsia="Times New Roman"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id":"ITEM-2","itemData":{"DOI":"10.1029/2011WR010703","ISSN":"00431397","author":[{"dropping-particle":"","family":"Sabo","given":"John L.","non-dropping-particle":"","parse-names":false,"suffix":""},{"dropping-particle":"","family":"Hagen","given":"Elizabeth M.","non-dropping-particle":"","parse-names":false,"suffix":""}],"container-title":"Water Resources Research","id":"ITEM-2","issue":"4","issued":{"date-parts":[["2012","4","14"]]},"title":"A network theory for resource exchange between rivers and their watersheds","type":"article-journal","volume":"48"},"uris":["http://www.mendeley.com/documents/?uuid=63acb2b5-51e3-4ecc-90f2-1167c7294ea5"]}],"mendeley":{"formattedCitation":"(Sabo and Hagen 2012, Muehlbauer et al. 2014)","plainTextFormattedCitation":"(Sabo and Hagen 2012, Muehlbauer et al. 2014)","previouslyFormattedCitation":"(Sabo and Hagen 2012, Muehlbauer et al. 2014)"},"properties":{"noteIndex":0},"schema":"https://github.com/citation-style-language/schema/raw/master/csl-citation.json"}</w:instrText>
      </w:r>
      <w:r w:rsidRPr="00640B45">
        <w:rPr>
          <w:rStyle w:val="FootnoteReference"/>
          <w:rFonts w:eastAsia="Times New Roman" w:cs="Times New Roman"/>
          <w:szCs w:val="24"/>
        </w:rPr>
        <w:fldChar w:fldCharType="separate"/>
      </w:r>
      <w:r w:rsidR="0034241C" w:rsidRPr="0034241C">
        <w:rPr>
          <w:rFonts w:eastAsia="Times New Roman" w:cs="Times New Roman"/>
          <w:bCs/>
          <w:noProof/>
          <w:szCs w:val="24"/>
        </w:rPr>
        <w:t>(Sabo and Hagen 2012, Muehlbauer et al. 2014)</w:t>
      </w:r>
      <w:r w:rsidRPr="00640B45">
        <w:rPr>
          <w:rStyle w:val="FootnoteReference"/>
          <w:rFonts w:eastAsia="Times New Roman" w:cs="Times New Roman"/>
          <w:szCs w:val="24"/>
        </w:rPr>
        <w:fldChar w:fldCharType="end"/>
      </w:r>
      <w:r w:rsidRPr="00640B45">
        <w:rPr>
          <w:rFonts w:eastAsia="Times New Roman" w:cs="Times New Roman"/>
          <w:szCs w:val="24"/>
        </w:rPr>
        <w:t xml:space="preserve">. Accordingly, the factors that govern the spatial </w:t>
      </w:r>
      <w:r>
        <w:rPr>
          <w:rFonts w:eastAsia="Times New Roman" w:cs="Times New Roman"/>
          <w:szCs w:val="24"/>
        </w:rPr>
        <w:t>influence</w:t>
      </w:r>
      <w:r w:rsidRPr="00640B45">
        <w:rPr>
          <w:rFonts w:eastAsia="Times New Roman" w:cs="Times New Roman"/>
          <w:szCs w:val="24"/>
        </w:rPr>
        <w:t xml:space="preserve"> of aquatic subsidies at larger spatial scales (i.e. within and between watersheds) are not well known. </w:t>
      </w:r>
    </w:p>
    <w:p w14:paraId="4DEA8722" w14:textId="6980A292" w:rsidR="00BE5C6B" w:rsidRPr="00640B45" w:rsidRDefault="00BE5C6B" w:rsidP="00BE5C6B">
      <w:pPr>
        <w:spacing w:before="100" w:beforeAutospacing="1" w:after="100" w:afterAutospacing="1" w:line="480" w:lineRule="auto"/>
        <w:ind w:firstLine="720"/>
        <w:contextualSpacing/>
        <w:rPr>
          <w:rFonts w:eastAsia="Times New Roman" w:cs="Times New Roman"/>
          <w:szCs w:val="24"/>
        </w:rPr>
      </w:pPr>
      <w:r w:rsidRPr="00640B45">
        <w:rPr>
          <w:rFonts w:eastAsia="Times New Roman" w:cs="Times New Roman"/>
          <w:szCs w:val="24"/>
        </w:rPr>
        <w:t xml:space="preserve">At landscape scales, multiple stream reaches form dendritic networks that enhance the amount of physical contact between aquatic and terrestrial systems </w:t>
      </w:r>
      <w:r w:rsidRPr="00640B45">
        <w:rPr>
          <w:rStyle w:val="FootnoteReference"/>
          <w:rFonts w:eastAsia="Times New Roman" w:cs="Times New Roman"/>
          <w:szCs w:val="24"/>
        </w:rPr>
        <w:fldChar w:fldCharType="begin" w:fldLock="1"/>
      </w:r>
      <w:r w:rsidR="00306019">
        <w:rPr>
          <w:rFonts w:eastAsia="Times New Roman" w:cs="Times New Roman"/>
          <w:szCs w:val="24"/>
        </w:rPr>
        <w:instrText>ADDIN CSL_CITATION {"citationItems":[{"id":"ITEM-1","itemData":{"DOI":"10.1146/annurev.es.20.110189.001131","ISBN":"0066-4162","ISSN":"0066-4162","PMID":"1266","abstract":"Annu. Rev. Ecol. Syst. 1989. 20:171-97 LANDSCAPE ECOLOGY : The Effect of Pattern on Process1 Monica Goigel Turner Environmental Sciences Division, Oak Ridge National Laboratory, Oak Ridge, TN 37831 INTRODUCTION A Historical Perspective Ecology and natural history ...","author":[{"dropping-particle":"","family":"Turner","given":"Monica G","non-dropping-particle":"","parse-names":false,"suffix":""}],"container-title":"Annual Review of Ecology and Systematics","id":"ITEM-1","issue":"1","issued":{"date-parts":[["1989"]]},"page":"171-197","title":"Landscape Ecology: The Effect of Pattern on Process","type":"article-journal","volume":"20"},"uris":["http://www.mendeley.com/documents/?uuid=11f972e0-bc63-4c72-bdd8-ffbd605cc2de"]},{"id":"ITEM-2","itemData":{"DOI":"10.1146/annurev.ecolsys.28.1.289","ISBN":"0066-4162","ISSN":"0066-4162","PMID":"4606","abstract":"We focus on the implications of movement, landscape variables, and spatial heterogeneity for food web dynamics. Movements of nutrients, detritus, prey, and consumers among habitats are ubiquitous in diverse biomes and can strongly influence population, consumer-resource, food web, and community dynamics. Nutrient and detrital subsidies usually increase primary and secondary productivity, both directly and indirectly. Prey subsidies, by movement of either prey or predators, usually enhance predator abundance beyond what local resources can support. Top-down effects occur when spatially subsidized consumers affect local resources by suppressing key resources and occasionally by initiating trophic cascades. Effects on community dynamics vary with the relative amount of input, the trophic roles of the mobile and recipient entities, and the local food web structure. Landscape variables such as the perimeter/area ratio of the focal habitat, permeability of habitat boundaries, and relative productivity of trophically connected habitats affect the degree and importance of spatial subsidization.","author":[{"dropping-particle":"","family":"Polis","given":"Gary A.","non-dropping-particle":"","parse-names":false,"suffix":""},{"dropping-particle":"","family":"Anderson","given":"Wendy B.","non-dropping-particle":"","parse-names":false,"suffix":""},{"dropping-particle":"","family":"Holt","given":"Robert D.","non-dropping-particle":"","parse-names":false,"suffix":""}],"container-title":"Annual Review of Ecology and Systematics","id":"ITEM-2","issue":"1","issued":{"date-parts":[["1997"]]},"note":"1. Introduction\n2. Landscape Considerations\n3. Flow and matial subsidies: direct effects \n3A. Movement of nutrients and detritus \n3aa. water to water\n3ab. land to water\n3ac. water to land\n3ad. land to land \n3B. Movement of Prey\n3ba. water to water\n3bb. land to water\n3bc. water to land\n3bd. land to land \n3C. Movement of Consumers\n3ca. water to water\n3cb. between land and water\n3bc. land to land\n4. Flow and spatial subsidies: indirect effects on trophic dynamics \n4A. Donor control\n4B. Movement of Nutrients\n4C. Movement of Detritus\n4D. Movement of Prey\n4E. Movement of Consumers\n5. Case Study: Isalnds and the ocean-land interface\n6. Direct and indirect efffects of saptial subsidies: theory \n6A. Prey Flow, Specialist Predator \n6B. Flow of Alternative Prey, Generalist Predator \n6C. Predator Flow, Resident Prey \n6D. Landscape Variables Influencing Immigration and Input Rates \n7. Overview","page":"289-316","title":"Toward an integration of landscape and food web ecology: the dynamics of spatially subsidized food webs","type":"article-journal","volume":"28"},"uris":["http://www.mendeley.com/documents/?uuid=f3f09f25-5139-450d-b5ea-5cd1938f60b3"]},{"id":"ITEM-3","itemData":{"author":[{"dropping-particle":"","family":"Gratton","given":"C.","non-dropping-particle":"","parse-names":false,"suffix":""},{"dropping-particle":"","family":"Zanden","given":"M.J","non-dropping-particle":"Vander","parse-names":false,"suffix":""}],"container-title":"Ecology","id":"ITEM-3","issue":"10","issued":{"date-parts":[["2009"]]},"page":"2689–2699","title":"Flux of aquatic insect productivity to land: comparison of lentic and lotic ecosystems","type":"article-journal","volume":"90"},"uris":["http://www.mendeley.com/documents/?uuid=1919de5e-bc71-4cdb-ad66-d96c78ff5294"]}],"mendeley":{"formattedCitation":"(Turner 1989, Polis et al. 1997, Gratton and Vander Zanden 2009)","plainTextFormattedCitation":"(Turner 1989, Polis et al. 1997, Gratton and Vander Zanden 2009)","previouslyFormattedCitation":"(Turner 1989, Polis et al. 1997, Gratton and Vander Zanden 2009)"},"properties":{"noteIndex":0},"schema":"https://github.com/citation-style-language/schema/raw/master/csl-citation.json"}</w:instrText>
      </w:r>
      <w:r w:rsidRPr="00640B45">
        <w:rPr>
          <w:rStyle w:val="FootnoteReference"/>
          <w:rFonts w:eastAsia="Times New Roman" w:cs="Times New Roman"/>
          <w:szCs w:val="24"/>
        </w:rPr>
        <w:fldChar w:fldCharType="separate"/>
      </w:r>
      <w:r w:rsidR="0034241C" w:rsidRPr="0034241C">
        <w:rPr>
          <w:rFonts w:eastAsia="Times New Roman" w:cs="Times New Roman"/>
          <w:bCs/>
          <w:noProof/>
          <w:szCs w:val="24"/>
        </w:rPr>
        <w:t>(Turner 1989, Polis et al. 1997, Gratton and Vander Zanden 2009)</w:t>
      </w:r>
      <w:r w:rsidRPr="00640B45">
        <w:rPr>
          <w:rStyle w:val="FootnoteReference"/>
          <w:rFonts w:eastAsia="Times New Roman" w:cs="Times New Roman"/>
          <w:szCs w:val="24"/>
        </w:rPr>
        <w:fldChar w:fldCharType="end"/>
      </w:r>
      <w:r w:rsidRPr="00640B45">
        <w:rPr>
          <w:rFonts w:eastAsia="Times New Roman" w:cs="Times New Roman"/>
          <w:szCs w:val="24"/>
        </w:rPr>
        <w:t xml:space="preserve">. The degree a watershed is dissected by streams relates to the amount of terrestrial habitat in proximity to the water’s edge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{"citationItems":[{"id":"ITEM-1","itemData":{"DOI":"10.1007/s10980-007-9080-z","ISBN":"0921-2973","ISSN":"09212973","abstract":"Riparian ecosystems are interfaces between aquatic and terrestrial environments recognized for their nutrient interception poten-tial in agricultural landscapes. Stream network maps from a broad range of map resolutions have been employed in watershed studies of riparian areas. However, map resolution may affect impor-tant attributes of riparian buffers, such as the connectivity between source lands and small stream channels missing in coarse resolution maps. We sought to understand the influence of changing stream map resolution on measures of the river network, near-stream land cover, and riparian metrics. Our objectives were: (1) to evaluate the influence of stream map resolution on measures of the stream network, the character and extent of near-stream zones, and riparian metrics; (2) to compare patterns of variation among different physiographic provinces; and (3) to explore how predictions of nutrient retention potential might be affected by the resolution of a stream map. We found that using fine resolution stream maps significantly increased our estimates of stream order, drainage density, and the proportion of watershed area occurring near a stream. Increasing stream map resolution reduced the mean distance to source areas as well as mean buffer width and increased the frequency of buffer gaps. Measures of percent land cover within 100 m of streams were less sensitive to stream map resolution. Overall, increasing stream map reso-lution led to reduced estimates of nutrient reten-tion potential in riparian buffers. In some watersheds, switching from a coarse resolution to a fine resolution stream map completely changed our perception of a stream network from well buffered to largely unbuffered. Because previous, broad-scale analyses of riparian buffers used coarse-resolution stream maps, those studies may have overestimated landscape-level buffer preva-lence and effectiveness. We present a case study of three watersheds to demonstrate that interactions among stream map resolution and land cover patterns make a dramatic difference in the per-ceived ability of riparian buffers to ameliorate effects of agricultural activities across whole watersheds. Moreover, stream map resolution affects inferences about whether retention occurs in streams or riparian zones.","author":[{"dropping-particle":"","family":"Baker","given":"Matthew E.","non-dropping-particle":"","parse-names":false,"suffix":""},{"dropping-particle":"","family":"Weller","given":"Donald E.","non-dropping-particle":"","parse-names":false,"suffix":""},{"dropping-particle":"","family":"Jordan","given":"Thomas E.","non-dropping-particle":"","parse-names":false,"suffix":""}],"container-title":"Landscape Ecology","id":"ITEM-1","issue":"7","issued":{"date-parts":[["2007"]]},"page":"973-992","title":"Effects of stream map resolution on measures of riparian buffer distribution and nutrient retention potential","type":"article-journal","volume":"22"},"uris":["http://www.mendeley.com/documents/?uuid=79d754d4-4632-4c58-8387-6b4465d16622"]}],"mendeley":{"formattedCitation":"(Baker et al. 2007)","plainTextFormattedCitation":"(Baker et al. 2007)","previouslyFormattedCitation":"(Baker et al. 2007)"},"properties":{"noteIndex":0},"schema":"https://github.com/citation-style-language/schema/raw/master/csl-citation.json"}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(Baker et al. 2007)</w:t>
      </w:r>
      <w:r>
        <w:rPr>
          <w:rFonts w:eastAsia="Times New Roman" w:cs="Times New Roman"/>
          <w:szCs w:val="24"/>
        </w:rPr>
        <w:fldChar w:fldCharType="end"/>
      </w:r>
      <w:r w:rsidR="00AD5DC7">
        <w:rPr>
          <w:rFonts w:eastAsia="Times New Roman" w:cs="Times New Roman"/>
          <w:szCs w:val="24"/>
        </w:rPr>
        <w:t xml:space="preserve">. Stream networks also include geomorphological features, such as </w:t>
      </w:r>
      <w:r w:rsidR="00AD5DC7" w:rsidRPr="00640B45">
        <w:rPr>
          <w:rFonts w:eastAsia="Times New Roman" w:cs="Times New Roman"/>
          <w:szCs w:val="24"/>
        </w:rPr>
        <w:t>confluence</w:t>
      </w:r>
      <w:r w:rsidR="00AD5DC7">
        <w:rPr>
          <w:rFonts w:eastAsia="Times New Roman" w:cs="Times New Roman"/>
          <w:szCs w:val="24"/>
        </w:rPr>
        <w:t>s</w:t>
      </w:r>
      <w:r w:rsidR="00AD5DC7" w:rsidRPr="00640B45">
        <w:rPr>
          <w:rFonts w:eastAsia="Times New Roman" w:cs="Times New Roman"/>
          <w:szCs w:val="24"/>
        </w:rPr>
        <w:t xml:space="preserve"> junctions, sub-basin divides and meander bends</w:t>
      </w:r>
      <w:r w:rsidR="00AD5DC7">
        <w:rPr>
          <w:rFonts w:eastAsia="Times New Roman" w:cs="Times New Roman"/>
          <w:szCs w:val="24"/>
        </w:rPr>
        <w:t xml:space="preserve">, that bring individual stream reaches </w:t>
      </w:r>
      <w:r w:rsidR="0034241C">
        <w:rPr>
          <w:rFonts w:eastAsia="Times New Roman" w:cs="Times New Roman"/>
          <w:szCs w:val="24"/>
        </w:rPr>
        <w:t>near</w:t>
      </w:r>
      <w:r w:rsidR="00AD5DC7">
        <w:rPr>
          <w:rFonts w:eastAsia="Times New Roman" w:cs="Times New Roman"/>
          <w:szCs w:val="24"/>
        </w:rPr>
        <w:t xml:space="preserve"> one another </w:t>
      </w:r>
      <w:r w:rsidR="00AD5DC7" w:rsidRPr="00640B45">
        <w:rPr>
          <w:rFonts w:eastAsia="Times New Roman" w:cs="Times New Roman"/>
          <w:szCs w:val="24"/>
        </w:rPr>
        <w:t>(Sabo and Hagen 2012).</w:t>
      </w:r>
      <w:r>
        <w:rPr>
          <w:rFonts w:eastAsia="Times New Roman" w:cs="Times New Roman"/>
          <w:szCs w:val="24"/>
        </w:rPr>
        <w:t xml:space="preserve"> </w:t>
      </w:r>
      <w:r w:rsidRPr="00640B45">
        <w:rPr>
          <w:rFonts w:eastAsia="Times New Roman" w:cs="Times New Roman"/>
          <w:szCs w:val="24"/>
        </w:rPr>
        <w:t xml:space="preserve">These locations can form discrete resource patches for terrestrial consumers </w:t>
      </w:r>
      <w:r>
        <w:rPr>
          <w:rFonts w:eastAsia="Times New Roman" w:cs="Times New Roman"/>
          <w:szCs w:val="24"/>
        </w:rPr>
        <w:t>that have elevated and/or more stable subsidy inputs</w:t>
      </w:r>
      <w:r w:rsidR="00B63AA3">
        <w:rPr>
          <w:rFonts w:eastAsia="Times New Roman" w:cs="Times New Roman"/>
          <w:szCs w:val="24"/>
        </w:rPr>
        <w:t xml:space="preserve"> because insects that emerge from different stream reaches may overlap when they enter the terrestrial ecosystem</w:t>
      </w:r>
      <w:r>
        <w:rPr>
          <w:rFonts w:eastAsia="Times New Roman" w:cs="Times New Roman"/>
          <w:szCs w:val="24"/>
        </w:rPr>
        <w:t xml:space="preserve">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{"citationItems":[{"id":"ITEM-1","itemData":{"DOI":"10.1890/14-0326.1","ISSN":"00129658","abstract":"While it is widely recognized that financial stock portfolios can be stabilized through diverse investments, it is also possible that certain habitats can function as natural portfolios that stabilize ecosystem processes. Here we propose and examine the hypothesis that free-flowing river networks act as such portfolios and confer stability through their integration of upstream geological, hydrological, and biological diversity. We compiled a spatially (142 sites) and temporally (1980–present) extensive data set on fisheries, water flows, and temperatures, from sites within one of the largest watersheds in the world that remains without dams on its mainstem, the Fraser River, British Columbia, Canada. We found that larger catchments had more stable fisheries catches, water flows, and water temperatures than smaller catchments. These data provide evidence that free-flowing river networks function as hierarchically nested portfolios with stability as an emergent property. Thus, free-flowing river networks can represent a natural system for buffering variation and extreme events.","author":[{"dropping-particle":"","family":"Moore","given":"Jonathan W.","non-dropping-particle":"","parse-names":false,"suffix":""},{"dropping-particle":"","family":"Beakes","given":"Michael P.","non-dropping-particle":"","parse-names":false,"suffix":""},{"dropping-particle":"","family":"Nesbitt","given":"Holly K.","non-dropping-particle":"","parse-names":false,"suffix":""},{"dropping-particle":"","family":"Yeakel","given":"Justin D.","non-dropping-particle":"","parse-names":false,"suffix":""},{"dropping-particle":"","family":"Patterson","given":"David A.","non-dropping-particle":"","parse-names":false,"suffix":""},{"dropping-particle":"","family":"Thompson","given":"Lisa A.","non-dropping-particle":"","parse-names":false,"suffix":""},{"dropping-particle":"","family":"Phillis","given":"Corey C.","non-dropping-particle":"","parse-names":false,"suffix":""},{"dropping-particle":"","family":"Braun","given":"Douglas C.","non-dropping-particle":"","parse-names":false,"suffix":""},{"dropping-particle":"","family":"Favaro","given":"Corinna","non-dropping-particle":"","parse-names":false,"suffix":""},{"dropping-particle":"","family":"Scott","given":"David","non-dropping-particle":"","parse-names":false,"suffix":""},{"dropping-particle":"","family":"Carr-Harris","given":"Charmaine","non-dropping-particle":"","parse-names":false,"suffix":""},{"dropping-particle":"","family":"Atlas","given":"William I.","non-dropping-particle":"","parse-names":false,"suffix":""}],"container-title":"Ecology","id":"ITEM-1","issue":"2","issued":{"date-parts":[["2015"]]},"page":"340-347","title":"Emergent stability in a large, free-flowing watershed","type":"article-journal","volume":"96"},"uris":["http://www.mendeley.com/documents/?uuid=51a764da-c3e2-49af-8441-6710e5bdaf77"]},{"id":"ITEM-2","itemData":{"author":[{"dropping-particle":"","family":"Power","given":"M E","non-dropping-particle":"","parse-names":false,"suffix":""},{"dropping-particle":"","family":"Rainey","given":"W E","non-dropping-particle":"","parse-names":false,"suffix":""}],"container-title":"Ecological Consequences of Habitat Heterogeneity","editor":[{"dropping-particle":"","family":"Hutchings","given":"E.A.John","non-dropping-particle":"","parse-names":false,"suffix":""},{"dropping-particle":"","family":"Stewart","given":"A.J.A.","non-dropping-particle":"","parse-names":false,"suffix":""}],"id":"ITEM-2","issued":{"date-parts":[["2000"]]},"note":"Using the National Hydrography Dataset to assess role of stream network structure on resource exchange between river and their watersheds.","page":"291-314","title":"Food webs and resource sheds: towards spatially delimiting trophic interactions","type":"chapter"},"uris":["http://www.mendeley.com/documents/?uuid=9680be4c-c36a-43e5-8f7e-13669ae68f5e"]}],"mendeley":{"formattedCitation":"(Power and Rainey 2000, Moore et al. 2015)","manualFormatting":"(Moore et al., 2015; Power &amp; Rainey, 2000)","plainTextFormattedCitation":"(Power and Rainey 2000, Moore et al. 2015)","previouslyFormattedCitation":"(Power and Rainey 2000, Moore et al. 2015)"},"properties":{"noteIndex":0},"schema":"https://github.com/citation-style-language/schema/raw/master/csl-citation.json"}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(Moore et al., 2015; Power &amp; Rainey, 2000)</w:t>
      </w:r>
      <w:r>
        <w:rPr>
          <w:rFonts w:eastAsia="Times New Roman" w:cs="Times New Roman"/>
          <w:szCs w:val="24"/>
        </w:rPr>
        <w:fldChar w:fldCharType="end"/>
      </w:r>
      <w:r w:rsidRPr="00640B45">
        <w:rPr>
          <w:rFonts w:eastAsia="Times New Roman" w:cs="Times New Roman"/>
          <w:szCs w:val="24"/>
        </w:rPr>
        <w:t xml:space="preserve">. Sabo and Hagen (2012) </w:t>
      </w:r>
      <w:r w:rsidR="0034241C">
        <w:rPr>
          <w:rFonts w:eastAsia="Times New Roman" w:cs="Times New Roman"/>
          <w:szCs w:val="24"/>
        </w:rPr>
        <w:t xml:space="preserve">have </w:t>
      </w:r>
      <w:r w:rsidRPr="00640B45">
        <w:rPr>
          <w:rFonts w:eastAsia="Times New Roman" w:cs="Times New Roman"/>
          <w:szCs w:val="24"/>
        </w:rPr>
        <w:t xml:space="preserve">theoretically demonstrated </w:t>
      </w:r>
      <w:r w:rsidR="0034241C">
        <w:rPr>
          <w:rFonts w:eastAsia="Times New Roman" w:cs="Times New Roman"/>
          <w:szCs w:val="24"/>
        </w:rPr>
        <w:t xml:space="preserve">that stream network </w:t>
      </w:r>
      <w:r w:rsidR="0034241C">
        <w:rPr>
          <w:rFonts w:eastAsia="Times New Roman" w:cs="Times New Roman"/>
          <w:szCs w:val="24"/>
        </w:rPr>
        <w:lastRenderedPageBreak/>
        <w:t xml:space="preserve">geometry </w:t>
      </w:r>
      <w:r w:rsidRPr="00640B45">
        <w:rPr>
          <w:rFonts w:eastAsia="Times New Roman" w:cs="Times New Roman"/>
          <w:szCs w:val="24"/>
        </w:rPr>
        <w:t>i</w:t>
      </w:r>
      <w:r w:rsidR="0034241C">
        <w:rPr>
          <w:rFonts w:eastAsia="Times New Roman" w:cs="Times New Roman"/>
          <w:szCs w:val="24"/>
        </w:rPr>
        <w:t>s important for</w:t>
      </w:r>
      <w:r w:rsidRPr="00640B45">
        <w:rPr>
          <w:rFonts w:eastAsia="Times New Roman" w:cs="Times New Roman"/>
          <w:szCs w:val="24"/>
        </w:rPr>
        <w:t xml:space="preserve"> defining the </w:t>
      </w:r>
      <w:r w:rsidR="0034241C">
        <w:rPr>
          <w:rFonts w:eastAsia="Times New Roman" w:cs="Times New Roman"/>
          <w:szCs w:val="24"/>
        </w:rPr>
        <w:t xml:space="preserve">spatial </w:t>
      </w:r>
      <w:r w:rsidRPr="00640B45">
        <w:rPr>
          <w:rFonts w:eastAsia="Times New Roman" w:cs="Times New Roman"/>
          <w:szCs w:val="24"/>
        </w:rPr>
        <w:t xml:space="preserve">extent and </w:t>
      </w:r>
      <w:r>
        <w:rPr>
          <w:rFonts w:eastAsia="Times New Roman" w:cs="Times New Roman"/>
          <w:szCs w:val="24"/>
        </w:rPr>
        <w:t xml:space="preserve">distribution </w:t>
      </w:r>
      <w:r w:rsidRPr="00640B45">
        <w:rPr>
          <w:rFonts w:eastAsia="Times New Roman" w:cs="Times New Roman"/>
          <w:szCs w:val="24"/>
        </w:rPr>
        <w:t>of aquatic insect subsidies</w:t>
      </w:r>
      <w:r w:rsidR="0034241C">
        <w:rPr>
          <w:rFonts w:eastAsia="Times New Roman" w:cs="Times New Roman"/>
          <w:szCs w:val="24"/>
        </w:rPr>
        <w:t xml:space="preserve"> in terrestrial landscapes</w:t>
      </w:r>
      <w:r w:rsidRPr="00640B45">
        <w:rPr>
          <w:rFonts w:eastAsia="Times New Roman" w:cs="Times New Roman"/>
          <w:szCs w:val="24"/>
        </w:rPr>
        <w:t>, but this</w:t>
      </w:r>
      <w:r>
        <w:rPr>
          <w:rFonts w:eastAsia="Times New Roman" w:cs="Times New Roman"/>
          <w:szCs w:val="24"/>
        </w:rPr>
        <w:t xml:space="preserve"> theory</w:t>
      </w:r>
      <w:r w:rsidRPr="00640B45">
        <w:rPr>
          <w:rFonts w:eastAsia="Times New Roman" w:cs="Times New Roman"/>
          <w:szCs w:val="24"/>
        </w:rPr>
        <w:t xml:space="preserve"> remains to be studied in real stream networks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Jake","non-dropping-particle":"Vander","parse-names":false,"suffix":""}],"container-title":"Ecosystems","id":"ITEM-1","issue":"7","issued":{"date-parts":[["2013"]]},"page":"1353-1363","title":"Regional-Level Inputs of Emergent Aquatic Insects from Water to Land","type":"article-journal","volume":"16"},"uris":["http://www.mendeley.com/documents/?uuid=76c15ca4-2901-40f7-a4f1-93047a0aa026"]},{"id":"ITEM-2","itemData":{"author":[{"dropping-particle":"","family":"Gratton","given":"C.","non-dropping-particle":"","parse-names":false,"suffix":""},{"dropping-particle":"","family":"Zanden","given":"M.J","non-dropping-particle":"Vander","parse-names":false,"suffix":""}],"container-title":"Ecology","id":"ITEM-2","issue":"10","issued":{"date-parts":[["2009"]]},"page":"2689–2699","title":"Flux of aquatic insect productivity to land: comparison of lentic and lotic ecosystems","type":"article-journal","volume":"90"},"uris":["http://www.mendeley.com/documents/?uuid=1919de5e-bc71-4cdb-ad66-d96c78ff5294"]}],"mendeley":{"formattedCitation":"(Gratton and Vander Zanden 2009, Bartrons et al. 2013)","manualFormatting":"(but see 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Pr>
          <w:rFonts w:eastAsia="Times New Roman" w:cs="Times New Roman"/>
          <w:szCs w:val="24"/>
        </w:rPr>
        <w:fldChar w:fldCharType="separate"/>
      </w:r>
      <w:r w:rsidRPr="00050CC5">
        <w:rPr>
          <w:rFonts w:eastAsia="Times New Roman" w:cs="Times New Roman"/>
          <w:noProof/>
          <w:szCs w:val="24"/>
        </w:rPr>
        <w:t>(</w:t>
      </w:r>
      <w:r>
        <w:rPr>
          <w:rFonts w:eastAsia="Times New Roman" w:cs="Times New Roman"/>
          <w:noProof/>
          <w:szCs w:val="24"/>
        </w:rPr>
        <w:t xml:space="preserve">but see </w:t>
      </w:r>
      <w:r w:rsidRPr="00050CC5">
        <w:rPr>
          <w:rFonts w:eastAsia="Times New Roman" w:cs="Times New Roman"/>
          <w:noProof/>
          <w:szCs w:val="24"/>
        </w:rPr>
        <w:t>Gratton and Vander Zanden 2009, Bartrons et al. 2013)</w:t>
      </w:r>
      <w:r>
        <w:rPr>
          <w:rFonts w:eastAsia="Times New Roman" w:cs="Times New Roman"/>
          <w:szCs w:val="24"/>
        </w:rPr>
        <w:fldChar w:fldCharType="end"/>
      </w:r>
      <w:r>
        <w:rPr>
          <w:rFonts w:eastAsia="Times New Roman" w:cs="Times New Roman"/>
          <w:noProof/>
          <w:szCs w:val="24"/>
        </w:rPr>
        <w:t>.</w:t>
      </w:r>
      <w:r w:rsidRPr="00640B45">
        <w:rPr>
          <w:rFonts w:eastAsia="Times New Roman" w:cs="Times New Roman"/>
          <w:szCs w:val="24"/>
        </w:rPr>
        <w:t xml:space="preserve"> </w:t>
      </w:r>
    </w:p>
    <w:p w14:paraId="2DFD3A54" w14:textId="3230686E" w:rsidR="00B63AA3" w:rsidRPr="00640B45" w:rsidRDefault="00B63AA3" w:rsidP="00B63AA3">
      <w:pPr>
        <w:spacing w:before="100" w:beforeAutospacing="1" w:after="100" w:afterAutospacing="1" w:line="480" w:lineRule="auto"/>
        <w:ind w:firstLine="720"/>
        <w:contextualSpacing/>
        <w:rPr>
          <w:rFonts w:eastAsia="Times New Roman" w:cs="Times New Roman"/>
          <w:szCs w:val="24"/>
        </w:rPr>
      </w:pPr>
      <w:r w:rsidRPr="00640B45">
        <w:rPr>
          <w:rFonts w:eastAsia="Times New Roman" w:cs="Times New Roman"/>
          <w:szCs w:val="24"/>
        </w:rPr>
        <w:t xml:space="preserve">Following the theoretical work of Sabo and Hagen (2012) </w:t>
      </w:r>
      <w:r>
        <w:rPr>
          <w:rFonts w:eastAsia="Times New Roman" w:cs="Times New Roman"/>
          <w:szCs w:val="24"/>
        </w:rPr>
        <w:t xml:space="preserve">we expect that the spatial extent of </w:t>
      </w:r>
      <w:r w:rsidRPr="00640B45">
        <w:rPr>
          <w:rFonts w:eastAsia="Times New Roman" w:cs="Times New Roman"/>
          <w:szCs w:val="24"/>
        </w:rPr>
        <w:t>aquatic insect subsidies</w:t>
      </w:r>
      <w:r>
        <w:rPr>
          <w:rFonts w:eastAsia="Times New Roman" w:cs="Times New Roman"/>
          <w:szCs w:val="24"/>
        </w:rPr>
        <w:t xml:space="preserve"> is related to</w:t>
      </w:r>
      <w:r w:rsidRPr="00640B45">
        <w:rPr>
          <w:rFonts w:eastAsia="Times New Roman" w:cs="Times New Roman"/>
          <w:szCs w:val="24"/>
        </w:rPr>
        <w:t xml:space="preserve"> drainage density</w:t>
      </w:r>
      <w:r>
        <w:rPr>
          <w:rFonts w:eastAsia="Times New Roman" w:cs="Times New Roman"/>
          <w:szCs w:val="24"/>
        </w:rPr>
        <w:t>,</w:t>
      </w:r>
      <w:r w:rsidRPr="00640B45">
        <w:rPr>
          <w:rFonts w:eastAsia="Times New Roman" w:cs="Times New Roman"/>
          <w:szCs w:val="24"/>
        </w:rPr>
        <w:t xml:space="preserve"> and </w:t>
      </w:r>
      <w:r>
        <w:rPr>
          <w:rFonts w:eastAsia="Times New Roman" w:cs="Times New Roman"/>
          <w:szCs w:val="24"/>
        </w:rPr>
        <w:t xml:space="preserve">that the number of </w:t>
      </w:r>
      <w:r w:rsidRPr="00640B45">
        <w:rPr>
          <w:rFonts w:eastAsia="Times New Roman" w:cs="Times New Roman"/>
          <w:szCs w:val="24"/>
        </w:rPr>
        <w:t>confluence</w:t>
      </w:r>
      <w:r>
        <w:rPr>
          <w:rFonts w:eastAsia="Times New Roman" w:cs="Times New Roman"/>
          <w:szCs w:val="24"/>
        </w:rPr>
        <w:t>s,</w:t>
      </w:r>
      <w:r w:rsidRPr="00640B45">
        <w:rPr>
          <w:rFonts w:eastAsia="Times New Roman" w:cs="Times New Roman"/>
          <w:szCs w:val="24"/>
        </w:rPr>
        <w:t xml:space="preserve"> </w:t>
      </w:r>
      <w:r>
        <w:rPr>
          <w:rFonts w:eastAsia="Times New Roman" w:cs="Times New Roman"/>
          <w:szCs w:val="24"/>
        </w:rPr>
        <w:t>sub-</w:t>
      </w:r>
      <w:r w:rsidRPr="00640B45">
        <w:rPr>
          <w:rFonts w:eastAsia="Times New Roman" w:cs="Times New Roman"/>
          <w:szCs w:val="24"/>
        </w:rPr>
        <w:t xml:space="preserve">basin width and channel sinuosity </w:t>
      </w:r>
      <w:r>
        <w:rPr>
          <w:rFonts w:eastAsia="Times New Roman" w:cs="Times New Roman"/>
          <w:szCs w:val="24"/>
        </w:rPr>
        <w:t>influences how they are distributed in watersheds. If components of stream network geometry vary among real stream networks this could dive predictable differences in the spatial pattern of aquatic insect subsidies. We also expected components s</w:t>
      </w:r>
      <w:r w:rsidRPr="00640B45">
        <w:rPr>
          <w:rFonts w:eastAsia="Times New Roman" w:cs="Times New Roman"/>
          <w:szCs w:val="24"/>
        </w:rPr>
        <w:t>tream</w:t>
      </w:r>
      <w:r>
        <w:rPr>
          <w:rFonts w:eastAsia="Times New Roman" w:cs="Times New Roman"/>
          <w:szCs w:val="24"/>
        </w:rPr>
        <w:t xml:space="preserve"> network</w:t>
      </w:r>
      <w:r w:rsidRPr="00640B45">
        <w:rPr>
          <w:rFonts w:eastAsia="Times New Roman" w:cs="Times New Roman"/>
          <w:szCs w:val="24"/>
        </w:rPr>
        <w:t xml:space="preserve"> </w:t>
      </w:r>
      <w:r>
        <w:rPr>
          <w:rFonts w:eastAsia="Times New Roman" w:cs="Times New Roman"/>
          <w:szCs w:val="24"/>
        </w:rPr>
        <w:t>geometry</w:t>
      </w:r>
      <w:r w:rsidRPr="00640B45">
        <w:rPr>
          <w:rFonts w:eastAsia="Times New Roman" w:cs="Times New Roman"/>
          <w:szCs w:val="24"/>
        </w:rPr>
        <w:t xml:space="preserve"> </w:t>
      </w:r>
      <w:r>
        <w:rPr>
          <w:rFonts w:eastAsia="Times New Roman" w:cs="Times New Roman"/>
          <w:szCs w:val="24"/>
        </w:rPr>
        <w:t xml:space="preserve">are related to basin features, such as </w:t>
      </w:r>
      <w:r w:rsidRPr="00640B45">
        <w:rPr>
          <w:rFonts w:eastAsia="Times New Roman" w:cs="Times New Roman"/>
          <w:szCs w:val="24"/>
        </w:rPr>
        <w:t xml:space="preserve">climate, hydrology, </w:t>
      </w:r>
      <w:r>
        <w:rPr>
          <w:rFonts w:eastAsia="Times New Roman" w:cs="Times New Roman"/>
          <w:szCs w:val="24"/>
        </w:rPr>
        <w:t>soils</w:t>
      </w:r>
      <w:r w:rsidRPr="00640B45">
        <w:rPr>
          <w:rFonts w:eastAsia="Times New Roman" w:cs="Times New Roman"/>
          <w:szCs w:val="24"/>
        </w:rPr>
        <w:t xml:space="preserve">, topography and </w:t>
      </w:r>
      <w:r>
        <w:rPr>
          <w:rFonts w:eastAsia="Times New Roman" w:cs="Times New Roman"/>
          <w:szCs w:val="24"/>
        </w:rPr>
        <w:t xml:space="preserve">vegetation </w:t>
      </w:r>
      <w:r w:rsidRPr="00640B45">
        <w:rPr>
          <w:rStyle w:val="FootnoteReference"/>
          <w:rFonts w:eastAsia="Times New Roman" w:cs="Times New Roman"/>
          <w:szCs w:val="24"/>
        </w:rPr>
        <w:fldChar w:fldCharType="begin" w:fldLock="1"/>
      </w:r>
      <w:r>
        <w:rPr>
          <w:rFonts w:eastAsia="Times New Roman" w:cs="Times New Roman"/>
          <w:szCs w:val="24"/>
        </w:rPr>
        <w:instrText>ADDIN CSL_CITATION {"citationItems":[{"id":"ITEM-1","itemData":{"DOI":"10.1029/97WR02709","ISBN":"00431397","ISSN":"0043-1397","abstract":"Drainage density reflects the signature of climate on the topography and dictates the boundary conditions for surface hydrology. Hence defining the relationship between drainage density and climate is important in assessing the sensitivity of water resources and hydrology to climate change. Here we analyze the equilibrium relationship between drainage density and climate and estimate the relative sensitivity of drainage density to climate change. We conclude that the sign of the resulting change in drainage density depends not only on the direction of the change in climate but also on the prevailing climatic regime.","author":[{"dropping-particle":"","family":"Moglen","given":"Glenn E.","non-dropping-particle":"","parse-names":false,"suffix":""},{"dropping-particle":"","family":"Eltahir","given":"Elfatih a. B.","non-dropping-particle":"","parse-names":false,"suffix":""},{"dropping-particle":"","family":"Bras","given":"Rafael L.","non-dropping-particle":"","parse-names":false,"suffix":""}],"container-title":"Water Resources Research","id":"ITEM-1","issue":"4","issued":{"date-parts":[["1998"]]},"page":"855","title":"On the sensitivity of drainage density to climate change","type":"article-journal","volume":"34"},"uris":["http://www.mendeley.com/documents/?uuid=8148146f-b769-4cac-9d47-2ec42888d892"]},{"id":"ITEM-2","itemData":{"DOI":"10.1016/j.jhydrol.2013.02.050","ISSN":"00221694","abstract":"We determined present-day (1981-2000) relationships between river network drainage density (Dd) and runoff (R), and between vegetation cover (V) and precipitation (P) across a contiguous 470,800 km2 area (the Texas Gulf Coast basin), where P varies from 438 to 1280 mm/yr. Dd(R) follows a saturation-growth model which is similar to process-based equilibrium landscape models. V(P) follows a linear relationship. The models for Dd(R) and V(P) were used to assess how Dd and V might respond to decadal-scale climate changes in R and P anomalies predicted by a regional climate model between 2041-2060 and 1981-2000. The regional climate model, CRCM, was forced following the SRES A2 emissions scenario. Our calculations indicate a tendency of 57,500 km of active river channels to drying up, representing 9.9% of the presentday total of 581,985 km, due to future decrease in R. This will be accompanied by a loss of 8150 km2 in V due to decrease in P. This study extends empirical studies of relationships between climate and landscape properties and explicitly links observations with process-based models. The results provide a simple framework for modeling potential trajectories of the landscape due to climate change. ?? Published by Elsevier B.V.","author":[{"dropping-particle":"","family":"Smith","given":"Virginia B.","non-dropping-particle":"","parse-names":false,"suffix":""},{"dropping-particle":"","family":"David","given":"Cédric H.","non-dropping-particle":"","parse-names":false,"suffix":""},{"dropping-particle":"","family":"Cardenas","given":"M. Bayani","non-dropping-particle":"","parse-names":false,"suffix":""},{"dropping-particle":"","family":"Yang","given":"Zong Liang","non-dropping-particle":"","parse-names":false,"suffix":""}],"container-title":"Journal of Hydrology","id":"ITEM-2","issue":"January 2014","issued":{"date-parts":[["2013"]]},"page":"101-109","publisher":"Elsevier B.V.","title":"Climate, river network, and vegetation cover relationships across a climate gradient and their potential for predicting effects of decadal-scale climate change","type":"article-journal","volume":"488"},"uris":["http://www.mendeley.com/documents/?uuid=b384e963-b8b3-48c5-be60-f878805a5851"]},{"id":"ITEM-3","itemData":{"DOI":"10.1016/j.jhydrol.2016.02.051","ISSN":"0022-1694","author":[{"dropping-particle":"","family":"Sangireddy","given":"Harish","non-dropping-particle":"","parse-names":false,"suffix":""},{"dropping-particle":"","family":"Carothers","given":"Richard A","non-dropping-particle":"","parse-names":false,"suffix":""},{"dropping-particle":"","family":"Stark","given":"Colin P","non-dropping-particle":"","parse-names":false,"suffix":""},{"dropping-particle":"","family":"Passalacqua","given":"Paola","non-dropping-particle":"","parse-names":false,"suffix":""}],"container-title":"Journal of Hydrology","id":"ITEM-3","issued":{"date-parts":[["2016"]]},"page":"271-282","publisher":"Elsevier B.V.","title":"Controls of Climate, Topography, Vegetation, and Lithology on Drainage Density Extracted from High Resolution Topography Data","type":"article-journal","volume":"537"},"uris":["http://www.mendeley.com/documents/?uuid=f088c3bf-46f4-43c9-a1a9-6d89d022c968"]}],"mendeley":{"formattedCitation":"(Moglen et al. 1998, Smith et al. 2013, Sangireddy et al. 2016)","plainTextFormattedCitation":"(Moglen et al. 1998, Smith et al. 2013, Sangireddy et al. 2016)","previouslyFormattedCitation":"(Moglen et al. 1998, Smith et al. 2013, Sangireddy et al. 2016)"},"properties":{"noteIndex":0},"schema":"https://github.com/citation-style-language/schema/raw/master/csl-citation.json"}</w:instrText>
      </w:r>
      <w:r w:rsidRPr="00640B45">
        <w:rPr>
          <w:rStyle w:val="FootnoteReference"/>
          <w:rFonts w:eastAsia="Times New Roman" w:cs="Times New Roman"/>
          <w:szCs w:val="24"/>
        </w:rPr>
        <w:fldChar w:fldCharType="separate"/>
      </w:r>
      <w:r w:rsidRPr="0034241C">
        <w:rPr>
          <w:rFonts w:eastAsia="Times New Roman" w:cs="Times New Roman"/>
          <w:bCs/>
          <w:noProof/>
          <w:szCs w:val="24"/>
        </w:rPr>
        <w:t>(Moglen et al. 1998, Smith et al. 2013, Sangireddy et al. 2016)</w:t>
      </w:r>
      <w:r w:rsidRPr="00640B45">
        <w:rPr>
          <w:rStyle w:val="FootnoteReference"/>
          <w:rFonts w:eastAsia="Times New Roman" w:cs="Times New Roman"/>
          <w:szCs w:val="24"/>
        </w:rPr>
        <w:fldChar w:fldCharType="end"/>
      </w:r>
      <w:r w:rsidRPr="00640B45">
        <w:rPr>
          <w:rFonts w:eastAsia="Times New Roman" w:cs="Times New Roman"/>
          <w:szCs w:val="24"/>
        </w:rPr>
        <w:t>.</w:t>
      </w:r>
      <w:r>
        <w:rPr>
          <w:rFonts w:eastAsia="Times New Roman" w:cs="Times New Roman"/>
          <w:szCs w:val="24"/>
        </w:rPr>
        <w:t xml:space="preserve"> If the relationship between basin features and stream network geometry varies regionally, it </w:t>
      </w:r>
      <w:r w:rsidRPr="00640B45">
        <w:rPr>
          <w:rFonts w:eastAsia="Times New Roman" w:cs="Times New Roman"/>
          <w:szCs w:val="24"/>
        </w:rPr>
        <w:t xml:space="preserve">could highlight </w:t>
      </w:r>
      <w:r w:rsidR="00927F55">
        <w:rPr>
          <w:rFonts w:eastAsia="Times New Roman" w:cs="Times New Roman"/>
          <w:szCs w:val="24"/>
        </w:rPr>
        <w:t xml:space="preserve">drivers </w:t>
      </w:r>
      <w:r w:rsidRPr="00640B45">
        <w:rPr>
          <w:rFonts w:eastAsia="Times New Roman" w:cs="Times New Roman"/>
          <w:szCs w:val="24"/>
        </w:rPr>
        <w:t xml:space="preserve">macroscale </w:t>
      </w:r>
      <w:r>
        <w:rPr>
          <w:rFonts w:eastAsia="Times New Roman" w:cs="Times New Roman"/>
          <w:szCs w:val="24"/>
        </w:rPr>
        <w:t>patterns</w:t>
      </w:r>
      <w:r w:rsidRPr="00640B45">
        <w:rPr>
          <w:rFonts w:eastAsia="Times New Roman" w:cs="Times New Roman"/>
          <w:szCs w:val="24"/>
        </w:rPr>
        <w:t xml:space="preserve"> </w:t>
      </w:r>
      <w:r>
        <w:rPr>
          <w:rFonts w:eastAsia="Times New Roman" w:cs="Times New Roman"/>
          <w:szCs w:val="24"/>
        </w:rPr>
        <w:t>i</w:t>
      </w:r>
      <w:r w:rsidRPr="00640B45">
        <w:rPr>
          <w:rFonts w:eastAsia="Times New Roman" w:cs="Times New Roman"/>
          <w:szCs w:val="24"/>
        </w:rPr>
        <w:t xml:space="preserve">n aquatic-terrestrial resource exchange </w:t>
      </w:r>
      <w:r w:rsidRPr="00640B45">
        <w:rPr>
          <w:rFonts w:eastAsia="Times New Roman" w:cs="Times New Roman"/>
          <w:szCs w:val="24"/>
        </w:rPr>
        <w:fldChar w:fldCharType="begin" w:fldLock="1"/>
      </w:r>
      <w:r w:rsidR="0096235C">
        <w:rPr>
          <w:rFonts w:eastAsia="Times New Roman" w:cs="Times New Roman"/>
          <w:szCs w:val="24"/>
        </w:rPr>
        <w:instrText>ADDIN CSL_CITATION {"citationItems":[{"id":"ITEM-1","itemData":{"DOI":"10.1890/130017","ISBN":"i1540-9295-12-1-5","ISSN":"15409295","abstract":"and Turner 2013). Ecologists have responded to such broad-scale problems in two basic ways: by conducting (1) numerous local studies in different settings and attempting to scale the findings up and (2) studies that focus on patterns and processes at the macroscale and then incorporating finer scale mechanisms to explain these phenomena. For the first approach, ecologists have sought to expand the spatial and temporal footprint of their studies. Over the past several decades, this has largely been achieved by integrating approaches from landscape ecology into other ecological subdisciplines (Turner 2005). Expanding from local to macro-and global scales requires accurate description of macroscale heterogeneity, which can be substantial. In cases where macroscale patterns and processes do not interact with other scales, this approach will be sufficient. In many cases, however, interactions and processes at macroscales can result in large errors through simple scaling, because macroscale processes shape and respond to local processes. Species ranges and landscape heterogeneity, for instance, mediate relation-ships between climate and bird diversity (Rahbek et al. 2007); regional land-cover heterogeneity influences rela-tionships between plant functional types and CO 2 efflux (Xiao et al. 2011); and both global economic and local social relationships influence patterns of urbanization (Seto et al. 2012). In such cases, explicit studies of sys-tems at the macroscale are essential for regional-to conti-nental-scale predictions (see WebReferences A). Unfor-tunately, our present understanding of macroscales is not sufficient to know in advance the situations where simple scaling will work and where it will not. For the second approach, ecologists and other scientists have conducted studies that focus on patterns and Figure 1. Macrosystems are composed of components that range in spatial extent from very broad (center image) to very fine (upper right, lower left) and that can interact over very large distances. In this example, agriculture in the central US has allowed populations of migratory lesser snow geese (Chen caerulescens caerulescens) to expand dramatically because of increased supply of food in winter feeding grounds and along migratory routes. Increasing geese populations have led to the collapse of wetlands along Hudson Bay, which serve as summer breeding grounds (background): See main text as well as Abraham et al. (2005) and Jeffries et al. (2006) …","author":[{"dropping-particle":"","family":"Heffernan","given":"James B.","non-dropping-particle":"","parse-names":false,"suffix":""},{"dropping-particle":"","family":"Soranno","given":"Patricia A.","non-dropping-particle":"","parse-names":false,"suffix":""},{"dropping-particle":"","family":"Angilletta","given":"Michael J.","non-dropping-particle":"","parse-names":false,"suffix":""},{"dropping-particle":"","family":"Buckley","given":"Lauren B.","non-dropping-particle":"","parse-names":false,"suffix":""},{"dropping-particle":"","family":"Gruner","given":"Daniel S.","non-dropping-particle":"","parse-names":false,"suffix":""},{"dropping-particle":"","family":"Keitt","given":"Tim H.","non-dropping-particle":"","parse-names":false,"suffix":""},{"dropping-particle":"","family":"Kellner","given":"James R.","non-dropping-particle":"","parse-names":false,"suffix":""},{"dropping-particle":"","family":"Kominoski","given":"John S.","non-dropping-particle":"","parse-names":false,"suffix":""},{"dropping-particle":"V.","family":"Rocha","given":"Adrian","non-dropping-particle":"","parse-names":false,"suffix":""},{"dropping-particle":"","family":"Xiao","given":"Jingfeng","non-dropping-particle":"","parse-names":false,"suffix":""},{"dropping-particle":"","family":"Harms","given":"Tamara K.","non-dropping-particle":"","parse-names":false,"suffix":""},{"dropping-particle":"","family":"Goring","given":"Simon J.","non-dropping-particle":"","parse-names":false,"suffix":""},{"dropping-particle":"","family":"Koenig","given":"Lauren E.","non-dropping-particle":"","parse-names":false,"suffix":""},{"dropping-particle":"","family":"McDowell","given":"William H.","non-dropping-particle":"","parse-names":false,"suffix":""},{"dropping-particle":"","family":"Powell","given":"Heather","non-dropping-particle":"","parse-names":false,"suffix":""},{"dropping-particle":"","family":"Richardson","given":"Andrew D.","non-dropping-particle":"","parse-names":false,"suffix":""},{"dropping-particle":"","family":"Stow","given":"Craig A.","non-dropping-particle":"","parse-names":false,"suffix":""},{"dropping-particle":"","family":"Vargas","given":"Rodrigo","non-dropping-particle":"","parse-names":false,"suffix":""},{"dropping-particle":"","family":"Weathers","given":"Kathleen C.","non-dropping-particle":"","parse-names":false,"suffix":""}],"container-title":"Frontiers in Ecology and the Environment","id":"ITEM-1","issue":"1","issued":{"date-parts":[["2014"]]},"page":"5-14","title":"Macrosystems ecology: Understanding ecological patterns and processes at continental scales","type":"article-journal","volume":"12"},"uris":["http://www.mendeley.com/documents/?uuid=b46adbb7-1743-45d5-9a5d-4708649e2b27"]}],"mendeley":{"formattedCitation":"(Heffernan et al. 2014)","plainTextFormattedCitation":"(Heffernan et al. 2014)","previouslyFormattedCitation":"(Heffernan et al. 2014)"},"properties":{"noteIndex":0},"schema":"https://github.com/citation-style-language/schema/raw/master/csl-citation.json"}</w:instrText>
      </w:r>
      <w:r w:rsidRPr="00640B45">
        <w:rPr>
          <w:rFonts w:eastAsia="Times New Roman" w:cs="Times New Roman"/>
          <w:szCs w:val="24"/>
        </w:rPr>
        <w:fldChar w:fldCharType="separate"/>
      </w:r>
      <w:r w:rsidRPr="00306019">
        <w:rPr>
          <w:rFonts w:eastAsia="Times New Roman" w:cs="Times New Roman"/>
          <w:noProof/>
          <w:szCs w:val="24"/>
        </w:rPr>
        <w:t>(Heffernan et al. 2014)</w:t>
      </w:r>
      <w:r w:rsidRPr="00640B45">
        <w:rPr>
          <w:rFonts w:eastAsia="Times New Roman" w:cs="Times New Roman"/>
          <w:szCs w:val="24"/>
        </w:rPr>
        <w:fldChar w:fldCharType="end"/>
      </w:r>
      <w:r w:rsidRPr="00640B45">
        <w:rPr>
          <w:rFonts w:eastAsia="Times New Roman" w:cs="Times New Roman"/>
          <w:szCs w:val="24"/>
        </w:rPr>
        <w:t>.</w:t>
      </w:r>
      <w:r w:rsidRPr="00306019">
        <w:rPr>
          <w:rFonts w:eastAsia="Times New Roman" w:cs="Times New Roman"/>
          <w:szCs w:val="24"/>
        </w:rPr>
        <w:t xml:space="preserve"> </w:t>
      </w:r>
    </w:p>
    <w:p w14:paraId="394F0F2D" w14:textId="4DE4F5B8" w:rsidR="00BE5C6B" w:rsidRPr="00640B45" w:rsidRDefault="00927F55" w:rsidP="00BE5C6B">
      <w:pPr>
        <w:spacing w:before="100" w:beforeAutospacing="1" w:after="100" w:afterAutospacing="1" w:line="480" w:lineRule="auto"/>
        <w:ind w:firstLine="720"/>
        <w:contextualSpacing/>
        <w:rPr>
          <w:rFonts w:eastAsia="Times New Roman" w:cs="Times New Roman"/>
          <w:szCs w:val="24"/>
        </w:rPr>
      </w:pPr>
      <w:r>
        <w:rPr>
          <w:rFonts w:eastAsia="Times New Roman" w:cs="Times New Roman"/>
          <w:szCs w:val="24"/>
        </w:rPr>
        <w:t>S</w:t>
      </w:r>
      <w:r w:rsidR="00BE5C6B" w:rsidRPr="00640B45">
        <w:rPr>
          <w:rFonts w:eastAsia="Times New Roman" w:cs="Times New Roman"/>
          <w:szCs w:val="24"/>
        </w:rPr>
        <w:t xml:space="preserve">patial patterning of aquatic insect subsidies </w:t>
      </w:r>
      <w:r>
        <w:rPr>
          <w:rFonts w:eastAsia="Times New Roman" w:cs="Times New Roman"/>
          <w:szCs w:val="24"/>
        </w:rPr>
        <w:t>may also be influenced by</w:t>
      </w:r>
      <w:r w:rsidR="00BE5C6B" w:rsidRPr="00640B45">
        <w:rPr>
          <w:rFonts w:eastAsia="Times New Roman" w:cs="Times New Roman"/>
          <w:szCs w:val="24"/>
        </w:rPr>
        <w:t xml:space="preserve"> </w:t>
      </w:r>
      <w:r w:rsidR="00BE5C6B">
        <w:rPr>
          <w:rFonts w:eastAsia="Times New Roman" w:cs="Times New Roman"/>
          <w:szCs w:val="24"/>
        </w:rPr>
        <w:t xml:space="preserve">the </w:t>
      </w:r>
      <w:r w:rsidR="00BE5C6B" w:rsidRPr="00640B45">
        <w:rPr>
          <w:rFonts w:eastAsia="Times New Roman" w:cs="Times New Roman"/>
          <w:szCs w:val="24"/>
        </w:rPr>
        <w:t>dista</w:t>
      </w:r>
      <w:r w:rsidR="00BE5C6B">
        <w:rPr>
          <w:rFonts w:eastAsia="Times New Roman" w:cs="Times New Roman"/>
          <w:szCs w:val="24"/>
        </w:rPr>
        <w:t>nce they travel from the stream</w:t>
      </w:r>
      <w:r w:rsidR="00BE5C6B" w:rsidRPr="00640B45">
        <w:rPr>
          <w:rFonts w:eastAsia="Times New Roman" w:cs="Times New Roman"/>
          <w:szCs w:val="24"/>
        </w:rPr>
        <w:t xml:space="preserve">. The stream signature concept defines a ecological stream width as the percentage of aquatic subsidies </w:t>
      </w:r>
      <w:r w:rsidR="008D186C">
        <w:rPr>
          <w:rFonts w:eastAsia="Times New Roman" w:cs="Times New Roman"/>
          <w:szCs w:val="24"/>
        </w:rPr>
        <w:t xml:space="preserve">that expected to travel </w:t>
      </w:r>
      <w:r w:rsidR="00BE5C6B" w:rsidRPr="00640B45">
        <w:rPr>
          <w:rFonts w:eastAsia="Times New Roman" w:cs="Times New Roman"/>
          <w:szCs w:val="24"/>
        </w:rPr>
        <w:t xml:space="preserve">a lateral distance into watersheds </w:t>
      </w:r>
      <w:r w:rsidR="00BE5C6B" w:rsidRPr="00640B45">
        <w:rPr>
          <w:rStyle w:val="FootnoteReference"/>
          <w:rFonts w:eastAsia="Times New Roman" w:cs="Times New Roman"/>
          <w:szCs w:val="24"/>
        </w:rPr>
        <w:fldChar w:fldCharType="begin" w:fldLock="1"/>
      </w:r>
      <w:r w:rsidR="00306019">
        <w:rPr>
          <w:rFonts w:eastAsia="Times New Roman"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2014)","plainTextFormattedCitation":"(Muehlbauer et al. 2014)","previouslyFormattedCitation":"(Muehlbauer et al. 2014)"},"properties":{"noteIndex":0},"schema":"https://github.com/citation-style-language/schema/raw/master/csl-citation.json"}</w:instrText>
      </w:r>
      <w:r w:rsidR="00BE5C6B" w:rsidRPr="00640B45">
        <w:rPr>
          <w:rStyle w:val="FootnoteReference"/>
          <w:rFonts w:eastAsia="Times New Roman" w:cs="Times New Roman"/>
          <w:szCs w:val="24"/>
        </w:rPr>
        <w:fldChar w:fldCharType="separate"/>
      </w:r>
      <w:r w:rsidR="0034241C" w:rsidRPr="0034241C">
        <w:rPr>
          <w:rFonts w:eastAsia="Times New Roman" w:cs="Times New Roman"/>
          <w:noProof/>
          <w:szCs w:val="24"/>
        </w:rPr>
        <w:t>(Muehlbauer et al. 2014)</w:t>
      </w:r>
      <w:r w:rsidR="00BE5C6B" w:rsidRPr="00640B45">
        <w:rPr>
          <w:rStyle w:val="FootnoteReference"/>
          <w:rFonts w:eastAsia="Times New Roman" w:cs="Times New Roman"/>
          <w:szCs w:val="24"/>
        </w:rPr>
        <w:fldChar w:fldCharType="end"/>
      </w:r>
      <w:r w:rsidR="00BE5C6B" w:rsidRPr="00640B45">
        <w:rPr>
          <w:rFonts w:eastAsia="Times New Roman" w:cs="Times New Roman"/>
          <w:szCs w:val="24"/>
        </w:rPr>
        <w:t xml:space="preserve">. </w:t>
      </w:r>
      <w:r w:rsidR="00BE5C6B">
        <w:rPr>
          <w:rFonts w:eastAsia="Times New Roman" w:cs="Times New Roman"/>
          <w:szCs w:val="24"/>
        </w:rPr>
        <w:t>For example, an 8% stream signature refers to the distance</w:t>
      </w:r>
      <w:r w:rsidR="008D186C">
        <w:rPr>
          <w:rFonts w:eastAsia="Times New Roman" w:cs="Times New Roman"/>
          <w:szCs w:val="24"/>
        </w:rPr>
        <w:t xml:space="preserve"> perpendicular to the stream where</w:t>
      </w:r>
      <w:r w:rsidR="00BE5C6B">
        <w:rPr>
          <w:rFonts w:eastAsia="Times New Roman" w:cs="Times New Roman"/>
          <w:szCs w:val="24"/>
        </w:rPr>
        <w:t xml:space="preserve"> 8% of the subsidies measured at the water’s edge </w:t>
      </w:r>
      <w:r w:rsidR="008D186C">
        <w:rPr>
          <w:rFonts w:eastAsia="Times New Roman" w:cs="Times New Roman"/>
          <w:szCs w:val="24"/>
        </w:rPr>
        <w:t>can be detected</w:t>
      </w:r>
      <w:r w:rsidR="00BE5C6B">
        <w:rPr>
          <w:rFonts w:eastAsia="Times New Roman" w:cs="Times New Roman"/>
          <w:szCs w:val="24"/>
        </w:rPr>
        <w:t>. Th</w:t>
      </w:r>
      <w:r w:rsidR="008D186C">
        <w:rPr>
          <w:rFonts w:eastAsia="Times New Roman" w:cs="Times New Roman"/>
          <w:szCs w:val="24"/>
        </w:rPr>
        <w:t xml:space="preserve">is </w:t>
      </w:r>
      <w:r w:rsidR="00BE5C6B">
        <w:rPr>
          <w:rFonts w:eastAsia="Times New Roman" w:cs="Times New Roman"/>
          <w:szCs w:val="24"/>
        </w:rPr>
        <w:t>distance-</w:t>
      </w:r>
      <w:r w:rsidR="00BE5C6B" w:rsidRPr="00640B45">
        <w:rPr>
          <w:rFonts w:eastAsia="Times New Roman" w:cs="Times New Roman"/>
          <w:szCs w:val="24"/>
        </w:rPr>
        <w:t>decay relationship</w:t>
      </w:r>
      <w:r w:rsidR="00BE5C6B">
        <w:rPr>
          <w:rFonts w:eastAsia="Times New Roman" w:cs="Times New Roman"/>
          <w:szCs w:val="24"/>
        </w:rPr>
        <w:t xml:space="preserve"> is derived from a meta-analysis and</w:t>
      </w:r>
      <w:r w:rsidR="00BE5C6B" w:rsidRPr="00640B45">
        <w:rPr>
          <w:rFonts w:eastAsia="Times New Roman" w:cs="Times New Roman"/>
          <w:szCs w:val="24"/>
        </w:rPr>
        <w:t xml:space="preserve"> </w:t>
      </w:r>
      <w:r w:rsidR="00BE5C6B">
        <w:rPr>
          <w:rFonts w:eastAsia="Times New Roman" w:cs="Times New Roman"/>
          <w:szCs w:val="24"/>
        </w:rPr>
        <w:t>modeled as an</w:t>
      </w:r>
      <w:r w:rsidR="00BE5C6B" w:rsidRPr="00640B45">
        <w:rPr>
          <w:rFonts w:eastAsia="Times New Roman" w:cs="Times New Roman"/>
          <w:szCs w:val="24"/>
        </w:rPr>
        <w:t xml:space="preserve"> inverse power function </w:t>
      </w:r>
      <w:r w:rsidR="00BE5C6B">
        <w:rPr>
          <w:rFonts w:eastAsia="Times New Roman" w:cs="Times New Roman"/>
          <w:szCs w:val="24"/>
        </w:rPr>
        <w:t xml:space="preserve">that </w:t>
      </w:r>
      <w:r w:rsidR="00BE5C6B" w:rsidRPr="00640B45">
        <w:rPr>
          <w:rFonts w:eastAsia="Times New Roman" w:cs="Times New Roman"/>
          <w:szCs w:val="24"/>
        </w:rPr>
        <w:t>reflect</w:t>
      </w:r>
      <w:r w:rsidR="00BE5C6B">
        <w:rPr>
          <w:rFonts w:eastAsia="Times New Roman" w:cs="Times New Roman"/>
          <w:szCs w:val="24"/>
        </w:rPr>
        <w:t>s</w:t>
      </w:r>
      <w:r w:rsidR="00BE5C6B" w:rsidRPr="00640B45">
        <w:rPr>
          <w:rFonts w:eastAsia="Times New Roman" w:cs="Times New Roman"/>
          <w:szCs w:val="24"/>
        </w:rPr>
        <w:t xml:space="preserve"> </w:t>
      </w:r>
      <w:r w:rsidR="00BE5C6B">
        <w:rPr>
          <w:rFonts w:eastAsia="Times New Roman" w:cs="Times New Roman"/>
          <w:szCs w:val="24"/>
        </w:rPr>
        <w:t xml:space="preserve">empirical observations </w:t>
      </w:r>
      <w:r w:rsidR="00BE5C6B" w:rsidRPr="00640B45">
        <w:rPr>
          <w:rFonts w:eastAsia="Times New Roman" w:cs="Times New Roman"/>
          <w:szCs w:val="24"/>
        </w:rPr>
        <w:t>(</w:t>
      </w:r>
      <w:r w:rsidR="00BE5C6B" w:rsidRPr="00640B45">
        <w:rPr>
          <w:rFonts w:eastAsia="Times New Roman" w:cs="Times New Roman"/>
          <w:szCs w:val="24"/>
        </w:rPr>
        <w:fldChar w:fldCharType="begin" w:fldLock="1"/>
      </w:r>
      <w:r w:rsidR="00306019">
        <w:rPr>
          <w:rFonts w:eastAsia="Times New Roman"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2014)","manualFormatting":"Muehlbauer et al. 2014)","plainTextFormattedCitation":"(Muehlbauer et al. 2014)","previouslyFormattedCitation":"(Muehlbauer et al. 2014)"},"properties":{"noteIndex":0},"schema":"https://github.com/citation-style-language/schema/raw/master/csl-citation.json"}</w:instrText>
      </w:r>
      <w:r w:rsidR="00BE5C6B" w:rsidRPr="00640B45">
        <w:rPr>
          <w:rFonts w:eastAsia="Times New Roman" w:cs="Times New Roman"/>
          <w:szCs w:val="24"/>
        </w:rPr>
        <w:fldChar w:fldCharType="separate"/>
      </w:r>
      <w:r w:rsidR="00BE5C6B" w:rsidRPr="00640B45">
        <w:rPr>
          <w:rFonts w:eastAsia="Times New Roman" w:cs="Times New Roman"/>
          <w:noProof/>
          <w:szCs w:val="24"/>
        </w:rPr>
        <w:t>Muehlbauer et al. 2014)</w:t>
      </w:r>
      <w:r w:rsidR="00BE5C6B" w:rsidRPr="00640B45">
        <w:rPr>
          <w:rFonts w:eastAsia="Times New Roman" w:cs="Times New Roman"/>
          <w:szCs w:val="24"/>
        </w:rPr>
        <w:fldChar w:fldCharType="end"/>
      </w:r>
      <w:r w:rsidR="00BE5C6B" w:rsidRPr="00640B45">
        <w:rPr>
          <w:rFonts w:eastAsia="Times New Roman" w:cs="Times New Roman"/>
          <w:szCs w:val="24"/>
        </w:rPr>
        <w:t xml:space="preserve">. </w:t>
      </w:r>
      <w:r w:rsidR="00BE5C6B">
        <w:rPr>
          <w:rFonts w:eastAsia="Times New Roman" w:cs="Times New Roman"/>
          <w:szCs w:val="24"/>
        </w:rPr>
        <w:t>Importantly, this model produces distance estimates that can be used to create boundaries</w:t>
      </w:r>
      <w:r w:rsidR="006E7A60">
        <w:rPr>
          <w:rFonts w:eastAsia="Times New Roman" w:cs="Times New Roman"/>
          <w:szCs w:val="24"/>
        </w:rPr>
        <w:t>, “stream signature buffers”,</w:t>
      </w:r>
      <w:r w:rsidR="00BE5C6B">
        <w:rPr>
          <w:rFonts w:eastAsia="Times New Roman" w:cs="Times New Roman"/>
          <w:szCs w:val="24"/>
        </w:rPr>
        <w:t xml:space="preserve"> around individual streams</w:t>
      </w:r>
      <w:r w:rsidR="008D186C">
        <w:rPr>
          <w:rFonts w:eastAsia="Times New Roman" w:cs="Times New Roman"/>
          <w:szCs w:val="24"/>
        </w:rPr>
        <w:t xml:space="preserve"> that encompass the terrestrial area that </w:t>
      </w:r>
      <w:r w:rsidR="008D186C">
        <w:rPr>
          <w:rFonts w:eastAsia="Times New Roman" w:cs="Times New Roman"/>
          <w:szCs w:val="24"/>
        </w:rPr>
        <w:lastRenderedPageBreak/>
        <w:t xml:space="preserve">should receive the majority of the aquatic insect subsidies </w:t>
      </w:r>
      <w:r w:rsidR="00BE5C6B">
        <w:rPr>
          <w:rFonts w:eastAsia="Times New Roman" w:cs="Times New Roman"/>
          <w:szCs w:val="24"/>
        </w:rPr>
        <w:t>without directly quantifying emergence</w:t>
      </w:r>
      <w:r w:rsidR="008D186C">
        <w:rPr>
          <w:rFonts w:eastAsia="Times New Roman" w:cs="Times New Roman"/>
          <w:szCs w:val="24"/>
        </w:rPr>
        <w:t xml:space="preserve"> or deposition</w:t>
      </w:r>
      <w:r w:rsidR="00BE5C6B">
        <w:rPr>
          <w:rFonts w:eastAsia="Times New Roman" w:cs="Times New Roman"/>
          <w:szCs w:val="24"/>
        </w:rPr>
        <w:t>.</w:t>
      </w:r>
    </w:p>
    <w:p w14:paraId="6A1C08B1" w14:textId="206DBEE5" w:rsidR="00B27B90" w:rsidRPr="00A53CE6" w:rsidRDefault="00BE5C6B" w:rsidP="00A53CE6">
      <w:pPr>
        <w:spacing w:before="100" w:beforeAutospacing="1" w:after="100" w:afterAutospacing="1" w:line="480" w:lineRule="auto"/>
        <w:ind w:firstLine="720"/>
        <w:contextualSpacing/>
        <w:rPr>
          <w:rFonts w:cs="Times New Roman"/>
          <w:szCs w:val="24"/>
        </w:rPr>
      </w:pPr>
      <w:r w:rsidRPr="00640B45">
        <w:rPr>
          <w:rFonts w:eastAsia="Times New Roman" w:cs="Times New Roman"/>
          <w:szCs w:val="24"/>
        </w:rPr>
        <w:t xml:space="preserve">Here </w:t>
      </w:r>
      <w:r w:rsidR="00306019">
        <w:rPr>
          <w:rFonts w:eastAsia="Times New Roman" w:cs="Times New Roman"/>
          <w:szCs w:val="24"/>
        </w:rPr>
        <w:t xml:space="preserve">use statistical modeling </w:t>
      </w:r>
      <w:r w:rsidR="00927F55">
        <w:rPr>
          <w:rFonts w:eastAsia="Times New Roman" w:cs="Times New Roman"/>
          <w:szCs w:val="24"/>
        </w:rPr>
        <w:t>approaches</w:t>
      </w:r>
      <w:r w:rsidR="00306019">
        <w:rPr>
          <w:rFonts w:eastAsia="Times New Roman" w:cs="Times New Roman"/>
          <w:szCs w:val="24"/>
        </w:rPr>
        <w:t xml:space="preserve"> </w:t>
      </w:r>
      <w:r w:rsidR="00927F55">
        <w:rPr>
          <w:rFonts w:eastAsia="Times New Roman" w:cs="Times New Roman"/>
          <w:szCs w:val="24"/>
        </w:rPr>
        <w:t xml:space="preserve">and </w:t>
      </w:r>
      <w:proofErr w:type="spellStart"/>
      <w:r w:rsidR="00927F55">
        <w:rPr>
          <w:rFonts w:eastAsia="Times New Roman" w:cs="Times New Roman"/>
          <w:szCs w:val="24"/>
        </w:rPr>
        <w:t>Muehlbauer</w:t>
      </w:r>
      <w:proofErr w:type="spellEnd"/>
      <w:r w:rsidR="00927F55">
        <w:rPr>
          <w:rFonts w:eastAsia="Times New Roman" w:cs="Times New Roman"/>
          <w:szCs w:val="24"/>
        </w:rPr>
        <w:t xml:space="preserve"> et al. (2014) </w:t>
      </w:r>
      <w:r w:rsidR="00325B81">
        <w:rPr>
          <w:rFonts w:eastAsia="Times New Roman" w:cs="Times New Roman"/>
          <w:szCs w:val="24"/>
        </w:rPr>
        <w:t>“</w:t>
      </w:r>
      <w:r w:rsidR="00927F55">
        <w:rPr>
          <w:rFonts w:eastAsia="Times New Roman" w:cs="Times New Roman"/>
          <w:szCs w:val="24"/>
        </w:rPr>
        <w:t>stream signature concept</w:t>
      </w:r>
      <w:r w:rsidR="00325B81">
        <w:rPr>
          <w:rFonts w:eastAsia="Times New Roman" w:cs="Times New Roman"/>
          <w:szCs w:val="24"/>
        </w:rPr>
        <w:t>”</w:t>
      </w:r>
      <w:r w:rsidR="00927F55">
        <w:rPr>
          <w:rFonts w:eastAsia="Times New Roman" w:cs="Times New Roman"/>
          <w:szCs w:val="24"/>
        </w:rPr>
        <w:t xml:space="preserve"> </w:t>
      </w:r>
      <w:r w:rsidR="00007B70">
        <w:rPr>
          <w:rFonts w:eastAsia="Times New Roman" w:cs="Times New Roman"/>
          <w:szCs w:val="24"/>
        </w:rPr>
        <w:t>to extend Sabo and Hagen’s (2012)</w:t>
      </w:r>
      <w:r w:rsidR="00306019">
        <w:rPr>
          <w:rFonts w:eastAsia="Times New Roman" w:cs="Times New Roman"/>
          <w:szCs w:val="24"/>
        </w:rPr>
        <w:t xml:space="preserve"> theoretical </w:t>
      </w:r>
      <w:r w:rsidR="00007B70">
        <w:rPr>
          <w:rFonts w:eastAsia="Times New Roman" w:cs="Times New Roman"/>
          <w:szCs w:val="24"/>
        </w:rPr>
        <w:t xml:space="preserve">findings to real stream networks across the contiguous United States (CONUS). We first </w:t>
      </w:r>
      <w:r w:rsidR="00306019">
        <w:rPr>
          <w:rFonts w:eastAsia="Times New Roman" w:cs="Times New Roman"/>
          <w:szCs w:val="24"/>
        </w:rPr>
        <w:t xml:space="preserve">investigate the relative importance of each component of stream network geometry in driving the spatial pattern of aquatic insect subsides in watersheds. </w:t>
      </w:r>
      <w:r w:rsidR="00007B70">
        <w:rPr>
          <w:rFonts w:eastAsia="Times New Roman" w:cs="Times New Roman"/>
          <w:szCs w:val="24"/>
        </w:rPr>
        <w:t xml:space="preserve">We then create a suite of models to quantify the relationship between several basin features and components of steam network geometry. These models allowed us to assess the relative importance of each basin feature </w:t>
      </w:r>
      <w:r w:rsidR="00325B81">
        <w:rPr>
          <w:rFonts w:eastAsia="Times New Roman" w:cs="Times New Roman"/>
          <w:szCs w:val="24"/>
        </w:rPr>
        <w:t>for</w:t>
      </w:r>
      <w:r w:rsidR="00007B70">
        <w:rPr>
          <w:rFonts w:eastAsia="Times New Roman" w:cs="Times New Roman"/>
          <w:szCs w:val="24"/>
        </w:rPr>
        <w:t xml:space="preserve"> each component of stream network geometry and determine whether these relationships differ among major hydrologic regions of the CONUS. </w:t>
      </w:r>
      <w:r w:rsidRPr="00640B45">
        <w:rPr>
          <w:rFonts w:eastAsia="Times New Roman" w:cs="Times New Roman"/>
          <w:szCs w:val="24"/>
        </w:rPr>
        <w:t xml:space="preserve">We use the term “spatial extent” to describe the area of the stream signature </w:t>
      </w:r>
      <w:r>
        <w:rPr>
          <w:rFonts w:eastAsia="Times New Roman" w:cs="Times New Roman"/>
          <w:szCs w:val="24"/>
        </w:rPr>
        <w:t xml:space="preserve">(i.e. footprint) </w:t>
      </w:r>
      <w:r w:rsidRPr="00640B45">
        <w:rPr>
          <w:rFonts w:eastAsia="Times New Roman" w:cs="Times New Roman"/>
          <w:szCs w:val="24"/>
        </w:rPr>
        <w:t xml:space="preserve">relative to the area of the watershed (Sabo and Hagen 2012) and “spatial distribution” to describe the spatial heterogeneity of aquatic insect subsidies in the terrestrial landscape. </w:t>
      </w:r>
      <w:r w:rsidRPr="00640B45">
        <w:rPr>
          <w:rFonts w:cs="Times New Roman"/>
          <w:szCs w:val="24"/>
        </w:rPr>
        <w:t xml:space="preserve">We hypothesize that 1) stream network geometry controls the spatial extent and distribution of aquatic subsidies in terrestrial ecosystems and 2) regional constrains on these aquatic-terrestrial interactions imposed by stream network geometry result from regional differences in climate, hydrology, topography, </w:t>
      </w:r>
      <w:r>
        <w:rPr>
          <w:rFonts w:cs="Times New Roman"/>
          <w:szCs w:val="24"/>
        </w:rPr>
        <w:t>soils</w:t>
      </w:r>
      <w:r w:rsidRPr="00640B45">
        <w:rPr>
          <w:rFonts w:cs="Times New Roman"/>
          <w:szCs w:val="24"/>
        </w:rPr>
        <w:t xml:space="preserve"> and vegetation. </w:t>
      </w:r>
      <w:r w:rsidR="00306019">
        <w:rPr>
          <w:rFonts w:cs="Times New Roman"/>
          <w:szCs w:val="24"/>
        </w:rPr>
        <w:t xml:space="preserve"> </w:t>
      </w:r>
    </w:p>
    <w:p w14:paraId="2D02E129" w14:textId="722266AD" w:rsidR="00110D79" w:rsidRPr="007B4B12" w:rsidRDefault="00BE5C6B" w:rsidP="007B4B12">
      <w:pPr>
        <w:pStyle w:val="Heading2"/>
        <w:spacing w:line="480" w:lineRule="auto"/>
        <w:contextualSpacing/>
      </w:pPr>
      <w:bookmarkStart w:id="6" w:name="_Toc60841211"/>
      <w:r w:rsidRPr="005023AB">
        <w:t>Methods</w:t>
      </w:r>
      <w:bookmarkEnd w:id="6"/>
      <w:r w:rsidRPr="005023AB">
        <w:t xml:space="preserve"> </w:t>
      </w:r>
    </w:p>
    <w:p w14:paraId="0866A248" w14:textId="03080B50" w:rsidR="00110D79" w:rsidRPr="00FA0782" w:rsidRDefault="00BE5C6B" w:rsidP="007B4B12">
      <w:pPr>
        <w:spacing w:line="480" w:lineRule="auto"/>
        <w:contextualSpacing/>
        <w:rPr>
          <w:i/>
          <w:iCs/>
        </w:rPr>
      </w:pPr>
      <w:r w:rsidRPr="00FA0782">
        <w:rPr>
          <w:i/>
          <w:iCs/>
        </w:rPr>
        <w:t xml:space="preserve">Stream networks </w:t>
      </w:r>
    </w:p>
    <w:p w14:paraId="7475D88B" w14:textId="077D4A23" w:rsidR="00FA0782" w:rsidRDefault="00BE5C6B" w:rsidP="00B27B90">
      <w:pPr>
        <w:spacing w:line="480" w:lineRule="auto"/>
        <w:contextualSpacing/>
        <w:rPr>
          <w:rFonts w:cs="Times New Roman"/>
          <w:szCs w:val="24"/>
        </w:rPr>
      </w:pPr>
      <w:r w:rsidRPr="00640B45">
        <w:rPr>
          <w:rFonts w:cs="Times New Roman"/>
          <w:szCs w:val="24"/>
        </w:rPr>
        <w:tab/>
      </w:r>
      <w:r>
        <w:rPr>
          <w:rFonts w:cs="Times New Roman"/>
          <w:szCs w:val="24"/>
        </w:rPr>
        <w:t xml:space="preserve">The </w:t>
      </w:r>
      <w:r w:rsidRPr="00640B45">
        <w:rPr>
          <w:rFonts w:cs="Times New Roman"/>
          <w:szCs w:val="24"/>
        </w:rPr>
        <w:t xml:space="preserve">National Hydrography Dataset Plus Version 2 </w:t>
      </w:r>
      <w:r>
        <w:rPr>
          <w:rFonts w:cs="Times New Roman"/>
          <w:szCs w:val="24"/>
        </w:rPr>
        <w:t>(</w:t>
      </w:r>
      <w:r w:rsidRPr="00640B45">
        <w:rPr>
          <w:rFonts w:cs="Times New Roman"/>
          <w:szCs w:val="24"/>
        </w:rPr>
        <w:t>NHDPlusV2</w:t>
      </w:r>
      <w:r>
        <w:rPr>
          <w:rFonts w:cs="Times New Roman"/>
          <w:szCs w:val="24"/>
        </w:rPr>
        <w:t>)</w:t>
      </w:r>
      <w:r w:rsidRPr="00640B45">
        <w:rPr>
          <w:rFonts w:cs="Times New Roman"/>
          <w:szCs w:val="24"/>
        </w:rPr>
        <w:t xml:space="preserve"> integrates features from the Medium Resolution (1:100K) National Hydrography Dataset, National Elevation Dataset and Watershed Boundary Dataset to produce digital stream networks (“</w:t>
      </w:r>
      <w:proofErr w:type="spellStart"/>
      <w:r w:rsidRPr="00640B45">
        <w:rPr>
          <w:rFonts w:cs="Times New Roman"/>
          <w:szCs w:val="24"/>
        </w:rPr>
        <w:t>flowlines</w:t>
      </w:r>
      <w:proofErr w:type="spellEnd"/>
      <w:r w:rsidRPr="00640B45">
        <w:rPr>
          <w:rFonts w:cs="Times New Roman"/>
          <w:szCs w:val="24"/>
        </w:rPr>
        <w:t xml:space="preserve">”) for the </w:t>
      </w:r>
      <w:r w:rsidR="00325B81">
        <w:rPr>
          <w:rFonts w:cs="Times New Roman"/>
          <w:szCs w:val="24"/>
        </w:rPr>
        <w:t>CONUS</w:t>
      </w:r>
      <w:r w:rsidRPr="00640B45">
        <w:rPr>
          <w:rFonts w:cs="Times New Roman"/>
          <w:szCs w:val="24"/>
        </w:rPr>
        <w:t xml:space="preserve"> </w:t>
      </w:r>
      <w:r w:rsidRPr="00640B45">
        <w:rPr>
          <w:rStyle w:val="FootnoteReference"/>
          <w:rFonts w:cs="Times New Roman"/>
          <w:szCs w:val="24"/>
        </w:rPr>
        <w:fldChar w:fldCharType="begin" w:fldLock="1"/>
      </w:r>
      <w:r w:rsidR="008759C3">
        <w:rPr>
          <w:rFonts w:cs="Times New Roman"/>
          <w:szCs w:val="24"/>
        </w:rPr>
        <w:instrText>ADDIN CSL_CITATION {"citationItems":[{"id":"ITEM-1","itemData":{"DOI":"10.1111/1752-1688.12389","ISSN":"17521688","abstract":"ABSTRACT: A progression of advancements in Geographic Information Systems techniques for hydrologic network and associated catchment delineation has led to the production of the National Hydrography Dataset Plus (NHDPlus). NHDPlus is a digital stream network for hydrologic modeling with catchments and a suite of related geospatial data. Digital stream networks with associated catchments provide a geospatial framework for linking and integrating water-related data. Advancements in the development of NHDPlus are expected to continue to improve the capabilities of this national geospatial hydrologic framework. NHDPlus is built upon the mediumresolution NHD and, like NHD, was developed by the U.S. Environmental Protection Agency and U.S. Geological Survey to support the estimation of streamflow and stream velocity used in fate-and-transport modeling. Catchments included with NHDPlus were created by integrating vector information from the NHD and from the Watershed Boundary Dataset with the gridded land surface elevation as represented by the National Elevation Dataset. NHDPlus is an actively used and continually improved dataset. Users recognize the importance of a reliable stream network and associated catchments. The NHDPlus spatial features and associated data tables will continue to be improved to support regional water quality and streamflow models and other user-defined applications.","author":[{"dropping-particle":"","family":"Moore","given":"Richard B.","non-dropping-particle":"","parse-names":false,"suffix":""},{"dropping-particle":"","family":"Dewald","given":"Thomas G.","non-dropping-particle":"","parse-names":false,"suffix":""}],"container-title":"Journal of the American Water Resources Association","id":"ITEM-1","issue":"4","issued":{"date-parts":[["2016"]]},"note":"Introduction \nThe Network \nThe Catchment \nThe Value Added Attributes\nEstimates of Streamflow and Velocity \nThe Application \nConclusions","page":"890-900","title":"The Road to NHDPlus - Advancements in Digital Stream Networks and Associated Catchments","type":"article-journal","volume":"52"},"uris":["http://www.mendeley.com/documents/?uuid=4c91617f-d4a6-4f20-9b3d-82fdecab6669"]}],"mendeley":{"formattedCitation":"(Moore and Dewald 2016)","manualFormatting":"(http://www.horizon-systems.com/nhdplus; McKay et al. 2012; Moore &amp; Dewald 2016)","plainTextFormattedCitation":"(Moore and Dewald 2016)","previouslyFormattedCitation":"(Moore and Dewald 2016)"},"properties":{"noteIndex":0},"schema":"https://github.com/citation-style-language/schema/raw/master/csl-citation.json"}</w:instrText>
      </w:r>
      <w:r w:rsidRPr="00640B45">
        <w:rPr>
          <w:rStyle w:val="FootnoteReference"/>
          <w:rFonts w:cs="Times New Roman"/>
          <w:szCs w:val="24"/>
        </w:rPr>
        <w:fldChar w:fldCharType="separate"/>
      </w:r>
      <w:r w:rsidRPr="00640B45">
        <w:rPr>
          <w:rFonts w:cs="Times New Roman"/>
          <w:bCs/>
          <w:noProof/>
          <w:szCs w:val="24"/>
        </w:rPr>
        <w:t>(</w:t>
      </w:r>
      <w:r w:rsidRPr="00640B45">
        <w:rPr>
          <w:rStyle w:val="FootnoteReference"/>
          <w:rFonts w:cs="Times New Roman"/>
          <w:noProof/>
          <w:szCs w:val="24"/>
        </w:rPr>
        <w:fldChar w:fldCharType="begin" w:fldLock="1"/>
      </w:r>
      <w:r w:rsidR="00325B81">
        <w:rPr>
          <w:rFonts w:cs="Times New Roman"/>
          <w:noProof/>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Guide","type":"article"},"uris":["http://www.mendeley.com/documents/?uuid=2eacd0aa-0fb0-448e-b8cc-991c6eb293fe"]}],"mendeley":{"formattedCitation":"(McKay et al. 2012)","manualFormatting":"http://www.horizon-systems.com/nhdplus; McKay et al. 2012;","plainTextFormattedCitation":"(McKay et al. 2012)","previouslyFormattedCitation":"(McKay et al. 2012)"},"properties":{"noteIndex":0},"schema":"https://github.com/citation-style-language/schema/raw/master/csl-citation.json"}</w:instrText>
      </w:r>
      <w:r w:rsidRPr="00640B45">
        <w:rPr>
          <w:rStyle w:val="FootnoteReference"/>
          <w:rFonts w:cs="Times New Roman"/>
          <w:noProof/>
          <w:szCs w:val="24"/>
        </w:rPr>
        <w:fldChar w:fldCharType="separate"/>
      </w:r>
      <w:r w:rsidRPr="00640B45">
        <w:rPr>
          <w:rFonts w:cs="Times New Roman"/>
          <w:noProof/>
          <w:szCs w:val="24"/>
        </w:rPr>
        <w:t>http://www.horizon-systems.com/nhdplus; McKay et al. 2012;</w:t>
      </w:r>
      <w:r w:rsidRPr="00640B45">
        <w:rPr>
          <w:rStyle w:val="FootnoteReference"/>
          <w:rFonts w:cs="Times New Roman"/>
          <w:noProof/>
          <w:szCs w:val="24"/>
        </w:rPr>
        <w:fldChar w:fldCharType="end"/>
      </w:r>
      <w:r w:rsidRPr="00640B45">
        <w:rPr>
          <w:rFonts w:cs="Times New Roman"/>
          <w:noProof/>
          <w:szCs w:val="24"/>
        </w:rPr>
        <w:t xml:space="preserve"> </w:t>
      </w:r>
      <w:r w:rsidRPr="00640B45">
        <w:rPr>
          <w:rFonts w:cs="Times New Roman"/>
          <w:bCs/>
          <w:noProof/>
          <w:szCs w:val="24"/>
        </w:rPr>
        <w:t>Moore &amp; Dewald 2016)</w:t>
      </w:r>
      <w:r w:rsidRPr="00640B45">
        <w:rPr>
          <w:rStyle w:val="FootnoteReference"/>
          <w:rFonts w:cs="Times New Roman"/>
          <w:szCs w:val="24"/>
        </w:rPr>
        <w:fldChar w:fldCharType="end"/>
      </w:r>
      <w:r w:rsidRPr="00640B45">
        <w:rPr>
          <w:rFonts w:cs="Times New Roman"/>
          <w:szCs w:val="24"/>
        </w:rPr>
        <w:t xml:space="preserve">. </w:t>
      </w:r>
      <w:r w:rsidR="00325B81">
        <w:rPr>
          <w:rFonts w:cs="Times New Roman"/>
          <w:szCs w:val="24"/>
        </w:rPr>
        <w:t>T</w:t>
      </w:r>
      <w:r>
        <w:rPr>
          <w:rFonts w:cs="Times New Roman"/>
          <w:szCs w:val="24"/>
        </w:rPr>
        <w:t xml:space="preserve">his </w:t>
      </w:r>
      <w:r>
        <w:rPr>
          <w:rFonts w:cs="Times New Roman"/>
          <w:szCs w:val="24"/>
        </w:rPr>
        <w:lastRenderedPageBreak/>
        <w:t xml:space="preserve">dataset </w:t>
      </w:r>
      <w:r w:rsidR="00325B81">
        <w:rPr>
          <w:rFonts w:cs="Times New Roman"/>
          <w:szCs w:val="24"/>
        </w:rPr>
        <w:t>provides a</w:t>
      </w:r>
      <w:r>
        <w:rPr>
          <w:rFonts w:cs="Times New Roman"/>
          <w:szCs w:val="24"/>
        </w:rPr>
        <w:t xml:space="preserve"> spatial framework to assess macroscale processes in aquatic ecology. </w:t>
      </w:r>
      <w:r w:rsidRPr="00640B45">
        <w:rPr>
          <w:rFonts w:cs="Times New Roman"/>
          <w:szCs w:val="24"/>
        </w:rPr>
        <w:t>The geographic units (</w:t>
      </w:r>
      <w:r>
        <w:rPr>
          <w:rFonts w:cs="Times New Roman"/>
          <w:szCs w:val="24"/>
        </w:rPr>
        <w:t xml:space="preserve">i.e. </w:t>
      </w:r>
      <w:r w:rsidRPr="00640B45">
        <w:rPr>
          <w:rFonts w:cs="Times New Roman"/>
          <w:szCs w:val="24"/>
        </w:rPr>
        <w:t xml:space="preserve">Vector Processing Units; VPU) of NHDPlusV2 generally follow major </w:t>
      </w:r>
      <w:r>
        <w:rPr>
          <w:rFonts w:cs="Times New Roman"/>
          <w:szCs w:val="24"/>
        </w:rPr>
        <w:t>hydrologic regions</w:t>
      </w:r>
      <w:r w:rsidR="00325B81">
        <w:rPr>
          <w:rFonts w:cs="Times New Roman"/>
          <w:szCs w:val="24"/>
        </w:rPr>
        <w:t xml:space="preserve"> </w:t>
      </w:r>
      <w:r w:rsidRPr="00640B45">
        <w:rPr>
          <w:rFonts w:cs="Times New Roman"/>
          <w:szCs w:val="24"/>
        </w:rPr>
        <w:t xml:space="preserve">of the US </w:t>
      </w:r>
      <w:r w:rsidR="00325B81">
        <w:rPr>
          <w:rFonts w:cs="Times New Roman"/>
          <w:szCs w:val="24"/>
        </w:rPr>
        <w:t xml:space="preserve">that differ in </w:t>
      </w:r>
      <w:r>
        <w:rPr>
          <w:rFonts w:cs="Times New Roman"/>
          <w:szCs w:val="24"/>
        </w:rPr>
        <w:t>climate, topography, soils and vegetation characteristics</w:t>
      </w:r>
      <w:r w:rsidR="00325B81">
        <w:rPr>
          <w:rFonts w:cs="Times New Roman"/>
          <w:szCs w:val="24"/>
        </w:rPr>
        <w:t xml:space="preserve"> </w:t>
      </w:r>
      <w:r w:rsidR="00325B81" w:rsidRPr="00640B45">
        <w:rPr>
          <w:rFonts w:cs="Times New Roman"/>
          <w:szCs w:val="24"/>
        </w:rPr>
        <w:t>(</w:t>
      </w:r>
      <w:r w:rsidR="00325B81" w:rsidRPr="00640B45">
        <w:rPr>
          <w:rStyle w:val="FootnoteReference"/>
          <w:rFonts w:cs="Times New Roman"/>
          <w:szCs w:val="24"/>
        </w:rPr>
        <w:fldChar w:fldCharType="begin" w:fldLock="1"/>
      </w:r>
      <w:r w:rsidR="00325B81">
        <w:rPr>
          <w:rFonts w:cs="Times New Roman"/>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Guide","type":"article"},"uris":["http://www.mendeley.com/documents/?uuid=2eacd0aa-0fb0-448e-b8cc-991c6eb293fe"]}],"mendeley":{"formattedCitation":"(McKay et al. 2012)","manualFormatting":"McKay et al. 2012)","plainTextFormattedCitation":"(McKay et al. 2012)","previouslyFormattedCitation":"(McKay et al. 2012)"},"properties":{"noteIndex":0},"schema":"https://github.com/citation-style-language/schema/raw/master/csl-citation.json"}</w:instrText>
      </w:r>
      <w:r w:rsidR="00325B81" w:rsidRPr="00640B45">
        <w:rPr>
          <w:rStyle w:val="FootnoteReference"/>
          <w:rFonts w:cs="Times New Roman"/>
          <w:szCs w:val="24"/>
        </w:rPr>
        <w:fldChar w:fldCharType="separate"/>
      </w:r>
      <w:r w:rsidR="00325B81" w:rsidRPr="00640B45">
        <w:rPr>
          <w:rFonts w:cs="Times New Roman"/>
          <w:noProof/>
          <w:szCs w:val="24"/>
        </w:rPr>
        <w:t>McKay et al. 2012)</w:t>
      </w:r>
      <w:r w:rsidR="00325B81" w:rsidRPr="00640B45">
        <w:rPr>
          <w:rStyle w:val="FootnoteReference"/>
          <w:rFonts w:cs="Times New Roman"/>
          <w:szCs w:val="24"/>
        </w:rPr>
        <w:fldChar w:fldCharType="end"/>
      </w:r>
      <w:r>
        <w:rPr>
          <w:rFonts w:cs="Times New Roman"/>
          <w:szCs w:val="24"/>
        </w:rPr>
        <w:t xml:space="preserve">. </w:t>
      </w:r>
      <w:r w:rsidRPr="00640B45">
        <w:rPr>
          <w:rFonts w:cs="Times New Roman"/>
          <w:szCs w:val="24"/>
        </w:rPr>
        <w:t xml:space="preserve">We randomly selected, 35 fourth-order stream networks from each of the 21 </w:t>
      </w:r>
      <w:r>
        <w:rPr>
          <w:rFonts w:cs="Times New Roman"/>
          <w:szCs w:val="24"/>
        </w:rPr>
        <w:t>hydrologic regions</w:t>
      </w:r>
      <w:r w:rsidRPr="00640B45">
        <w:rPr>
          <w:rFonts w:cs="Times New Roman"/>
          <w:szCs w:val="24"/>
        </w:rPr>
        <w:t xml:space="preserve"> (N = 735</w:t>
      </w:r>
      <w:r>
        <w:rPr>
          <w:rFonts w:cs="Times New Roman"/>
          <w:szCs w:val="24"/>
        </w:rPr>
        <w:t>; Figure 1</w:t>
      </w:r>
      <w:r w:rsidRPr="00640B45">
        <w:rPr>
          <w:rFonts w:cs="Times New Roman"/>
          <w:szCs w:val="24"/>
        </w:rPr>
        <w:t>) for our analysis</w:t>
      </w:r>
      <w:r>
        <w:rPr>
          <w:rFonts w:cs="Times New Roman"/>
          <w:szCs w:val="24"/>
        </w:rPr>
        <w:t xml:space="preserve">.  </w:t>
      </w:r>
    </w:p>
    <w:p w14:paraId="1FA3676F" w14:textId="77777777" w:rsidR="00B27B90" w:rsidRPr="00B27B90" w:rsidRDefault="00B27B90" w:rsidP="00B27B90">
      <w:pPr>
        <w:spacing w:line="480" w:lineRule="auto"/>
        <w:contextualSpacing/>
        <w:rPr>
          <w:rFonts w:cs="Times New Roman"/>
          <w:szCs w:val="24"/>
        </w:rPr>
      </w:pPr>
    </w:p>
    <w:p w14:paraId="1BBC2FDC" w14:textId="418A5F46" w:rsidR="00110D79" w:rsidRPr="00FA0782" w:rsidRDefault="00BE5C6B" w:rsidP="00B27B90">
      <w:pPr>
        <w:spacing w:line="480" w:lineRule="auto"/>
        <w:contextualSpacing/>
        <w:rPr>
          <w:i/>
          <w:iCs/>
        </w:rPr>
      </w:pPr>
      <w:r w:rsidRPr="00FA0782">
        <w:rPr>
          <w:i/>
          <w:iCs/>
        </w:rPr>
        <w:t>Spatial influence of aquatic insect subsidies</w:t>
      </w:r>
    </w:p>
    <w:p w14:paraId="06FF5AE9" w14:textId="239E0F83" w:rsidR="00BF43F8" w:rsidRDefault="00BF43F8" w:rsidP="00B27B90">
      <w:pPr>
        <w:spacing w:line="480" w:lineRule="auto"/>
        <w:ind w:firstLine="864"/>
        <w:contextualSpacing/>
        <w:rPr>
          <w:rFonts w:cs="Times New Roman"/>
          <w:szCs w:val="24"/>
        </w:rPr>
      </w:pPr>
      <w:r>
        <w:rPr>
          <w:rFonts w:cs="Times New Roman"/>
          <w:szCs w:val="24"/>
        </w:rPr>
        <w:t>W</w:t>
      </w:r>
      <w:r w:rsidRPr="00640B45">
        <w:rPr>
          <w:rFonts w:cs="Times New Roman"/>
          <w:szCs w:val="24"/>
        </w:rPr>
        <w:t>e created</w:t>
      </w:r>
      <w:r>
        <w:rPr>
          <w:rFonts w:cs="Times New Roman"/>
          <w:szCs w:val="24"/>
        </w:rPr>
        <w:t xml:space="preserve"> four stream signature distances</w:t>
      </w:r>
      <w:r w:rsidRPr="00640B45">
        <w:rPr>
          <w:rFonts w:cs="Times New Roman"/>
          <w:szCs w:val="24"/>
        </w:rPr>
        <w:t xml:space="preserve"> buffers</w:t>
      </w:r>
      <w:r>
        <w:rPr>
          <w:rFonts w:cs="Times New Roman"/>
          <w:szCs w:val="24"/>
        </w:rPr>
        <w:t xml:space="preserve"> representing different levels of aquatic insect subsidies </w:t>
      </w:r>
      <w:r>
        <w:rPr>
          <w:rFonts w:cs="Times New Roman"/>
          <w:bCs/>
          <w:noProof/>
          <w:szCs w:val="24"/>
        </w:rPr>
        <w:t>(</w:t>
      </w:r>
      <w:r>
        <w:rPr>
          <w:rFonts w:cs="Times New Roman"/>
          <w:szCs w:val="24"/>
        </w:rPr>
        <w:t>i.e. 34, 21, 13 and 8% stream signatures) at different distances (i.e. 1, 10, 100, 1000m) (</w:t>
      </w:r>
      <w:r w:rsidRPr="00640B45">
        <w:rPr>
          <w:rStyle w:val="FootnoteReference"/>
          <w:rFonts w:cs="Times New Roman"/>
          <w:szCs w:val="24"/>
        </w:rPr>
        <w:fldChar w:fldCharType="begin" w:fldLock="1"/>
      </w:r>
      <w:r>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2014)","manualFormatting":"Figure 2D; Muehlbauer et al. 2014)","plainTextFormattedCitation":"(Muehlbauer et al. 2014)","previouslyFormattedCitation":"(Muehlbauer et al. 2014)"},"properties":{"noteIndex":0},"schema":"https://github.com/citation-style-language/schema/raw/master/csl-citation.json"}</w:instrText>
      </w:r>
      <w:r w:rsidRPr="00640B45">
        <w:rPr>
          <w:rStyle w:val="FootnoteReference"/>
          <w:rFonts w:cs="Times New Roman"/>
          <w:szCs w:val="24"/>
        </w:rPr>
        <w:fldChar w:fldCharType="separate"/>
      </w:r>
      <w:r>
        <w:rPr>
          <w:rFonts w:cs="Times New Roman"/>
          <w:noProof/>
          <w:szCs w:val="24"/>
        </w:rPr>
        <w:t xml:space="preserve">Figure 2D; </w:t>
      </w:r>
      <w:r w:rsidRPr="00640B45">
        <w:rPr>
          <w:rFonts w:cs="Times New Roman"/>
          <w:bCs/>
          <w:noProof/>
          <w:szCs w:val="24"/>
        </w:rPr>
        <w:t>Muehlbauer et al. 2014)</w:t>
      </w:r>
      <w:r w:rsidRPr="00640B45">
        <w:rPr>
          <w:rStyle w:val="FootnoteReference"/>
          <w:rFonts w:cs="Times New Roman"/>
          <w:szCs w:val="24"/>
        </w:rPr>
        <w:fldChar w:fldCharType="end"/>
      </w:r>
      <w:r>
        <w:rPr>
          <w:rStyle w:val="FootnoteReference"/>
          <w:rFonts w:cs="Times New Roman"/>
          <w:szCs w:val="24"/>
        </w:rPr>
        <w:t xml:space="preserve"> </w:t>
      </w:r>
      <w:r>
        <w:rPr>
          <w:rFonts w:cs="Times New Roman"/>
          <w:szCs w:val="24"/>
        </w:rPr>
        <w:t>in ArcGIS (Version 10.4 Redlands, CA).</w:t>
      </w:r>
      <w:r w:rsidRPr="00640B45">
        <w:rPr>
          <w:rFonts w:cs="Times New Roman"/>
          <w:szCs w:val="24"/>
        </w:rPr>
        <w:t xml:space="preserve"> </w:t>
      </w:r>
      <w:r>
        <w:rPr>
          <w:rFonts w:cs="Times New Roman"/>
          <w:szCs w:val="24"/>
        </w:rPr>
        <w:t>We used</w:t>
      </w:r>
      <w:r w:rsidRPr="00640B45">
        <w:rPr>
          <w:rFonts w:cs="Times New Roman"/>
          <w:szCs w:val="24"/>
        </w:rPr>
        <w:t xml:space="preserve"> </w:t>
      </w:r>
      <w:r>
        <w:rPr>
          <w:rFonts w:cs="Times New Roman"/>
          <w:szCs w:val="24"/>
        </w:rPr>
        <w:t>the inverse power function derived from a</w:t>
      </w:r>
      <w:r w:rsidRPr="00640B45">
        <w:rPr>
          <w:rFonts w:cs="Times New Roman"/>
          <w:szCs w:val="24"/>
        </w:rPr>
        <w:t xml:space="preserve"> meta-analysis of 109 studies </w:t>
      </w:r>
      <w:r>
        <w:rPr>
          <w:rFonts w:cs="Times New Roman"/>
          <w:szCs w:val="24"/>
        </w:rPr>
        <w:t>and</w:t>
      </w:r>
      <w:r w:rsidRPr="00640B45">
        <w:rPr>
          <w:rFonts w:cs="Times New Roman"/>
          <w:szCs w:val="24"/>
        </w:rPr>
        <w:t xml:space="preserve"> chose coefficients </w:t>
      </w:r>
      <w:r>
        <w:rPr>
          <w:rFonts w:cs="Times New Roman"/>
          <w:szCs w:val="24"/>
        </w:rPr>
        <w:t xml:space="preserve">for </w:t>
      </w:r>
      <w:r w:rsidRPr="00640B45">
        <w:rPr>
          <w:rFonts w:cs="Times New Roman"/>
          <w:szCs w:val="24"/>
        </w:rPr>
        <w:t xml:space="preserve">“all organisms” (i.e. caddisflies, mayflies, stoneflies and midges) dispersing from an ecosystem and with </w:t>
      </w:r>
      <w:r>
        <w:rPr>
          <w:rFonts w:cs="Times New Roman"/>
          <w:szCs w:val="24"/>
        </w:rPr>
        <w:t>“</w:t>
      </w:r>
      <w:r w:rsidRPr="00640B45">
        <w:rPr>
          <w:rFonts w:cs="Times New Roman"/>
          <w:szCs w:val="24"/>
        </w:rPr>
        <w:t>medium productivity</w:t>
      </w:r>
      <w:r>
        <w:rPr>
          <w:rFonts w:cs="Times New Roman"/>
          <w:szCs w:val="24"/>
        </w:rPr>
        <w:t>” to reflect average conditions (</w:t>
      </w:r>
      <w:proofErr w:type="spellStart"/>
      <w:r w:rsidRPr="00640B45">
        <w:rPr>
          <w:rFonts w:cs="Times New Roman"/>
          <w:szCs w:val="24"/>
        </w:rPr>
        <w:t>Muehlbauer</w:t>
      </w:r>
      <w:proofErr w:type="spellEnd"/>
      <w:r w:rsidRPr="00640B45">
        <w:rPr>
          <w:rFonts w:cs="Times New Roman"/>
          <w:szCs w:val="24"/>
        </w:rPr>
        <w:t xml:space="preserve"> et al. 2014</w:t>
      </w:r>
      <w:r>
        <w:rPr>
          <w:rFonts w:cs="Times New Roman"/>
          <w:szCs w:val="24"/>
        </w:rPr>
        <w:t xml:space="preserve">). Although stream signature distance is likely influenced by the identity of the subsidy </w:t>
      </w:r>
      <w:r>
        <w:rPr>
          <w:rFonts w:cs="Times New Roman"/>
          <w:szCs w:val="24"/>
        </w:rPr>
        <w:fldChar w:fldCharType="begin" w:fldLock="1"/>
      </w:r>
      <w:r>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2014)","plainTextFormattedCitation":"(Muehlbauer et al. 2014)","previouslyFormattedCitation":"(Muehlbauer et al. 2014)"},"properties":{"noteIndex":0},"schema":"https://github.com/citation-style-language/schema/raw/master/csl-citation.json"}</w:instrText>
      </w:r>
      <w:r>
        <w:rPr>
          <w:rFonts w:cs="Times New Roman"/>
          <w:szCs w:val="24"/>
        </w:rPr>
        <w:fldChar w:fldCharType="separate"/>
      </w:r>
      <w:r w:rsidRPr="0034241C">
        <w:rPr>
          <w:rFonts w:cs="Times New Roman"/>
          <w:noProof/>
          <w:szCs w:val="24"/>
        </w:rPr>
        <w:t>(Muehlbauer et al. 2014)</w:t>
      </w:r>
      <w:r>
        <w:rPr>
          <w:rFonts w:cs="Times New Roman"/>
          <w:szCs w:val="24"/>
        </w:rPr>
        <w:fldChar w:fldCharType="end"/>
      </w:r>
      <w:r>
        <w:rPr>
          <w:rFonts w:cs="Times New Roman"/>
          <w:szCs w:val="24"/>
        </w:rPr>
        <w:t xml:space="preserve"> and boundary conditions </w:t>
      </w:r>
      <w:r>
        <w:rPr>
          <w:rFonts w:cs="Times New Roman"/>
          <w:szCs w:val="24"/>
        </w:rPr>
        <w:fldChar w:fldCharType="begin" w:fldLock="1"/>
      </w:r>
      <w:r>
        <w:rPr>
          <w:rFonts w:cs="Times New Roman"/>
          <w:szCs w:val="24"/>
        </w:rPr>
        <w:instrText>ADDIN CSL_CITATION {"citationItems":[{"id":"ITEM-1","itemData":{"DOI":"10.1007/s00442-015-3462-8","ISBN":"1010933404324","ISSN":"00298549","PMID":"26453520","abstract":"Despite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J.","non-dropping-particle":"","parse-names":false,"suffix":""}],"container-title":"Oecologia","id":"ITEM-1","issue":"2","issued":{"date-parts":[["2016"]]},"page":"551-566","publisher":"Springer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channels","type":"article-journal","volume":"180"},"uris":["http://www.mendeley.com/documents/?uuid=3540b554-d538-4eb9-a30e-6f5a1dd61f13"]}],"mendeley":{"formattedCitation":"(Greenwood and Booker 2016)","plainTextFormattedCitation":"(Greenwood and Booker 2016)","previouslyFormattedCitation":"(Greenwood and Booker 2016)"},"properties":{"noteIndex":0},"schema":"https://github.com/citation-style-language/schema/raw/master/csl-citation.json"}</w:instrText>
      </w:r>
      <w:r>
        <w:rPr>
          <w:rFonts w:cs="Times New Roman"/>
          <w:szCs w:val="24"/>
        </w:rPr>
        <w:fldChar w:fldCharType="separate"/>
      </w:r>
      <w:r w:rsidRPr="0034241C">
        <w:rPr>
          <w:rFonts w:cs="Times New Roman"/>
          <w:noProof/>
          <w:szCs w:val="24"/>
        </w:rPr>
        <w:t>(Greenwood and Booker 2016)</w:t>
      </w:r>
      <w:r>
        <w:rPr>
          <w:rFonts w:cs="Times New Roman"/>
          <w:szCs w:val="24"/>
        </w:rPr>
        <w:fldChar w:fldCharType="end"/>
      </w:r>
      <w:r>
        <w:rPr>
          <w:rFonts w:cs="Times New Roman"/>
          <w:szCs w:val="24"/>
        </w:rPr>
        <w:t xml:space="preserve">, these data were unavailable at our study sites; thus we assume no variation in mean flight strength among communities and completely permeable boundaries. Further, </w:t>
      </w:r>
      <w:r w:rsidR="00C3010C">
        <w:rPr>
          <w:rFonts w:cs="Times New Roman"/>
          <w:szCs w:val="24"/>
        </w:rPr>
        <w:t>u</w:t>
      </w:r>
      <w:r>
        <w:rPr>
          <w:rFonts w:cs="Times New Roman"/>
          <w:szCs w:val="24"/>
        </w:rPr>
        <w:t xml:space="preserve">niform buffers were chosen deliberately to isolate the effects stream networks from the biology.  </w:t>
      </w:r>
    </w:p>
    <w:p w14:paraId="1657C0A1" w14:textId="7C09BD5D" w:rsidR="00B27B90" w:rsidRDefault="00BE5C6B" w:rsidP="00B27B90">
      <w:pPr>
        <w:spacing w:line="480" w:lineRule="auto"/>
        <w:ind w:firstLine="864"/>
        <w:contextualSpacing/>
        <w:rPr>
          <w:rFonts w:cs="Times New Roman"/>
          <w:szCs w:val="24"/>
        </w:rPr>
      </w:pPr>
      <w:r>
        <w:rPr>
          <w:rFonts w:cs="Times New Roman"/>
          <w:szCs w:val="24"/>
        </w:rPr>
        <w:t xml:space="preserve">We </w:t>
      </w:r>
      <w:r w:rsidR="006E7A60">
        <w:rPr>
          <w:rFonts w:cs="Times New Roman"/>
          <w:szCs w:val="24"/>
        </w:rPr>
        <w:t>quantif</w:t>
      </w:r>
      <w:r w:rsidR="00C3010C">
        <w:rPr>
          <w:rFonts w:cs="Times New Roman"/>
          <w:szCs w:val="24"/>
        </w:rPr>
        <w:t>ied</w:t>
      </w:r>
      <w:r>
        <w:rPr>
          <w:rFonts w:cs="Times New Roman"/>
          <w:szCs w:val="24"/>
        </w:rPr>
        <w:t xml:space="preserve"> the “</w:t>
      </w:r>
      <w:r w:rsidRPr="00640B45">
        <w:rPr>
          <w:rFonts w:cs="Times New Roman"/>
          <w:szCs w:val="24"/>
        </w:rPr>
        <w:t>spatial extent</w:t>
      </w:r>
      <w:r>
        <w:rPr>
          <w:rFonts w:cs="Times New Roman"/>
          <w:szCs w:val="24"/>
        </w:rPr>
        <w:t>”</w:t>
      </w:r>
      <w:r w:rsidRPr="00640B45">
        <w:rPr>
          <w:rFonts w:cs="Times New Roman"/>
          <w:szCs w:val="24"/>
        </w:rPr>
        <w:t xml:space="preserve"> of aquatic </w:t>
      </w:r>
      <w:r>
        <w:rPr>
          <w:rFonts w:cs="Times New Roman"/>
          <w:szCs w:val="24"/>
        </w:rPr>
        <w:t xml:space="preserve">insect </w:t>
      </w:r>
      <w:r w:rsidRPr="00640B45">
        <w:rPr>
          <w:rFonts w:cs="Times New Roman"/>
          <w:szCs w:val="24"/>
        </w:rPr>
        <w:t xml:space="preserve">subsidies </w:t>
      </w:r>
      <w:r>
        <w:rPr>
          <w:rFonts w:cs="Times New Roman"/>
          <w:szCs w:val="24"/>
        </w:rPr>
        <w:t xml:space="preserve">as the proportional area of the stream signature buffer relative to the </w:t>
      </w:r>
      <w:r w:rsidRPr="00640B45">
        <w:rPr>
          <w:rFonts w:cs="Times New Roman"/>
          <w:szCs w:val="24"/>
        </w:rPr>
        <w:t xml:space="preserve">watershed area </w:t>
      </w:r>
      <w:r>
        <w:rPr>
          <w:rFonts w:cs="Times New Roman"/>
          <w:szCs w:val="24"/>
        </w:rPr>
        <w:t>(Figure 2A)</w:t>
      </w:r>
      <w:r w:rsidR="008D4BF7">
        <w:rPr>
          <w:rFonts w:cs="Times New Roman"/>
          <w:szCs w:val="24"/>
        </w:rPr>
        <w:t xml:space="preserve">. </w:t>
      </w:r>
      <w:r w:rsidR="006E7A60">
        <w:rPr>
          <w:rFonts w:cs="Times New Roman"/>
          <w:szCs w:val="24"/>
        </w:rPr>
        <w:t xml:space="preserve">Variation in the distribution of aquatic insect subsidies within watersheds can occur when stream signature buffers overlap at meander bends, confluences or sub-basin divides (Sabo and Hagen 2012). </w:t>
      </w:r>
      <w:r w:rsidRPr="00640B45">
        <w:rPr>
          <w:rFonts w:cs="Times New Roman"/>
          <w:szCs w:val="24"/>
        </w:rPr>
        <w:t>We quantified</w:t>
      </w:r>
      <w:r>
        <w:rPr>
          <w:rFonts w:cs="Times New Roman"/>
          <w:szCs w:val="24"/>
        </w:rPr>
        <w:t xml:space="preserve"> t</w:t>
      </w:r>
      <w:r w:rsidRPr="00640B45">
        <w:rPr>
          <w:rFonts w:cs="Times New Roman"/>
          <w:szCs w:val="24"/>
        </w:rPr>
        <w:t xml:space="preserve">he </w:t>
      </w:r>
      <w:r>
        <w:rPr>
          <w:rFonts w:cs="Times New Roman"/>
          <w:szCs w:val="24"/>
        </w:rPr>
        <w:t xml:space="preserve">effects of </w:t>
      </w:r>
      <w:r w:rsidRPr="00640B45">
        <w:rPr>
          <w:rFonts w:cs="Times New Roman"/>
          <w:szCs w:val="24"/>
        </w:rPr>
        <w:t xml:space="preserve">network </w:t>
      </w:r>
      <w:r>
        <w:rPr>
          <w:rFonts w:cs="Times New Roman"/>
          <w:szCs w:val="24"/>
        </w:rPr>
        <w:t>configuration</w:t>
      </w:r>
      <w:r w:rsidRPr="00640B45">
        <w:rPr>
          <w:rFonts w:cs="Times New Roman"/>
          <w:szCs w:val="24"/>
        </w:rPr>
        <w:t xml:space="preserve"> (sub-basin divides and confluence)</w:t>
      </w:r>
      <w:r>
        <w:rPr>
          <w:rFonts w:cs="Times New Roman"/>
          <w:szCs w:val="24"/>
        </w:rPr>
        <w:t xml:space="preserve"> and channel </w:t>
      </w:r>
      <w:r w:rsidRPr="00640B45">
        <w:rPr>
          <w:rFonts w:cs="Times New Roman"/>
          <w:szCs w:val="24"/>
        </w:rPr>
        <w:lastRenderedPageBreak/>
        <w:t xml:space="preserve">planform (sinuosity) </w:t>
      </w:r>
      <w:r>
        <w:rPr>
          <w:rFonts w:cs="Times New Roman"/>
          <w:szCs w:val="24"/>
        </w:rPr>
        <w:t xml:space="preserve">on the </w:t>
      </w:r>
      <w:r w:rsidRPr="00640B45">
        <w:rPr>
          <w:rFonts w:cs="Times New Roman"/>
          <w:szCs w:val="24"/>
        </w:rPr>
        <w:t xml:space="preserve">spatial </w:t>
      </w:r>
      <w:r>
        <w:rPr>
          <w:rFonts w:cs="Times New Roman"/>
          <w:szCs w:val="24"/>
        </w:rPr>
        <w:t xml:space="preserve">distribution of insect subsidies separately as proportions of the spatial extent. For network configuration we quantified the total area of overlapping stream signature buffers within the spatial extent </w:t>
      </w:r>
      <w:r w:rsidR="00BF43F8">
        <w:rPr>
          <w:rFonts w:cs="Times New Roman"/>
          <w:szCs w:val="24"/>
        </w:rPr>
        <w:t xml:space="preserve">and used an area weighted to derive a mean stream signature for the network </w:t>
      </w:r>
      <w:r w:rsidR="00BF43F8" w:rsidRPr="00640B45">
        <w:rPr>
          <w:rFonts w:cs="Times New Roman"/>
          <w:szCs w:val="24"/>
        </w:rPr>
        <w:t>(</w:t>
      </w:r>
      <w:r w:rsidR="00BF43F8">
        <w:rPr>
          <w:rFonts w:cs="Times New Roman"/>
          <w:szCs w:val="24"/>
        </w:rPr>
        <w:t>Figure 2B</w:t>
      </w:r>
      <w:r w:rsidR="00BF43F8" w:rsidRPr="00640B45">
        <w:rPr>
          <w:rFonts w:cs="Times New Roman"/>
          <w:szCs w:val="24"/>
        </w:rPr>
        <w:t>)</w:t>
      </w:r>
      <w:r w:rsidR="00BF43F8">
        <w:rPr>
          <w:rFonts w:cs="Times New Roman"/>
          <w:szCs w:val="24"/>
        </w:rPr>
        <w:t>.</w:t>
      </w:r>
      <w:r w:rsidR="00BF43F8" w:rsidRPr="00835494">
        <w:rPr>
          <w:rFonts w:cs="Times New Roman"/>
          <w:szCs w:val="24"/>
        </w:rPr>
        <w:t xml:space="preserve"> </w:t>
      </w:r>
      <w:r w:rsidR="00BF43F8">
        <w:rPr>
          <w:rFonts w:cs="Times New Roman"/>
          <w:szCs w:val="24"/>
        </w:rPr>
        <w:t>For</w:t>
      </w:r>
      <w:r>
        <w:rPr>
          <w:rFonts w:cs="Times New Roman"/>
          <w:szCs w:val="24"/>
        </w:rPr>
        <w:t xml:space="preserve"> channel planform we took the difference in area between a stream signature buffer created around a straight channel and the same buffer created around the actual NHDPlusV2 </w:t>
      </w:r>
      <w:proofErr w:type="spellStart"/>
      <w:r>
        <w:rPr>
          <w:rFonts w:cs="Times New Roman"/>
          <w:szCs w:val="24"/>
        </w:rPr>
        <w:t>flowline</w:t>
      </w:r>
      <w:proofErr w:type="spellEnd"/>
      <w:r>
        <w:rPr>
          <w:rFonts w:cs="Times New Roman"/>
          <w:szCs w:val="24"/>
        </w:rPr>
        <w:t xml:space="preserve"> (Figure 2C). It was not possible to directly count the number of overlapping stream signatures resulting from channel planform, so comparisons</w:t>
      </w:r>
      <w:r w:rsidR="00C3010C">
        <w:rPr>
          <w:rFonts w:cs="Times New Roman"/>
          <w:szCs w:val="24"/>
        </w:rPr>
        <w:t xml:space="preserve"> between network configuration and channel planform</w:t>
      </w:r>
      <w:r>
        <w:rPr>
          <w:rFonts w:cs="Times New Roman"/>
          <w:szCs w:val="24"/>
        </w:rPr>
        <w:t xml:space="preserve"> </w:t>
      </w:r>
      <w:r w:rsidR="00BF43F8">
        <w:rPr>
          <w:rFonts w:cs="Times New Roman"/>
          <w:szCs w:val="24"/>
        </w:rPr>
        <w:t xml:space="preserve">were </w:t>
      </w:r>
      <w:r>
        <w:rPr>
          <w:rFonts w:cs="Times New Roman"/>
          <w:szCs w:val="24"/>
        </w:rPr>
        <w:t xml:space="preserve">based on </w:t>
      </w:r>
      <w:r w:rsidR="00C3010C">
        <w:rPr>
          <w:rFonts w:cs="Times New Roman"/>
          <w:szCs w:val="24"/>
        </w:rPr>
        <w:t xml:space="preserve">the watershed </w:t>
      </w:r>
      <w:r>
        <w:rPr>
          <w:rFonts w:cs="Times New Roman"/>
          <w:szCs w:val="24"/>
        </w:rPr>
        <w:t>area receiving &gt;</w:t>
      </w:r>
      <w:r w:rsidR="00BF43F8">
        <w:rPr>
          <w:rFonts w:cs="Times New Roman"/>
          <w:szCs w:val="24"/>
        </w:rPr>
        <w:t xml:space="preserve"> </w:t>
      </w:r>
      <w:r>
        <w:rPr>
          <w:rFonts w:cs="Times New Roman"/>
          <w:szCs w:val="24"/>
        </w:rPr>
        <w:t xml:space="preserve">1 stream signature. </w:t>
      </w:r>
    </w:p>
    <w:p w14:paraId="1CB29EE6" w14:textId="77777777" w:rsidR="00B27B90" w:rsidRPr="00B27B90" w:rsidRDefault="00B27B90" w:rsidP="00B27B90">
      <w:pPr>
        <w:spacing w:line="480" w:lineRule="auto"/>
        <w:ind w:firstLine="864"/>
        <w:contextualSpacing/>
        <w:rPr>
          <w:rFonts w:cs="Times New Roman"/>
          <w:szCs w:val="24"/>
        </w:rPr>
      </w:pPr>
    </w:p>
    <w:p w14:paraId="7E6EBA5B" w14:textId="5A7CD693" w:rsidR="00110D79" w:rsidRDefault="00BE5C6B" w:rsidP="00FA0782">
      <w:pPr>
        <w:contextualSpacing/>
        <w:rPr>
          <w:i/>
          <w:iCs/>
        </w:rPr>
      </w:pPr>
      <w:r w:rsidRPr="00FA0782">
        <w:rPr>
          <w:i/>
          <w:iCs/>
        </w:rPr>
        <w:t xml:space="preserve">Characterizing stream network geometry </w:t>
      </w:r>
    </w:p>
    <w:p w14:paraId="0240BCD8" w14:textId="77777777" w:rsidR="00B27B90" w:rsidRPr="00FA0782" w:rsidRDefault="00B27B90" w:rsidP="00FA0782">
      <w:pPr>
        <w:contextualSpacing/>
        <w:rPr>
          <w:i/>
          <w:iCs/>
        </w:rPr>
      </w:pPr>
    </w:p>
    <w:p w14:paraId="56A73A93" w14:textId="0E4EAE68" w:rsidR="00BE5C6B" w:rsidRPr="00FA0782" w:rsidRDefault="00BE5C6B" w:rsidP="00BE5C6B">
      <w:pPr>
        <w:spacing w:line="480" w:lineRule="auto"/>
        <w:ind w:firstLine="720"/>
        <w:contextualSpacing/>
        <w:rPr>
          <w:rFonts w:cs="Times New Roman"/>
          <w:i/>
          <w:iCs/>
          <w:szCs w:val="24"/>
        </w:rPr>
      </w:pPr>
      <w:r>
        <w:rPr>
          <w:rFonts w:cs="Times New Roman"/>
          <w:szCs w:val="24"/>
        </w:rPr>
        <w:t xml:space="preserve">For each </w:t>
      </w:r>
      <w:r w:rsidR="00C3010C">
        <w:rPr>
          <w:rFonts w:cs="Times New Roman"/>
          <w:szCs w:val="24"/>
        </w:rPr>
        <w:t>stream</w:t>
      </w:r>
      <w:r>
        <w:rPr>
          <w:rFonts w:cs="Times New Roman"/>
          <w:szCs w:val="24"/>
        </w:rPr>
        <w:t xml:space="preserve"> network w</w:t>
      </w:r>
      <w:r w:rsidRPr="00640B45">
        <w:rPr>
          <w:rFonts w:cs="Times New Roman"/>
          <w:szCs w:val="24"/>
        </w:rPr>
        <w:t xml:space="preserve">e </w:t>
      </w:r>
      <w:r w:rsidR="00C3010C">
        <w:rPr>
          <w:rFonts w:cs="Times New Roman"/>
          <w:szCs w:val="24"/>
        </w:rPr>
        <w:t>quantified</w:t>
      </w:r>
      <w:r>
        <w:rPr>
          <w:rFonts w:cs="Times New Roman"/>
          <w:szCs w:val="24"/>
        </w:rPr>
        <w:t xml:space="preserve"> the </w:t>
      </w:r>
      <w:r w:rsidR="00526C92">
        <w:rPr>
          <w:rFonts w:cs="Times New Roman"/>
          <w:szCs w:val="24"/>
        </w:rPr>
        <w:t xml:space="preserve">geometrical components </w:t>
      </w:r>
      <w:r w:rsidRPr="00640B45">
        <w:rPr>
          <w:rFonts w:cs="Times New Roman"/>
          <w:szCs w:val="24"/>
        </w:rPr>
        <w:t xml:space="preserve">that </w:t>
      </w:r>
      <w:r>
        <w:rPr>
          <w:rFonts w:cs="Times New Roman"/>
          <w:szCs w:val="24"/>
        </w:rPr>
        <w:t>have been theoretically shown to influence the</w:t>
      </w:r>
      <w:r w:rsidRPr="00640B45">
        <w:rPr>
          <w:rFonts w:cs="Times New Roman"/>
          <w:szCs w:val="24"/>
        </w:rPr>
        <w:t xml:space="preserve"> spatial extent and distribution of aquatic subsidies (</w:t>
      </w:r>
      <w:r>
        <w:rPr>
          <w:rFonts w:cs="Times New Roman"/>
          <w:szCs w:val="24"/>
        </w:rPr>
        <w:t>Figure 2A</w:t>
      </w:r>
      <w:r w:rsidR="00C3010C">
        <w:rPr>
          <w:rFonts w:cs="Times New Roman"/>
          <w:szCs w:val="24"/>
        </w:rPr>
        <w:t>,</w:t>
      </w:r>
      <w:r>
        <w:rPr>
          <w:rFonts w:cs="Times New Roman"/>
          <w:szCs w:val="24"/>
        </w:rPr>
        <w:t xml:space="preserve"> Sabo and Hagen 2012)</w:t>
      </w:r>
      <w:r w:rsidRPr="00640B45">
        <w:rPr>
          <w:rFonts w:cs="Times New Roman"/>
          <w:szCs w:val="24"/>
        </w:rPr>
        <w:t xml:space="preserve">. </w:t>
      </w:r>
      <w:r>
        <w:rPr>
          <w:rFonts w:cs="Times New Roman"/>
          <w:szCs w:val="24"/>
        </w:rPr>
        <w:t>D</w:t>
      </w:r>
      <w:r w:rsidRPr="00640B45">
        <w:rPr>
          <w:rFonts w:cs="Times New Roman"/>
          <w:szCs w:val="24"/>
        </w:rPr>
        <w:t>rainage density (</w:t>
      </w:r>
      <m:oMath>
        <m:sSub>
          <m:sSubPr>
            <m:ctrlPr>
              <w:rPr>
                <w:rFonts w:ascii="Cambria Math" w:eastAsia="Cambria Math" w:hAnsi="Cambria Math" w:cs="Times New Roman"/>
                <w:i/>
                <w:iCs/>
                <w:color w:val="000000" w:themeColor="text1"/>
                <w:kern w:val="24"/>
              </w:rPr>
            </m:ctrlPr>
          </m:sSubPr>
          <m:e>
            <m:r>
              <w:rPr>
                <w:rFonts w:ascii="Cambria Math" w:eastAsia="Cambria Math" w:hAnsi="Cambria Math" w:cs="Times New Roman"/>
                <w:color w:val="000000" w:themeColor="text1"/>
                <w:kern w:val="24"/>
              </w:rPr>
              <m:t>D</m:t>
            </m:r>
          </m:e>
          <m:sub>
            <m:r>
              <w:rPr>
                <w:rFonts w:ascii="Cambria Math" w:eastAsia="Cambria Math" w:hAnsi="Cambria Math" w:cs="Times New Roman"/>
                <w:color w:val="000000" w:themeColor="text1"/>
                <w:kern w:val="24"/>
              </w:rPr>
              <m:t>d</m:t>
            </m:r>
          </m:sub>
        </m:sSub>
      </m:oMath>
      <w:r w:rsidRPr="00640B45">
        <w:rPr>
          <w:rFonts w:cs="Times New Roman"/>
          <w:szCs w:val="24"/>
        </w:rPr>
        <w:t>) is the total length of stream</w:t>
      </w:r>
      <w:r w:rsidR="00526C92">
        <w:rPr>
          <w:rFonts w:cs="Times New Roman"/>
          <w:szCs w:val="24"/>
        </w:rPr>
        <w:t>s</w:t>
      </w:r>
      <w:r w:rsidRPr="00640B45">
        <w:rPr>
          <w:rFonts w:cs="Times New Roman"/>
          <w:szCs w:val="24"/>
        </w:rPr>
        <w:t xml:space="preserve"> within a network divided by the catchment area </w:t>
      </w:r>
      <w:r w:rsidRPr="00640B45">
        <w:rPr>
          <w:rStyle w:val="FootnoteReference"/>
          <w:rFonts w:cs="Times New Roman"/>
          <w:szCs w:val="24"/>
        </w:rPr>
        <w:fldChar w:fldCharType="begin" w:fldLock="1"/>
      </w:r>
      <w:r w:rsidR="00306019">
        <w:rPr>
          <w:rFonts w:cs="Times New Roman"/>
          <w:szCs w:val="24"/>
        </w:rPr>
        <w:instrText>ADDIN CSL_CITATION {"citationItems":[{"id":"ITEM-1","itemData":{"DOI":"10.1130/0016-7606(1945)56","ISSN":"0016-7606","abstract":"-","author":[{"dropping-particle":"","family":"Horton","given":"Robert","non-dropping-particle":"","parse-names":false,"suffix":""}],"container-title":"Geological Society Of America Bulletin","id":"ITEM-1","issue":"1","issued":{"date-parts":[["1945"]]},"page":"151-180","title":"Erosional Development of streams and their drainage basins: hydrophysical approach to quantitative morphology","type":"article-journal","volume":"56"},"uris":["http://www.mendeley.com/documents/?uuid=6ce3a45b-a974-4879-a174-5f7c6f0ed180"]}],"mendeley":{"formattedCitation":"(Horton 1945)","plainTextFormattedCitation":"(Horton 1945)","previouslyFormattedCitation":"(Horton 1945)"},"properties":{"noteIndex":0},"schema":"https://github.com/citation-style-language/schema/raw/master/csl-citation.json"}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bCs/>
          <w:noProof/>
          <w:szCs w:val="24"/>
        </w:rPr>
        <w:t>(Horton 1945)</w:t>
      </w:r>
      <w:r w:rsidRPr="00640B45">
        <w:rPr>
          <w:rStyle w:val="FootnoteReference"/>
          <w:rFonts w:cs="Times New Roman"/>
          <w:szCs w:val="24"/>
        </w:rPr>
        <w:fldChar w:fldCharType="end"/>
      </w:r>
      <w:r>
        <w:rPr>
          <w:rStyle w:val="FootnoteReference"/>
          <w:rFonts w:cs="Times New Roman"/>
          <w:szCs w:val="24"/>
        </w:rPr>
        <w:t xml:space="preserve"> </w:t>
      </w:r>
      <w:r>
        <w:rPr>
          <w:rFonts w:cs="Times New Roman"/>
          <w:szCs w:val="24"/>
        </w:rPr>
        <w:t>and expresses how well an area is dissected by rivers;</w:t>
      </w:r>
      <w:r w:rsidRPr="00640B45">
        <w:rPr>
          <w:rFonts w:cs="Times New Roman"/>
          <w:szCs w:val="24"/>
        </w:rPr>
        <w:t xml:space="preserve"> </w:t>
      </w:r>
      <w:r>
        <w:rPr>
          <w:rFonts w:cs="Times New Roman"/>
          <w:szCs w:val="24"/>
        </w:rPr>
        <w:t>s</w:t>
      </w:r>
      <w:r w:rsidRPr="00640B45">
        <w:rPr>
          <w:rFonts w:cs="Times New Roman"/>
          <w:szCs w:val="24"/>
        </w:rPr>
        <w:t>inuosity (</w:t>
      </w:r>
      <m:oMath>
        <m:r>
          <w:rPr>
            <w:rFonts w:ascii="Cambria Math" w:eastAsia="Cambria Math" w:hAnsi="Cambria Math" w:cs="Times New Roman"/>
            <w:color w:val="000000" w:themeColor="text1"/>
            <w:kern w:val="24"/>
          </w:rPr>
          <m:t>λ</m:t>
        </m:r>
      </m:oMath>
      <w:r w:rsidRPr="00640B45">
        <w:rPr>
          <w:rFonts w:cs="Times New Roman"/>
          <w:szCs w:val="24"/>
        </w:rPr>
        <w:t xml:space="preserve">) is defined at as the length of </w:t>
      </w:r>
      <w:r>
        <w:rPr>
          <w:rFonts w:cs="Times New Roman"/>
          <w:szCs w:val="24"/>
        </w:rPr>
        <w:t>the</w:t>
      </w:r>
      <w:r w:rsidRPr="00640B45">
        <w:rPr>
          <w:rFonts w:cs="Times New Roman"/>
          <w:szCs w:val="24"/>
        </w:rPr>
        <w:t xml:space="preserve"> </w:t>
      </w:r>
      <w:r>
        <w:rPr>
          <w:rFonts w:cs="Times New Roman"/>
          <w:szCs w:val="24"/>
        </w:rPr>
        <w:t xml:space="preserve">NHDPlusV2 </w:t>
      </w:r>
      <w:proofErr w:type="spellStart"/>
      <w:r>
        <w:rPr>
          <w:rFonts w:cs="Times New Roman"/>
          <w:szCs w:val="24"/>
        </w:rPr>
        <w:t>flowline</w:t>
      </w:r>
      <w:proofErr w:type="spellEnd"/>
      <w:r w:rsidRPr="00640B45">
        <w:rPr>
          <w:rFonts w:cs="Times New Roman"/>
          <w:szCs w:val="24"/>
        </w:rPr>
        <w:t xml:space="preserve"> divided by the valley length</w:t>
      </w:r>
      <w:r>
        <w:rPr>
          <w:rFonts w:cs="Times New Roman"/>
          <w:szCs w:val="24"/>
        </w:rPr>
        <w:t xml:space="preserve"> (i.e. straight line length) and captures the curvature of a stream channel; s</w:t>
      </w:r>
      <w:r w:rsidRPr="00640B45">
        <w:rPr>
          <w:rFonts w:cs="Times New Roman"/>
          <w:szCs w:val="24"/>
        </w:rPr>
        <w:t>ub-basin width (</w:t>
      </w:r>
      <m:oMath>
        <m:sSub>
          <m:sSubPr>
            <m:ctrlPr>
              <w:rPr>
                <w:rFonts w:ascii="Cambria Math" w:eastAsia="Cambria Math" w:hAnsi="Cambria Math" w:cs="Times New Roman"/>
                <w:i/>
                <w:iCs/>
                <w:color w:val="000000" w:themeColor="text1"/>
                <w:kern w:val="24"/>
              </w:rPr>
            </m:ctrlPr>
          </m:sSubPr>
          <m:e>
            <m:r>
              <w:rPr>
                <w:rFonts w:ascii="Cambria Math" w:eastAsia="Cambria Math" w:hAnsi="Cambria Math" w:cs="Times New Roman"/>
                <w:color w:val="000000" w:themeColor="text1"/>
                <w:kern w:val="24"/>
              </w:rPr>
              <m:t>W</m:t>
            </m:r>
          </m:e>
          <m:sub>
            <m:r>
              <w:rPr>
                <w:rFonts w:ascii="Cambria Math" w:eastAsia="Cambria Math" w:hAnsi="Cambria Math" w:cs="Times New Roman"/>
                <w:color w:val="000000" w:themeColor="text1"/>
                <w:kern w:val="24"/>
              </w:rPr>
              <m:t>b</m:t>
            </m:r>
          </m:sub>
        </m:sSub>
      </m:oMath>
      <w:r w:rsidRPr="00640B45">
        <w:rPr>
          <w:rFonts w:cs="Times New Roman"/>
          <w:szCs w:val="24"/>
        </w:rPr>
        <w:t>) is calculated as the length of the sub-basin divided by the sub-basin area</w:t>
      </w:r>
      <w:r>
        <w:rPr>
          <w:rFonts w:cs="Times New Roman"/>
          <w:szCs w:val="24"/>
        </w:rPr>
        <w:t xml:space="preserve"> and captures the distance separating adjacent tributaries; and </w:t>
      </w:r>
      <w:r w:rsidRPr="00640B45">
        <w:rPr>
          <w:rFonts w:cs="Times New Roman"/>
          <w:szCs w:val="24"/>
        </w:rPr>
        <w:t>confluences (</w:t>
      </w:r>
      <m:oMath>
        <m:r>
          <w:rPr>
            <w:rFonts w:ascii="Cambria Math" w:eastAsia="Cambria Math" w:hAnsi="Cambria Math" w:cs="Times New Roman"/>
            <w:color w:val="000000" w:themeColor="text1"/>
            <w:kern w:val="24"/>
          </w:rPr>
          <m:t>C</m:t>
        </m:r>
      </m:oMath>
      <w:r w:rsidRPr="00640B45">
        <w:rPr>
          <w:rFonts w:cs="Times New Roman"/>
          <w:szCs w:val="24"/>
        </w:rPr>
        <w:t>)</w:t>
      </w:r>
      <w:r>
        <w:rPr>
          <w:rFonts w:cs="Times New Roman"/>
          <w:szCs w:val="24"/>
        </w:rPr>
        <w:t xml:space="preserve"> occur when two stream reaches merge</w:t>
      </w:r>
      <w:r w:rsidRPr="00640B45">
        <w:rPr>
          <w:rFonts w:cs="Times New Roman"/>
          <w:szCs w:val="24"/>
        </w:rPr>
        <w:t xml:space="preserve">. </w:t>
      </w:r>
      <w:r w:rsidR="00526C92">
        <w:rPr>
          <w:rFonts w:cs="Times New Roman"/>
          <w:szCs w:val="24"/>
        </w:rPr>
        <w:t>Since sinuosity and basin width are measured for every reach within a stream network, w</w:t>
      </w:r>
      <w:r w:rsidRPr="00640B45">
        <w:rPr>
          <w:rFonts w:cs="Times New Roman"/>
          <w:szCs w:val="24"/>
        </w:rPr>
        <w:t>e derived network scale equivalents</w:t>
      </w:r>
      <w:r>
        <w:rPr>
          <w:rFonts w:cs="Times New Roman"/>
          <w:szCs w:val="24"/>
        </w:rPr>
        <w:t xml:space="preserve"> </w:t>
      </w:r>
      <w:r w:rsidRPr="00640B45">
        <w:rPr>
          <w:rFonts w:cs="Times New Roman"/>
          <w:szCs w:val="24"/>
        </w:rPr>
        <w:t>as length-weighted mean and median, respectively</w:t>
      </w:r>
      <w:r>
        <w:rPr>
          <w:rFonts w:cs="Times New Roman"/>
          <w:szCs w:val="24"/>
        </w:rPr>
        <w:t>.</w:t>
      </w:r>
      <w:r w:rsidRPr="00640B45">
        <w:rPr>
          <w:rFonts w:cs="Times New Roman"/>
          <w:szCs w:val="24"/>
        </w:rPr>
        <w:t xml:space="preserve"> All variables were </w:t>
      </w:r>
      <w:r w:rsidR="00526C92">
        <w:rPr>
          <w:rFonts w:cs="Times New Roman"/>
          <w:szCs w:val="24"/>
        </w:rPr>
        <w:t>derived from the NHDPlusV2 dataset using</w:t>
      </w:r>
      <w:r w:rsidRPr="00640B45">
        <w:rPr>
          <w:rFonts w:cs="Times New Roman"/>
          <w:szCs w:val="24"/>
        </w:rPr>
        <w:t xml:space="preserve"> the </w:t>
      </w:r>
      <w:proofErr w:type="spellStart"/>
      <w:r w:rsidRPr="00640B45">
        <w:rPr>
          <w:rFonts w:cs="Times New Roman"/>
          <w:szCs w:val="24"/>
        </w:rPr>
        <w:t>StreamNetworkTools</w:t>
      </w:r>
      <w:proofErr w:type="spellEnd"/>
      <w:r w:rsidRPr="00640B45">
        <w:rPr>
          <w:rFonts w:cs="Times New Roman"/>
          <w:szCs w:val="24"/>
        </w:rPr>
        <w:t xml:space="preserve"> </w:t>
      </w:r>
      <w:r w:rsidR="00526C92">
        <w:rPr>
          <w:rFonts w:cs="Times New Roman"/>
          <w:szCs w:val="24"/>
        </w:rPr>
        <w:t>R-</w:t>
      </w:r>
      <w:r>
        <w:rPr>
          <w:rFonts w:cs="Times New Roman"/>
          <w:szCs w:val="24"/>
        </w:rPr>
        <w:t>Package (</w:t>
      </w:r>
      <w:hyperlink r:id="rId10" w:history="1">
        <w:r w:rsidRPr="0091459C">
          <w:rPr>
            <w:rStyle w:val="Hyperlink"/>
            <w:rFonts w:cs="Times New Roman"/>
            <w:szCs w:val="24"/>
          </w:rPr>
          <w:t>https://github.com/dkopp3/StreamNetworkTools_git</w:t>
        </w:r>
      </w:hyperlink>
      <w:r>
        <w:rPr>
          <w:rFonts w:cs="Times New Roman"/>
          <w:szCs w:val="24"/>
        </w:rPr>
        <w:t>).</w:t>
      </w:r>
      <w:r w:rsidRPr="00640B45">
        <w:rPr>
          <w:rFonts w:cs="Times New Roman"/>
          <w:szCs w:val="24"/>
        </w:rPr>
        <w:t xml:space="preserve"> </w:t>
      </w:r>
    </w:p>
    <w:p w14:paraId="32465665" w14:textId="77777777" w:rsidR="00FA0782" w:rsidRDefault="00FA0782" w:rsidP="00B27B90">
      <w:pPr>
        <w:spacing w:line="480" w:lineRule="auto"/>
        <w:contextualSpacing/>
        <w:rPr>
          <w:i/>
          <w:iCs/>
        </w:rPr>
      </w:pPr>
    </w:p>
    <w:p w14:paraId="33FB68B5" w14:textId="7DE416A9" w:rsidR="00110D79" w:rsidRPr="00FA0782" w:rsidRDefault="00BE5C6B" w:rsidP="00B27B90">
      <w:pPr>
        <w:spacing w:line="480" w:lineRule="auto"/>
        <w:contextualSpacing/>
        <w:rPr>
          <w:i/>
          <w:iCs/>
        </w:rPr>
      </w:pPr>
      <w:r w:rsidRPr="00FA0782">
        <w:rPr>
          <w:i/>
          <w:iCs/>
        </w:rPr>
        <w:t xml:space="preserve">Characterizing climate, topography, soil and vegetation </w:t>
      </w:r>
    </w:p>
    <w:p w14:paraId="6D8AB20D" w14:textId="77E65934" w:rsidR="00BE5C6B" w:rsidRPr="008F1360" w:rsidRDefault="00526C92" w:rsidP="00B27B90">
      <w:pPr>
        <w:spacing w:line="480" w:lineRule="auto"/>
        <w:ind w:firstLine="864"/>
        <w:contextualSpacing/>
        <w:rPr>
          <w:rFonts w:cs="Times New Roman"/>
          <w:i/>
          <w:szCs w:val="24"/>
        </w:rPr>
      </w:pPr>
      <w:r>
        <w:rPr>
          <w:rFonts w:cs="Times New Roman"/>
          <w:szCs w:val="24"/>
        </w:rPr>
        <w:t xml:space="preserve">We identified several basin features that could influence the geometry of stream networks and </w:t>
      </w:r>
      <w:r w:rsidR="00BE5C6B">
        <w:rPr>
          <w:rFonts w:cs="Times New Roman"/>
          <w:szCs w:val="24"/>
        </w:rPr>
        <w:t>indirect</w:t>
      </w:r>
      <w:r>
        <w:rPr>
          <w:rFonts w:cs="Times New Roman"/>
          <w:szCs w:val="24"/>
        </w:rPr>
        <w:t>ly</w:t>
      </w:r>
      <w:r w:rsidR="00BE5C6B">
        <w:rPr>
          <w:rFonts w:cs="Times New Roman"/>
          <w:szCs w:val="24"/>
        </w:rPr>
        <w:t xml:space="preserve"> contribute to spatial </w:t>
      </w:r>
      <w:r>
        <w:rPr>
          <w:rFonts w:cs="Times New Roman"/>
          <w:szCs w:val="24"/>
        </w:rPr>
        <w:t xml:space="preserve">patterns of </w:t>
      </w:r>
      <w:r w:rsidR="00BE5C6B">
        <w:rPr>
          <w:rFonts w:cs="Times New Roman"/>
          <w:szCs w:val="24"/>
        </w:rPr>
        <w:t>aquatic subsidies.</w:t>
      </w:r>
      <w:r w:rsidR="00BE5C6B" w:rsidRPr="00640B45">
        <w:rPr>
          <w:rFonts w:cs="Times New Roman"/>
          <w:szCs w:val="24"/>
        </w:rPr>
        <w:t xml:space="preserve"> Cumulative mean annual runoff (</w:t>
      </w:r>
      <m:oMath>
        <m:r>
          <w:rPr>
            <w:rFonts w:ascii="Cambria Math" w:hAnsi="Cambria Math" w:cs="Times New Roman"/>
            <w:szCs w:val="24"/>
          </w:rPr>
          <m:t>R</m:t>
        </m:r>
      </m:oMath>
      <w:r w:rsidR="00BE5C6B" w:rsidRPr="00640B45">
        <w:rPr>
          <w:rFonts w:cs="Times New Roman"/>
          <w:szCs w:val="24"/>
        </w:rPr>
        <w:t xml:space="preserve">) is the sum of the 1971-2000 runoff grids derived by </w:t>
      </w:r>
      <w:r w:rsidR="00BE5C6B" w:rsidRPr="00640B45">
        <w:rPr>
          <w:rStyle w:val="FootnoteReference"/>
          <w:rFonts w:cs="Times New Roman"/>
          <w:szCs w:val="24"/>
        </w:rPr>
        <w:fldChar w:fldCharType="begin" w:fldLock="1"/>
      </w:r>
      <w:r w:rsidR="00306019">
        <w:rPr>
          <w:rFonts w:cs="Times New Roman"/>
          <w:szCs w:val="24"/>
        </w:rPr>
        <w:instrText>ADDIN CSL_CITATION {"citationItems":[{"id":"ITEM-1","itemData":{"DOI":"10.1029/2011WR010630","ISBN":"0043-1397","ISSN":"00431397","abstract":"A water-balance model is used to simulate time series of water-year runoff for 4 km × 4 km grid cells for the conterminous United States during the 1900&amp;#8211;2008 period. Model outputs are used to examine the separate effects of precipitation and temperature on runoff variability. Overall, water-year runoff has increased in the conterminous United States and precipitation has accounted for almost all of the variability in water-year runoff during the past century. In contrast, temperature effects on runoff have been small for most locations in the United States even during periods when temperatures for most of the United States increased significantly.","author":[{"dropping-particle":"","family":"McCabe","given":"Gregory J.","non-dropping-particle":"","parse-names":false,"suffix":""},{"dropping-particle":"","family":"Wolock","given":"David M.","non-dropping-particle":"","parse-names":false,"suffix":""}],"container-title":"Water Resources Research","id":"ITEM-1","issue":"11","issued":{"date-parts":[["2011"]]},"page":"1-11","title":"Independent effects of temperature and precipitation on modeled runoff in the conterminous United States","type":"article-journal","volume":"47"},"uris":["http://www.mendeley.com/documents/?uuid=b8096d35-ae3e-4081-aed3-be44cd2fa808"]}],"mendeley":{"formattedCitation":"(McCabe and Wolock 2011)","manualFormatting":"McCabe &amp; Wolock (2011)","plainTextFormattedCitation":"(McCabe and Wolock 2011)","previouslyFormattedCitation":"(McCabe and Wolock 2011)"},"properties":{"noteIndex":0},"schema":"https://github.com/citation-style-language/schema/raw/master/csl-citation.json"}</w:instrText>
      </w:r>
      <w:r w:rsidR="00BE5C6B" w:rsidRPr="00640B45">
        <w:rPr>
          <w:rStyle w:val="FootnoteReference"/>
          <w:rFonts w:cs="Times New Roman"/>
          <w:szCs w:val="24"/>
        </w:rPr>
        <w:fldChar w:fldCharType="separate"/>
      </w:r>
      <w:r w:rsidR="00BE5C6B" w:rsidRPr="00640B45">
        <w:rPr>
          <w:rFonts w:cs="Times New Roman"/>
          <w:noProof/>
          <w:szCs w:val="24"/>
        </w:rPr>
        <w:t>McCabe &amp; Wolock (2011)</w:t>
      </w:r>
      <w:r w:rsidR="00BE5C6B" w:rsidRPr="00640B45">
        <w:rPr>
          <w:rStyle w:val="FootnoteReference"/>
          <w:rFonts w:cs="Times New Roman"/>
          <w:szCs w:val="24"/>
        </w:rPr>
        <w:fldChar w:fldCharType="end"/>
      </w:r>
      <w:r w:rsidR="00BE5C6B" w:rsidRPr="00640B45">
        <w:rPr>
          <w:rFonts w:cs="Times New Roman"/>
          <w:szCs w:val="24"/>
        </w:rPr>
        <w:t xml:space="preserve"> within the</w:t>
      </w:r>
      <w:r w:rsidR="00BE5C6B">
        <w:rPr>
          <w:rFonts w:cs="Times New Roman"/>
          <w:szCs w:val="24"/>
        </w:rPr>
        <w:t xml:space="preserve"> NHDPlusV2</w:t>
      </w:r>
      <w:r w:rsidR="00BE5C6B" w:rsidRPr="00640B45">
        <w:rPr>
          <w:rFonts w:cs="Times New Roman"/>
          <w:szCs w:val="24"/>
        </w:rPr>
        <w:t xml:space="preserve"> catchment </w:t>
      </w:r>
      <w:r w:rsidR="00BE5C6B" w:rsidRPr="00640B45">
        <w:rPr>
          <w:rStyle w:val="FootnoteReference"/>
          <w:rFonts w:cs="Times New Roman"/>
          <w:szCs w:val="24"/>
        </w:rPr>
        <w:fldChar w:fldCharType="begin" w:fldLock="1"/>
      </w:r>
      <w:r w:rsidR="00306019">
        <w:rPr>
          <w:rFonts w:cs="Times New Roman"/>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Guide","type":"article"},"uris":["http://www.mendeley.com/documents/?uuid=2eacd0aa-0fb0-448e-b8cc-991c6eb293fe"]}],"mendeley":{"formattedCitation":"(McKay et al. 2012)","plainTextFormattedCitation":"(McKay et al. 2012)","previouslyFormattedCitation":"(McKay et al. 2012)"},"properties":{"noteIndex":0},"schema":"https://github.com/citation-style-language/schema/raw/master/csl-citation.json"}</w:instrText>
      </w:r>
      <w:r w:rsidR="00BE5C6B" w:rsidRPr="00640B45">
        <w:rPr>
          <w:rStyle w:val="FootnoteReference"/>
          <w:rFonts w:cs="Times New Roman"/>
          <w:szCs w:val="24"/>
        </w:rPr>
        <w:fldChar w:fldCharType="separate"/>
      </w:r>
      <w:r w:rsidR="0034241C" w:rsidRPr="0034241C">
        <w:rPr>
          <w:rFonts w:cs="Times New Roman"/>
          <w:noProof/>
          <w:szCs w:val="24"/>
        </w:rPr>
        <w:t>(McKay et al. 2012)</w:t>
      </w:r>
      <w:r w:rsidR="00BE5C6B" w:rsidRPr="00640B45">
        <w:rPr>
          <w:rStyle w:val="FootnoteReference"/>
          <w:rFonts w:cs="Times New Roman"/>
          <w:szCs w:val="24"/>
        </w:rPr>
        <w:fldChar w:fldCharType="end"/>
      </w:r>
      <w:r w:rsidR="00BE5C6B" w:rsidRPr="00640B45">
        <w:rPr>
          <w:rFonts w:cs="Times New Roman"/>
          <w:szCs w:val="24"/>
        </w:rPr>
        <w:t xml:space="preserve">. </w:t>
      </w:r>
      <w:r w:rsidR="00BE5C6B">
        <w:rPr>
          <w:rFonts w:cs="Times New Roman"/>
          <w:szCs w:val="24"/>
        </w:rPr>
        <w:t>W</w:t>
      </w:r>
      <w:r w:rsidR="00BE5C6B" w:rsidRPr="00640B45">
        <w:rPr>
          <w:rFonts w:cs="Times New Roman"/>
          <w:szCs w:val="24"/>
        </w:rPr>
        <w:t xml:space="preserve">e divided </w:t>
      </w:r>
      <m:oMath>
        <m:r>
          <w:rPr>
            <w:rFonts w:ascii="Cambria Math" w:hAnsi="Cambria Math" w:cs="Times New Roman"/>
            <w:szCs w:val="24"/>
          </w:rPr>
          <m:t>R</m:t>
        </m:r>
      </m:oMath>
      <w:r w:rsidR="00BE5C6B" w:rsidRPr="00640B45">
        <w:rPr>
          <w:rFonts w:cs="Times New Roman"/>
          <w:szCs w:val="24"/>
        </w:rPr>
        <w:t xml:space="preserve"> by catchment area such that units are</w:t>
      </w:r>
      <w:r>
        <w:rPr>
          <w:rFonts w:cs="Times New Roman"/>
          <w:szCs w:val="24"/>
        </w:rPr>
        <w:t xml:space="preserve"> millimeters per square kilometer</w:t>
      </w:r>
      <w:r w:rsidR="00BE5C6B" w:rsidRPr="00640B45">
        <w:rPr>
          <w:rFonts w:cs="Times New Roman"/>
          <w:szCs w:val="24"/>
        </w:rPr>
        <w:t xml:space="preserve"> </w:t>
      </w:r>
      <w:r>
        <w:rPr>
          <w:rFonts w:cs="Times New Roman"/>
          <w:szCs w:val="24"/>
        </w:rPr>
        <w:t>(</w:t>
      </w:r>
      <w:r w:rsidR="00BE5C6B" w:rsidRPr="00640B45">
        <w:rPr>
          <w:rFonts w:cs="Times New Roman"/>
          <w:szCs w:val="24"/>
        </w:rPr>
        <w:t>mm km</w:t>
      </w:r>
      <w:r w:rsidR="00BE5C6B" w:rsidRPr="00640B45">
        <w:rPr>
          <w:rFonts w:cs="Times New Roman"/>
          <w:szCs w:val="24"/>
          <w:vertAlign w:val="superscript"/>
        </w:rPr>
        <w:t>-2</w:t>
      </w:r>
      <w:r>
        <w:rPr>
          <w:rFonts w:cs="Times New Roman"/>
          <w:szCs w:val="24"/>
        </w:rPr>
        <w:t>).</w:t>
      </w:r>
      <w:r w:rsidR="00BE5C6B" w:rsidRPr="00640B45">
        <w:rPr>
          <w:rFonts w:cs="Times New Roman"/>
          <w:szCs w:val="24"/>
        </w:rPr>
        <w:t xml:space="preserve"> Slope estimates are non-negative and </w:t>
      </w:r>
      <w:proofErr w:type="spellStart"/>
      <w:r w:rsidR="00BE5C6B" w:rsidRPr="00640B45">
        <w:rPr>
          <w:rFonts w:cs="Times New Roman"/>
          <w:szCs w:val="24"/>
        </w:rPr>
        <w:t>unitless</w:t>
      </w:r>
      <w:proofErr w:type="spellEnd"/>
      <w:r w:rsidR="00BE5C6B" w:rsidRPr="00640B45">
        <w:rPr>
          <w:rFonts w:cs="Times New Roman"/>
          <w:szCs w:val="24"/>
        </w:rPr>
        <w:t xml:space="preserve"> and derived from an elevation smoothing technique to ensure a smooth transition between headwater</w:t>
      </w:r>
      <w:r>
        <w:rPr>
          <w:rFonts w:cs="Times New Roman"/>
          <w:szCs w:val="24"/>
        </w:rPr>
        <w:t xml:space="preserve"> or </w:t>
      </w:r>
      <w:r w:rsidR="00BE5C6B" w:rsidRPr="00640B45">
        <w:rPr>
          <w:rFonts w:cs="Times New Roman"/>
          <w:szCs w:val="24"/>
        </w:rPr>
        <w:t xml:space="preserve">confluence and </w:t>
      </w:r>
      <w:r>
        <w:rPr>
          <w:rFonts w:cs="Times New Roman"/>
          <w:szCs w:val="24"/>
        </w:rPr>
        <w:t xml:space="preserve">network </w:t>
      </w:r>
      <w:r w:rsidR="00BE5C6B" w:rsidRPr="00640B45">
        <w:rPr>
          <w:rFonts w:cs="Times New Roman"/>
          <w:szCs w:val="24"/>
        </w:rPr>
        <w:t xml:space="preserve">outlet </w:t>
      </w:r>
      <w:r w:rsidR="00BE5C6B" w:rsidRPr="00640B45">
        <w:rPr>
          <w:rStyle w:val="FootnoteReference"/>
          <w:rFonts w:cs="Times New Roman"/>
          <w:szCs w:val="24"/>
        </w:rPr>
        <w:fldChar w:fldCharType="begin" w:fldLock="1"/>
      </w:r>
      <w:r w:rsidR="00306019">
        <w:rPr>
          <w:rFonts w:cs="Times New Roman"/>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Guide","type":"article"},"uris":["http://www.mendeley.com/documents/?uuid=2eacd0aa-0fb0-448e-b8cc-991c6eb293fe"]}],"mendeley":{"formattedCitation":"(McKay et al. 2012)","plainTextFormattedCitation":"(McKay et al. 2012)","previouslyFormattedCitation":"(McKay et al. 2012)"},"properties":{"noteIndex":0},"schema":"https://github.com/citation-style-language/schema/raw/master/csl-citation.json"}</w:instrText>
      </w:r>
      <w:r w:rsidR="00BE5C6B" w:rsidRPr="00640B45">
        <w:rPr>
          <w:rStyle w:val="FootnoteReference"/>
          <w:rFonts w:cs="Times New Roman"/>
          <w:szCs w:val="24"/>
        </w:rPr>
        <w:fldChar w:fldCharType="separate"/>
      </w:r>
      <w:r w:rsidR="0034241C" w:rsidRPr="0034241C">
        <w:rPr>
          <w:rFonts w:cs="Times New Roman"/>
          <w:noProof/>
          <w:szCs w:val="24"/>
        </w:rPr>
        <w:t>(McKay et al. 2012)</w:t>
      </w:r>
      <w:r w:rsidR="00BE5C6B" w:rsidRPr="00640B45">
        <w:rPr>
          <w:rStyle w:val="FootnoteReference"/>
          <w:rFonts w:cs="Times New Roman"/>
          <w:szCs w:val="24"/>
        </w:rPr>
        <w:fldChar w:fldCharType="end"/>
      </w:r>
      <w:r w:rsidR="00BE5C6B" w:rsidRPr="00640B45">
        <w:rPr>
          <w:rFonts w:cs="Times New Roman"/>
          <w:szCs w:val="24"/>
        </w:rPr>
        <w:t xml:space="preserve">. </w:t>
      </w:r>
      <w:r w:rsidRPr="00640B45">
        <w:rPr>
          <w:rFonts w:cs="Times New Roman"/>
          <w:szCs w:val="24"/>
        </w:rPr>
        <w:t xml:space="preserve">As an artifact of the elevation smoothing technique, the lowest slope for a reach that could be obtained was 0.0001. Reaches with </w:t>
      </w:r>
      <w:r w:rsidR="00E223DD">
        <w:rPr>
          <w:rFonts w:cs="Times New Roman"/>
          <w:szCs w:val="24"/>
        </w:rPr>
        <w:t>un</w:t>
      </w:r>
      <w:r w:rsidR="00E223DD" w:rsidRPr="00640B45">
        <w:rPr>
          <w:rFonts w:cs="Times New Roman"/>
          <w:szCs w:val="24"/>
        </w:rPr>
        <w:t xml:space="preserve">identifiable </w:t>
      </w:r>
      <w:r w:rsidRPr="00640B45">
        <w:rPr>
          <w:rFonts w:cs="Times New Roman"/>
          <w:szCs w:val="24"/>
        </w:rPr>
        <w:t xml:space="preserve">slopes typically made up less than 1% of </w:t>
      </w:r>
      <w:r>
        <w:rPr>
          <w:rFonts w:cs="Times New Roman"/>
          <w:szCs w:val="24"/>
        </w:rPr>
        <w:t xml:space="preserve">all networks within the hydrological regions. </w:t>
      </w:r>
      <w:r w:rsidR="00BE5C6B" w:rsidRPr="00640B45">
        <w:rPr>
          <w:rFonts w:cs="Times New Roman"/>
          <w:szCs w:val="24"/>
        </w:rPr>
        <w:t xml:space="preserve">We aggregated </w:t>
      </w:r>
      <w:r w:rsidR="00E223DD" w:rsidRPr="00640B45">
        <w:rPr>
          <w:rFonts w:cs="Times New Roman"/>
          <w:szCs w:val="24"/>
        </w:rPr>
        <w:t xml:space="preserve">identifiable slopes </w:t>
      </w:r>
      <w:r w:rsidR="00BE5C6B" w:rsidRPr="00640B45">
        <w:rPr>
          <w:rFonts w:cs="Times New Roman"/>
          <w:szCs w:val="24"/>
        </w:rPr>
        <w:t xml:space="preserve">to the network-scale using a length-weighted mean of reaches. Percent bare ground </w:t>
      </w:r>
      <w:r w:rsidR="00BE5C6B">
        <w:rPr>
          <w:rFonts w:cs="Times New Roman"/>
          <w:szCs w:val="24"/>
        </w:rPr>
        <w:t xml:space="preserve">was </w:t>
      </w:r>
      <w:r w:rsidR="00BE5C6B" w:rsidRPr="00640B45">
        <w:rPr>
          <w:rFonts w:cs="Times New Roman"/>
          <w:szCs w:val="24"/>
        </w:rPr>
        <w:t>quantified from the National Land Cover Database (NLCD 2011</w:t>
      </w:r>
      <w:r w:rsidR="00BE5C6B">
        <w:rPr>
          <w:rFonts w:cs="Times New Roman"/>
          <w:szCs w:val="24"/>
        </w:rPr>
        <w:t>;</w:t>
      </w:r>
      <w:r w:rsidR="00BE5C6B" w:rsidRPr="00211C14">
        <w:t xml:space="preserve"> </w:t>
      </w:r>
      <w:r w:rsidR="00BE5C6B" w:rsidRPr="00211C14">
        <w:rPr>
          <w:rFonts w:cs="Times New Roman"/>
          <w:szCs w:val="24"/>
        </w:rPr>
        <w:t>https://www.mrlc.gov/</w:t>
      </w:r>
      <w:r w:rsidR="00BE5C6B" w:rsidRPr="00640B45">
        <w:rPr>
          <w:rFonts w:cs="Times New Roman"/>
          <w:szCs w:val="24"/>
        </w:rPr>
        <w:t>)</w:t>
      </w:r>
      <w:r w:rsidR="00BE5C6B">
        <w:rPr>
          <w:rFonts w:cs="Times New Roman"/>
          <w:szCs w:val="24"/>
        </w:rPr>
        <w:t xml:space="preserve"> supplied with NHDPlusV2</w:t>
      </w:r>
      <w:r w:rsidR="00BE5C6B" w:rsidRPr="00640B45">
        <w:rPr>
          <w:rFonts w:cs="Times New Roman"/>
          <w:szCs w:val="24"/>
        </w:rPr>
        <w:t xml:space="preserve">.  </w:t>
      </w:r>
    </w:p>
    <w:p w14:paraId="06CEF74B" w14:textId="4A8C61AF" w:rsidR="00B27B90" w:rsidRPr="00B27B90" w:rsidRDefault="00BE5C6B" w:rsidP="002507FE">
      <w:pPr>
        <w:spacing w:line="480" w:lineRule="auto"/>
        <w:ind w:firstLine="864"/>
        <w:contextualSpacing/>
        <w:rPr>
          <w:rFonts w:cs="Times New Roman"/>
          <w:szCs w:val="24"/>
        </w:rPr>
      </w:pPr>
      <w:r>
        <w:rPr>
          <w:rFonts w:cs="Times New Roman"/>
          <w:szCs w:val="24"/>
        </w:rPr>
        <w:t>The w</w:t>
      </w:r>
      <w:r w:rsidRPr="00640B45">
        <w:rPr>
          <w:rFonts w:cs="Times New Roman"/>
          <w:szCs w:val="24"/>
        </w:rPr>
        <w:t xml:space="preserve">hole soil </w:t>
      </w:r>
      <w:proofErr w:type="spellStart"/>
      <w:r w:rsidRPr="00640B45">
        <w:rPr>
          <w:rFonts w:cs="Times New Roman"/>
          <w:szCs w:val="24"/>
        </w:rPr>
        <w:t>erodibility</w:t>
      </w:r>
      <w:proofErr w:type="spellEnd"/>
      <w:r w:rsidRPr="00640B45">
        <w:rPr>
          <w:rFonts w:cs="Times New Roman"/>
          <w:szCs w:val="24"/>
        </w:rPr>
        <w:t xml:space="preserve"> factor quantifies the susceptibility of soil particles to detachment and movement by water while accounting for rock fragments</w:t>
      </w:r>
      <w:r>
        <w:rPr>
          <w:rFonts w:cs="Times New Roman"/>
          <w:szCs w:val="24"/>
        </w:rPr>
        <w:t>.</w:t>
      </w:r>
      <w:r w:rsidRPr="00726A4E">
        <w:rPr>
          <w:rFonts w:cs="Times New Roman"/>
          <w:szCs w:val="24"/>
        </w:rPr>
        <w:t xml:space="preserve"> </w:t>
      </w:r>
      <w:r>
        <w:rPr>
          <w:rFonts w:cs="Times New Roman"/>
          <w:szCs w:val="24"/>
        </w:rPr>
        <w:t>W</w:t>
      </w:r>
      <w:r w:rsidRPr="00640B45">
        <w:rPr>
          <w:rFonts w:cs="Times New Roman"/>
          <w:szCs w:val="24"/>
        </w:rPr>
        <w:t>e derived an area-weighted m</w:t>
      </w:r>
      <w:r>
        <w:rPr>
          <w:rFonts w:cs="Times New Roman"/>
          <w:szCs w:val="24"/>
        </w:rPr>
        <w:t xml:space="preserve">ean </w:t>
      </w:r>
      <w:proofErr w:type="spellStart"/>
      <w:r>
        <w:rPr>
          <w:rFonts w:cs="Times New Roman"/>
          <w:szCs w:val="24"/>
        </w:rPr>
        <w:t>erodibility</w:t>
      </w:r>
      <w:proofErr w:type="spellEnd"/>
      <w:r>
        <w:rPr>
          <w:rFonts w:cs="Times New Roman"/>
          <w:szCs w:val="24"/>
        </w:rPr>
        <w:t xml:space="preserve"> factor</w:t>
      </w:r>
      <w:r w:rsidRPr="00640B45">
        <w:rPr>
          <w:rFonts w:eastAsiaTheme="minorEastAsia" w:cs="Times New Roman"/>
          <w:szCs w:val="24"/>
        </w:rPr>
        <w:t xml:space="preserve"> </w:t>
      </w:r>
      <w:r>
        <w:rPr>
          <w:rFonts w:eastAsiaTheme="minorEastAsia" w:cs="Times New Roman"/>
          <w:szCs w:val="24"/>
        </w:rPr>
        <w:t>(</w:t>
      </w: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w:r>
        <w:rPr>
          <w:rFonts w:eastAsiaTheme="minorEastAsia" w:cs="Times New Roman"/>
          <w:szCs w:val="24"/>
        </w:rPr>
        <w:t>)</w:t>
      </w:r>
      <w:r w:rsidRPr="00640B45">
        <w:rPr>
          <w:rFonts w:eastAsiaTheme="minorEastAsia" w:cs="Times New Roman"/>
          <w:szCs w:val="24"/>
        </w:rPr>
        <w:t xml:space="preserve"> </w:t>
      </w:r>
      <w:r>
        <w:rPr>
          <w:rFonts w:eastAsiaTheme="minorEastAsia" w:cs="Times New Roman"/>
          <w:szCs w:val="24"/>
        </w:rPr>
        <w:t xml:space="preserve">from State Soils Geographic Dataset (STATSGO2; </w:t>
      </w:r>
      <w:r w:rsidRPr="00A41238">
        <w:rPr>
          <w:rFonts w:cs="Times New Roman"/>
          <w:szCs w:val="24"/>
        </w:rPr>
        <w:t>https://websoilsurvey.nrcs.usda.gov/</w:t>
      </w:r>
      <w:r>
        <w:rPr>
          <w:rFonts w:cs="Times New Roman"/>
          <w:szCs w:val="24"/>
        </w:rPr>
        <w:t>)</w:t>
      </w:r>
      <w:r>
        <w:rPr>
          <w:rFonts w:eastAsiaTheme="minorEastAsia" w:cs="Times New Roman"/>
          <w:szCs w:val="24"/>
        </w:rPr>
        <w:t>.</w:t>
      </w:r>
      <w:r w:rsidRPr="00640B45">
        <w:rPr>
          <w:rFonts w:cs="Times New Roman"/>
          <w:szCs w:val="24"/>
        </w:rPr>
        <w:t xml:space="preserve"> </w:t>
      </w:r>
      <w:r>
        <w:rPr>
          <w:rFonts w:cs="Times New Roman"/>
          <w:szCs w:val="24"/>
        </w:rPr>
        <w:t>F</w:t>
      </w:r>
      <w:r w:rsidRPr="00640B45">
        <w:rPr>
          <w:rFonts w:cs="Times New Roman"/>
          <w:szCs w:val="24"/>
        </w:rPr>
        <w:t xml:space="preserve">irst, we obtained a </w:t>
      </w: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w:r w:rsidRPr="00640B45">
        <w:rPr>
          <w:rFonts w:eastAsiaTheme="minorEastAsia" w:cs="Times New Roman"/>
          <w:szCs w:val="24"/>
        </w:rPr>
        <w:t xml:space="preserve"> factor for each STATSGO2 map unit using the soil component percentages as a weighting factor. Second, </w:t>
      </w:r>
      <w:r w:rsidRPr="00640B45">
        <w:rPr>
          <w:rFonts w:cs="Times New Roman"/>
          <w:szCs w:val="24"/>
        </w:rPr>
        <w:t xml:space="preserve">we conducted an intersection in ArcGIS (10.4.1, ESRI Redlands CA) between the </w:t>
      </w:r>
      <w:r>
        <w:rPr>
          <w:rFonts w:cs="Times New Roman"/>
          <w:szCs w:val="24"/>
        </w:rPr>
        <w:t xml:space="preserve">STATSGO2 </w:t>
      </w:r>
      <w:r w:rsidRPr="00640B45">
        <w:rPr>
          <w:rFonts w:cs="Times New Roman"/>
          <w:szCs w:val="24"/>
        </w:rPr>
        <w:t xml:space="preserve">map unit polygons and </w:t>
      </w:r>
      <w:r>
        <w:rPr>
          <w:rFonts w:cs="Times New Roman"/>
          <w:szCs w:val="24"/>
        </w:rPr>
        <w:t>NHDPlusV2</w:t>
      </w:r>
      <w:r w:rsidRPr="00640B45">
        <w:rPr>
          <w:rFonts w:cs="Times New Roman"/>
          <w:szCs w:val="24"/>
        </w:rPr>
        <w:t xml:space="preserve"> catchments to </w:t>
      </w:r>
      <w:r>
        <w:rPr>
          <w:rFonts w:cs="Times New Roman"/>
          <w:szCs w:val="24"/>
        </w:rPr>
        <w:t xml:space="preserve">weight each map unit value by their </w:t>
      </w:r>
      <w:r w:rsidRPr="00640B45">
        <w:rPr>
          <w:rFonts w:cs="Times New Roman"/>
          <w:szCs w:val="24"/>
        </w:rPr>
        <w:t xml:space="preserve">shared area. STATSGO2 components with unavailable </w:t>
      </w: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w:r w:rsidRPr="00640B45">
        <w:rPr>
          <w:rFonts w:cs="Times New Roman"/>
          <w:szCs w:val="24"/>
        </w:rPr>
        <w:t xml:space="preserve"> factors (e.g. rocky outcrop, urban </w:t>
      </w:r>
      <w:r>
        <w:rPr>
          <w:rFonts w:cs="Times New Roman"/>
          <w:szCs w:val="24"/>
        </w:rPr>
        <w:t>areas</w:t>
      </w:r>
      <w:r w:rsidRPr="00640B45">
        <w:rPr>
          <w:rFonts w:cs="Times New Roman"/>
          <w:szCs w:val="24"/>
        </w:rPr>
        <w:t xml:space="preserve">) were assigned a value of zero </w:t>
      </w:r>
      <w:r>
        <w:rPr>
          <w:rFonts w:cs="Times New Roman"/>
          <w:szCs w:val="24"/>
        </w:rPr>
        <w:t xml:space="preserve">(i.e. </w:t>
      </w:r>
      <w:r w:rsidRPr="00640B45">
        <w:rPr>
          <w:rFonts w:cs="Times New Roman"/>
          <w:szCs w:val="24"/>
        </w:rPr>
        <w:t xml:space="preserve">low </w:t>
      </w:r>
      <w:proofErr w:type="spellStart"/>
      <w:r w:rsidRPr="00640B45">
        <w:rPr>
          <w:rFonts w:cs="Times New Roman"/>
          <w:szCs w:val="24"/>
        </w:rPr>
        <w:t>erodibility</w:t>
      </w:r>
      <w:proofErr w:type="spellEnd"/>
      <w:r w:rsidRPr="00640B45">
        <w:rPr>
          <w:rFonts w:cs="Times New Roman"/>
          <w:szCs w:val="24"/>
        </w:rPr>
        <w:t xml:space="preserve"> potential</w:t>
      </w:r>
      <w:r>
        <w:rPr>
          <w:rFonts w:cs="Times New Roman"/>
          <w:szCs w:val="24"/>
        </w:rPr>
        <w:t>)</w:t>
      </w:r>
      <w:r w:rsidRPr="00640B45">
        <w:rPr>
          <w:rFonts w:cs="Times New Roman"/>
          <w:szCs w:val="24"/>
        </w:rPr>
        <w:t xml:space="preserve">. </w:t>
      </w:r>
    </w:p>
    <w:p w14:paraId="6C83AD9D" w14:textId="64550FC8" w:rsidR="00110D79" w:rsidRPr="00B27B90" w:rsidRDefault="00884B6C" w:rsidP="00B27B90">
      <w:pPr>
        <w:spacing w:line="480" w:lineRule="auto"/>
        <w:contextualSpacing/>
        <w:rPr>
          <w:i/>
          <w:iCs/>
        </w:rPr>
      </w:pPr>
      <w:r>
        <w:rPr>
          <w:i/>
          <w:iCs/>
        </w:rPr>
        <w:lastRenderedPageBreak/>
        <w:t xml:space="preserve">Statistical </w:t>
      </w:r>
      <w:r w:rsidR="00BE5C6B" w:rsidRPr="00B27B90">
        <w:rPr>
          <w:i/>
          <w:iCs/>
        </w:rPr>
        <w:t xml:space="preserve">Analysis </w:t>
      </w:r>
    </w:p>
    <w:p w14:paraId="3159667B" w14:textId="7FD09D0A" w:rsidR="00BE5C6B" w:rsidRPr="00640B45" w:rsidRDefault="00BE5C6B" w:rsidP="00BE5C6B">
      <w:pPr>
        <w:spacing w:line="480" w:lineRule="auto"/>
        <w:ind w:firstLine="864"/>
        <w:rPr>
          <w:rFonts w:cs="Times New Roman"/>
          <w:szCs w:val="24"/>
        </w:rPr>
      </w:pPr>
      <w:r w:rsidRPr="00640B45">
        <w:rPr>
          <w:rFonts w:cs="Times New Roman"/>
          <w:szCs w:val="24"/>
        </w:rPr>
        <w:t>Statistical analysis proceeded in three parts</w:t>
      </w:r>
      <w:r>
        <w:rPr>
          <w:rFonts w:cs="Times New Roman"/>
          <w:szCs w:val="24"/>
        </w:rPr>
        <w:t xml:space="preserve"> (Appendix S1: </w:t>
      </w:r>
      <w:r w:rsidRPr="00640B45">
        <w:rPr>
          <w:rFonts w:cs="Times New Roman"/>
          <w:szCs w:val="24"/>
        </w:rPr>
        <w:t xml:space="preserve">Fig </w:t>
      </w:r>
      <w:r>
        <w:rPr>
          <w:rFonts w:cs="Times New Roman"/>
          <w:szCs w:val="24"/>
        </w:rPr>
        <w:t>S1</w:t>
      </w:r>
      <w:r w:rsidRPr="00640B45">
        <w:rPr>
          <w:rFonts w:cs="Times New Roman"/>
          <w:szCs w:val="24"/>
        </w:rPr>
        <w:t xml:space="preserve">). First, </w:t>
      </w:r>
      <w:r>
        <w:rPr>
          <w:rFonts w:cs="Times New Roman"/>
          <w:szCs w:val="24"/>
        </w:rPr>
        <w:t xml:space="preserve">we used a simple Bayesian regression model to 1) establish a quantitative relationship between the </w:t>
      </w:r>
      <w:r w:rsidRPr="00640B45">
        <w:rPr>
          <w:rFonts w:cs="Times New Roman"/>
          <w:szCs w:val="24"/>
        </w:rPr>
        <w:t>stream network geometry</w:t>
      </w:r>
      <w:r>
        <w:rPr>
          <w:rFonts w:cs="Times New Roman"/>
          <w:szCs w:val="24"/>
        </w:rPr>
        <w:t xml:space="preserve"> variables (predictors)</w:t>
      </w:r>
      <w:r w:rsidRPr="00640B45">
        <w:rPr>
          <w:rFonts w:cs="Times New Roman"/>
          <w:szCs w:val="24"/>
        </w:rPr>
        <w:t xml:space="preserve"> </w:t>
      </w:r>
      <w:r>
        <w:rPr>
          <w:rFonts w:cs="Times New Roman"/>
          <w:szCs w:val="24"/>
        </w:rPr>
        <w:t xml:space="preserve">and the spatial extent or mean signature (responses) and 2) evaluate how these relationships change with different stream signature buffers (34%, 21%, 13% and 8%). We chose a normal likelihood and minimally informative priors for these models (Appendix S1). Although spatial extent is expressed as a proportion, we chose the normal likelihood because values can be greater than 1 if the stream signature buffer area exceeds the catchment area. We compared the effects of channel planform (i.e. sinuosity) versus network configuration (i.e. overlap at confluences and sub-basin divides) on the proportion of the spatial extent receiving elevated aquatic insect subsidies using an intercept only model with a beta likelihood. </w:t>
      </w:r>
      <w:r w:rsidRPr="00640B45">
        <w:rPr>
          <w:rFonts w:cs="Times New Roman"/>
          <w:szCs w:val="24"/>
        </w:rPr>
        <w:t xml:space="preserve">Next, </w:t>
      </w:r>
      <w:r>
        <w:rPr>
          <w:rFonts w:cs="Times New Roman"/>
          <w:szCs w:val="24"/>
        </w:rPr>
        <w:t>we used mixed-</w:t>
      </w:r>
      <w:r w:rsidRPr="00640B45">
        <w:rPr>
          <w:rFonts w:cs="Times New Roman"/>
          <w:szCs w:val="24"/>
        </w:rPr>
        <w:t xml:space="preserve">effects Bayesian models, </w:t>
      </w:r>
      <w:r>
        <w:rPr>
          <w:rFonts w:cs="Times New Roman"/>
          <w:szCs w:val="24"/>
        </w:rPr>
        <w:t xml:space="preserve">to </w:t>
      </w:r>
      <w:r w:rsidRPr="00640B45">
        <w:rPr>
          <w:rFonts w:cs="Times New Roman"/>
          <w:szCs w:val="24"/>
        </w:rPr>
        <w:t xml:space="preserve">assess </w:t>
      </w:r>
      <w:r>
        <w:rPr>
          <w:rFonts w:cs="Times New Roman"/>
          <w:szCs w:val="24"/>
        </w:rPr>
        <w:t>regional</w:t>
      </w:r>
      <w:r w:rsidRPr="00640B45">
        <w:rPr>
          <w:rFonts w:cs="Times New Roman"/>
          <w:szCs w:val="24"/>
        </w:rPr>
        <w:t xml:space="preserve"> differences in stream network geometry and the relative importance of the basin features in predicting them. </w:t>
      </w:r>
      <w:r>
        <w:rPr>
          <w:rFonts w:cs="Times New Roman"/>
          <w:szCs w:val="24"/>
        </w:rPr>
        <w:t xml:space="preserve">These models included </w:t>
      </w:r>
      <w:r w:rsidRPr="00640B45">
        <w:rPr>
          <w:rFonts w:cs="Times New Roman"/>
          <w:szCs w:val="24"/>
        </w:rPr>
        <w:t xml:space="preserve">vector processing unit (VPU) as a random effect, stream network basin features (i.e. runoff, </w:t>
      </w:r>
      <w:proofErr w:type="spellStart"/>
      <w:r w:rsidRPr="00640B45">
        <w:rPr>
          <w:rFonts w:cs="Times New Roman"/>
          <w:szCs w:val="24"/>
        </w:rPr>
        <w:t>erodibility</w:t>
      </w:r>
      <w:proofErr w:type="spellEnd"/>
      <w:r w:rsidRPr="00640B45">
        <w:rPr>
          <w:rFonts w:cs="Times New Roman"/>
          <w:szCs w:val="24"/>
        </w:rPr>
        <w:t xml:space="preserve">, slope and vegetation) as fixed effects and stream network geometry </w:t>
      </w:r>
      <w:r>
        <w:rPr>
          <w:rFonts w:cs="Times New Roman"/>
          <w:szCs w:val="24"/>
        </w:rPr>
        <w:t xml:space="preserve">variables </w:t>
      </w:r>
      <w:r w:rsidRPr="00640B45">
        <w:rPr>
          <w:rFonts w:cs="Times New Roman"/>
          <w:szCs w:val="24"/>
        </w:rPr>
        <w:t>as response</w:t>
      </w:r>
      <w:r>
        <w:rPr>
          <w:rFonts w:cs="Times New Roman"/>
          <w:szCs w:val="24"/>
        </w:rPr>
        <w:t>s</w:t>
      </w:r>
      <w:r w:rsidRPr="00640B45">
        <w:rPr>
          <w:rFonts w:cs="Times New Roman"/>
          <w:szCs w:val="24"/>
        </w:rPr>
        <w:t xml:space="preserve">. </w:t>
      </w:r>
      <w:r>
        <w:rPr>
          <w:rFonts w:cs="Times New Roman"/>
          <w:szCs w:val="24"/>
        </w:rPr>
        <w:t>We used a backwards-stepwise approach</w:t>
      </w:r>
      <w:r w:rsidR="00E223DD">
        <w:rPr>
          <w:rFonts w:cs="Times New Roman"/>
          <w:szCs w:val="24"/>
        </w:rPr>
        <w:t xml:space="preserve"> to generate a suite of competing models and selected the </w:t>
      </w:r>
      <w:r>
        <w:rPr>
          <w:rFonts w:cs="Times New Roman"/>
          <w:szCs w:val="24"/>
        </w:rPr>
        <w:t>best preforming models for each response</w:t>
      </w:r>
      <w:r w:rsidR="00E223DD">
        <w:rPr>
          <w:rFonts w:cs="Times New Roman"/>
          <w:szCs w:val="24"/>
        </w:rPr>
        <w:t xml:space="preserve"> using </w:t>
      </w:r>
      <w:proofErr w:type="spellStart"/>
      <w:r w:rsidR="00E223DD">
        <w:rPr>
          <w:rFonts w:cs="Times New Roman"/>
          <w:szCs w:val="24"/>
        </w:rPr>
        <w:t>wAIC</w:t>
      </w:r>
      <w:proofErr w:type="spellEnd"/>
      <w:r w:rsidR="008759C3">
        <w:rPr>
          <w:rFonts w:cs="Times New Roman"/>
          <w:szCs w:val="24"/>
        </w:rPr>
        <w:t xml:space="preserve"> </w:t>
      </w:r>
      <w:r w:rsidR="008759C3">
        <w:rPr>
          <w:rFonts w:cs="Times New Roman"/>
          <w:szCs w:val="24"/>
        </w:rPr>
        <w:fldChar w:fldCharType="begin" w:fldLock="1"/>
      </w:r>
      <w:r w:rsidR="008759C3">
        <w:rPr>
          <w:rFonts w:cs="Times New Roman"/>
          <w:szCs w:val="24"/>
        </w:rPr>
        <w:instrText>ADDIN CSL_CITATION {"citationItems":[{"id":"ITEM-1","itemData":{"DOI":"10.1101/gad.12.12.1871","ISBN":"1532-4435","ISSN":"1532-4435","PMID":"9637688","abstract":"In regular statistical models, the leave-one-out cross-validation is asymptotically equivalent to the Akaike information criterion. However, since many learning machines are singular statistical models, the asymptotic behavior of the cross-validation remains unknown. In previous studies, we established the singular learning theory and proposed a widely applicable information criterion, the expectation value of which is asymptotically equal to the average Bayes generalization loss. In the present paper, we theoretically compare the Bayes cross-validation loss and the widely applicable information criterion and prove two theorems. First, the Bayes cross-validation loss is asymptotically equivalent to the widely applicable information criterion as a random variable. Therefore, model selection and hyperparameter optimization using these two values are asymptotically equivalent. Second, the sum of the Bayes generalization error and the Bayes cross-validation error is asymptotically equal to $2\\lambda/n$, where $\\lambda$ is the real log canonical threshold and $n$ is the number of training samples. Therefore the relation between the cross-validation error and the generalization error is determined by the algebraic geometrical structure of a learning machine. We also clarify that the deviance information criteria are different from the Bayes cross-validation and the widely applicable information criterion.","author":[{"dropping-particle":"","family":"Watanabe","given":"Sumio","non-dropping-particle":"","parse-names":false,"suffix":""}],"id":"ITEM-1","issued":{"date-parts":[["2010"]]},"page":"3571-3594","title":"Asymptotic Equivalence of Bayes Cross Validation and Widely Applicable Information Criterion in Singular Learning Theory","type":"article-journal","volume":"11"},"uris":["http://www.mendeley.com/documents/?uuid=6d2a50a0-f643-4a34-b436-cb7f5fc11409"]}],"mendeley":{"formattedCitation":"(Watanabe 2010)","plainTextFormattedCitation":"(Watanabe 2010)"},"properties":{"noteIndex":0},"schema":"https://github.com/citation-style-language/schema/raw/master/csl-citation.json"}</w:instrText>
      </w:r>
      <w:r w:rsidR="008759C3">
        <w:rPr>
          <w:rFonts w:cs="Times New Roman"/>
          <w:szCs w:val="24"/>
        </w:rPr>
        <w:fldChar w:fldCharType="separate"/>
      </w:r>
      <w:r w:rsidR="008759C3" w:rsidRPr="008759C3">
        <w:rPr>
          <w:rFonts w:cs="Times New Roman"/>
          <w:noProof/>
          <w:szCs w:val="24"/>
        </w:rPr>
        <w:t>(Watanabe 2010)</w:t>
      </w:r>
      <w:r w:rsidR="008759C3">
        <w:rPr>
          <w:rFonts w:cs="Times New Roman"/>
          <w:szCs w:val="24"/>
        </w:rPr>
        <w:fldChar w:fldCharType="end"/>
      </w:r>
      <w:r>
        <w:rPr>
          <w:rFonts w:cs="Times New Roman"/>
          <w:szCs w:val="24"/>
        </w:rPr>
        <w:t xml:space="preserve">.  Last, we modeled the relationship between runoff and drainage density as a random effect to </w:t>
      </w:r>
      <w:r w:rsidRPr="00640B45">
        <w:rPr>
          <w:rFonts w:cs="Times New Roman"/>
          <w:szCs w:val="24"/>
        </w:rPr>
        <w:t xml:space="preserve">assess regional variability in </w:t>
      </w:r>
      <w:r>
        <w:rPr>
          <w:rFonts w:cs="Times New Roman"/>
          <w:szCs w:val="24"/>
        </w:rPr>
        <w:t xml:space="preserve">this </w:t>
      </w:r>
      <w:r w:rsidRPr="00640B45">
        <w:rPr>
          <w:rFonts w:cs="Times New Roman"/>
          <w:szCs w:val="24"/>
        </w:rPr>
        <w:t>relationship</w:t>
      </w:r>
      <w:r>
        <w:rPr>
          <w:rFonts w:cs="Times New Roman"/>
          <w:szCs w:val="24"/>
        </w:rPr>
        <w:t xml:space="preserve">. For each set of models, we centered and standardized variables to make comparisons of parameter values across different stream signature buffers and regions. We provide a more detailed description of our modeling approach in Appendix S1. </w:t>
      </w:r>
    </w:p>
    <w:p w14:paraId="540A0DF8" w14:textId="2D41159C" w:rsidR="00B27B90" w:rsidRPr="00640B45" w:rsidRDefault="00BE5C6B" w:rsidP="00A53CE6">
      <w:pPr>
        <w:spacing w:line="480" w:lineRule="auto"/>
        <w:ind w:firstLine="720"/>
        <w:contextualSpacing/>
        <w:rPr>
          <w:rFonts w:cs="Times New Roman"/>
          <w:szCs w:val="24"/>
        </w:rPr>
      </w:pPr>
      <w:r w:rsidRPr="00640B45">
        <w:rPr>
          <w:rFonts w:cs="Times New Roman"/>
          <w:szCs w:val="24"/>
        </w:rPr>
        <w:lastRenderedPageBreak/>
        <w:t xml:space="preserve">The spatial extent models were fit using </w:t>
      </w:r>
      <w:r w:rsidRPr="00640B45">
        <w:rPr>
          <w:rFonts w:cs="Times New Roman"/>
          <w:i/>
          <w:szCs w:val="24"/>
        </w:rPr>
        <w:t>Maximum a posteriori</w:t>
      </w:r>
      <w:r w:rsidRPr="00640B45">
        <w:rPr>
          <w:rFonts w:cs="Times New Roman"/>
          <w:szCs w:val="24"/>
        </w:rPr>
        <w:t xml:space="preserve"> fitting due to their simplicity </w:t>
      </w:r>
      <w:r w:rsidRPr="00640B45">
        <w:rPr>
          <w:rStyle w:val="FootnoteReference"/>
          <w:rFonts w:cs="Times New Roman"/>
          <w:szCs w:val="24"/>
        </w:rPr>
        <w:fldChar w:fldCharType="begin" w:fldLock="1"/>
      </w:r>
      <w:r w:rsidR="00306019">
        <w:rPr>
          <w:rFonts w:cs="Times New Roman"/>
          <w:szCs w:val="24"/>
        </w:rPr>
        <w:instrText>ADDIN CSL_CITATION {"citationItems":[{"id":"ITEM-1","itemData":{"author":[{"dropping-particle":"","family":"McElreath","given":"R.","non-dropping-particle":"","parse-names":false,"suffix":""}],"id":"ITEM-1","issued":{"date-parts":[["2016"]]},"number-of-pages":"469","publisher":"CRC Press","publisher-place":"New York","title":"Statistical Rethinking: A Bayesian Course with Examples in R and Stan","type":"book"},"uris":["http://www.mendeley.com/documents/?uuid=23f1ea93-b9cd-4d37-97a6-4bc0dfdde239"]}],"mendeley":{"formattedCitation":"(McElreath 2016)","plainTextFormattedCitation":"(McElreath 2016)","previouslyFormattedCitation":"(McElreath 2016)"},"properties":{"noteIndex":0},"schema":"https://github.com/citation-style-language/schema/raw/master/csl-citation.json"}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(McElreath 2016)</w:t>
      </w:r>
      <w:r w:rsidRPr="00640B45">
        <w:rPr>
          <w:rStyle w:val="FootnoteReference"/>
          <w:rFonts w:cs="Times New Roman"/>
          <w:szCs w:val="24"/>
        </w:rPr>
        <w:fldChar w:fldCharType="end"/>
      </w:r>
      <w:r w:rsidRPr="00640B45">
        <w:rPr>
          <w:rFonts w:cs="Times New Roman"/>
          <w:szCs w:val="24"/>
        </w:rPr>
        <w:t xml:space="preserve">. The remaining, more complex models were estimated using Hamiltonian Monte Carlo (HMC). We fit all models in program R (Version 3.5), using the map or map2stan (HMC) functions in “rethinking” package </w:t>
      </w:r>
      <w:r w:rsidRPr="00640B45">
        <w:rPr>
          <w:rStyle w:val="FootnoteReference"/>
          <w:rFonts w:cs="Times New Roman"/>
          <w:szCs w:val="24"/>
        </w:rPr>
        <w:fldChar w:fldCharType="begin" w:fldLock="1"/>
      </w:r>
      <w:r w:rsidR="00306019">
        <w:rPr>
          <w:rFonts w:cs="Times New Roman"/>
          <w:szCs w:val="24"/>
        </w:rPr>
        <w:instrText>ADDIN CSL_CITATION {"citationItems":[{"id":"ITEM-1","itemData":{"author":[{"dropping-particle":"","family":"McElreath","given":"R.","non-dropping-particle":"","parse-names":false,"suffix":""}],"id":"ITEM-1","issued":{"date-parts":[["2016"]]},"number-of-pages":"469","publisher":"CRC Press","publisher-place":"New York","title":"Statistical Rethinking: A Bayesian Course with Examples in R and Stan","type":"book"},"uris":["http://www.mendeley.com/documents/?uuid=23f1ea93-b9cd-4d37-97a6-4bc0dfdde239"]}],"mendeley":{"formattedCitation":"(McElreath 2016)","plainTextFormattedCitation":"(McElreath 2016)","previouslyFormattedCitation":"(McElreath 2016)"},"properties":{"noteIndex":0},"schema":"https://github.com/citation-style-language/schema/raw/master/csl-citation.json"}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(McElreath 2016)</w:t>
      </w:r>
      <w:r w:rsidRPr="00640B45">
        <w:rPr>
          <w:rStyle w:val="FootnoteReference"/>
          <w:rFonts w:cs="Times New Roman"/>
          <w:szCs w:val="24"/>
        </w:rPr>
        <w:fldChar w:fldCharType="end"/>
      </w:r>
      <w:r>
        <w:rPr>
          <w:rStyle w:val="FootnoteReference"/>
          <w:rFonts w:cs="Times New Roman"/>
          <w:szCs w:val="24"/>
        </w:rPr>
        <w:t xml:space="preserve"> </w:t>
      </w:r>
      <w:r>
        <w:rPr>
          <w:rFonts w:cs="Times New Roman"/>
          <w:szCs w:val="24"/>
        </w:rPr>
        <w:t xml:space="preserve">or the </w:t>
      </w:r>
      <w:proofErr w:type="spellStart"/>
      <w:r>
        <w:rPr>
          <w:rFonts w:cs="Times New Roman"/>
          <w:szCs w:val="24"/>
        </w:rPr>
        <w:t>stan_betareg</w:t>
      </w:r>
      <w:proofErr w:type="spellEnd"/>
      <w:r>
        <w:rPr>
          <w:rFonts w:cs="Times New Roman"/>
          <w:szCs w:val="24"/>
        </w:rPr>
        <w:t xml:space="preserve"> function in “</w:t>
      </w:r>
      <w:proofErr w:type="spellStart"/>
      <w:r>
        <w:rPr>
          <w:rFonts w:cs="Times New Roman"/>
          <w:szCs w:val="24"/>
        </w:rPr>
        <w:t>rstanarm</w:t>
      </w:r>
      <w:proofErr w:type="spellEnd"/>
      <w:r>
        <w:rPr>
          <w:rFonts w:cs="Times New Roman"/>
          <w:szCs w:val="24"/>
        </w:rPr>
        <w:t xml:space="preserve">” package </w:t>
      </w:r>
      <w:r>
        <w:rPr>
          <w:rFonts w:cs="Times New Roman"/>
          <w:szCs w:val="24"/>
        </w:rPr>
        <w:fldChar w:fldCharType="begin" w:fldLock="1"/>
      </w:r>
      <w:r w:rsidR="00306019">
        <w:rPr>
          <w:rFonts w:cs="Times New Roman"/>
          <w:szCs w:val="24"/>
        </w:rPr>
        <w:instrText>ADDIN CSL_CITATION {"citationItems":[{"id":"ITEM-1","itemData":{"author":[{"dropping-particle":"","family":"Goodrich","given":"B.","non-dropping-particle":"","parse-names":false,"suffix":""},{"dropping-particle":"","family":"Gabry","given":"J.","non-dropping-particle":"","parse-names":false,"suffix":""},{"dropping-particle":"","family":"Ali","given":"I.","non-dropping-particle":"","parse-names":false,"suffix":""},{"dropping-particle":"","family":"Brilleman","given":"S.","non-dropping-particle":"","parse-names":false,"suffix":""}],"id":"ITEM-1","issued":{"date-parts":[["2018"]]},"title":"Package ‘rstanarm': Bayesian Applied Regression Medeling via Stan","type":"report"},"uris":["http://www.mendeley.com/documents/?uuid=89e60b1e-dfe9-421a-8c53-9c4cd59cb9d2"]}],"mendeley":{"formattedCitation":"(Goodrich et al. 2018)","plainTextFormattedCitation":"(Goodrich et al. 2018)","previouslyFormattedCitation":"(Goodrich et al. 2018)"},"properties":{"noteIndex":0},"schema":"https://github.com/citation-style-language/schema/raw/master/csl-citation.json"}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(Goodrich et al. 2018)</w:t>
      </w:r>
      <w:r>
        <w:rPr>
          <w:rFonts w:cs="Times New Roman"/>
          <w:szCs w:val="24"/>
        </w:rPr>
        <w:fldChar w:fldCharType="end"/>
      </w:r>
      <w:r>
        <w:rPr>
          <w:rFonts w:cs="Times New Roman"/>
          <w:szCs w:val="24"/>
        </w:rPr>
        <w:t>.</w:t>
      </w:r>
      <w:r w:rsidRPr="00640B45">
        <w:rPr>
          <w:rFonts w:cs="Times New Roman"/>
          <w:szCs w:val="24"/>
        </w:rPr>
        <w:t xml:space="preserve"> For each model we sampled from 4 independent chains using 10,000 sampling iterations with a 5,000-iteration warmup. We visually observed trace plots for convergence of the chains and used the mean observed verses expected ratio and R</w:t>
      </w:r>
      <w:r w:rsidRPr="00640B45">
        <w:rPr>
          <w:rFonts w:cs="Times New Roman"/>
          <w:szCs w:val="24"/>
          <w:vertAlign w:val="superscript"/>
        </w:rPr>
        <w:t>2</w:t>
      </w:r>
      <w:r w:rsidRPr="00640B45">
        <w:rPr>
          <w:rFonts w:cs="Times New Roman"/>
          <w:szCs w:val="24"/>
        </w:rPr>
        <w:t xml:space="preserve"> to assess goodness of fit. </w:t>
      </w:r>
    </w:p>
    <w:p w14:paraId="1383902D" w14:textId="393EC68B" w:rsidR="00A53CE6" w:rsidRPr="00A53CE6" w:rsidRDefault="00BE5C6B" w:rsidP="00A53CE6">
      <w:pPr>
        <w:pStyle w:val="Heading2"/>
        <w:spacing w:line="480" w:lineRule="auto"/>
        <w:contextualSpacing/>
      </w:pPr>
      <w:bookmarkStart w:id="7" w:name="_Toc60841212"/>
      <w:r w:rsidRPr="00861E77">
        <w:t>Results</w:t>
      </w:r>
      <w:bookmarkEnd w:id="7"/>
      <w:r w:rsidRPr="00861E77">
        <w:t xml:space="preserve"> </w:t>
      </w:r>
    </w:p>
    <w:p w14:paraId="1B9C19D8" w14:textId="77777777" w:rsidR="00BE5C6B" w:rsidRPr="00B27B90" w:rsidRDefault="00BE5C6B" w:rsidP="00B27B90">
      <w:pPr>
        <w:spacing w:line="480" w:lineRule="auto"/>
        <w:contextualSpacing/>
        <w:rPr>
          <w:i/>
          <w:iCs/>
        </w:rPr>
      </w:pPr>
      <w:r w:rsidRPr="00B27B90">
        <w:rPr>
          <w:i/>
          <w:iCs/>
        </w:rPr>
        <w:t>Aquatic insect subsidies and stream network geometry</w:t>
      </w:r>
    </w:p>
    <w:p w14:paraId="464FEC21" w14:textId="77777777" w:rsidR="00393700" w:rsidRDefault="00BE5C6B" w:rsidP="00B27B90">
      <w:pPr>
        <w:spacing w:before="100" w:beforeAutospacing="1" w:after="100" w:afterAutospacing="1" w:line="480" w:lineRule="auto"/>
        <w:ind w:firstLine="720"/>
        <w:contextualSpacing/>
        <w:rPr>
          <w:rFonts w:cs="Times New Roman"/>
          <w:szCs w:val="24"/>
        </w:rPr>
      </w:pPr>
      <w:r w:rsidRPr="00640B45">
        <w:rPr>
          <w:rFonts w:cs="Times New Roman"/>
          <w:szCs w:val="24"/>
        </w:rPr>
        <w:t xml:space="preserve">The </w:t>
      </w:r>
      <w:r w:rsidR="00E223DD">
        <w:rPr>
          <w:rFonts w:cs="Times New Roman"/>
          <w:szCs w:val="24"/>
        </w:rPr>
        <w:t xml:space="preserve">mean </w:t>
      </w:r>
      <w:r w:rsidRPr="00640B45">
        <w:rPr>
          <w:rFonts w:cs="Times New Roman"/>
          <w:szCs w:val="24"/>
        </w:rPr>
        <w:t>spatial extent of the 8% stream signature covered 100% of the watershed (T</w:t>
      </w:r>
      <w:r>
        <w:rPr>
          <w:rFonts w:cs="Times New Roman"/>
          <w:szCs w:val="24"/>
        </w:rPr>
        <w:t>able 1)</w:t>
      </w:r>
      <w:r w:rsidR="00EC03C2">
        <w:rPr>
          <w:rFonts w:cs="Times New Roman"/>
          <w:szCs w:val="24"/>
        </w:rPr>
        <w:t xml:space="preserve"> but h</w:t>
      </w:r>
      <w:r w:rsidRPr="00640B45">
        <w:rPr>
          <w:rFonts w:cs="Times New Roman"/>
          <w:szCs w:val="24"/>
        </w:rPr>
        <w:t>igher stream signatures (i.e. 13, 21 and 34%) remain</w:t>
      </w:r>
      <w:r>
        <w:rPr>
          <w:rFonts w:cs="Times New Roman"/>
          <w:szCs w:val="24"/>
        </w:rPr>
        <w:t>ed</w:t>
      </w:r>
      <w:r w:rsidRPr="00640B45">
        <w:rPr>
          <w:rFonts w:cs="Times New Roman"/>
          <w:szCs w:val="24"/>
        </w:rPr>
        <w:t xml:space="preserve"> closer to stream channels and</w:t>
      </w:r>
      <w:r>
        <w:rPr>
          <w:rFonts w:cs="Times New Roman"/>
          <w:szCs w:val="24"/>
        </w:rPr>
        <w:t xml:space="preserve"> </w:t>
      </w:r>
      <w:r w:rsidRPr="00640B45">
        <w:rPr>
          <w:rFonts w:cs="Times New Roman"/>
          <w:szCs w:val="24"/>
        </w:rPr>
        <w:t>cover</w:t>
      </w:r>
      <w:r>
        <w:rPr>
          <w:rFonts w:cs="Times New Roman"/>
          <w:szCs w:val="24"/>
        </w:rPr>
        <w:t>ed</w:t>
      </w:r>
      <w:r w:rsidRPr="00640B45">
        <w:rPr>
          <w:rFonts w:cs="Times New Roman"/>
          <w:szCs w:val="24"/>
        </w:rPr>
        <w:t xml:space="preserve"> smaller proportion</w:t>
      </w:r>
      <w:r>
        <w:rPr>
          <w:rFonts w:cs="Times New Roman"/>
          <w:szCs w:val="24"/>
        </w:rPr>
        <w:t xml:space="preserve">s </w:t>
      </w:r>
      <w:r w:rsidRPr="00640B45">
        <w:rPr>
          <w:rFonts w:cs="Times New Roman"/>
          <w:szCs w:val="24"/>
        </w:rPr>
        <w:t>of the watershed (i.e. 15</w:t>
      </w:r>
      <w:r>
        <w:rPr>
          <w:rFonts w:cs="Times New Roman"/>
          <w:szCs w:val="24"/>
        </w:rPr>
        <w:t xml:space="preserve">, 1, and </w:t>
      </w:r>
      <w:r w:rsidRPr="00640B45">
        <w:rPr>
          <w:rFonts w:cs="Times New Roman"/>
          <w:szCs w:val="24"/>
        </w:rPr>
        <w:t>0.2%</w:t>
      </w:r>
      <w:r>
        <w:rPr>
          <w:rFonts w:cs="Times New Roman"/>
          <w:szCs w:val="24"/>
        </w:rPr>
        <w:t>, respectively</w:t>
      </w:r>
      <w:r w:rsidRPr="00640B45">
        <w:rPr>
          <w:rFonts w:cs="Times New Roman"/>
          <w:szCs w:val="24"/>
        </w:rPr>
        <w:t xml:space="preserve">; Table 1).  Drainage density was consistently the most important variable predicting the spatial extent of </w:t>
      </w:r>
      <w:r>
        <w:rPr>
          <w:rFonts w:cs="Times New Roman"/>
          <w:szCs w:val="24"/>
        </w:rPr>
        <w:t xml:space="preserve">all stream signatures and </w:t>
      </w:r>
      <w:r w:rsidRPr="00640B45">
        <w:rPr>
          <w:rFonts w:cs="Times New Roman"/>
          <w:szCs w:val="24"/>
        </w:rPr>
        <w:t>the number of confluences, mean sinuosity and median sub-basin width</w:t>
      </w:r>
      <w:r>
        <w:rPr>
          <w:rFonts w:cs="Times New Roman"/>
          <w:szCs w:val="24"/>
        </w:rPr>
        <w:t xml:space="preserve"> had little explanatory power (i.e. </w:t>
      </w:r>
      <w:r w:rsidR="00EC03C2">
        <w:rPr>
          <w:rFonts w:cs="Times New Roman"/>
          <w:szCs w:val="24"/>
        </w:rPr>
        <w:t xml:space="preserve">β </w:t>
      </w:r>
      <w:r>
        <w:rPr>
          <w:rFonts w:cs="Times New Roman"/>
          <w:szCs w:val="24"/>
        </w:rPr>
        <w:t xml:space="preserve">&gt; |0.001|) except </w:t>
      </w:r>
      <w:r w:rsidRPr="00640B45">
        <w:rPr>
          <w:rFonts w:cs="Times New Roman"/>
          <w:szCs w:val="24"/>
        </w:rPr>
        <w:t>at</w:t>
      </w:r>
      <w:r>
        <w:rPr>
          <w:rFonts w:cs="Times New Roman"/>
          <w:szCs w:val="24"/>
        </w:rPr>
        <w:t xml:space="preserve"> the lowest</w:t>
      </w:r>
      <w:r w:rsidRPr="00640B45">
        <w:rPr>
          <w:rFonts w:cs="Times New Roman"/>
          <w:szCs w:val="24"/>
        </w:rPr>
        <w:t xml:space="preserve"> stream signatures (i.e. </w:t>
      </w:r>
      <w:r>
        <w:rPr>
          <w:rFonts w:cs="Times New Roman"/>
          <w:szCs w:val="24"/>
        </w:rPr>
        <w:t>8 and 13%</w:t>
      </w:r>
      <w:r w:rsidRPr="00640B45">
        <w:rPr>
          <w:rFonts w:cs="Times New Roman"/>
          <w:szCs w:val="24"/>
        </w:rPr>
        <w:t xml:space="preserve">). </w:t>
      </w:r>
    </w:p>
    <w:p w14:paraId="4E984404" w14:textId="53CDF527" w:rsidR="00BE5C6B" w:rsidRDefault="00EC03C2" w:rsidP="00015D0D">
      <w:pPr>
        <w:spacing w:before="100" w:beforeAutospacing="1" w:after="100" w:afterAutospacing="1" w:line="480" w:lineRule="auto"/>
        <w:ind w:firstLine="720"/>
        <w:contextualSpacing/>
        <w:rPr>
          <w:rFonts w:cs="Times New Roman"/>
          <w:szCs w:val="24"/>
        </w:rPr>
      </w:pPr>
      <w:r>
        <w:rPr>
          <w:rFonts w:cs="Times New Roman"/>
          <w:szCs w:val="24"/>
        </w:rPr>
        <w:t>We found s</w:t>
      </w:r>
      <w:r w:rsidR="00BE5C6B">
        <w:rPr>
          <w:rFonts w:cs="Times New Roman"/>
          <w:szCs w:val="24"/>
        </w:rPr>
        <w:t>tream signatures from different reaches within the same network overlapped as many as 37</w:t>
      </w:r>
      <w:r>
        <w:rPr>
          <w:rFonts w:cs="Times New Roman"/>
          <w:szCs w:val="24"/>
        </w:rPr>
        <w:t xml:space="preserve"> times</w:t>
      </w:r>
      <w:r w:rsidR="00BE5C6B">
        <w:rPr>
          <w:rFonts w:cs="Times New Roman"/>
          <w:szCs w:val="24"/>
        </w:rPr>
        <w:t xml:space="preserve"> (mean ±SD = 9.04 ± 2.8)</w:t>
      </w:r>
      <w:r w:rsidRPr="00EC03C2">
        <w:rPr>
          <w:rFonts w:cs="Times New Roman"/>
          <w:szCs w:val="24"/>
        </w:rPr>
        <w:t xml:space="preserve"> </w:t>
      </w:r>
      <w:r>
        <w:rPr>
          <w:rFonts w:cs="Times New Roman"/>
          <w:szCs w:val="24"/>
        </w:rPr>
        <w:t>and that the entire spatial extent could receive subsidies form multiple location</w:t>
      </w:r>
      <w:r w:rsidR="00393700">
        <w:rPr>
          <w:rFonts w:cs="Times New Roman"/>
          <w:szCs w:val="24"/>
        </w:rPr>
        <w:t>s</w:t>
      </w:r>
      <w:r>
        <w:rPr>
          <w:rFonts w:cs="Times New Roman"/>
          <w:szCs w:val="24"/>
        </w:rPr>
        <w:t xml:space="preserve"> (mean </w:t>
      </w:r>
      <w:r w:rsidR="00393700">
        <w:rPr>
          <w:rFonts w:cs="Times New Roman"/>
          <w:szCs w:val="24"/>
        </w:rPr>
        <w:t xml:space="preserve">= </w:t>
      </w:r>
      <w:r>
        <w:rPr>
          <w:rFonts w:cs="Times New Roman"/>
          <w:szCs w:val="24"/>
        </w:rPr>
        <w:t xml:space="preserve">2.22, </w:t>
      </w:r>
      <w:proofErr w:type="spellStart"/>
      <w:r>
        <w:rPr>
          <w:rFonts w:cs="Times New Roman"/>
          <w:szCs w:val="24"/>
        </w:rPr>
        <w:t>CoV</w:t>
      </w:r>
      <w:proofErr w:type="spellEnd"/>
      <w:r>
        <w:rPr>
          <w:rFonts w:cs="Times New Roman"/>
          <w:szCs w:val="24"/>
        </w:rPr>
        <w:t xml:space="preserve"> = 0.24).</w:t>
      </w:r>
      <w:r w:rsidR="00BE5C6B">
        <w:rPr>
          <w:rFonts w:cs="Times New Roman"/>
          <w:szCs w:val="24"/>
        </w:rPr>
        <w:t xml:space="preserve"> </w:t>
      </w:r>
      <w:r w:rsidR="00393700">
        <w:rPr>
          <w:rFonts w:cs="Times New Roman"/>
          <w:szCs w:val="24"/>
        </w:rPr>
        <w:t xml:space="preserve">However, excluding the 8% stream signature, </w:t>
      </w:r>
      <w:r w:rsidR="00BE5C6B">
        <w:rPr>
          <w:rFonts w:cs="Times New Roman"/>
          <w:szCs w:val="24"/>
        </w:rPr>
        <w:t xml:space="preserve">areas of overlap </w:t>
      </w:r>
      <w:r>
        <w:rPr>
          <w:rFonts w:cs="Times New Roman"/>
          <w:szCs w:val="24"/>
        </w:rPr>
        <w:t>were</w:t>
      </w:r>
      <w:r w:rsidR="00BE5C6B">
        <w:rPr>
          <w:rFonts w:cs="Times New Roman"/>
          <w:szCs w:val="24"/>
        </w:rPr>
        <w:t xml:space="preserve"> considerably small relative to the spatial extent (Table 1)</w:t>
      </w:r>
      <w:r w:rsidR="00393700">
        <w:rPr>
          <w:rFonts w:cs="Times New Roman"/>
          <w:szCs w:val="24"/>
        </w:rPr>
        <w:t>.</w:t>
      </w:r>
      <w:r>
        <w:rPr>
          <w:rFonts w:cs="Times New Roman"/>
          <w:szCs w:val="24"/>
        </w:rPr>
        <w:t xml:space="preserve"> </w:t>
      </w:r>
      <w:r w:rsidR="00BE5C6B">
        <w:rPr>
          <w:rFonts w:cs="Times New Roman"/>
          <w:szCs w:val="24"/>
        </w:rPr>
        <w:t xml:space="preserve">Of the stream network geometry characteristics, sub-basin width was typically the most important for predicting the mean overlap at the higher stream signature percentages </w:t>
      </w:r>
      <w:r w:rsidR="00BE5C6B" w:rsidRPr="00640B45">
        <w:rPr>
          <w:rFonts w:cs="Times New Roman"/>
          <w:szCs w:val="24"/>
        </w:rPr>
        <w:t>(</w:t>
      </w:r>
      <w:r w:rsidR="00393700">
        <w:rPr>
          <w:rFonts w:cs="Times New Roman"/>
          <w:szCs w:val="24"/>
        </w:rPr>
        <w:t>β</w:t>
      </w:r>
      <w:r w:rsidR="00BE5C6B">
        <w:rPr>
          <w:rFonts w:cs="Times New Roman"/>
          <w:szCs w:val="24"/>
        </w:rPr>
        <w:t xml:space="preserve"> &gt;</w:t>
      </w:r>
      <w:r w:rsidR="00393700">
        <w:rPr>
          <w:rFonts w:cs="Times New Roman"/>
          <w:szCs w:val="24"/>
        </w:rPr>
        <w:t xml:space="preserve"> </w:t>
      </w:r>
      <w:r w:rsidR="00BE5C6B">
        <w:rPr>
          <w:rFonts w:cs="Times New Roman"/>
          <w:szCs w:val="24"/>
        </w:rPr>
        <w:t xml:space="preserve">0.50; </w:t>
      </w:r>
      <w:r w:rsidR="00BE5C6B" w:rsidRPr="00640B45">
        <w:rPr>
          <w:rFonts w:cs="Times New Roman"/>
          <w:szCs w:val="24"/>
        </w:rPr>
        <w:t>Table 1)</w:t>
      </w:r>
      <w:r w:rsidR="00BE5C6B">
        <w:rPr>
          <w:rFonts w:cs="Times New Roman"/>
          <w:szCs w:val="24"/>
        </w:rPr>
        <w:t xml:space="preserve">. </w:t>
      </w:r>
      <w:r w:rsidR="00393700">
        <w:rPr>
          <w:rFonts w:cs="Times New Roman"/>
          <w:szCs w:val="24"/>
        </w:rPr>
        <w:t xml:space="preserve">In </w:t>
      </w:r>
      <w:r w:rsidR="00393700">
        <w:rPr>
          <w:rFonts w:cs="Times New Roman"/>
          <w:szCs w:val="24"/>
        </w:rPr>
        <w:lastRenderedPageBreak/>
        <w:t>general, n</w:t>
      </w:r>
      <w:r w:rsidR="00BE5C6B">
        <w:rPr>
          <w:rFonts w:cs="Times New Roman"/>
          <w:szCs w:val="24"/>
        </w:rPr>
        <w:t>etwork configuration (sub-basin width and confluences) contribute</w:t>
      </w:r>
      <w:r w:rsidR="00393700">
        <w:rPr>
          <w:rFonts w:cs="Times New Roman"/>
          <w:szCs w:val="24"/>
        </w:rPr>
        <w:t>d</w:t>
      </w:r>
      <w:r w:rsidR="00BE5C6B">
        <w:rPr>
          <w:rFonts w:cs="Times New Roman"/>
          <w:szCs w:val="24"/>
        </w:rPr>
        <w:t xml:space="preserve"> more to the area receiving elevated amounts of aquatic insect subsidies </w:t>
      </w:r>
      <w:r w:rsidR="00393700">
        <w:rPr>
          <w:rFonts w:cs="Times New Roman"/>
          <w:szCs w:val="24"/>
        </w:rPr>
        <w:t xml:space="preserve">than channel planform </w:t>
      </w:r>
      <w:r w:rsidR="00BE5C6B">
        <w:rPr>
          <w:rFonts w:cs="Times New Roman"/>
          <w:szCs w:val="24"/>
        </w:rPr>
        <w:t xml:space="preserve">(Figure 3).  </w:t>
      </w:r>
    </w:p>
    <w:p w14:paraId="42763168" w14:textId="2F54D3F5" w:rsidR="00BE5C6B" w:rsidRDefault="00BE5C6B" w:rsidP="00393700">
      <w:pPr>
        <w:spacing w:before="100" w:beforeAutospacing="1" w:after="100" w:afterAutospacing="1" w:line="480" w:lineRule="auto"/>
        <w:ind w:firstLine="864"/>
        <w:contextualSpacing/>
        <w:rPr>
          <w:rFonts w:cs="Times New Roman"/>
          <w:szCs w:val="24"/>
        </w:rPr>
      </w:pPr>
      <w:r w:rsidRPr="00640B45">
        <w:rPr>
          <w:rFonts w:cs="Times New Roman"/>
          <w:szCs w:val="24"/>
        </w:rPr>
        <w:t>Regional patterning</w:t>
      </w:r>
      <w:r>
        <w:rPr>
          <w:rFonts w:cs="Times New Roman"/>
          <w:szCs w:val="24"/>
        </w:rPr>
        <w:t xml:space="preserve"> was present in the spatial extent of aquatic insect subsidies and overlapping stream signatures throughout the </w:t>
      </w:r>
      <w:r w:rsidR="00393700">
        <w:rPr>
          <w:rFonts w:cs="Times New Roman"/>
          <w:szCs w:val="24"/>
        </w:rPr>
        <w:t>CONUS</w:t>
      </w:r>
      <w:r>
        <w:rPr>
          <w:rFonts w:cs="Times New Roman"/>
          <w:szCs w:val="24"/>
        </w:rPr>
        <w:t xml:space="preserve"> (Figure 4). At the 13% (100m) stream signature we found the Lower Mississippi hydrological region (VPU08) </w:t>
      </w:r>
      <w:r w:rsidR="00393700">
        <w:rPr>
          <w:rFonts w:cs="Times New Roman"/>
          <w:szCs w:val="24"/>
        </w:rPr>
        <w:t>had</w:t>
      </w:r>
      <w:r>
        <w:rPr>
          <w:rFonts w:cs="Times New Roman"/>
          <w:szCs w:val="24"/>
        </w:rPr>
        <w:t xml:space="preserve"> the highest spatial extent of aquatic insect subsidies (i.e.</w:t>
      </w:r>
      <w:r w:rsidRPr="004376B3">
        <w:rPr>
          <w:rFonts w:cs="Times New Roman"/>
          <w:szCs w:val="24"/>
        </w:rPr>
        <w:t xml:space="preserve"> </w:t>
      </w:r>
      <w:r>
        <w:rPr>
          <w:rFonts w:cs="Times New Roman"/>
          <w:szCs w:val="24"/>
        </w:rPr>
        <w:t xml:space="preserve">95% </w:t>
      </w:r>
      <w:proofErr w:type="spellStart"/>
      <w:r>
        <w:rPr>
          <w:rFonts w:cs="Times New Roman"/>
          <w:szCs w:val="24"/>
        </w:rPr>
        <w:t>CrI</w:t>
      </w:r>
      <w:proofErr w:type="spellEnd"/>
      <w:r>
        <w:rPr>
          <w:rFonts w:cs="Times New Roman"/>
          <w:szCs w:val="24"/>
        </w:rPr>
        <w:t xml:space="preserve"> = 20, 22% of the watershed; Figure 4A) and among the highest average overlap between stream signatures (95% </w:t>
      </w:r>
      <w:proofErr w:type="spellStart"/>
      <w:r>
        <w:rPr>
          <w:rFonts w:cs="Times New Roman"/>
          <w:szCs w:val="24"/>
        </w:rPr>
        <w:t>CrI</w:t>
      </w:r>
      <w:proofErr w:type="spellEnd"/>
      <w:r>
        <w:rPr>
          <w:rFonts w:cs="Times New Roman"/>
          <w:szCs w:val="24"/>
        </w:rPr>
        <w:t xml:space="preserve"> = 1.08, 1.09; Figure 4B). Alternatively, the Texas and the Souris-Red-</w:t>
      </w:r>
      <w:proofErr w:type="spellStart"/>
      <w:r>
        <w:rPr>
          <w:rFonts w:cs="Times New Roman"/>
          <w:szCs w:val="24"/>
        </w:rPr>
        <w:t>Raniy</w:t>
      </w:r>
      <w:proofErr w:type="spellEnd"/>
      <w:r>
        <w:rPr>
          <w:rFonts w:cs="Times New Roman"/>
          <w:szCs w:val="24"/>
        </w:rPr>
        <w:t xml:space="preserve"> hydrological regions (VPU12 and 09, respectively) had the lowest spatial extent (95% </w:t>
      </w:r>
      <w:proofErr w:type="spellStart"/>
      <w:r>
        <w:rPr>
          <w:rFonts w:cs="Times New Roman"/>
          <w:szCs w:val="24"/>
        </w:rPr>
        <w:t>CrI</w:t>
      </w:r>
      <w:proofErr w:type="spellEnd"/>
      <w:r>
        <w:rPr>
          <w:rFonts w:cs="Times New Roman"/>
          <w:szCs w:val="24"/>
        </w:rPr>
        <w:t xml:space="preserve"> = 0.09, 0.11) (Figure 4A) and number of overlapping stream signatures (95% </w:t>
      </w:r>
      <w:proofErr w:type="spellStart"/>
      <w:r>
        <w:rPr>
          <w:rFonts w:cs="Times New Roman"/>
          <w:szCs w:val="24"/>
        </w:rPr>
        <w:t>CrI</w:t>
      </w:r>
      <w:proofErr w:type="spellEnd"/>
      <w:r>
        <w:rPr>
          <w:rFonts w:cs="Times New Roman"/>
          <w:szCs w:val="24"/>
        </w:rPr>
        <w:t xml:space="preserve"> = 1.03, 1.04 and 1.04, 1.04, respectively) (Figure 4B).</w:t>
      </w:r>
      <w:r w:rsidRPr="00640B45">
        <w:rPr>
          <w:rFonts w:cs="Times New Roman"/>
          <w:szCs w:val="24"/>
        </w:rPr>
        <w:t xml:space="preserve"> </w:t>
      </w:r>
      <w:r>
        <w:rPr>
          <w:rFonts w:cs="Times New Roman"/>
          <w:szCs w:val="24"/>
        </w:rPr>
        <w:t xml:space="preserve">We also found the effects of network configuration (i.e. sub-basin width and confluences; Figure 4C) and channel sinuosity (Figure 4D) varied regionally with the latter being most prevalent in the Midwestern US.  </w:t>
      </w:r>
    </w:p>
    <w:p w14:paraId="64542B1A" w14:textId="77777777" w:rsidR="00B27B90" w:rsidRPr="00640B45" w:rsidRDefault="00B27B90" w:rsidP="00B27B90">
      <w:pPr>
        <w:spacing w:before="100" w:beforeAutospacing="1" w:after="100" w:afterAutospacing="1" w:line="480" w:lineRule="auto"/>
        <w:contextualSpacing/>
        <w:rPr>
          <w:rFonts w:cs="Times New Roman"/>
          <w:szCs w:val="24"/>
        </w:rPr>
      </w:pPr>
    </w:p>
    <w:p w14:paraId="4B524875" w14:textId="69C091FC" w:rsidR="00BE5C6B" w:rsidRPr="00B27B90" w:rsidRDefault="00BE5C6B" w:rsidP="00B27B90">
      <w:pPr>
        <w:spacing w:line="480" w:lineRule="auto"/>
        <w:contextualSpacing/>
        <w:rPr>
          <w:i/>
          <w:iCs/>
        </w:rPr>
      </w:pPr>
      <w:r w:rsidRPr="00B27B90">
        <w:rPr>
          <w:i/>
          <w:iCs/>
        </w:rPr>
        <w:t>Stream network geometry and basin features</w:t>
      </w:r>
    </w:p>
    <w:p w14:paraId="2EB29D00" w14:textId="7B94278A" w:rsidR="00BE5C6B" w:rsidRPr="00640B45" w:rsidRDefault="00BE5C6B" w:rsidP="00B27B90">
      <w:pPr>
        <w:spacing w:line="480" w:lineRule="auto"/>
        <w:ind w:firstLine="864"/>
        <w:contextualSpacing/>
        <w:rPr>
          <w:rFonts w:cs="Times New Roman"/>
          <w:szCs w:val="24"/>
        </w:rPr>
      </w:pPr>
      <w:r w:rsidRPr="00640B45">
        <w:rPr>
          <w:rFonts w:cs="Times New Roman"/>
          <w:szCs w:val="24"/>
        </w:rPr>
        <w:t>Intercept estimates</w:t>
      </w:r>
      <w:r>
        <w:rPr>
          <w:rFonts w:cs="Times New Roman"/>
          <w:szCs w:val="24"/>
        </w:rPr>
        <w:t xml:space="preserve"> for the Bayesian mixed effects models</w:t>
      </w:r>
      <w:r w:rsidRPr="00640B45">
        <w:rPr>
          <w:rFonts w:cs="Times New Roman"/>
          <w:szCs w:val="24"/>
        </w:rPr>
        <w:t xml:space="preserve"> </w:t>
      </w:r>
      <w:r>
        <w:rPr>
          <w:rFonts w:cs="Times New Roman"/>
          <w:szCs w:val="24"/>
        </w:rPr>
        <w:t xml:space="preserve">indicate differences in stream network geometry components </w:t>
      </w:r>
      <w:r w:rsidRPr="00640B45">
        <w:rPr>
          <w:rFonts w:cs="Times New Roman"/>
          <w:szCs w:val="24"/>
        </w:rPr>
        <w:t xml:space="preserve">among </w:t>
      </w:r>
      <w:r>
        <w:rPr>
          <w:rFonts w:cs="Times New Roman"/>
          <w:szCs w:val="24"/>
        </w:rPr>
        <w:t>hydrologic regions</w:t>
      </w:r>
      <w:r w:rsidRPr="00640B45">
        <w:rPr>
          <w:rFonts w:cs="Times New Roman"/>
          <w:szCs w:val="24"/>
        </w:rPr>
        <w:t xml:space="preserve"> (Figure </w:t>
      </w:r>
      <w:r>
        <w:rPr>
          <w:rFonts w:cs="Times New Roman"/>
          <w:szCs w:val="24"/>
        </w:rPr>
        <w:t>5</w:t>
      </w:r>
      <w:r w:rsidRPr="00640B45">
        <w:rPr>
          <w:rFonts w:cs="Times New Roman"/>
          <w:szCs w:val="24"/>
        </w:rPr>
        <w:t>A-D</w:t>
      </w:r>
      <w:r>
        <w:rPr>
          <w:rFonts w:cs="Times New Roman"/>
          <w:szCs w:val="24"/>
        </w:rPr>
        <w:t>; Table S1</w:t>
      </w:r>
      <w:r w:rsidRPr="00640B45">
        <w:rPr>
          <w:rFonts w:cs="Times New Roman"/>
          <w:szCs w:val="24"/>
        </w:rPr>
        <w:t xml:space="preserve">). </w:t>
      </w:r>
      <w:r>
        <w:rPr>
          <w:rFonts w:cs="Times New Roman"/>
          <w:szCs w:val="24"/>
        </w:rPr>
        <w:t>Specifically, t</w:t>
      </w:r>
      <w:r w:rsidRPr="00640B45">
        <w:rPr>
          <w:rFonts w:cs="Times New Roman"/>
          <w:szCs w:val="24"/>
        </w:rPr>
        <w:t xml:space="preserve">he Lower Mississippi </w:t>
      </w:r>
      <w:r>
        <w:rPr>
          <w:rFonts w:cs="Times New Roman"/>
          <w:szCs w:val="24"/>
        </w:rPr>
        <w:t xml:space="preserve">hydrologic region </w:t>
      </w:r>
      <w:r w:rsidRPr="00640B45">
        <w:rPr>
          <w:rFonts w:cs="Times New Roman"/>
          <w:szCs w:val="24"/>
        </w:rPr>
        <w:t>(VPU</w:t>
      </w:r>
      <w:r>
        <w:rPr>
          <w:rFonts w:cs="Times New Roman"/>
          <w:szCs w:val="24"/>
        </w:rPr>
        <w:t xml:space="preserve"> </w:t>
      </w:r>
      <w:r w:rsidRPr="00640B45">
        <w:rPr>
          <w:rFonts w:cs="Times New Roman"/>
          <w:szCs w:val="24"/>
        </w:rPr>
        <w:t xml:space="preserve">08) </w:t>
      </w:r>
      <w:r w:rsidR="00393700">
        <w:rPr>
          <w:rFonts w:cs="Times New Roman"/>
          <w:szCs w:val="24"/>
        </w:rPr>
        <w:t>had high values for</w:t>
      </w:r>
      <w:r w:rsidRPr="00640B45">
        <w:rPr>
          <w:rFonts w:cs="Times New Roman"/>
          <w:szCs w:val="24"/>
        </w:rPr>
        <w:t xml:space="preserve"> both drainage density (</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w:r w:rsidRPr="00640B45">
        <w:rPr>
          <w:rFonts w:cs="Times New Roman"/>
          <w:szCs w:val="24"/>
        </w:rPr>
        <w:t xml:space="preserve"> </w:t>
      </w:r>
      <w:r>
        <w:rPr>
          <w:rFonts w:cs="Times New Roman"/>
          <w:szCs w:val="24"/>
        </w:rPr>
        <w:t xml:space="preserve">= </w:t>
      </w:r>
      <w:r w:rsidRPr="00640B45">
        <w:rPr>
          <w:rFonts w:cs="Times New Roman"/>
          <w:szCs w:val="24"/>
        </w:rPr>
        <w:t>0.94 [0.87, 1.02]</w:t>
      </w:r>
      <w:r>
        <w:rPr>
          <w:rFonts w:cs="Times New Roman"/>
          <w:szCs w:val="24"/>
        </w:rPr>
        <w:t>, mean [90%CrI]; Figure 5A</w:t>
      </w:r>
      <w:r w:rsidRPr="00640B45">
        <w:rPr>
          <w:rFonts w:cs="Times New Roman"/>
          <w:szCs w:val="24"/>
        </w:rPr>
        <w:t>) and the number of confluences (</w:t>
      </w:r>
      <m:oMath>
        <m:r>
          <w:rPr>
            <w:rFonts w:ascii="Cambria Math" w:hAnsi="Cambria Math" w:cs="Times New Roman"/>
            <w:szCs w:val="24"/>
          </w:rPr>
          <m:t>C</m:t>
        </m:r>
        <m:r>
          <w:rPr>
            <w:rFonts w:ascii="Cambria Math" w:eastAsiaTheme="minorEastAsia" w:hAnsi="Cambria Math" w:cs="Times New Roman"/>
            <w:szCs w:val="24"/>
          </w:rPr>
          <m:t xml:space="preserve">= </m:t>
        </m:r>
      </m:oMath>
      <w:r w:rsidRPr="00640B45">
        <w:rPr>
          <w:rFonts w:cs="Times New Roman"/>
          <w:szCs w:val="24"/>
        </w:rPr>
        <w:t>164.25 [136.44, 198.52]</w:t>
      </w:r>
      <w:r>
        <w:rPr>
          <w:rFonts w:cs="Times New Roman"/>
          <w:szCs w:val="24"/>
        </w:rPr>
        <w:t>; Figure 5C</w:t>
      </w:r>
      <w:r w:rsidRPr="00640B45">
        <w:rPr>
          <w:rFonts w:cs="Times New Roman"/>
          <w:szCs w:val="24"/>
        </w:rPr>
        <w:t xml:space="preserve">) </w:t>
      </w:r>
      <w:r>
        <w:rPr>
          <w:rFonts w:cs="Times New Roman"/>
          <w:szCs w:val="24"/>
        </w:rPr>
        <w:t xml:space="preserve">and </w:t>
      </w:r>
      <w:r w:rsidR="00393700">
        <w:rPr>
          <w:rFonts w:cs="Times New Roman"/>
          <w:szCs w:val="24"/>
        </w:rPr>
        <w:t xml:space="preserve">low values </w:t>
      </w:r>
      <w:r w:rsidRPr="00640B45">
        <w:rPr>
          <w:rFonts w:cs="Times New Roman"/>
          <w:szCs w:val="24"/>
        </w:rPr>
        <w:t>for median effective basin width (</w:t>
      </w:r>
      <m:oMath>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b</m:t>
            </m:r>
          </m:sub>
        </m:sSub>
      </m:oMath>
      <w:r w:rsidRPr="00640B45">
        <w:rPr>
          <w:rFonts w:cs="Times New Roman"/>
          <w:szCs w:val="24"/>
        </w:rPr>
        <w:t xml:space="preserve"> = 509.4110 [462.80, 561.20]</w:t>
      </w:r>
      <w:r>
        <w:rPr>
          <w:rFonts w:cs="Times New Roman"/>
          <w:szCs w:val="24"/>
        </w:rPr>
        <w:t>; Figure 5B</w:t>
      </w:r>
      <w:r w:rsidRPr="00640B45">
        <w:rPr>
          <w:rFonts w:cs="Times New Roman"/>
          <w:szCs w:val="24"/>
        </w:rPr>
        <w:t>)</w:t>
      </w:r>
      <w:r>
        <w:rPr>
          <w:rFonts w:cs="Times New Roman"/>
          <w:szCs w:val="24"/>
        </w:rPr>
        <w:t xml:space="preserve">. Alternatively, the </w:t>
      </w:r>
      <w:r w:rsidRPr="00640B45">
        <w:rPr>
          <w:rFonts w:cs="Times New Roman"/>
          <w:szCs w:val="24"/>
        </w:rPr>
        <w:t xml:space="preserve">Texas hydrologic region (VPU12) </w:t>
      </w:r>
      <w:r>
        <w:rPr>
          <w:rFonts w:cs="Times New Roman"/>
          <w:szCs w:val="24"/>
        </w:rPr>
        <w:t>had relatively low drainage density (</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w:r w:rsidRPr="00640B45">
        <w:rPr>
          <w:rFonts w:cs="Times New Roman"/>
          <w:szCs w:val="24"/>
        </w:rPr>
        <w:t xml:space="preserve"> </w:t>
      </w:r>
      <w:r>
        <w:rPr>
          <w:rFonts w:cs="Times New Roman"/>
          <w:szCs w:val="24"/>
        </w:rPr>
        <w:t xml:space="preserve">= </w:t>
      </w:r>
      <w:r w:rsidRPr="00640B45">
        <w:rPr>
          <w:rFonts w:cs="Times New Roman"/>
          <w:szCs w:val="24"/>
        </w:rPr>
        <w:t>0.</w:t>
      </w:r>
      <w:r>
        <w:rPr>
          <w:rFonts w:cs="Times New Roman"/>
          <w:szCs w:val="24"/>
        </w:rPr>
        <w:t>64 [0.59</w:t>
      </w:r>
      <w:r w:rsidRPr="00640B45">
        <w:rPr>
          <w:rFonts w:cs="Times New Roman"/>
          <w:szCs w:val="24"/>
        </w:rPr>
        <w:t xml:space="preserve">, </w:t>
      </w:r>
      <w:r>
        <w:rPr>
          <w:rFonts w:cs="Times New Roman"/>
          <w:szCs w:val="24"/>
        </w:rPr>
        <w:t>0.7</w:t>
      </w:r>
      <w:r w:rsidRPr="00640B45">
        <w:rPr>
          <w:rFonts w:cs="Times New Roman"/>
          <w:szCs w:val="24"/>
        </w:rPr>
        <w:t>]</w:t>
      </w:r>
      <w:r>
        <w:rPr>
          <w:rFonts w:cs="Times New Roman"/>
          <w:szCs w:val="24"/>
        </w:rPr>
        <w:t>; Figure 5A)</w:t>
      </w:r>
      <w:r w:rsidR="00284DB5">
        <w:rPr>
          <w:rFonts w:cs="Times New Roman"/>
          <w:szCs w:val="24"/>
        </w:rPr>
        <w:t xml:space="preserve"> </w:t>
      </w:r>
      <w:r w:rsidRPr="00640B45">
        <w:rPr>
          <w:rFonts w:cs="Times New Roman"/>
          <w:szCs w:val="24"/>
        </w:rPr>
        <w:t>and</w:t>
      </w:r>
      <w:r>
        <w:rPr>
          <w:rFonts w:cs="Times New Roman"/>
          <w:szCs w:val="24"/>
        </w:rPr>
        <w:t xml:space="preserve"> high values of</w:t>
      </w:r>
      <w:r w:rsidRPr="00640B45">
        <w:rPr>
          <w:rFonts w:cs="Times New Roman"/>
          <w:szCs w:val="24"/>
        </w:rPr>
        <w:t xml:space="preserve"> median effective </w:t>
      </w:r>
      <w:r w:rsidRPr="00640B45">
        <w:rPr>
          <w:rFonts w:cs="Times New Roman"/>
          <w:szCs w:val="24"/>
        </w:rPr>
        <w:lastRenderedPageBreak/>
        <w:t>basin width</w:t>
      </w:r>
      <w:r>
        <w:rPr>
          <w:rFonts w:cs="Times New Roman"/>
          <w:szCs w:val="24"/>
        </w:rPr>
        <w:t xml:space="preserve"> </w:t>
      </w:r>
      <w:r w:rsidRPr="00640B45">
        <w:rPr>
          <w:rFonts w:cs="Times New Roman"/>
          <w:szCs w:val="24"/>
        </w:rPr>
        <w:t>(</w:t>
      </w:r>
      <m:oMath>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b</m:t>
            </m:r>
          </m:sub>
        </m:sSub>
      </m:oMath>
      <w:r w:rsidRPr="00640B45">
        <w:rPr>
          <w:rFonts w:cs="Times New Roman"/>
          <w:szCs w:val="24"/>
        </w:rPr>
        <w:t xml:space="preserve"> = 980.95 [907.57, 1057.27]</w:t>
      </w:r>
      <w:r>
        <w:rPr>
          <w:rFonts w:cs="Times New Roman"/>
          <w:szCs w:val="24"/>
        </w:rPr>
        <w:t>; Figure 5B</w:t>
      </w:r>
      <w:r w:rsidRPr="00640B45">
        <w:rPr>
          <w:rFonts w:cs="Times New Roman"/>
          <w:szCs w:val="24"/>
        </w:rPr>
        <w:t>)</w:t>
      </w:r>
      <w:r w:rsidR="00393700">
        <w:rPr>
          <w:rFonts w:cs="Times New Roman"/>
          <w:szCs w:val="24"/>
        </w:rPr>
        <w:t xml:space="preserve">. </w:t>
      </w:r>
      <w:r>
        <w:rPr>
          <w:rFonts w:cs="Times New Roman"/>
          <w:szCs w:val="24"/>
        </w:rPr>
        <w:t>Estimates for the intercepts and 90%CrI for other regions are provided in Appendix S1: Table S2.</w:t>
      </w:r>
    </w:p>
    <w:p w14:paraId="153DE371" w14:textId="72809FB1" w:rsidR="00BE5C6B" w:rsidRDefault="00BE5C6B" w:rsidP="00BE5C6B">
      <w:pPr>
        <w:spacing w:line="480" w:lineRule="auto"/>
        <w:ind w:firstLine="864"/>
        <w:contextualSpacing/>
        <w:rPr>
          <w:rFonts w:cs="Times New Roman"/>
          <w:szCs w:val="24"/>
        </w:rPr>
      </w:pPr>
      <w:r>
        <w:rPr>
          <w:rFonts w:cs="Times New Roman"/>
          <w:szCs w:val="24"/>
        </w:rPr>
        <w:t xml:space="preserve">Runoff and basin slope were included in the best </w:t>
      </w:r>
      <w:r w:rsidRPr="00640B45">
        <w:rPr>
          <w:rFonts w:cs="Times New Roman"/>
          <w:szCs w:val="24"/>
        </w:rPr>
        <w:t>preforming models</w:t>
      </w:r>
      <w:r>
        <w:rPr>
          <w:rFonts w:cs="Times New Roman"/>
          <w:szCs w:val="24"/>
        </w:rPr>
        <w:t xml:space="preserve"> for each</w:t>
      </w:r>
      <w:r w:rsidR="00284DB5">
        <w:rPr>
          <w:rFonts w:cs="Times New Roman"/>
          <w:szCs w:val="24"/>
        </w:rPr>
        <w:t xml:space="preserve"> component of</w:t>
      </w:r>
      <w:r>
        <w:rPr>
          <w:rFonts w:cs="Times New Roman"/>
          <w:szCs w:val="24"/>
        </w:rPr>
        <w:t xml:space="preserve"> stream network geometry </w:t>
      </w:r>
      <w:r w:rsidRPr="00640B45">
        <w:rPr>
          <w:rFonts w:cs="Times New Roman"/>
          <w:szCs w:val="24"/>
        </w:rPr>
        <w:t xml:space="preserve">(Table 2). </w:t>
      </w:r>
      <w:r>
        <w:rPr>
          <w:rFonts w:cs="Times New Roman"/>
          <w:szCs w:val="24"/>
        </w:rPr>
        <w:t>The d</w:t>
      </w:r>
      <w:r w:rsidRPr="00640B45">
        <w:rPr>
          <w:rFonts w:cs="Times New Roman"/>
          <w:szCs w:val="24"/>
        </w:rPr>
        <w:t>rainage density</w:t>
      </w:r>
      <w:r>
        <w:rPr>
          <w:rFonts w:cs="Times New Roman"/>
          <w:szCs w:val="24"/>
        </w:rPr>
        <w:t xml:space="preserve"> </w:t>
      </w:r>
      <w:r w:rsidRPr="00640B45">
        <w:rPr>
          <w:rFonts w:cs="Times New Roman"/>
          <w:color w:val="000000"/>
          <w:szCs w:val="24"/>
        </w:rPr>
        <w:t>(</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w:r w:rsidRPr="00640B45">
        <w:rPr>
          <w:rFonts w:cs="Times New Roman"/>
          <w:color w:val="000000"/>
          <w:szCs w:val="24"/>
        </w:rPr>
        <w:t>)</w:t>
      </w:r>
      <w:r>
        <w:rPr>
          <w:rFonts w:cs="Times New Roman"/>
          <w:color w:val="000000"/>
          <w:szCs w:val="24"/>
        </w:rPr>
        <w:t xml:space="preserve"> model included all four basin features (</w:t>
      </w:r>
      <w:r w:rsidRPr="00640B45">
        <w:rPr>
          <w:rFonts w:cs="Times New Roman"/>
          <w:szCs w:val="24"/>
        </w:rPr>
        <w:t>R</w:t>
      </w:r>
      <w:r w:rsidRPr="00640B45">
        <w:rPr>
          <w:rFonts w:cs="Times New Roman"/>
          <w:szCs w:val="24"/>
          <w:vertAlign w:val="superscript"/>
        </w:rPr>
        <w:t>2</w:t>
      </w:r>
      <w:r>
        <w:rPr>
          <w:rFonts w:cs="Times New Roman"/>
          <w:color w:val="000000"/>
          <w:szCs w:val="24"/>
        </w:rPr>
        <w:t xml:space="preserve"> = 0.44) and was most strongly influenced by</w:t>
      </w:r>
      <w:r>
        <w:rPr>
          <w:rFonts w:cs="Times New Roman"/>
          <w:szCs w:val="24"/>
        </w:rPr>
        <w:t xml:space="preserve"> m</w:t>
      </w:r>
      <w:r w:rsidRPr="00640B45">
        <w:rPr>
          <w:rFonts w:cs="Times New Roman"/>
          <w:szCs w:val="24"/>
        </w:rPr>
        <w:t xml:space="preserve">ean annual runoff </w:t>
      </w:r>
      <w:r>
        <w:rPr>
          <w:rFonts w:cs="Times New Roman"/>
          <w:szCs w:val="24"/>
        </w:rPr>
        <w:t>(</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r>
          <w:rPr>
            <w:rFonts w:ascii="Cambria Math" w:hAnsi="Cambria Math" w:cs="Times New Roman"/>
            <w:szCs w:val="24"/>
          </w:rPr>
          <m:t>=</m:t>
        </m:r>
      </m:oMath>
      <w:r w:rsidRPr="00640B45">
        <w:rPr>
          <w:rFonts w:eastAsiaTheme="minorEastAsia" w:cs="Times New Roman"/>
          <w:color w:val="000000"/>
          <w:szCs w:val="24"/>
        </w:rPr>
        <w:t xml:space="preserve"> </w:t>
      </w:r>
      <w:r w:rsidRPr="00640B45">
        <w:rPr>
          <w:rFonts w:cs="Times New Roman"/>
          <w:szCs w:val="24"/>
        </w:rPr>
        <w:t xml:space="preserve">0.22 </w:t>
      </w:r>
      <w:r w:rsidRPr="00640B45">
        <w:rPr>
          <w:rFonts w:cs="Times New Roman"/>
          <w:color w:val="000000"/>
          <w:szCs w:val="24"/>
        </w:rPr>
        <w:t>[0.17, 0.26]</w:t>
      </w:r>
      <w:r>
        <w:rPr>
          <w:rFonts w:cs="Times New Roman"/>
          <w:color w:val="000000"/>
          <w:szCs w:val="24"/>
        </w:rPr>
        <w:t xml:space="preserve">) while </w:t>
      </w:r>
      <w:r w:rsidR="00284DB5">
        <w:rPr>
          <w:rFonts w:cs="Times New Roman"/>
          <w:color w:val="000000"/>
          <w:szCs w:val="24"/>
        </w:rPr>
        <w:t xml:space="preserve">the </w:t>
      </w:r>
      <w:r>
        <w:rPr>
          <w:rFonts w:cs="Times New Roman"/>
          <w:color w:val="000000"/>
          <w:szCs w:val="24"/>
        </w:rPr>
        <w:t xml:space="preserve">effective basin width model </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(W</m:t>
            </m:r>
          </m:e>
          <m:sub>
            <m:r>
              <w:rPr>
                <w:rFonts w:ascii="Cambria Math" w:eastAsia="Cambria Math" w:hAnsi="Cambria Math" w:cs="Times New Roman"/>
                <w:color w:val="000000" w:themeColor="text1"/>
                <w:kern w:val="24"/>
                <w:szCs w:val="24"/>
              </w:rPr>
              <m:t>b</m:t>
            </m:r>
          </m:sub>
        </m:sSub>
        <m:r>
          <w:rPr>
            <w:rFonts w:ascii="Cambria Math" w:eastAsia="Cambria Math" w:hAnsi="Cambria Math" w:cs="Times New Roman"/>
            <w:color w:val="000000" w:themeColor="text1"/>
            <w:kern w:val="24"/>
            <w:szCs w:val="24"/>
          </w:rPr>
          <m:t>)</m:t>
        </m:r>
      </m:oMath>
      <w:r>
        <w:rPr>
          <w:rFonts w:eastAsiaTheme="minorEastAsia" w:cs="Times New Roman"/>
          <w:color w:val="000000" w:themeColor="text1"/>
          <w:kern w:val="24"/>
          <w:szCs w:val="24"/>
        </w:rPr>
        <w:t xml:space="preserve"> included three basin features (</w:t>
      </w:r>
      <w:r w:rsidRPr="00640B45">
        <w:rPr>
          <w:rFonts w:cs="Times New Roman"/>
          <w:szCs w:val="24"/>
        </w:rPr>
        <w:t>R</w:t>
      </w:r>
      <w:r w:rsidRPr="00640B45">
        <w:rPr>
          <w:rFonts w:cs="Times New Roman"/>
          <w:szCs w:val="24"/>
          <w:vertAlign w:val="superscript"/>
        </w:rPr>
        <w:t>2</w:t>
      </w:r>
      <w:r>
        <w:rPr>
          <w:rFonts w:cs="Times New Roman"/>
          <w:color w:val="000000"/>
          <w:szCs w:val="24"/>
        </w:rPr>
        <w:t xml:space="preserve"> = 0.26) and was most strongly influenced by basin slope </w:t>
      </w:r>
      <w:r w:rsidRPr="00640B45">
        <w:rPr>
          <w:rFonts w:cs="Times New Roman"/>
          <w:color w:val="000000"/>
          <w:szCs w:val="24"/>
        </w:rPr>
        <w:t>(</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S</m:t>
            </m:r>
          </m:sub>
        </m:sSub>
        <m:r>
          <w:rPr>
            <w:rFonts w:ascii="Cambria Math" w:hAnsi="Cambria Math" w:cs="Times New Roman"/>
            <w:szCs w:val="24"/>
          </w:rPr>
          <m:t xml:space="preserve">= </m:t>
        </m:r>
      </m:oMath>
      <w:r w:rsidRPr="00640B45">
        <w:rPr>
          <w:rFonts w:cs="Times New Roman"/>
          <w:color w:val="000000"/>
          <w:szCs w:val="24"/>
        </w:rPr>
        <w:t>–0.07 [–0.09, –0.04])</w:t>
      </w:r>
      <w:r>
        <w:rPr>
          <w:rFonts w:cs="Times New Roman"/>
          <w:color w:val="000000"/>
          <w:szCs w:val="24"/>
        </w:rPr>
        <w:t xml:space="preserve">.  Lastly </w:t>
      </w:r>
      <w:r>
        <w:rPr>
          <w:rFonts w:cs="Times New Roman"/>
          <w:szCs w:val="24"/>
        </w:rPr>
        <w:t>c</w:t>
      </w:r>
      <w:r w:rsidRPr="00640B45">
        <w:rPr>
          <w:rFonts w:cs="Times New Roman"/>
          <w:szCs w:val="24"/>
        </w:rPr>
        <w:t>onfluence number</w:t>
      </w:r>
      <m:oMath>
        <m:r>
          <w:rPr>
            <w:rFonts w:ascii="Cambria Math" w:hAnsi="Cambria Math" w:cs="Times New Roman"/>
            <w:color w:val="000000"/>
            <w:szCs w:val="24"/>
          </w:rPr>
          <m:t>(</m:t>
        </m:r>
        <m:r>
          <w:rPr>
            <w:rFonts w:ascii="Cambria Math" w:eastAsia="Cambria Math" w:hAnsi="Cambria Math" w:cs="Times New Roman"/>
            <w:color w:val="000000" w:themeColor="text1"/>
            <w:kern w:val="24"/>
            <w:szCs w:val="24"/>
          </w:rPr>
          <m:t>C)</m:t>
        </m:r>
      </m:oMath>
      <w:r>
        <w:rPr>
          <w:rFonts w:eastAsiaTheme="minorEastAsia" w:cs="Times New Roman"/>
          <w:color w:val="000000" w:themeColor="text1"/>
          <w:kern w:val="24"/>
          <w:szCs w:val="24"/>
        </w:rPr>
        <w:t xml:space="preserve"> </w:t>
      </w:r>
      <w:r>
        <w:rPr>
          <w:rFonts w:cs="Times New Roman"/>
          <w:szCs w:val="24"/>
        </w:rPr>
        <w:t>and sinuosity</w:t>
      </w:r>
      <w:r w:rsidRPr="00640B45">
        <w:rPr>
          <w:rFonts w:cs="Times New Roman"/>
          <w:color w:val="000000"/>
          <w:szCs w:val="24"/>
        </w:rPr>
        <w:t xml:space="preserve"> </w:t>
      </w:r>
      <m:oMath>
        <m:r>
          <w:rPr>
            <w:rFonts w:ascii="Cambria Math" w:hAnsi="Cambria Math" w:cs="Times New Roman"/>
            <w:color w:val="000000"/>
            <w:szCs w:val="24"/>
          </w:rPr>
          <m:t>(</m:t>
        </m:r>
        <m:r>
          <w:rPr>
            <w:rFonts w:ascii="Cambria Math" w:eastAsia="Cambria Math" w:hAnsi="Cambria Math" w:cs="Times New Roman"/>
            <w:color w:val="000000" w:themeColor="text1"/>
            <w:kern w:val="24"/>
            <w:szCs w:val="24"/>
          </w:rPr>
          <m:t>λ)</m:t>
        </m:r>
      </m:oMath>
      <w:r>
        <w:rPr>
          <w:rFonts w:cs="Times New Roman"/>
          <w:szCs w:val="24"/>
        </w:rPr>
        <w:t xml:space="preserve"> models both included two var</w:t>
      </w:r>
      <w:proofErr w:type="spellStart"/>
      <w:r>
        <w:rPr>
          <w:rFonts w:cs="Times New Roman"/>
          <w:szCs w:val="24"/>
        </w:rPr>
        <w:t>iables</w:t>
      </w:r>
      <w:proofErr w:type="spellEnd"/>
      <w:r>
        <w:rPr>
          <w:rFonts w:cs="Times New Roman"/>
          <w:szCs w:val="24"/>
        </w:rPr>
        <w:t xml:space="preserve"> (</w:t>
      </w:r>
      <w:r w:rsidRPr="00640B45">
        <w:rPr>
          <w:rFonts w:cs="Times New Roman"/>
          <w:szCs w:val="24"/>
        </w:rPr>
        <w:t>R</w:t>
      </w:r>
      <w:r w:rsidRPr="00640B45">
        <w:rPr>
          <w:rFonts w:cs="Times New Roman"/>
          <w:szCs w:val="24"/>
          <w:vertAlign w:val="superscript"/>
        </w:rPr>
        <w:t>2</w:t>
      </w:r>
      <w:r>
        <w:rPr>
          <w:rFonts w:cs="Times New Roman"/>
          <w:szCs w:val="24"/>
          <w:vertAlign w:val="superscript"/>
        </w:rPr>
        <w:t xml:space="preserve"> </w:t>
      </w:r>
      <w:r>
        <w:rPr>
          <w:rFonts w:cs="Times New Roman"/>
          <w:szCs w:val="24"/>
        </w:rPr>
        <w:t>=0.37 and 0.45, respectively) and indicated runoff had a greater or equal influence on the response compared to basin slope.</w:t>
      </w:r>
      <w:r w:rsidRPr="00640B45">
        <w:rPr>
          <w:rFonts w:cs="Times New Roman"/>
          <w:color w:val="000000"/>
          <w:szCs w:val="24"/>
        </w:rPr>
        <w:t xml:space="preserve"> </w:t>
      </w:r>
      <w:r w:rsidR="00284DB5">
        <w:rPr>
          <w:rFonts w:cs="Times New Roman"/>
          <w:szCs w:val="24"/>
        </w:rPr>
        <w:t>Model selection results are provided in Appendix S1: Table S2.</w:t>
      </w:r>
    </w:p>
    <w:p w14:paraId="4B7B477B" w14:textId="77777777" w:rsidR="00B27B90" w:rsidRDefault="00B27B90" w:rsidP="00BE5C6B">
      <w:pPr>
        <w:spacing w:line="480" w:lineRule="auto"/>
        <w:ind w:firstLine="864"/>
        <w:contextualSpacing/>
        <w:rPr>
          <w:rFonts w:cs="Times New Roman"/>
          <w:color w:val="000000"/>
          <w:szCs w:val="24"/>
        </w:rPr>
      </w:pPr>
    </w:p>
    <w:p w14:paraId="1DECFEAD" w14:textId="4D849623" w:rsidR="00110D79" w:rsidRPr="00B27B90" w:rsidRDefault="00BE5C6B" w:rsidP="00B27B90">
      <w:pPr>
        <w:spacing w:line="480" w:lineRule="auto"/>
        <w:contextualSpacing/>
        <w:rPr>
          <w:i/>
          <w:iCs/>
        </w:rPr>
      </w:pPr>
      <w:r w:rsidRPr="00B27B90">
        <w:rPr>
          <w:i/>
          <w:iCs/>
        </w:rPr>
        <w:t xml:space="preserve">Runoff and drainage density </w:t>
      </w:r>
    </w:p>
    <w:p w14:paraId="2C41526A" w14:textId="1875E86D" w:rsidR="00110D79" w:rsidRDefault="00BE5C6B" w:rsidP="00284DB5">
      <w:pPr>
        <w:spacing w:line="480" w:lineRule="auto"/>
        <w:contextualSpacing/>
        <w:rPr>
          <w:rFonts w:cs="Times New Roman"/>
          <w:szCs w:val="24"/>
        </w:rPr>
      </w:pPr>
      <w:r w:rsidRPr="00640B45">
        <w:rPr>
          <w:rFonts w:cs="Times New Roman"/>
          <w:szCs w:val="24"/>
        </w:rPr>
        <w:tab/>
      </w:r>
      <w:r w:rsidR="00284DB5">
        <w:rPr>
          <w:rFonts w:cs="Times New Roman"/>
          <w:szCs w:val="24"/>
        </w:rPr>
        <w:t>R</w:t>
      </w:r>
      <w:r>
        <w:rPr>
          <w:rFonts w:cs="Times New Roman"/>
          <w:szCs w:val="24"/>
        </w:rPr>
        <w:t xml:space="preserve">unoff was an order of magnitude more important than the other variables we considered for predicting drainage density at the national scale (Table 2).  Our Bayesian </w:t>
      </w:r>
      <w:r w:rsidR="00284DB5">
        <w:rPr>
          <w:rFonts w:cs="Times New Roman"/>
          <w:szCs w:val="24"/>
        </w:rPr>
        <w:t>m</w:t>
      </w:r>
      <w:r>
        <w:rPr>
          <w:rFonts w:cs="Times New Roman"/>
          <w:szCs w:val="24"/>
        </w:rPr>
        <w:t xml:space="preserve">ixed effects model revealed </w:t>
      </w:r>
      <w:r w:rsidRPr="00640B45">
        <w:rPr>
          <w:rFonts w:cs="Times New Roman"/>
          <w:szCs w:val="24"/>
        </w:rPr>
        <w:t xml:space="preserve">the relationship between drainage density and mean annual runoff varied across the US (Figure </w:t>
      </w:r>
      <w:r>
        <w:rPr>
          <w:rFonts w:cs="Times New Roman"/>
          <w:szCs w:val="24"/>
        </w:rPr>
        <w:t>5</w:t>
      </w:r>
      <w:r w:rsidRPr="00640B45">
        <w:rPr>
          <w:rFonts w:cs="Times New Roman"/>
          <w:szCs w:val="24"/>
        </w:rPr>
        <w:t>E)</w:t>
      </w:r>
      <w:r>
        <w:rPr>
          <w:rFonts w:cs="Times New Roman"/>
          <w:szCs w:val="24"/>
        </w:rPr>
        <w:t xml:space="preserve"> and were consistently positive</w:t>
      </w:r>
      <w:r w:rsidRPr="00640B45">
        <w:rPr>
          <w:rFonts w:cs="Times New Roman"/>
          <w:szCs w:val="24"/>
        </w:rPr>
        <w:t xml:space="preserve">. </w:t>
      </w:r>
      <w:r>
        <w:rPr>
          <w:rFonts w:cs="Times New Roman"/>
          <w:szCs w:val="24"/>
        </w:rPr>
        <w:t>T</w:t>
      </w:r>
      <w:r w:rsidRPr="00640B45">
        <w:rPr>
          <w:rFonts w:cs="Times New Roman"/>
          <w:szCs w:val="24"/>
        </w:rPr>
        <w:t>he Lower Colorado (</w:t>
      </w:r>
      <w:r w:rsidRPr="00640B45">
        <w:rPr>
          <w:rFonts w:eastAsiaTheme="minorEastAsia" w:cs="Times New Roman"/>
          <w:szCs w:val="24"/>
        </w:rPr>
        <w:t>VPU15</w:t>
      </w:r>
      <w:r w:rsidR="00284DB5">
        <w:rPr>
          <w:rFonts w:eastAsiaTheme="minorEastAsia" w:cs="Times New Roman"/>
          <w:szCs w:val="24"/>
        </w:rPr>
        <w:t>,</w:t>
      </w:r>
      <w:r w:rsidRPr="00640B45">
        <w:rPr>
          <w:rFonts w:eastAsiaTheme="minorEastAsia"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oMath>
      <w:r w:rsidRPr="00640B45">
        <w:rPr>
          <w:rFonts w:cs="Times New Roman"/>
          <w:szCs w:val="24"/>
        </w:rPr>
        <w:t xml:space="preserve"> = 0.51[0.2, 0.82]), Northeast (VPU 01</w:t>
      </w:r>
      <w:r w:rsidR="00284DB5">
        <w:rPr>
          <w:rFonts w:cs="Times New Roman"/>
          <w:szCs w:val="24"/>
        </w:rPr>
        <w:t>,</w:t>
      </w:r>
      <w:r w:rsidRPr="00640B45">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oMath>
      <w:r w:rsidRPr="00640B45">
        <w:rPr>
          <w:rFonts w:cs="Times New Roman"/>
          <w:szCs w:val="24"/>
        </w:rPr>
        <w:t xml:space="preserve"> = 0.45 [0.30, 0.59]), Rio Grande (VPU13;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oMath>
      <w:r w:rsidRPr="00640B45">
        <w:rPr>
          <w:rFonts w:cs="Times New Roman"/>
          <w:szCs w:val="24"/>
        </w:rPr>
        <w:t xml:space="preserve"> = 0.36 [0.01, 0.71]) and Souris-Red-Rainy (VPU09</w:t>
      </w:r>
      <w:r w:rsidR="00284DB5">
        <w:rPr>
          <w:rFonts w:cs="Times New Roman"/>
          <w:szCs w:val="24"/>
        </w:rPr>
        <w:t>,</w:t>
      </w:r>
      <w:r w:rsidRPr="00640B45">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oMath>
      <w:r w:rsidRPr="00640B45">
        <w:rPr>
          <w:rFonts w:cs="Times New Roman"/>
          <w:szCs w:val="24"/>
        </w:rPr>
        <w:t xml:space="preserve"> =</w:t>
      </w:r>
      <w:r>
        <w:rPr>
          <w:rFonts w:cs="Times New Roman"/>
          <w:szCs w:val="24"/>
        </w:rPr>
        <w:t xml:space="preserve"> 0.35 [0.02, 0.68]) hydrological</w:t>
      </w:r>
      <w:r w:rsidRPr="00640B45">
        <w:rPr>
          <w:rFonts w:cs="Times New Roman"/>
          <w:szCs w:val="24"/>
        </w:rPr>
        <w:t xml:space="preserve"> regions</w:t>
      </w:r>
      <w:r>
        <w:rPr>
          <w:rFonts w:cs="Times New Roman"/>
          <w:szCs w:val="24"/>
        </w:rPr>
        <w:t xml:space="preserve"> had the strongest relationship </w:t>
      </w:r>
      <w:r w:rsidRPr="00640B45">
        <w:rPr>
          <w:rFonts w:cs="Times New Roman"/>
          <w:szCs w:val="24"/>
        </w:rPr>
        <w:t>between drainage density and mean annual runoff. Regions without strictly positive 90% creditable interval</w:t>
      </w:r>
      <w:r>
        <w:rPr>
          <w:rFonts w:cs="Times New Roman"/>
          <w:szCs w:val="24"/>
        </w:rPr>
        <w:t xml:space="preserve">s did not have strong evidence for a relationship between drainage density and runoff </w:t>
      </w:r>
      <w:r w:rsidRPr="00640B45">
        <w:rPr>
          <w:rFonts w:cs="Times New Roman"/>
          <w:szCs w:val="24"/>
        </w:rPr>
        <w:t>were generally found in</w:t>
      </w:r>
      <w:r w:rsidR="00284DB5">
        <w:rPr>
          <w:rFonts w:cs="Times New Roman"/>
          <w:szCs w:val="24"/>
        </w:rPr>
        <w:t xml:space="preserve"> the</w:t>
      </w:r>
      <w:r w:rsidRPr="00640B45">
        <w:rPr>
          <w:rFonts w:cs="Times New Roman"/>
          <w:szCs w:val="24"/>
        </w:rPr>
        <w:t xml:space="preserve"> western </w:t>
      </w:r>
      <w:r w:rsidR="00284DB5">
        <w:rPr>
          <w:rFonts w:cs="Times New Roman"/>
          <w:szCs w:val="24"/>
        </w:rPr>
        <w:t xml:space="preserve">US </w:t>
      </w:r>
      <w:r w:rsidRPr="00640B45">
        <w:rPr>
          <w:rFonts w:cs="Times New Roman"/>
          <w:szCs w:val="24"/>
        </w:rPr>
        <w:t xml:space="preserve">(Figure </w:t>
      </w:r>
      <w:r>
        <w:rPr>
          <w:rFonts w:cs="Times New Roman"/>
          <w:szCs w:val="24"/>
        </w:rPr>
        <w:t>5</w:t>
      </w:r>
      <w:r w:rsidRPr="00640B45">
        <w:rPr>
          <w:rFonts w:cs="Times New Roman"/>
          <w:szCs w:val="24"/>
        </w:rPr>
        <w:t xml:space="preserve">E). </w:t>
      </w:r>
    </w:p>
    <w:p w14:paraId="7E625D35" w14:textId="77777777" w:rsidR="00B27B90" w:rsidRDefault="00B27B90" w:rsidP="00284DB5">
      <w:pPr>
        <w:spacing w:line="480" w:lineRule="auto"/>
        <w:contextualSpacing/>
        <w:rPr>
          <w:rFonts w:cs="Times New Roman"/>
          <w:szCs w:val="24"/>
        </w:rPr>
      </w:pPr>
    </w:p>
    <w:p w14:paraId="2D372CC1" w14:textId="4CED4C17" w:rsidR="00110D79" w:rsidRPr="00284DB5" w:rsidRDefault="00BE5C6B" w:rsidP="00284DB5">
      <w:pPr>
        <w:pStyle w:val="Heading2"/>
        <w:spacing w:line="480" w:lineRule="auto"/>
        <w:contextualSpacing/>
      </w:pPr>
      <w:bookmarkStart w:id="8" w:name="_Toc60841213"/>
      <w:r w:rsidRPr="005023AB">
        <w:lastRenderedPageBreak/>
        <w:t>Discussion</w:t>
      </w:r>
      <w:bookmarkEnd w:id="8"/>
      <w:r w:rsidRPr="005023AB">
        <w:t xml:space="preserve"> </w:t>
      </w:r>
    </w:p>
    <w:p w14:paraId="0185D32F" w14:textId="18673534" w:rsidR="00BE5C6B" w:rsidRPr="007A4B53" w:rsidRDefault="00BE5C6B" w:rsidP="00284DB5">
      <w:pPr>
        <w:spacing w:line="480" w:lineRule="auto"/>
        <w:contextualSpacing/>
        <w:rPr>
          <w:rFonts w:cs="Times New Roman"/>
          <w:i/>
          <w:szCs w:val="24"/>
        </w:rPr>
      </w:pPr>
      <w:r w:rsidRPr="00640B45">
        <w:rPr>
          <w:rFonts w:cs="Times New Roman"/>
          <w:szCs w:val="24"/>
        </w:rPr>
        <w:tab/>
        <w:t xml:space="preserve">In spite of many studies showing </w:t>
      </w:r>
      <w:r>
        <w:rPr>
          <w:rFonts w:cs="Times New Roman"/>
          <w:szCs w:val="24"/>
        </w:rPr>
        <w:t xml:space="preserve">the importance of </w:t>
      </w:r>
      <w:r w:rsidRPr="00640B45">
        <w:rPr>
          <w:rFonts w:cs="Times New Roman"/>
          <w:szCs w:val="24"/>
        </w:rPr>
        <w:t xml:space="preserve">spatial flows of resources between aquatic and terrestrial ecosystems </w:t>
      </w:r>
      <w:r w:rsidRPr="00640B45">
        <w:rPr>
          <w:rFonts w:cs="Times New Roman"/>
          <w:szCs w:val="24"/>
        </w:rPr>
        <w:fldChar w:fldCharType="begin" w:fldLock="1"/>
      </w:r>
      <w:r w:rsidR="00306019">
        <w:rPr>
          <w:rFonts w:cs="Times New Roman"/>
          <w:szCs w:val="24"/>
        </w:rPr>
        <w:instrText>ADDIN CSL_CITATION {"citationItems":[{"id":"ITEM-1","itemData":{"DOI":"10.1111/j.1365-2427.2004.01328.x","ISBN":"0046-5070","ISSN":"00465070","abstract":"1.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Biology","id":"ITEM-1","issue":"2","issued":{"date-parts":[["2005"]]},"note":"1.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zones","type":"article-journal","volume":"50"},"uris":["http://www.mendeley.com/documents/?uuid=02c84270-0e51-41d1-a8fa-ddbed6efb2f2"]},{"id":"ITEM-2","itemData":{"DOI":"10.1002/eco.1488","ISBN":"1936-0584","ISSN":"19360592","abstract":"Freshwaters receive more than water from their catchments, including a large amount of materials and biologically available energy, referred to as cross-ecosystem resource subsidies. The passive flows of energy such as leaf litter and terrestrial invertebrate inputs, as well as dissolved organic carbon, are donor-controlled, whereas other flows, such as between fish and fish-eating birds, have more directly coupled feedbacks. There are also flows upstream or to the terrestrial environment in the form of adult aquatic insects, salmon carcasses and particulate carbon through overbank flooding, as well as directed foraging activities. Hypotheses about the effects of flux rates, timing, quality and physical structure of such resource subsidies on the responses of consumers have been experimentally tested at many trophic levels. Many freshwater and terrestrial consumers depend on these subsidies for at least part of their life cycle, and timing of inputs can affect growth. Developing more quantitative relations between the population and community responses across gradients of cross-ecosystem resource subsidy input rates will require exploring the shape of the relations, as well as the effects of quality and timing on responses. The stage is now set to consider how resource subsidies might affect the stability of communities and processes such as the strength of trophic cascades. The high degree of connectivity between the land and water are essential to biodiversity conservation and to ensuring that critical aquatic ecosystem services are sustained. The management of riparian areas is a key to the security of these values. Copyright (c) 2014 John Wiley &amp; Sons, Ltd.","author":[{"dropping-particle":"","family":"Richardson","given":"John S.","non-dropping-particle":"","parse-names":false,"suffix":""},{"dropping-particle":"","family":"Sato","given":"Takuya","non-dropping-particle":"","parse-names":false,"suffix":""}],"container-title":"Ecohydrology","id":"ITEM-2","issue":"3","issued":{"date-parts":[["2015"]]},"note":"Outline:\n1) Intro\n2) Current understanding\n2a) Cross-ecosystem resource subsidies at the land-water interface\n2b) Quantitative effects on the dynmaics of \nrecipient populations, communities and \necosystems (9para)\n2c) Feedbacks between and within ecosystems\n2d) Applied aspects of land-use effects on cross-ecosystem resource subsidies\n2e) Key Questons \n2ea) how do the duration, magnitude and predictability of resource subsdy pulses affect sonsumer populations? \n2eb) quality varies, so ar the resources still substitutable\n2ec) Can we make quantitative predictions about the rate and form of consumer population responses to subsidy inuts\n2ed) can resouces subsidie strengthen (or weaken) trophic cascades?\n2ee) Do resource subsidies lead to higher or lower system stability?\n3) Discussion","page":"406-415","title":"Resource subsidy flows across freshwater-terrestrial boundaries and influence on processes linking adjacent ecosystems","type":"article-journal","volume":"8"},"uris":["http://www.mendeley.com/documents/?uuid=e02dc3e2-caff-4132-950b-152db1026c07"]},{"id":"ITEM-3","itemData":{"DOI":"10.1093/biosci/bix078","ISSN":"0006-3568","author":[{"dropping-particle":"","family":"Ramey","given":"Tonya L.","non-dropping-particle":"","parse-names":false,"suffix":""},{"dropping-particle":"","family":"Richardson","given":"John S.","non-dropping-particle":"","parse-names":false,"suffix":""}],"container-title":"BioScience","id":"ITEM-3","issue":"9","issued":{"date-parts":[["2017"]]},"title":"Terrestrial Invertebrates in the Riparian Zone: Mechanisms Underlying Their Unique Diversity","type":"article-journal","volume":"67"},"uris":["http://www.mendeley.com/documents/?uuid=25567eb7-f7d8-4b04-9b85-06a6ac696382"]},{"id":"ITEM-4","itemData":{"DOI":"10.1111/brv.12465","ISSN":"1469185X","abstract":"The transport of resource subsidies by animals has been documented across a range of species and ecosystems. Although many of these studies have shown that animal resource subsidies can have significant effects on nutrient cycling, ecosystem productivity, and food-web structure, there is a great deal of variability in the occurrence and strength ofthese effects. Here we propose a conceptual framework for understanding the context dependency ofanimal resource subsidies, and for developing and testing predictions about the effects ofanimal subsidies over space and time. We propose a general framework, in which abiotic characteristics and animal vector characteristics from the donor ecosystem interact to determine the quantity, quality, timing, and duration (QQTD) of an animal input. The animal input is translated through the lens of recipient ecosystem characteristics, which include both abiotic and consumer characteristics, to yield the QQTD of the subsidy. The translated subsidy influences recipient ecosystem dynamics through effects on both trophic structure and ecosystem function, which may both influence the recipient ecosystem’s response to further inputs and feed back to influence the donor ecosystem. We present a review of research on animal resource subsidies across ecosystem boundaries, placed within the context of this framework, and we discuss how the QQTD ofresource subsidies can influence trophic structure and ecosystem function in recipient ecosystems.We explore the importance ofunderstanding context dependency ofanimal resource subsidies in increasingly altered ecosystems, in which the characteristics of both animal vectors and donor and recipient ecosystems may be changing rapidly. Finally, we make recommendations for future research on animal resource subsidies, and resource subsidies in general, that will increase our understanding and predictive capacity about their ecosystem effects.","author":[{"dropping-particle":"","family":"Subalusky","given":"Amanda L.","non-dropping-particle":"","parse-names":false,"suffix":""},{"dropping-particle":"","family":"Post","given":"David M.","non-dropping-particle":"","parse-names":false,"suffix":""}],"container-title":"Biological Reviews","id":"ITEM-4","issued":{"date-parts":[["2018"]]},"note":"1) Intro\n2) Subsidy Definition and Characteristics\n3) Animal Vector Characteristics \n3a) input form\n3b) Animal mass and physiology\n3c) population size\n3d) Life history and Behavior \n4) Donor Ecosystem Characteristics \n4a) Size, productivity and Resource availability \n4b) Seasonal and large-scale climate shifts\n5) Recipient Ecosystem - Physical/Chemical Charactersitics \n5a) size and location\n5b) boundary characteristics \n5c) Productivity and resource availability\n6) Recipient Ecosystem - Consumer charateristics \n6a) Taxonomic identity and trophic guild\n6b) Life History and modility \n7) The effects of subsidty characteristics on trophic dynamics and ecosystem functioning\n7a) Trophic structure\n7b) Ecosystem functioning\n7c) Feedbacks\n8) Implications for altered Ecosystems\n9) Recommendations for future research ","page":"517-538","title":"Context dependency of animal resource subsidies","type":"article-journal","volume":"94"},"uris":["http://www.mendeley.com/documents/?uuid=59c68b98-17c6-4d64-adb7-a6bd6dc005c9"]}],"mendeley":{"formattedCitation":"(Baxter et al. 2005, Richardson and Sato 2015, Ramey and Richardson 2017, Subalusky and Post 2018)","plainTextFormattedCitation":"(Baxter et al. 2005, Richardson and Sato 2015, Ramey and Richardson 2017, Subalusky and Post 2018)","previouslyFormattedCitation":"(Baxter et al. 2005, Richardson and Sato 2015, Ramey and Richardson 2017, Subalusky and Post 2018)"},"properties":{"noteIndex":0},"schema":"https://github.com/citation-style-language/schema/raw/master/csl-citation.json"}</w:instrText>
      </w:r>
      <w:r w:rsidRPr="00640B45">
        <w:rPr>
          <w:rFonts w:cs="Times New Roman"/>
          <w:szCs w:val="24"/>
        </w:rPr>
        <w:fldChar w:fldCharType="separate"/>
      </w:r>
      <w:r w:rsidR="0034241C" w:rsidRPr="0034241C">
        <w:rPr>
          <w:rFonts w:cs="Times New Roman"/>
          <w:noProof/>
          <w:szCs w:val="24"/>
        </w:rPr>
        <w:t>(Baxter et al. 2005, Richardson and Sato 2015, Ramey and Richardson 2017, Subalusky and Post 2018)</w:t>
      </w:r>
      <w:r w:rsidRPr="00640B45">
        <w:rPr>
          <w:rFonts w:cs="Times New Roman"/>
          <w:szCs w:val="24"/>
        </w:rPr>
        <w:fldChar w:fldCharType="end"/>
      </w:r>
      <w:r w:rsidR="00284DB5">
        <w:rPr>
          <w:rFonts w:cs="Times New Roman"/>
          <w:szCs w:val="24"/>
        </w:rPr>
        <w:t>,</w:t>
      </w:r>
      <w:r w:rsidRPr="00640B45">
        <w:rPr>
          <w:rFonts w:cs="Times New Roman"/>
          <w:szCs w:val="24"/>
        </w:rPr>
        <w:t xml:space="preserve"> few have done so in a spatially explicit manner (but see </w:t>
      </w:r>
      <w:r w:rsidRPr="00640B45">
        <w:rPr>
          <w:rFonts w:cs="Times New Roman"/>
          <w:szCs w:val="24"/>
        </w:rPr>
        <w:fldChar w:fldCharType="begin" w:fldLock="1"/>
      </w:r>
      <w:r w:rsidR="00306019">
        <w:rPr>
          <w:rFonts w:cs="Times New Roman"/>
          <w:szCs w:val="24"/>
        </w:rPr>
        <w:instrText>ADDIN CSL_CITATION {"citationItems":[{"id":"ITEM-1","itemData":{"DOI":"10.1029/2011WR010703","ISSN":"00431397","author":[{"dropping-particle":"","family":"Sabo","given":"John L.","non-dropping-particle":"","parse-names":false,"suffix":""},{"dropping-particle":"","family":"Hagen","given":"Elizabeth M.","non-dropping-particle":"","parse-names":false,"suffix":""}],"container-title":"Water Resources Research","id":"ITEM-1","issue":"4","issued":{"date-parts":[["2012","4","14"]]},"title":"A network theory for resource exchange between rivers and their watersheds","type":"article-journal","volume":"48"},"uris":["http://www.mendeley.com/documents/?uuid=63acb2b5-51e3-4ecc-90f2-1167c7294ea5"]},{"id":"ITEM-2","itemData":{"DOI":"10.1007/s10021-013-9688-6","ISBN":"732852","ISSN":"14329840","PMID":"732852","abstract":"Emergent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Land","type":"article-journal","volume":"16"},"uris":["http://www.mendeley.com/documents/?uuid=76c15ca4-2901-40f7-a4f1-93047a0aa026"]}],"mendeley":{"formattedCitation":"(Sabo and Hagen 2012, Bartrons et al. 2013)","manualFormatting":"Sabo and Hagen 2012, Bartrons et al. 2013)","plainTextFormattedCitation":"(Sabo and Hagen 2012, Bartrons et al. 2013)","previouslyFormattedCitation":"(Sabo and Hagen 2012, Bartrons et al. 2013)"},"properties":{"noteIndex":0},"schema":"https://github.com/citation-style-language/schema/raw/master/csl-citation.json"}</w:instrText>
      </w:r>
      <w:r w:rsidRPr="00640B45">
        <w:rPr>
          <w:rFonts w:cs="Times New Roman"/>
          <w:szCs w:val="24"/>
        </w:rPr>
        <w:fldChar w:fldCharType="separate"/>
      </w:r>
      <w:r w:rsidRPr="00640B45">
        <w:rPr>
          <w:rFonts w:cs="Times New Roman"/>
          <w:noProof/>
          <w:szCs w:val="24"/>
        </w:rPr>
        <w:t>Sabo and Hagen 2012, Bartrons et al. 2013)</w:t>
      </w:r>
      <w:r w:rsidRPr="00640B45">
        <w:rPr>
          <w:rFonts w:cs="Times New Roman"/>
          <w:szCs w:val="24"/>
        </w:rPr>
        <w:fldChar w:fldCharType="end"/>
      </w:r>
      <w:r w:rsidRPr="00640B45">
        <w:rPr>
          <w:rFonts w:cs="Times New Roman"/>
          <w:szCs w:val="24"/>
        </w:rPr>
        <w:t>. Even fewer have studied res</w:t>
      </w:r>
      <w:r>
        <w:rPr>
          <w:rFonts w:cs="Times New Roman"/>
          <w:szCs w:val="24"/>
        </w:rPr>
        <w:t>ource exchanges at regional</w:t>
      </w:r>
      <w:r w:rsidRPr="00640B45">
        <w:rPr>
          <w:rFonts w:cs="Times New Roman"/>
          <w:szCs w:val="24"/>
        </w:rPr>
        <w:t xml:space="preserve"> and larger scales to explore </w:t>
      </w:r>
      <w:r>
        <w:rPr>
          <w:rFonts w:cs="Times New Roman"/>
          <w:szCs w:val="24"/>
        </w:rPr>
        <w:t xml:space="preserve">factors that </w:t>
      </w:r>
      <w:r w:rsidRPr="00640B45">
        <w:rPr>
          <w:rFonts w:cs="Times New Roman"/>
          <w:szCs w:val="24"/>
        </w:rPr>
        <w:t>constrain the effects of resource subsidies in recipient ecosystems (but see</w:t>
      </w:r>
      <w:r w:rsidRPr="00640B45">
        <w:rPr>
          <w:rFonts w:cs="Times New Roman"/>
          <w:szCs w:val="24"/>
        </w:rPr>
        <w:fldChar w:fldCharType="begin" w:fldLock="1"/>
      </w:r>
      <w:r w:rsidR="00306019">
        <w:rPr>
          <w:rFonts w:cs="Times New Roman"/>
          <w:szCs w:val="24"/>
        </w:rPr>
        <w:instrText>ADDIN CSL_CITATION {"citationItems":[{"id":"ITEM-1","itemData":{"DOI":"10.1111/ele.13185","ISSN":"1461-023X","PMID":"30548746","author":[{"dropping-particle":"","family":"Montagano","given":"Laurent","non-dropping-particle":"","parse-names":false,"suffix":""},{"dropping-particle":"","family":"Leroux","given":"Shawn J.","non-dropping-particle":"","parse-names":false,"suffix":""},{"dropping-particle":"","family":"Giroux","given":"Marie‐Andrée","non-dropping-particle":"","parse-names":false,"suffix":""},{"dropping-particle":"","family":"Lecomte","given":"Nicolas","non-dropping-particle":"","parse-names":false,"suffix":""}],"container-title":"Ecology Letters","id":"ITEM-1","issued":{"date-parts":[["2018"]]},"page":"265-274","title":"The strength of ecological subsidies across ecosystems: a latitudinal gradient of direct and indirect impacts on food webs","type":"article-journal","volume":"22"},"uris":["http://www.mendeley.com/documents/?uuid=15f3fed3-7880-4af2-ba39-677ed893c48d"]}],"mendeley":{"formattedCitation":"(Montagano et al. 2018)","manualFormatting":" Montagano et al. 2018)","plainTextFormattedCitation":"(Montagano et al. 2018)","previouslyFormattedCitation":"(Montagano et al. 2018)"},"properties":{"noteIndex":0},"schema":"https://github.com/citation-style-language/schema/raw/master/csl-citation.json"}</w:instrText>
      </w:r>
      <w:r w:rsidRPr="00640B45">
        <w:rPr>
          <w:rFonts w:cs="Times New Roman"/>
          <w:szCs w:val="24"/>
        </w:rPr>
        <w:fldChar w:fldCharType="separate"/>
      </w:r>
      <w:r w:rsidRPr="00640B45">
        <w:rPr>
          <w:rFonts w:cs="Times New Roman"/>
          <w:noProof/>
          <w:szCs w:val="24"/>
        </w:rPr>
        <w:t xml:space="preserve"> Montagano et al. 2018)</w:t>
      </w:r>
      <w:r w:rsidRPr="00640B45">
        <w:rPr>
          <w:rFonts w:cs="Times New Roman"/>
          <w:szCs w:val="24"/>
        </w:rPr>
        <w:fldChar w:fldCharType="end"/>
      </w:r>
      <w:r w:rsidRPr="00640B45">
        <w:rPr>
          <w:rFonts w:cs="Times New Roman"/>
          <w:szCs w:val="24"/>
        </w:rPr>
        <w:t xml:space="preserve">. In exploring how stream network geometry contributes to the spatial extent and distribution of aquatic insect subsidies in terrestrial ecosystems, we found that </w:t>
      </w:r>
      <w:r>
        <w:rPr>
          <w:rFonts w:cs="Times New Roman"/>
          <w:szCs w:val="24"/>
        </w:rPr>
        <w:t xml:space="preserve">a non-trivial portion </w:t>
      </w:r>
      <w:r w:rsidRPr="00640B45">
        <w:rPr>
          <w:rFonts w:cs="Times New Roman"/>
          <w:szCs w:val="24"/>
        </w:rPr>
        <w:t xml:space="preserve">of aquatic subsidies can be detected throughout the entire watershed because streams exist in a dendritic network. Moreover, we found aquatic inputs from multiple locations within the stream network overlap to create discrete areas elevated </w:t>
      </w:r>
      <w:r>
        <w:rPr>
          <w:rFonts w:cs="Times New Roman"/>
          <w:szCs w:val="24"/>
        </w:rPr>
        <w:t>or more stable subsidy</w:t>
      </w:r>
      <w:r w:rsidRPr="00640B45">
        <w:rPr>
          <w:rFonts w:cs="Times New Roman"/>
          <w:szCs w:val="24"/>
        </w:rPr>
        <w:t xml:space="preserve"> inputs, and that these hotspots are incredibly common in watersheds studied across the contiguous United States. We also found</w:t>
      </w:r>
      <w:r>
        <w:rPr>
          <w:rFonts w:cs="Times New Roman"/>
          <w:szCs w:val="24"/>
        </w:rPr>
        <w:t xml:space="preserve"> spatial patterns of aquatic insect subsidies were related to stream geomorphological features which</w:t>
      </w:r>
      <w:r w:rsidRPr="00640B45">
        <w:rPr>
          <w:rFonts w:cs="Times New Roman"/>
          <w:szCs w:val="24"/>
        </w:rPr>
        <w:t xml:space="preserve"> differed regionally due to </w:t>
      </w:r>
      <w:r>
        <w:rPr>
          <w:rFonts w:cs="Times New Roman"/>
          <w:szCs w:val="24"/>
        </w:rPr>
        <w:t>runoff</w:t>
      </w:r>
      <w:r w:rsidRPr="00640B45">
        <w:rPr>
          <w:rFonts w:cs="Times New Roman"/>
          <w:szCs w:val="24"/>
        </w:rPr>
        <w:t xml:space="preserve">, topographical, soil and vegetation conditions. Collectively, these results are striking because they suggest that the spatial influence of aquatic insect subsidies on terrestrial ecosystems may be greater </w:t>
      </w:r>
      <w:r>
        <w:rPr>
          <w:rFonts w:cs="Times New Roman"/>
          <w:szCs w:val="24"/>
        </w:rPr>
        <w:t xml:space="preserve">and more complex </w:t>
      </w:r>
      <w:r w:rsidRPr="00640B45">
        <w:rPr>
          <w:rFonts w:cs="Times New Roman"/>
          <w:szCs w:val="24"/>
        </w:rPr>
        <w:t xml:space="preserve">than previously acknowledged.  </w:t>
      </w:r>
    </w:p>
    <w:p w14:paraId="0603699A" w14:textId="5D7A554C" w:rsidR="00BE5C6B" w:rsidRDefault="00BE5C6B" w:rsidP="00BE5C6B">
      <w:pPr>
        <w:spacing w:before="100" w:beforeAutospacing="1" w:after="100" w:afterAutospacing="1" w:line="480" w:lineRule="auto"/>
        <w:ind w:firstLine="720"/>
        <w:contextualSpacing/>
        <w:rPr>
          <w:rFonts w:cs="Times New Roman"/>
          <w:szCs w:val="24"/>
        </w:rPr>
      </w:pPr>
      <w:r>
        <w:rPr>
          <w:rFonts w:cs="Times New Roman"/>
          <w:szCs w:val="24"/>
        </w:rPr>
        <w:t xml:space="preserve">On average, </w:t>
      </w:r>
      <w:r w:rsidRPr="007A4B53">
        <w:rPr>
          <w:rFonts w:cs="Times New Roman"/>
          <w:szCs w:val="24"/>
        </w:rPr>
        <w:t>t</w:t>
      </w:r>
      <w:r>
        <w:rPr>
          <w:rFonts w:cs="Times New Roman"/>
          <w:szCs w:val="24"/>
        </w:rPr>
        <w:t xml:space="preserve">he 8% stream signature covered the entire watershed meaning it may be possible to detect some level of aquatic insect subsidies throughout the entire terrestrial ecosystem. Whether this level of aquatic insect subsidies can elicit a detectable response in terrestrial communities is unclear. Likely the magnitude of response depends the quantity and quality of the subsidy leaving the donor system </w:t>
      </w:r>
      <w:r>
        <w:rPr>
          <w:rFonts w:cs="Times New Roman"/>
          <w:szCs w:val="24"/>
        </w:rPr>
        <w:fldChar w:fldCharType="begin" w:fldLock="1"/>
      </w:r>
      <w:r w:rsidR="00306019">
        <w:rPr>
          <w:rFonts w:cs="Times New Roman"/>
          <w:szCs w:val="24"/>
        </w:rPr>
        <w:instrText>ADDIN CSL_CITATION {"citationItems":[{"id":"ITEM-1","itemData":{"abstract":"Studies of the effects of cross-habitat resource subsidies have been a feature of food web ecology over the past decade. To date, most studies have focused on demonstrating the magnitude of a subsidy or documenting it effect in the recipient habitat. Ecologists have yet to develop a staisfactory framework for predicting the magnitude of these effects. We used 115 data sets from 32 studies to compare consumer reponses to resource subsidies actross recipient habitat type, trophic level, and functiona group. Changes in consumer denity or biomass in response to subsidies were inconistent actoss habitat, trophic and functional groups. Responses in stream cobble har and coastline habitats were larger that in other habitat. comtrary to expectation, the magnitude of consumer response was not addected by recipient habitat productivity or the ratio of productivity between donor and recipient habitats. however, consumer response was significantly related to the ratio of subsidy resources to equivalent resources in the recipient habitat. Broad contrasts in productivity are modified by subsity type, vector and the physical and abiotic characteristics of both donor and recipient habitats. for this reason, the ratio of subsidy to equilivant resources is a more useful tool for predictin the possible effects of a subsidy than coarser contrasts of in situ productivity. The commonness of subsidy effects suggest that many ecosystems need to be studied as open systems.","author":[{"dropping-particle":"","family":"Marczak","given":"Laurie B","non-dropping-particle":"","parse-names":false,"suffix":""},{"dropping-particle":"","family":"Thompson","given":"Ross M","non-dropping-particle":"","parse-names":false,"suffix":""},{"dropping-particle":"","family":"Richardson","given":"John S","non-dropping-particle":"","parse-names":false,"suffix":""}],"container-title":"Eocology","id":"ITEM-1","issue":"1","issued":{"date-parts":[["2007"]]},"page":"140-148","title":"Meta-Analysis: Trophic Level, Habitat, and Productivity Shape the Food Web Effects of Resource Subsidies","type":"article-journal","volume":"88"},"uris":["http://www.mendeley.com/documents/?uuid=9c48ce22-9a4f-49d8-8056-81e298db9547"]},{"id":"ITEM-2","itemData":{"DOI":"10.1890/11-1136.1","ISBN":"0012-9658","ISSN":"00129615","PMID":"7189","abstract":"Abstract. Although the study of resource subsidies has emerged as a key topic in both ecosystem and food web ecology, the dialogue over their role has been limited by separate approaches that emphasize either subsidy quantity or quality. Considering quantity and quality together may provide a simple, but previously unexplored, framework for identifying the mechanisms that govern the importance of subsidies for recipient food webs and ecosystems. Using a literature review of .90 studies of open-water metabolism in lakes and streams, we show that high-flux, low-quality subsidies can drive freshwater ecosystem dynamics. Because most of these ecosystems are net heterotrophic, allochthonous inputs must subsidize respiration. Second, using a literature review of subsidy quality and use, we demonstrate that animals select for high-quality food resources in proportions greater than would be predicted based on food quantity, and regardless of allochthonous or autochthonous origin. This finding suggests that low-flux, high-quality subsidies may be selected for by animals, and in turn may disproportionately affect food web and ecosystem processes (e.g., animal production, trophic energy or organic matter flow, trophic cascades). We then synthesize and review approaches that evaluate the role of subsidies and explicitly merge ecosystem and food web perspectives by placing food web measurements in the context of ecosystem budgets, by comparing trophic and ecosystem production and fluxes, and by constructing flow food webs. These tools can and should be used to address future questions about subsidies, such as the relative importance of subsidies to different trophic levels and how subsidies may maintain or disrupt ecosystem stability and food web interactions.","author":[{"dropping-particle":"","family":"Marcarelli","given":"Amy M.","non-dropping-particle":"","parse-names":false,"suffix":""},{"dropping-particle":"V.","family":"Baxter","given":"Colden","non-dropping-particle":"","parse-names":false,"suffix":""},{"dropping-particle":"","family":"Mineau","given":"Madeline M.","non-dropping-particle":"","parse-names":false,"suffix":""},{"dropping-particle":"","family":"Hall","given":"Robert O. JR","non-dropping-particle":"","parse-names":false,"suffix":""}],"container-title":"Ecology","id":"ITEM-2","issue":"6","issued":{"date-parts":[["2011"]]},"note":"Intro\nSubsidy Quantity and Ecosystem Metabolism\nSubstrate Quality and Food web pathways \nMerging appraoches to understand subsidies\nInvestigating food web sibsidies in the context of ecosystem \nUsing ecosystem &amp;amp; trophic production &amp;amp; fluxes to quantify subsidy impacts \nConclusions","page":"1215-1225","title":"Quantity and quality: unifying food web and ecosystem perspectives on the role of resource subsidies in freshwaters","type":"article-journal","volume":"92"},"uris":["http://www.mendeley.com/documents/?uuid=3220460c-5129-4036-8a7f-d8519cd81029"]},{"id":"ITEM-3","itemData":{"DOI":"10.1111/brv.12465","ISSN":"1469185X","abstract":"The transport of resource subsidies by animals has been documented across a range of species and ecosystems. Although many of these studies have shown that animal resource subsidies can have significant effects on nutrient cycling, ecosystem productivity, and food-web structure, there is a great deal of variability in the occurrence and strength ofthese effects. Here we propose a conceptual framework for understanding the context dependency ofanimal resource subsidies, and for developing and testing predictions about the effects ofanimal subsidies over space and time. We propose a general framework, in which abiotic characteristics and animal vector characteristics from the donor ecosystem interact to determine the quantity, quality, timing, and duration (QQTD) of an animal input. The animal input is translated through the lens of recipient ecosystem characteristics, which include both abiotic and consumer characteristics, to yield the QQTD of the subsidy. The translated subsidy influences recipient ecosystem dynamics through effects on both trophic structure and ecosystem function, which may both influence the recipient ecosystem’s response to further inputs and feed back to influence the donor ecosystem. We present a review of research on animal resource subsidies across ecosystem boundaries, placed within the context of this framework, and we discuss how the QQTD ofresource subsidies can influence trophic structure and ecosystem function in recipient ecosystems.We explore the importance ofunderstanding context dependency ofanimal resource subsidies in increasingly altered ecosystems, in which the characteristics of both animal vectors and donor and recipient ecosystems may be changing rapidly. Finally, we make recommendations for future research on animal resource subsidies, and resource subsidies in general, that will increase our understanding and predictive capacity about their ecosystem effects.","author":[{"dropping-particle":"","family":"Subalusky","given":"Amanda L.","non-dropping-particle":"","parse-names":false,"suffix":""},{"dropping-particle":"","family":"Post","given":"David M.","non-dropping-particle":"","parse-names":false,"suffix":""}],"container-title":"Biological Reviews","id":"ITEM-3","issued":{"date-parts":[["2018"]]},"note":"1) Intro\n2) Subsidy Definition and Characteristics\n3) Animal Vector Characteristics \n3a) input form\n3b) Animal mass and physiology\n3c) population size\n3d) Life history and Behavior \n4) Donor Ecosystem Characteristics \n4a) Size, productivity and Resource availability \n4b) Seasonal and large-scale climate shifts\n5) Recipient Ecosystem - Physical/Chemical Charactersitics \n5a) size and location\n5b) boundary characteristics \n5c) Productivity and resource availability\n6) Recipient Ecosystem - Consumer charateristics \n6a) Taxonomic identity and trophic guild\n6b) Life History and modility \n7) The effects of subsidty characteristics on trophic dynamics and ecosystem functioning\n7a) Trophic structure\n7b) Ecosystem functioning\n7c) Feedbacks\n8) Implications for altered Ecosystems\n9) Recommendations for future research ","page":"517-538","title":"Context dependency of animal resource subsidies","type":"article-journal","volume":"94"},"uris":["http://www.mendeley.com/documents/?uuid=59c68b98-17c6-4d64-adb7-a6bd6dc005c9"]}],"mendeley":{"formattedCitation":"(Marczak et al. 2007, Marcarelli et al. 2011, Subalusky and Post 2018)","plainTextFormattedCitation":"(Marczak et al. 2007, Marcarelli et al. 2011, Subalusky and Post 2018)","previouslyFormattedCitation":"(Marczak et al. 2007, Marcarelli et al. 2011, Subalusky and Post 2018)"},"properties":{"noteIndex":0},"schema":"https://github.com/citation-style-language/schema/raw/master/csl-citation.json"}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(Marczak et al. 2007, Marcarelli et al. 2011, Subalusky and Post 2018)</w:t>
      </w:r>
      <w:r>
        <w:rPr>
          <w:rFonts w:cs="Times New Roman"/>
          <w:szCs w:val="24"/>
        </w:rPr>
        <w:fldChar w:fldCharType="end"/>
      </w:r>
      <w:r>
        <w:rPr>
          <w:rFonts w:cs="Times New Roman"/>
          <w:szCs w:val="24"/>
        </w:rPr>
        <w:t xml:space="preserve">. </w:t>
      </w:r>
      <w:r>
        <w:rPr>
          <w:rFonts w:cs="Times New Roman"/>
          <w:noProof/>
          <w:szCs w:val="24"/>
        </w:rPr>
        <w:t xml:space="preserve">Unfortunately, continential scale estimates of emergent insect </w:t>
      </w:r>
      <w:r>
        <w:rPr>
          <w:rFonts w:cs="Times New Roman"/>
          <w:noProof/>
          <w:szCs w:val="24"/>
        </w:rPr>
        <w:lastRenderedPageBreak/>
        <w:t xml:space="preserve">production are unavailable at present, so it was not possible to quntify the level of aquatic insects being deposited within the spatial extent of the stream signature. Other sutdies have estimated emergence as a fraction of benthic insect production </w:t>
      </w:r>
      <w:r>
        <w:rPr>
          <w:rFonts w:cs="Times New Roman"/>
          <w:noProof/>
          <w:szCs w:val="24"/>
        </w:rPr>
        <w:fldChar w:fldCharType="begin" w:fldLock="1"/>
      </w:r>
      <w:r w:rsidR="00306019">
        <w:rPr>
          <w:rFonts w:cs="Times New Roman"/>
          <w:noProof/>
          <w:szCs w:val="24"/>
        </w:rPr>
        <w:instrText>ADDIN CSL_CITATION {"citationItems":[{"id":"ITEM-1","itemData":{"DOI":"10.1007/s10021-013-9688-6","ISBN":"732852","ISSN":"14329840","PMID":"732852","abstract":"Emergent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Jake","non-dropping-particle":"Vander","parse-names":false,"suffix":""}],"container-title":"Ecosystems","id":"ITEM-1","issue":"7","issued":{"date-parts":[["2013"]]},"page":"1353-1363","title":"Regional-Level Inputs of Emergent Aquatic Insects from Water to Land","type":"article-journal","volume":"16"},"uris":["http://www.mendeley.com/documents/?uuid=76c15ca4-2901-40f7-a4f1-93047a0aa026"]},{"id":"ITEM-2","itemData":{"author":[{"dropping-particle":"","family":"Gratton","given":"C.","non-dropping-particle":"","parse-names":false,"suffix":""},{"dropping-particle":"","family":"Zanden","given":"M.J","non-dropping-particle":"Vander","parse-names":false,"suffix":""}],"container-title":"Ecology","id":"ITEM-2","issue":"10","issued":{"date-parts":[["2009"]]},"page":"2689–2699","title":"Flux of aquatic insect productivity to land: comparison of lentic and lotic ecosystems","type":"article-journal","volume":"90"},"uris":["http://www.mendeley.com/documents/?uuid=1919de5e-bc71-4cdb-ad66-d96c78ff5294"]}],"mendeley":{"formattedCitation":"(Gratton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Pr>
          <w:rFonts w:cs="Times New Roman"/>
          <w:noProof/>
          <w:szCs w:val="24"/>
        </w:rPr>
        <w:fldChar w:fldCharType="separate"/>
      </w:r>
      <w:r w:rsidR="0034241C" w:rsidRPr="0034241C">
        <w:rPr>
          <w:rFonts w:cs="Times New Roman"/>
          <w:noProof/>
          <w:szCs w:val="24"/>
        </w:rPr>
        <w:t>(Gratton and Vander Zanden 2009, Bartrons et al. 2013)</w:t>
      </w:r>
      <w:r>
        <w:rPr>
          <w:rFonts w:cs="Times New Roman"/>
          <w:noProof/>
          <w:szCs w:val="24"/>
        </w:rPr>
        <w:fldChar w:fldCharType="end"/>
      </w:r>
      <w:r>
        <w:rPr>
          <w:rFonts w:cs="Times New Roman"/>
          <w:noProof/>
          <w:szCs w:val="24"/>
        </w:rPr>
        <w:t xml:space="preserve"> however and recently global predictions of </w:t>
      </w:r>
      <w:r>
        <w:rPr>
          <w:rFonts w:cs="Times New Roman"/>
          <w:szCs w:val="24"/>
        </w:rPr>
        <w:t xml:space="preserve">aquatic </w:t>
      </w:r>
      <w:r w:rsidRPr="00640B45">
        <w:rPr>
          <w:rFonts w:cs="Times New Roman"/>
          <w:szCs w:val="24"/>
        </w:rPr>
        <w:t>secondary production</w:t>
      </w:r>
      <w:r>
        <w:rPr>
          <w:rFonts w:cs="Times New Roman"/>
          <w:szCs w:val="24"/>
        </w:rPr>
        <w:t xml:space="preserve"> have become available </w:t>
      </w:r>
      <w:r>
        <w:rPr>
          <w:rFonts w:cs="Times New Roman"/>
          <w:szCs w:val="24"/>
        </w:rPr>
        <w:fldChar w:fldCharType="begin" w:fldLock="1"/>
      </w:r>
      <w:r w:rsidR="00306019">
        <w:rPr>
          <w:rFonts w:cs="Times New Roman"/>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production","type":"article-journal","volume":"5"},"uris":["http://www.mendeley.com/documents/?uuid=10de4472-9f38-4b92-ac64-79ed30e2fc44"]}],"mendeley":{"formattedCitation":"(Patrick et al. 2019)","plainTextFormattedCitation":"(Patrick et al. 2019)","previouslyFormattedCitation":"(Patrick et al. 2019)"},"properties":{"noteIndex":0},"schema":"https://github.com/citation-style-language/schema/raw/master/csl-citation.json"}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(Patrick et al. 2019)</w:t>
      </w:r>
      <w:r>
        <w:rPr>
          <w:rFonts w:cs="Times New Roman"/>
          <w:szCs w:val="24"/>
        </w:rPr>
        <w:fldChar w:fldCharType="end"/>
      </w:r>
      <w:r>
        <w:rPr>
          <w:rFonts w:cs="Times New Roman"/>
          <w:szCs w:val="24"/>
        </w:rPr>
        <w:t xml:space="preserve">. Thus, future studies could combine these newly available secondary production estimates with the stream signature concept and our spatial extent estimates to quantify aquatic insect deposition across broad spatial scales.  Even if the subsidy magnitude is small, aquatic insects have higher nutritional value than terrestrial prey for terrestrial predators, containing substantially more omega-3 fatty acids </w:t>
      </w:r>
      <w:r>
        <w:rPr>
          <w:rFonts w:cs="Times New Roman"/>
          <w:szCs w:val="24"/>
        </w:rPr>
        <w:fldChar w:fldCharType="begin" w:fldLock="1"/>
      </w:r>
      <w:r w:rsidR="00306019">
        <w:rPr>
          <w:rFonts w:cs="Times New Roman"/>
          <w:szCs w:val="24"/>
        </w:rPr>
        <w:instrText>ADDIN CSL_CITATION {"citationItems":[{"id":"ITEM-1","itemData":{"DOI":"10.1016/j.scitotenv.2017.01.017","ISSN":"18791026","abstract":"Based on 31-year field study of the abundance and biomass of 18 species of odonates in the Barabinsk Forest–Steppe (Western Siberia, Russia), we quantified the contribution of odonates to the export of aquatic productivity to surrounding terrestrial landscape. Emergence varied from 0.8 to 4.9 g of wet biomass per m2 of land area per year. Average export of organic carbon was estimated to be 0.30 g·m− 2·year− 1, which is comparable with the average production of herbivorous terrestrial insects in temperate grasslands. Moreover, in contrast to terrestrial insects, emerging odonates contained high quantities of highly unsaturated fatty acids (HUFA), namely eicosapentaenoic acid (20:5n-3, EPA), and docosahexaenoic acid (22:6n-3, DHA), which are known to be essential for many terrestrial animals, especially for birds. The export of EPA + DHA by odonates was found to be 1.92–11.76 mg·m− 2·year− 1, which is equal to an average general estimation of the export of HUFA by emerging aquatic insects. Therefore, odonates appeared to be a quantitatively and qualitatively important conduit of aquatic productivity to forest-steppe ecosystem.","author":[{"dropping-particle":"","family":"Popova","given":"Olga N.","non-dropping-particle":"","parse-names":false,"suffix":""},{"dropping-particle":"","family":"Haritonov","given":"Anatoly Y.","non-dropping-particle":"","parse-names":false,"suffix":""},{"dropping-particle":"","family":"Sushchik","given":"Nadezhda N.","non-dropping-particle":"","parse-names":false,"suffix":""},{"dropping-particle":"","family":"Makhutova","given":"Olesia N.","non-dropping-particle":"","parse-names":false,"suffix":""},{"dropping-particle":"","family":"Kalachova","given":"Galina S.","non-dropping-particle":"","parse-names":false,"suffix":""},{"dropping-particle":"","family":"Kolmakova","given":"Anzhelika A.","non-dropping-particle":"","parse-names":false,"suffix":""},{"dropping-particle":"","family":"Gladyshev","given":"Michail I.","non-dropping-particle":"","parse-names":false,"suffix":""}],"container-title":"Science of the Total Environment","id":"ITEM-1","issued":{"date-parts":[["2017"]]},"page":"40-48","publisher":"Elsevier B.V.","title":"Export of aquatic productivity, including highly unsaturated fatty acids, to terrestrial ecosystems via Odonata","type":"article-journal","volume":"581-582"},"uris":["http://www.mendeley.com/documents/?uuid=45c03bdd-d068-4c4c-9a51-5c4ee898a118"]},{"id":"ITEM-2","itemData":{"DOI":"10.1016/j.scitotenv.2016.10.156","ISSN":"18791026","abstract":"Cross-ecosystem fluxes can crucially influence the productivity of adjacent habitats. Emerging aquatic insects represent one important pathway through which freshwater-derived organic matter can enter terrestrial food webs. Aquatic insects may be of superior food quality for terrestrial consumers because they contain high concentrations of essential polyunsaturated fatty acids (PUFA). We quantified the export of PUFA via emerging insects from a midsize, mesotrophic lake. Insects were collected using emergence traps installed above different water depths and subjected to fatty acid analyses. Insect emergence from different depth zones and seasonal mean fatty acid concentrations in different insect groups were used to estimate PUFA fluxes. In total, 80.5 mg PUFA m− 2yr− 1were exported, of which 32.8 mg m− 2yr− 1were eicosapentaenoic acid (EPA), 7.8 mg m− 2yr− 1were arachidonic acid (ARA), and 2.6 mg m− 2yr− 1were docosahexaenoic acid (DHA). While Chironomidae contributed most to insect biomass and total PUFA export, Chaoborus flavicans contributed most to the export of EPA, ARA, and especially DHA. The export of total insect biomass from one square meter declined with depth and the timing at which 50% of total insect biomass emerged was correlated with the water depths over which the traps were installed, suggesting that insect-mediated PUFA fluxes are strongly affected by lake morphometry. Applying a conceptual model developed to assess insect deposition rates on land to our insect-mediated PUFA export data revealed an average total PUFA deposition rate of 150 mg m− 2yr− 1within 100 m inland from the shore. We propose that PUFA export can be reliably estimated using taxon-specific information on emergent insect biomass and seasonal mean body PUFA concentrations of adult insects provided here. Our data indicate that insect-mediated PUFA fluxes from lakes are substantial, implying that freshwater-derived PUFA can crucially influence food web processes in adjacent terrestrial habitats.","author":[{"dropping-particle":"","family":"Martin-Creuzburg","given":"Dominik","non-dropping-particle":"","parse-names":false,"suffix":""},{"dropping-particle":"","family":"Kowarik","given":"Carmen","non-dropping-particle":"","parse-names":false,"suffix":""},{"dropping-particle":"","family":"Straile","given":"Dietmar","non-dropping-particle":"","parse-names":false,"suffix":""}],"container-title":"Science of the Total Environment","id":"ITEM-2","issued":{"date-parts":[["2017"]]},"page":"174-182","publisher":"Elsevier B.V.","title":"Cross-ecosystem fluxes: Export of polyunsaturated fatty acids from aquatic to terrestrial ecosystems via emerging insects","type":"article-journal","volume":"577"},"uris":["http://www.mendeley.com/documents/?uuid=6193f79e-e1d7-4a99-963e-f2abc57296c0"]},{"id":"ITEM-3","itemData":{"DOI":"10.1111/1365-2435.13401","ISSN":"02698463","author":[{"dropping-particle":"","family":"Twining","given":"Cornelia W.","non-dropping-particle":"","parse-names":false,"suffix":""},{"dropping-particle":"","family":"Brenna","given":"J. Thomas","non-dropping-particle":"","parse-names":false,"suffix":""},{"dropping-particle":"","family":"Lawrence","given":"Peter","non-dropping-particle":"","parse-names":false,"suffix":""},{"dropping-particle":"","family":"Winkler","given":"David W.","non-dropping-particle":"","parse-names":false,"suffix":""},{"dropping-particle":"","family":"Flecker","given":"Alexander S.","non-dropping-particle":"","parse-names":false,"suffix":""},{"dropping-particle":"","family":"Hairston","given":"Nelson G.","non-dropping-particle":"","parse-names":false,"suffix":""}],"container-title":"Functional Ecology","id":"ITEM-3","issued":{"date-parts":[["2019"]]},"page":"0-2","title":"Aquatic and terrestrial resources are not nutritionally reciprocal for consumers","type":"article-journal"},"uris":["http://www.mendeley.com/documents/?uuid=1095374a-cfe2-495e-b241-323fae6df384"]}],"mendeley":{"formattedCitation":"(Martin-Creuzburg et al. 2017, Popova et al. 2017, Twining et al. 2019)","plainTextFormattedCitation":"(Martin-Creuzburg et al. 2017, Popova et al. 2017, Twining et al. 2019)","previouslyFormattedCitation":"(Martin-Creuzburg et al. 2017, Popova et al. 2017, Twining et al. 2019)"},"properties":{"noteIndex":0},"schema":"https://github.com/citation-style-language/schema/raw/master/csl-citation.json"}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(Martin-Creuzburg et al. 2017, Popova et al. 2017, Twining et al. 2019)</w:t>
      </w:r>
      <w:r>
        <w:rPr>
          <w:rFonts w:cs="Times New Roman"/>
          <w:szCs w:val="24"/>
        </w:rPr>
        <w:fldChar w:fldCharType="end"/>
      </w:r>
      <w:r>
        <w:rPr>
          <w:rFonts w:cs="Times New Roman"/>
          <w:szCs w:val="24"/>
        </w:rPr>
        <w:t xml:space="preserve">.  Consequently, aquatic insect subsidies could be used by terrestrial organisms disproportionally to their level of input and our study demonstrates this could have spatially extensive implications. </w:t>
      </w:r>
    </w:p>
    <w:p w14:paraId="4BF6DCE9" w14:textId="166A5ACE" w:rsidR="00BE5C6B" w:rsidRDefault="00BE5C6B" w:rsidP="00BE5C6B">
      <w:pPr>
        <w:spacing w:before="100" w:beforeAutospacing="1" w:after="100" w:afterAutospacing="1" w:line="480" w:lineRule="auto"/>
        <w:ind w:firstLine="720"/>
        <w:contextualSpacing/>
        <w:rPr>
          <w:rFonts w:cs="Times New Roman"/>
          <w:szCs w:val="24"/>
        </w:rPr>
      </w:pPr>
      <w:r>
        <w:rPr>
          <w:rFonts w:cs="Times New Roman"/>
          <w:szCs w:val="24"/>
        </w:rPr>
        <w:t xml:space="preserve"> The dendritic nature of stream networks also causes adjacent stream reaches to </w:t>
      </w:r>
      <w:r w:rsidR="0079206C">
        <w:rPr>
          <w:rFonts w:cs="Times New Roman"/>
          <w:szCs w:val="24"/>
        </w:rPr>
        <w:t xml:space="preserve">near </w:t>
      </w:r>
      <w:r>
        <w:rPr>
          <w:rFonts w:cs="Times New Roman"/>
          <w:szCs w:val="24"/>
        </w:rPr>
        <w:t>one another such that their stream signatures overlap at confluences, along ridgelines and, to a lesser extent, at adjacent meander bends (Figure 3). Thus t</w:t>
      </w:r>
      <w:r w:rsidRPr="00640B45">
        <w:rPr>
          <w:rFonts w:cs="Times New Roman"/>
          <w:szCs w:val="24"/>
        </w:rPr>
        <w:t xml:space="preserve">hese </w:t>
      </w:r>
      <w:r>
        <w:rPr>
          <w:rFonts w:cs="Times New Roman"/>
          <w:szCs w:val="24"/>
        </w:rPr>
        <w:t xml:space="preserve">geomorphological features could represent areas of elevated </w:t>
      </w:r>
      <w:r>
        <w:rPr>
          <w:rFonts w:cs="Times New Roman"/>
          <w:szCs w:val="24"/>
        </w:rPr>
        <w:fldChar w:fldCharType="begin" w:fldLock="1"/>
      </w:r>
      <w:r w:rsidR="00306019">
        <w:rPr>
          <w:rFonts w:cs="Times New Roman"/>
          <w:szCs w:val="24"/>
        </w:rPr>
        <w:instrText>ADDIN CSL_CITATION {"citationItems":[{"id":"ITEM-1","itemData":{"DOI":"10.1029/2011WR010703","ISSN":"00431397","author":[{"dropping-particle":"","family":"Sabo","given":"John L.","non-dropping-particle":"","parse-names":false,"suffix":""},{"dropping-particle":"","family":"Hagen","given":"Elizabeth M.","non-dropping-particle":"","parse-names":false,"suffix":""}],"container-title":"Water Resources Research","id":"ITEM-1","issue":"4","issued":{"date-parts":[["2012","4","14"]]},"title":"A network theory for resource exchange between rivers and their watersheds","type":"article-journal","volume":"48"},"uris":["http://www.mendeley.com/documents/?uuid=63acb2b5-51e3-4ecc-90f2-1167c7294ea5"]}],"mendeley":{"formattedCitation":"(Sabo and Hagen 2012)","plainTextFormattedCitation":"(Sabo and Hagen 2012)","previouslyFormattedCitation":"(Sabo and Hagen 2012)"},"properties":{"noteIndex":0},"schema":"https://github.com/citation-style-language/schema/raw/master/csl-citation.json"}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(Sabo and Hagen 2012)</w:t>
      </w:r>
      <w:r>
        <w:rPr>
          <w:rFonts w:cs="Times New Roman"/>
          <w:szCs w:val="24"/>
        </w:rPr>
        <w:fldChar w:fldCharType="end"/>
      </w:r>
      <w:r>
        <w:rPr>
          <w:rFonts w:cs="Times New Roman"/>
          <w:szCs w:val="24"/>
        </w:rPr>
        <w:t xml:space="preserve"> or more stable </w:t>
      </w:r>
      <w:r>
        <w:rPr>
          <w:rFonts w:cs="Times New Roman"/>
          <w:szCs w:val="24"/>
        </w:rPr>
        <w:fldChar w:fldCharType="begin" w:fldLock="1"/>
      </w:r>
      <w:r w:rsidR="00306019">
        <w:rPr>
          <w:rFonts w:cs="Times New Roman"/>
          <w:szCs w:val="24"/>
        </w:rPr>
        <w:instrText>ADDIN CSL_CITATION {"citationItems":[{"id":"ITEM-1","itemData":{"DOI":"10.1890/14-0326.1","ISSN":"00129658","abstract":"While it is widely recognized that financial stock portfolios can be stabilized through diverse investments, it is also possible that certain habitats can function as natural portfolios that stabilize ecosystem processes. Here we propose and examine the hypothesis that free-flowing river networks act as such portfolios and confer stability through their integration of upstream geological, hydrological, and biological diversity. We compiled a spatially (142 sites) and temporally (1980–present) extensive data set on fisheries, water flows, and temperatures, from sites within one of the largest watersheds in the world that remains without dams on its mainstem, the Fraser River, British Columbia, Canada. We found that larger catchments had more stable fisheries catches, water flows, and water temperatures than smaller catchments. These data provide evidence that free-flowing river networks function as hierarchically nested portfolios with stability as an emergent property. Thus, free-flowing river networks can represent a natural system for buffering variation and extreme events.","author":[{"dropping-particle":"","family":"Moore","given":"Jonathan W.","non-dropping-particle":"","parse-names":false,"suffix":""},{"dropping-particle":"","family":"Beakes","given":"Michael P.","non-dropping-particle":"","parse-names":false,"suffix":""},{"dropping-particle":"","family":"Nesbitt","given":"Holly K.","non-dropping-particle":"","parse-names":false,"suffix":""},{"dropping-particle":"","family":"Yeakel","given":"Justin D.","non-dropping-particle":"","parse-names":false,"suffix":""},{"dropping-particle":"","family":"Patterson","given":"David A.","non-dropping-particle":"","parse-names":false,"suffix":""},{"dropping-particle":"","family":"Thompson","given":"Lisa A.","non-dropping-particle":"","parse-names":false,"suffix":""},{"dropping-particle":"","family":"Phillis","given":"Corey C.","non-dropping-particle":"","parse-names":false,"suffix":""},{"dropping-particle":"","family":"Braun","given":"Douglas C.","non-dropping-particle":"","parse-names":false,"suffix":""},{"dropping-particle":"","family":"Favaro","given":"Corinna","non-dropping-particle":"","parse-names":false,"suffix":""},{"dropping-particle":"","family":"Scott","given":"David","non-dropping-particle":"","parse-names":false,"suffix":""},{"dropping-particle":"","family":"Carr-Harris","given":"Charmaine","non-dropping-particle":"","parse-names":false,"suffix":""},{"dropping-particle":"","family":"Atlas","given":"William I.","non-dropping-particle":"","parse-names":false,"suffix":""}],"container-title":"Ecology","id":"ITEM-1","issue":"2","issued":{"date-parts":[["2015"]]},"page":"340-347","title":"Emergent stability in a large, free-flowing watershed","type":"article-journal","volume":"96"},"uris":["http://www.mendeley.com/documents/?uuid=51a764da-c3e2-49af-8441-6710e5bdaf77"]}],"mendeley":{"formattedCitation":"(Moore et al. 2015)","plainTextFormattedCitation":"(Moore et al. 2015)","previouslyFormattedCitation":"(Moore et al. 2015)"},"properties":{"noteIndex":0},"schema":"https://github.com/citation-style-language/schema/raw/master/csl-citation.json"}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(Moore et al. 2015)</w:t>
      </w:r>
      <w:r>
        <w:rPr>
          <w:rFonts w:cs="Times New Roman"/>
          <w:szCs w:val="24"/>
        </w:rPr>
        <w:fldChar w:fldCharType="end"/>
      </w:r>
      <w:r>
        <w:rPr>
          <w:rFonts w:cs="Times New Roman"/>
          <w:szCs w:val="24"/>
        </w:rPr>
        <w:t xml:space="preserve"> sources of aquatic insect subsidies, affecting </w:t>
      </w:r>
      <w:r w:rsidRPr="00640B45">
        <w:rPr>
          <w:rFonts w:cs="Times New Roman"/>
          <w:szCs w:val="24"/>
        </w:rPr>
        <w:t xml:space="preserve">habitat complexity </w:t>
      </w:r>
      <w:r w:rsidRPr="00640B45">
        <w:rPr>
          <w:rFonts w:cs="Times New Roman"/>
          <w:szCs w:val="24"/>
        </w:rPr>
        <w:fldChar w:fldCharType="begin" w:fldLock="1"/>
      </w:r>
      <w:r w:rsidR="00306019">
        <w:rPr>
          <w:rFonts w:cs="Times New Roman"/>
          <w:szCs w:val="24"/>
        </w:rPr>
        <w:instrText>ADDIN CSL_CITATION {"citationItems":[{"id":"ITEM-1","itemData":{"DOI":"https://doi.org/10.1007/s10980-018-0734-9 1","ISBN":"0123456789","author":[{"dropping-particle":"","family":"White","given":"Margaret S.","non-dropping-particle":"","parse-names":false,"suffix":""},{"dropping-particle":"","family":"Tavernia","given":"Brian G.","non-dropping-particle":"","parse-names":false,"suffix":""},{"dropping-particle":"","family":"Shafroth","given":"Patrick B.","non-dropping-particle":"","parse-names":false,"suffix":""},{"dropping-particle":"","family":"Chapman","given":"Teresa B","non-dropping-particle":"","parse-names":false,"suffix":""},{"dropping-particle":"","family":"Sanderson","given":"John S","non-dropping-particle":"","parse-names":false,"suffix":""}],"container-title":"Landscape Ecology","id":"ITEM-1","issued":{"date-parts":[["2018"]]},"title":"Vegetative and geomorphic complexity at tributaty jusctions on Colorago and Delores Rivers: a blueprint for riparian restoration","type":"article-journal"},"uris":["http://www.mendeley.com/documents/?uuid=6a2174f0-a1b2-4f7b-8254-a65272d49f9e"]}],"mendeley":{"formattedCitation":"(White et al. 2018)","plainTextFormattedCitation":"(White et al. 2018)","previouslyFormattedCitation":"(White et al. 2018)"},"properties":{"noteIndex":0},"schema":"https://github.com/citation-style-language/schema/raw/master/csl-citation.json"}</w:instrText>
      </w:r>
      <w:r w:rsidRPr="00640B45">
        <w:rPr>
          <w:rFonts w:cs="Times New Roman"/>
          <w:szCs w:val="24"/>
        </w:rPr>
        <w:fldChar w:fldCharType="separate"/>
      </w:r>
      <w:r w:rsidR="0034241C" w:rsidRPr="0034241C">
        <w:rPr>
          <w:rFonts w:cs="Times New Roman"/>
          <w:noProof/>
          <w:szCs w:val="24"/>
        </w:rPr>
        <w:t>(White et al. 2018)</w:t>
      </w:r>
      <w:r w:rsidRPr="00640B45">
        <w:rPr>
          <w:rFonts w:cs="Times New Roman"/>
          <w:szCs w:val="24"/>
        </w:rPr>
        <w:fldChar w:fldCharType="end"/>
      </w:r>
      <w:r w:rsidRPr="00640B45">
        <w:rPr>
          <w:rFonts w:cs="Times New Roman"/>
          <w:szCs w:val="24"/>
        </w:rPr>
        <w:t xml:space="preserve">, trophic interactions </w:t>
      </w:r>
      <w:r w:rsidRPr="00640B45">
        <w:rPr>
          <w:rFonts w:cs="Times New Roman"/>
          <w:szCs w:val="24"/>
        </w:rPr>
        <w:fldChar w:fldCharType="begin" w:fldLock="1"/>
      </w:r>
      <w:r w:rsidR="00306019">
        <w:rPr>
          <w:rFonts w:cs="Times New Roman"/>
          <w:szCs w:val="24"/>
        </w:rPr>
        <w:instrText>ADDIN CSL_CITATION {"citationItems":[{"id":"ITEM-1","itemData":{"DOI":"10.1034/j.1600-0587.2003.03355.x","ISBN":"1600-0587","ISSN":"09067590","PMID":"1465","abstract":"Iwata, T., Nakano, S. and Murakami, M. 2003. Stream meanders increase insectivo-rous bird abundance in riparian deciduous forests. – Ecography 26: 325– 337. Adult aquatic insects emerging from streams are a fundamental resource sustaining riparian bird communities in broad-leaved deciduous forests. We investigated how stream geomorphology affects the aquatic insect flux and insectivorous bird abun-dance in 26 riparian-forest plots during spring season in northern Japan. Lateral dispersal of emergent aquatic insects into the riparian forest exponentially decreased with distance from the stream. Similar to aquatic insect distribution, flycatchers and gleaners concentrated their foraging attacks around the stream channel, preying intensively upon emergent aquatic insects. In contrast, bark probers consumed fewer emergent aquatic insects. The abundance of flycatchers and gleaners was closely related to stream geomorphology, whereas that of bark probers was associated with snag density in the study plots. A path analysis showed that the study plots with longer stream channels had greater aquatic insect abundance. This can be interpreted as a consequence of the increased amount of both stream edge and stream surface, where emergent aquatic insects readily penetrate. The increased flux of aquatic insects by stream meanders elevated gleaner abundance in the study plots. In addition, their abundance was directly affected by stream length per se. On the other hand, flycatcher abundance was only directly affected by stream length. Flycatchers, which mainly consumed emergent aquatic insects in the air, may have increased in response to the increase in suitable foraging sites (i.e., open spaces adjacent to perches) accompanying longer stream channels. Although the causal links affecting bird abundance differed among guilds, meandering streams apparently support abundant insectivorous birds in riparian forests. Therefore, to conserve riparian bird communi-ties, it will be necessary to maintain the functions of stream geomorphology that affect the magnitude of energy transfer across the forest-stream interface.","author":[{"dropping-particle":"","family":"Iwata","given":"Tomoya","non-dropping-particle":"","parse-names":false,"suffix":""},{"dropping-particle":"","family":"Nakano","given":"Shigeru","non-dropping-particle":"","parse-names":false,"suffix":""},{"dropping-particle":"","family":"Murakami","given":"Masashi","non-dropping-particle":"","parse-names":false,"suffix":""}],"container-title":"Ecography","id":"ITEM-1","issue":"3","issued":{"date-parts":[["2003"]]},"page":"325-337","title":"Stream meanders increase insectivorous bird abundance in riparian deciduous forests","type":"article-journal","volume":"26"},"uris":["http://www.mendeley.com/documents/?uuid=0ce189c3-9f36-40b8-89cd-7964bc2bf80a"]}],"mendeley":{"formattedCitation":"(Iwata et al. 2003)","plainTextFormattedCitation":"(Iwata et al. 2003)","previouslyFormattedCitation":"(Iwata et al. 2003)"},"properties":{"noteIndex":0},"schema":"https://github.com/citation-style-language/schema/raw/master/csl-citation.json"}</w:instrText>
      </w:r>
      <w:r w:rsidRPr="00640B45">
        <w:rPr>
          <w:rFonts w:cs="Times New Roman"/>
          <w:szCs w:val="24"/>
        </w:rPr>
        <w:fldChar w:fldCharType="separate"/>
      </w:r>
      <w:r w:rsidR="0034241C" w:rsidRPr="0034241C">
        <w:rPr>
          <w:rFonts w:cs="Times New Roman"/>
          <w:noProof/>
          <w:szCs w:val="24"/>
        </w:rPr>
        <w:t>(Iwata et al. 2003)</w:t>
      </w:r>
      <w:r w:rsidRPr="00640B45">
        <w:rPr>
          <w:rFonts w:cs="Times New Roman"/>
          <w:szCs w:val="24"/>
        </w:rPr>
        <w:fldChar w:fldCharType="end"/>
      </w:r>
      <w:r w:rsidRPr="00640B45">
        <w:rPr>
          <w:rFonts w:cs="Times New Roman"/>
          <w:szCs w:val="24"/>
        </w:rPr>
        <w:t xml:space="preserve"> and </w:t>
      </w:r>
      <w:r>
        <w:rPr>
          <w:rFonts w:cs="Times New Roman"/>
          <w:szCs w:val="24"/>
        </w:rPr>
        <w:t xml:space="preserve">spatial patterns of </w:t>
      </w:r>
      <w:r w:rsidRPr="00640B45">
        <w:rPr>
          <w:rFonts w:cs="Times New Roman"/>
          <w:szCs w:val="24"/>
        </w:rPr>
        <w:t xml:space="preserve">species diversity </w:t>
      </w:r>
      <w:r w:rsidRPr="00640B45">
        <w:rPr>
          <w:rFonts w:cs="Times New Roman"/>
          <w:szCs w:val="24"/>
        </w:rPr>
        <w:fldChar w:fldCharType="begin" w:fldLock="1"/>
      </w:r>
      <w:r w:rsidR="00306019">
        <w:rPr>
          <w:rFonts w:cs="Times New Roman"/>
          <w:szCs w:val="24"/>
        </w:rPr>
        <w:instrText>ADDIN CSL_CITATION {"citationItems":[{"id":"ITEM-1","itemData":{"DOI":"10.1093/biosci/bix078","ISSN":"0006-3568","author":[{"dropping-particle":"","family":"Ramey","given":"Tonya L.","non-dropping-particle":"","parse-names":false,"suffix":""},{"dropping-particle":"","family":"Richardson","given":"John S.","non-dropping-particle":"","parse-names":false,"suffix":""}],"container-title":"BioScience","id":"ITEM-1","issue":"9","issued":{"date-parts":[["2017"]]},"title":"Terrestrial Invertebrates in the Riparian Zone: Mechanisms Underlying Their Unique Diversity","type":"article-journal","volume":"67"},"uris":["http://www.mendeley.com/documents/?uuid=25567eb7-f7d8-4b04-9b85-06a6ac696382"]}],"mendeley":{"formattedCitation":"(Ramey and Richardson 2017)","plainTextFormattedCitation":"(Ramey and Richardson 2017)","previouslyFormattedCitation":"(Ramey and Richardson 2017)"},"properties":{"noteIndex":0},"schema":"https://github.com/citation-style-language/schema/raw/master/csl-citation.json"}</w:instrText>
      </w:r>
      <w:r w:rsidRPr="00640B45">
        <w:rPr>
          <w:rFonts w:cs="Times New Roman"/>
          <w:szCs w:val="24"/>
        </w:rPr>
        <w:fldChar w:fldCharType="separate"/>
      </w:r>
      <w:r w:rsidR="0034241C" w:rsidRPr="0034241C">
        <w:rPr>
          <w:rFonts w:cs="Times New Roman"/>
          <w:noProof/>
          <w:szCs w:val="24"/>
        </w:rPr>
        <w:t>(Ramey and Richardson 2017)</w:t>
      </w:r>
      <w:r w:rsidRPr="00640B45">
        <w:rPr>
          <w:rFonts w:cs="Times New Roman"/>
          <w:szCs w:val="24"/>
        </w:rPr>
        <w:fldChar w:fldCharType="end"/>
      </w:r>
      <w:r>
        <w:rPr>
          <w:rFonts w:cs="Times New Roman"/>
          <w:szCs w:val="24"/>
        </w:rPr>
        <w:t xml:space="preserve">. Stream networks are often investigated in the context of meta-populations and have been shown to confer stability in aquatic ecosystems through the aggregation of dynamics occurring at individual stream reaches </w:t>
      </w:r>
      <w:r>
        <w:rPr>
          <w:rFonts w:cs="Times New Roman"/>
          <w:szCs w:val="24"/>
        </w:rPr>
        <w:fldChar w:fldCharType="begin" w:fldLock="1"/>
      </w:r>
      <w:r w:rsidR="00306019">
        <w:rPr>
          <w:rFonts w:cs="Times New Roman"/>
          <w:szCs w:val="24"/>
        </w:rPr>
        <w:instrText>ADDIN CSL_CITATION {"citationItems":[{"id":"ITEM-1","itemData":{"DOI":"10.1111/ele.12228","ISBN":"1461-023X; 1461-0248","ISSN":"1461023X","PMID":"24304967","abstract":"Spatial structure in landscapes impacts population stability. Two linked components of stability have large consequences for persistence: first, statistical stability as the lack of temporal fluctuations; second, synchronisation as an aspect of dynamic stability, which erodes metapopulation rescue effects. Here, we determine the influence of river network structure on the stability of riverine metapopulations. We introduce an approach that converts river networks to metapopulation networks, and analytically show how fluctuation magnitude is influenced by interaction structure. We show that river metapopulation complexity (in terms of branching prevalence) has nonlinear dampening effects on population fluctuations, and can also buffer against synchronisation. We conclude by showing that river transects generally increase synchronisation, while the spatial scale of interaction has nonlinear effects on synchronised dynamics. Our results indicate that this dual stability - conferred by fluctuation and synchronisation dampening - emerges from interaction structure in rivers, and this may strongly influence the persistence of river metapopulations.","author":[{"dropping-particle":"","family":"Yeakel","given":"J. D.","non-dropping-particle":"","parse-names":false,"suffix":""},{"dropping-particle":"","family":"Moore","given":"J. W.","non-dropping-particle":"","parse-names":false,"suffix":""},{"dropping-particle":"","family":"Guimarães","given":"P. R.","non-dropping-particle":"","parse-names":false,"suffix":""},{"dropping-particle":"","family":"Aguiar","given":"M. A M","non-dropping-particle":"de","parse-names":false,"suffix":""}],"container-title":"Ecology Letters","id":"ITEM-1","issue":"3","issued":{"date-parts":[["2014"]]},"page":"273-283","title":"Synchronisation and stability in river metapopulation networks","type":"article-journal","volume":"17"},"uris":["http://www.mendeley.com/documents/?uuid=255c20b0-1a21-44df-80f5-345698fc12ab"]},{"id":"ITEM-2","itemData":{"DOI":"10.1890/14-0326.1","ISSN":"00129658","abstract":"While it is widely recognized that financial stock portfolios can be stabilized through diverse investments, it is also possible that certain habitats can function as natural portfolios that stabilize ecosystem processes. Here we propose and examine the hypothesis that free-flowing river networks act as such portfolios and confer stability through their integration of upstream geological, hydrological, and biological diversity. We compiled a spatially (142 sites) and temporally (1980–present) extensive data set on fisheries, water flows, and temperatures, from sites within one of the largest watersheds in the world that remains without dams on its mainstem, the Fraser River, British Columbia, Canada. We found that larger catchments had more stable fisheries catches, water flows, and water temperatures than smaller catchments. These data provide evidence that free-flowing river networks function as hierarchically nested portfolios with stability as an emergent property. Thus, free-flowing river networks can represent a natural system for buffering variation and extreme events.","author":[{"dropping-particle":"","family":"Moore","given":"Jonathan W.","non-dropping-particle":"","parse-names":false,"suffix":""},{"dropping-particle":"","family":"Beakes","given":"Michael P.","non-dropping-particle":"","parse-names":false,"suffix":""},{"dropping-particle":"","family":"Nesbitt","given":"Holly K.","non-dropping-particle":"","parse-names":false,"suffix":""},{"dropping-particle":"","family":"Yeakel","given":"Justin D.","non-dropping-particle":"","parse-names":false,"suffix":""},{"dropping-particle":"","family":"Patterson","given":"David A.","non-dropping-particle":"","parse-names":false,"suffix":""},{"dropping-particle":"","family":"Thompson","given":"Lisa A.","non-dropping-particle":"","parse-names":false,"suffix":""},{"dropping-particle":"","family":"Phillis","given":"Corey C.","non-dropping-particle":"","parse-names":false,"suffix":""},{"dropping-particle":"","family":"Braun","given":"Douglas C.","non-dropping-particle":"","parse-names":false,"suffix":""},{"dropping-particle":"","family":"Favaro","given":"Corinna","non-dropping-particle":"","parse-names":false,"suffix":""},{"dropping-particle":"","family":"Scott","given":"David","non-dropping-particle":"","parse-names":false,"suffix":""},{"dropping-particle":"","family":"Carr-Harris","given":"Charmaine","non-dropping-particle":"","parse-names":false,"suffix":""},{"dropping-particle":"","family":"Atlas","given":"William I.","non-dropping-particle":"","parse-names":false,"suffix":""}],"container-title":"Ecology","id":"ITEM-2","issue":"2","issued":{"date-parts":[["2015"]]},"page":"340-347","title":"Emergent stability in a large, free-flowing watershed","type":"article-journal","volume":"96"},"uris":["http://www.mendeley.com/documents/?uuid=51a764da-c3e2-49af-8441-6710e5bdaf77"]}],"mendeley":{"formattedCitation":"(Yeakel et al. 2014, Moore et al. 2015)","plainTextFormattedCitation":"(Yeakel et al. 2014, Moore et al. 2015)","previouslyFormattedCitation":"(Yeakel et al. 2014, Moore et al. 2015)"},"properties":{"noteIndex":0},"schema":"https://github.com/citation-style-language/schema/raw/master/csl-citation.json"}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(Yeakel et al. 2014, Moore et al. 2015)</w:t>
      </w:r>
      <w:r>
        <w:rPr>
          <w:rFonts w:cs="Times New Roman"/>
          <w:szCs w:val="24"/>
        </w:rPr>
        <w:fldChar w:fldCharType="end"/>
      </w:r>
      <w:r>
        <w:rPr>
          <w:rFonts w:cs="Times New Roman"/>
          <w:szCs w:val="24"/>
        </w:rPr>
        <w:t>. Here, our overlapping stream signatures could parallel these findings for terrestrial ecosystems whereby the variance in insect emergence at any single reach is dampened by the others</w:t>
      </w:r>
      <w:r w:rsidRPr="006556DD">
        <w:rPr>
          <w:rFonts w:cs="Times New Roman"/>
          <w:szCs w:val="24"/>
        </w:rPr>
        <w:t xml:space="preserve"> </w:t>
      </w:r>
      <w:r>
        <w:rPr>
          <w:rFonts w:cs="Times New Roman"/>
          <w:szCs w:val="24"/>
        </w:rPr>
        <w:t xml:space="preserve">(i.e. meta-stability; </w:t>
      </w:r>
      <w:r>
        <w:rPr>
          <w:rFonts w:cs="Times New Roman"/>
          <w:szCs w:val="24"/>
        </w:rPr>
        <w:fldChar w:fldCharType="begin" w:fldLock="1"/>
      </w:r>
      <w:r w:rsidR="00306019">
        <w:rPr>
          <w:rFonts w:cs="Times New Roman"/>
          <w:szCs w:val="24"/>
        </w:rPr>
        <w:instrText>ADDIN CSL_CITATION {"citationItems":[{"id":"ITEM-1","itemData":{"abstract":"A common assumption historically in ecology isevident in the term \"balance of nature. \" The phrase usually implies that undisturbed nature is ordered and harmonious, and that ecological systems return to a previous equilibrium after disturbances. The more recent concepts of point equilibrium and static stability, which characterize the classical equilibrium paradigm in ecology, are traceable tothe assumptions implicitn \"balance of nature. \" The classical equilibrium view, however, has failed not only because equilibrium conditions are rare in nature, but also because of our past inability to incorporate heterogeneity and scale multiplicity into our quantitative expressions for stability. The theories and models built around thesequilibrium and stability principles have misrepresented the foundations ofresource management,ature conservation, and environmental protection. In this paper, we synthesize recent developments that advance our understandings of equilibrium vs. nonequilibrium, homogeneity vs. heterogeneity, determinism vs. stochasticity, andsingle-scale phenomenon vs. hierarchical linkages in ecological systems. The integration of patch dynamics with hierarchy theory has led to new perspectives in spatial and temporal dynamics, with explicit linkage between scale and heterogeneity. The major elements ofthe hierarchical ptch dynamics paradigm include the idea of nested hierarchies of patch mosaics, ecosystem dynamics as a composite ofpatch changes in time and space, the pattern-process-scale perspective, thenonequilibrium perspective, and the concepts of incorporation and metastability. Both environmental sochasticities and biotic feedback interactions can cause instability and contribute to the dynamics observed atvarious scales. Stabilizing mechanisms that dampen these destabilizingforces include spatial incorporation, environmental disturbances, biological compensatory mechanisms, and heterogeneity absorption. Hierarchical patch dynamics incorporates certain \"emergent properties\" of ecological systems, such as metastability or persistence at the meta-scale, as opposed to the transient dynamics that usually characterize localphenomena. I contrast to the stability that derivesfrom an assumed self-regulation in a closed system, the concepts ofincorporation andmetastability deal explicitly with multiple-scale processes and the consequences of heterogeneity. The most important contribution of hierarchical patch dynamics lies in theframework provided…","author":[{"dropping-particle":"","family":"Wu","given":"J","non-dropping-particle":"","parse-names":false,"suffix":""},{"dropping-particle":"","family":"Loucks","given":"Orie","non-dropping-particle":"","parse-names":false,"suffix":""}],"container-title":"The Quarterly Review of Biology","id":"ITEM-1","issue":"4","issued":{"date-parts":[["1995"]]},"note":"1. Introduction\n2. Balance of Nature and the Classical Ecological Paradigm\n3. Nonequilibrium and Muultiple Equilibrium Perspectives\n4. Hierarchical Patch Dynamics as an Emerging Paradigm\n4a. Patchiness in Ecological systems\n4b. The patch Dynamics Perspective\n4c. Hierarchy Theory \n4d. Major elements of the hierarchical parch dynamics paradigm\n-Ecological systems as nested, discontinuous hierarchies of patch modaics \n-Dynamics of ecological systems as a composite of patch dynamics\n-Pattern-process-scale perspective\n-The nonequilibrium perspective\n-incorporation and metastability \n4e. Patch dynamics modeling\n5. Instability and stability of ecological systems\n-Spatial incorporation of llocalized biotic feedback instability\n-Environmental disturbance control of biotic feedback instability\n-Biotic compensatory control of stochastic instability\n- Spatial incorporation fo stochastic instability\n-Absorbtion of ecological instability through heterogenity\n6.Discussions and Conclusions","page":"439-466","title":"From Balance of Nature to Hierarchical Patch Dynamics : A Paradigm Shift in Ecology","type":"article-journal","volume":"70"},"uris":["http://www.mendeley.com/documents/?uuid=b0210f41-8b80-4d83-b08c-114993d41482"]}],"mendeley":{"formattedCitation":"(Wu and Loucks 1995)","manualFormatting":"Wu and Loucks 1995)","plainTextFormattedCitation":"(Wu and Loucks 1995)","previouslyFormattedCitation":"(Wu and Loucks 1995)"},"properties":{"noteIndex":0},"schema":"https://github.com/citation-style-language/schema/raw/master/csl-citation.json"}</w:instrText>
      </w:r>
      <w:r>
        <w:rPr>
          <w:rFonts w:cs="Times New Roman"/>
          <w:szCs w:val="24"/>
        </w:rPr>
        <w:fldChar w:fldCharType="separate"/>
      </w:r>
      <w:r w:rsidRPr="002822FC">
        <w:rPr>
          <w:rFonts w:cs="Times New Roman"/>
          <w:noProof/>
          <w:szCs w:val="24"/>
        </w:rPr>
        <w:t xml:space="preserve">Wu and Loucks </w:t>
      </w:r>
      <w:r w:rsidRPr="002822FC">
        <w:rPr>
          <w:rFonts w:cs="Times New Roman"/>
          <w:noProof/>
          <w:szCs w:val="24"/>
        </w:rPr>
        <w:lastRenderedPageBreak/>
        <w:t>1995)</w:t>
      </w:r>
      <w:r>
        <w:rPr>
          <w:rFonts w:cs="Times New Roman"/>
          <w:szCs w:val="24"/>
        </w:rPr>
        <w:fldChar w:fldCharType="end"/>
      </w:r>
      <w:r>
        <w:rPr>
          <w:rFonts w:cs="Times New Roman"/>
          <w:szCs w:val="24"/>
        </w:rPr>
        <w:t xml:space="preserve">. Interestingly we found stream signatures from individual stream reaches could overlap as many as 37 times in some networks and recommend future research assess the degree of asynchrony in aquatic insect emergence among stream reaches within river networks, which can be generated by heterogeneity in stream water temperatures </w:t>
      </w:r>
      <w:r>
        <w:rPr>
          <w:rFonts w:cs="Times New Roman"/>
          <w:szCs w:val="24"/>
        </w:rPr>
        <w:fldChar w:fldCharType="begin" w:fldLock="1"/>
      </w:r>
      <w:r w:rsidR="00306019">
        <w:rPr>
          <w:rFonts w:cs="Times New Roman"/>
          <w:szCs w:val="24"/>
        </w:rPr>
        <w:instrText>ADDIN CSL_CITATION {"citationItems":[{"id":"ITEM-1","itemData":{"DOI":"10.1002/ecy.1552","ISSN":"00129658","abstract":"Emerging aquatic insects from streams are important food sources for riparian predators, yet their availability is seasonally limited. Spatial heterogeneity in stream water tem- perature was found to spatially desynchronize the emergence timing of aquatic insects, and prolong their flight period, potentially enhancing consumer growth. While a mayfly Ephemerella maculata emergence lasted for 12–22 d in local sites along a river, mayflies emerged 19 days earlier from warmer than cooler sites. Therefore, the overall emergence of E. maculata from the river lasted for 37 d, and adult swarms were observed over that same period in an adjacent reproductive habitat. A feeding experiment with the riparian spider Tetragnatha versicolor showed that a prolonged subsidy, as would occur in a heterogeneous river, led to higher juve- nile growth than a synchronous pulsed subsidy of equal total biomass, as would typify a more homogeneous river. Since larger female adult spiders produce more eggs, spiders that received prolonged subsidy as juveniles should achieve higher fecundity. Restoring spatial heterogeneity in streams may benefit not only stream communities but also riparian predators.","author":[{"dropping-particle":"","family":"Uno","given":"Hiromi","non-dropping-particle":"","parse-names":false,"suffix":""}],"container-title":"Ecology","id":"ITEM-1","issue":"10","issued":{"date-parts":[["2016"]]},"page":"2547-2553","title":"Stream thermal heterogeneity prolongs aquatic-terrestrial subsidy and enhances riparian spider growth","type":"article-journal","volume":"97"},"uris":["http://www.mendeley.com/documents/?uuid=672409dc-fc9d-47c1-92a2-23ae7ed779fa"]}],"mendeley":{"formattedCitation":"(Uno 2016)","plainTextFormattedCitation":"(Uno 2016)","previouslyFormattedCitation":"(Uno 2016)"},"properties":{"noteIndex":0},"schema":"https://github.com/citation-style-language/schema/raw/master/csl-citation.json"}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(Uno 2016)</w:t>
      </w:r>
      <w:r>
        <w:rPr>
          <w:rFonts w:cs="Times New Roman"/>
          <w:szCs w:val="24"/>
        </w:rPr>
        <w:fldChar w:fldCharType="end"/>
      </w:r>
      <w:r>
        <w:rPr>
          <w:rFonts w:cs="Times New Roman"/>
          <w:szCs w:val="24"/>
        </w:rPr>
        <w:t xml:space="preserve">.    </w:t>
      </w:r>
    </w:p>
    <w:p w14:paraId="5885C32C" w14:textId="092A3F38" w:rsidR="00BE5C6B" w:rsidRPr="00640B45" w:rsidRDefault="00BE5C6B" w:rsidP="00BE5C6B">
      <w:pPr>
        <w:spacing w:before="100" w:beforeAutospacing="1" w:after="100" w:afterAutospacing="1" w:line="480" w:lineRule="auto"/>
        <w:ind w:firstLine="720"/>
        <w:contextualSpacing/>
        <w:rPr>
          <w:rFonts w:cs="Times New Roman"/>
          <w:szCs w:val="24"/>
        </w:rPr>
      </w:pPr>
      <w:r>
        <w:rPr>
          <w:rFonts w:cs="Times New Roman"/>
          <w:szCs w:val="24"/>
        </w:rPr>
        <w:t>A novelty of this research is using a statistical analysis of data from real stream networks to evaluate theory put forth by Sabo and Hagen (2012). Specifically, we confirmed d</w:t>
      </w:r>
      <w:r w:rsidRPr="00640B45">
        <w:rPr>
          <w:rFonts w:cs="Times New Roman"/>
          <w:szCs w:val="24"/>
        </w:rPr>
        <w:t xml:space="preserve">rainage density </w:t>
      </w:r>
      <w:r>
        <w:rPr>
          <w:rFonts w:cs="Times New Roman"/>
          <w:szCs w:val="24"/>
        </w:rPr>
        <w:t>i</w:t>
      </w:r>
      <w:r w:rsidRPr="00640B45">
        <w:rPr>
          <w:rFonts w:cs="Times New Roman"/>
          <w:szCs w:val="24"/>
        </w:rPr>
        <w:t>s the most important component predicting the spatial extent of aquatic subsidies</w:t>
      </w:r>
      <w:r>
        <w:rPr>
          <w:rFonts w:cs="Times New Roman"/>
          <w:szCs w:val="24"/>
        </w:rPr>
        <w:t xml:space="preserve"> while confluences, basin widths and channel sinuosity </w:t>
      </w:r>
      <w:r w:rsidRPr="00640B45">
        <w:rPr>
          <w:rFonts w:cs="Times New Roman"/>
          <w:szCs w:val="24"/>
        </w:rPr>
        <w:t xml:space="preserve">become more important at </w:t>
      </w:r>
      <w:r>
        <w:rPr>
          <w:rFonts w:cs="Times New Roman"/>
          <w:szCs w:val="24"/>
        </w:rPr>
        <w:t>lower stream signature percentages (larger distances) as stream signatures begin to overlap</w:t>
      </w:r>
      <w:r w:rsidRPr="00640B45">
        <w:rPr>
          <w:rFonts w:cs="Times New Roman"/>
          <w:szCs w:val="24"/>
        </w:rPr>
        <w:t>.</w:t>
      </w:r>
      <w:r>
        <w:rPr>
          <w:rFonts w:cs="Times New Roman"/>
          <w:szCs w:val="24"/>
        </w:rPr>
        <w:t xml:space="preserve"> Drainage density describes the amount of contact between aquatic and terrestrial ecosystems; thus it is unsurprising that it was the best predictor. Coefficients for confluences, sub-basin width and channel sinuosity however</w:t>
      </w:r>
      <w:r w:rsidRPr="00640B45">
        <w:rPr>
          <w:rFonts w:cs="Times New Roman"/>
          <w:szCs w:val="24"/>
        </w:rPr>
        <w:t xml:space="preserve"> begin to </w:t>
      </w:r>
      <w:r>
        <w:rPr>
          <w:rFonts w:cs="Times New Roman"/>
          <w:szCs w:val="24"/>
        </w:rPr>
        <w:t xml:space="preserve">differ from 0 </w:t>
      </w:r>
      <w:r w:rsidRPr="00640B45">
        <w:rPr>
          <w:rFonts w:cs="Times New Roman"/>
          <w:szCs w:val="24"/>
        </w:rPr>
        <w:t>at the 21% stream signature (i.e. 100m distance</w:t>
      </w:r>
      <w:r>
        <w:rPr>
          <w:rFonts w:cs="Times New Roman"/>
          <w:szCs w:val="24"/>
        </w:rPr>
        <w:t xml:space="preserve"> from the water’s edge</w:t>
      </w:r>
      <w:r w:rsidRPr="00640B45">
        <w:rPr>
          <w:rFonts w:cs="Times New Roman"/>
          <w:szCs w:val="24"/>
        </w:rPr>
        <w:t>)</w:t>
      </w:r>
      <w:r>
        <w:rPr>
          <w:rFonts w:cs="Times New Roman"/>
          <w:szCs w:val="24"/>
        </w:rPr>
        <w:t xml:space="preserve"> meaning statistically these network characteristics did not affect the spatial extent of higher stream signature percentages because they remained closer to the stream channel. We propose overlap occurs between moderate levels (lower stream signatures) of aquatic insect subsidies. Contrary to Sabo and Hagen (2012) w</w:t>
      </w:r>
      <w:r w:rsidRPr="00640B45">
        <w:rPr>
          <w:rFonts w:cs="Times New Roman"/>
          <w:szCs w:val="24"/>
        </w:rPr>
        <w:t>e</w:t>
      </w:r>
      <w:r>
        <w:rPr>
          <w:rFonts w:cs="Times New Roman"/>
          <w:szCs w:val="24"/>
        </w:rPr>
        <w:t xml:space="preserve"> found network configuration (i.e. confluences and sub-basins) were more important for overlapping stream signatures than channel sinuosity (Figure 3). This departure from theory could be driven by the irregularity of meanders in real stream networks – very rarely do they fit simplified version Sabo and Hagen (2012) needed to make the mathematics tractable – which reduces the interaction between adjacent meanders.  This finding may be especially important because few if any studies have focused on aquatic insect deposition at confluences and/or </w:t>
      </w:r>
      <w:proofErr w:type="spellStart"/>
      <w:r>
        <w:rPr>
          <w:rFonts w:cs="Times New Roman"/>
          <w:szCs w:val="24"/>
        </w:rPr>
        <w:t>subbasin</w:t>
      </w:r>
      <w:proofErr w:type="spellEnd"/>
      <w:r>
        <w:rPr>
          <w:rFonts w:cs="Times New Roman"/>
          <w:szCs w:val="24"/>
        </w:rPr>
        <w:t xml:space="preserve"> divides.</w:t>
      </w:r>
      <w:r w:rsidRPr="00640B45">
        <w:rPr>
          <w:rFonts w:cs="Times New Roman"/>
          <w:szCs w:val="24"/>
        </w:rPr>
        <w:t xml:space="preserve"> </w:t>
      </w:r>
    </w:p>
    <w:p w14:paraId="1E9D587C" w14:textId="2BA87554" w:rsidR="00BE5C6B" w:rsidRDefault="00BE5C6B" w:rsidP="00BE5C6B">
      <w:pPr>
        <w:spacing w:before="100" w:beforeAutospacing="1" w:after="100" w:afterAutospacing="1" w:line="480" w:lineRule="auto"/>
        <w:ind w:firstLine="720"/>
        <w:contextualSpacing/>
        <w:rPr>
          <w:rFonts w:cs="Times New Roman"/>
          <w:szCs w:val="24"/>
        </w:rPr>
      </w:pPr>
      <w:r>
        <w:rPr>
          <w:rFonts w:cs="Times New Roman"/>
          <w:szCs w:val="24"/>
        </w:rPr>
        <w:lastRenderedPageBreak/>
        <w:t xml:space="preserve">Linking the spatial patterning of aquatic insect subsidies to the geomorphic template of the stream network allowed us to make predictions about the relative importance of aquatic insect subsidies at regional scales and explore the broad-scale factors that potentially drive differences among regions. </w:t>
      </w:r>
      <w:r w:rsidRPr="00640B45">
        <w:rPr>
          <w:rFonts w:cs="Times New Roman"/>
          <w:szCs w:val="24"/>
        </w:rPr>
        <w:t>For example, the Lower Mississippi (VPU08) hydrologic region is relatively well dissected by streams</w:t>
      </w:r>
      <w:r>
        <w:rPr>
          <w:rFonts w:cs="Times New Roman"/>
          <w:szCs w:val="24"/>
        </w:rPr>
        <w:t>,</w:t>
      </w:r>
      <w:r w:rsidRPr="00640B45">
        <w:rPr>
          <w:rFonts w:cs="Times New Roman"/>
          <w:szCs w:val="24"/>
        </w:rPr>
        <w:t xml:space="preserve"> has a high number of confluences and narrow sub-basins</w:t>
      </w:r>
      <w:r>
        <w:rPr>
          <w:rFonts w:cs="Times New Roman"/>
          <w:szCs w:val="24"/>
        </w:rPr>
        <w:t>. Accordingly,</w:t>
      </w:r>
      <w:r w:rsidRPr="00640B45">
        <w:rPr>
          <w:rFonts w:cs="Times New Roman"/>
          <w:szCs w:val="24"/>
        </w:rPr>
        <w:t xml:space="preserve"> we might expect aquatic subsidies to</w:t>
      </w:r>
      <w:r>
        <w:rPr>
          <w:rFonts w:cs="Times New Roman"/>
          <w:szCs w:val="24"/>
        </w:rPr>
        <w:t xml:space="preserve"> play a more important role in terrestrial ecosystems in this region</w:t>
      </w:r>
      <w:r w:rsidRPr="00640B45">
        <w:rPr>
          <w:rFonts w:cs="Times New Roman"/>
          <w:szCs w:val="24"/>
        </w:rPr>
        <w:t xml:space="preserve"> </w:t>
      </w:r>
      <w:r>
        <w:rPr>
          <w:rFonts w:cs="Times New Roman"/>
          <w:szCs w:val="24"/>
        </w:rPr>
        <w:t xml:space="preserve">(i.e. </w:t>
      </w:r>
      <w:r w:rsidRPr="00640B45">
        <w:rPr>
          <w:rFonts w:cs="Times New Roman"/>
          <w:szCs w:val="24"/>
        </w:rPr>
        <w:t xml:space="preserve">cover a large spatial extent and </w:t>
      </w:r>
      <w:r>
        <w:rPr>
          <w:rFonts w:cs="Times New Roman"/>
          <w:szCs w:val="24"/>
        </w:rPr>
        <w:t xml:space="preserve">to </w:t>
      </w:r>
      <w:r w:rsidRPr="00640B45">
        <w:rPr>
          <w:rFonts w:cs="Times New Roman"/>
          <w:szCs w:val="24"/>
        </w:rPr>
        <w:t>overlap</w:t>
      </w:r>
      <w:r>
        <w:rPr>
          <w:rFonts w:cs="Times New Roman"/>
          <w:szCs w:val="24"/>
        </w:rPr>
        <w:t xml:space="preserve"> more often)</w:t>
      </w:r>
      <w:r w:rsidRPr="00640B45">
        <w:rPr>
          <w:rFonts w:cs="Times New Roman"/>
          <w:szCs w:val="24"/>
        </w:rPr>
        <w:t xml:space="preserve">. Alternatively, the </w:t>
      </w:r>
      <w:r>
        <w:rPr>
          <w:rFonts w:cs="Times New Roman"/>
          <w:szCs w:val="24"/>
        </w:rPr>
        <w:t xml:space="preserve">Texas </w:t>
      </w:r>
      <w:r w:rsidRPr="00640B45">
        <w:rPr>
          <w:rFonts w:cs="Times New Roman"/>
          <w:szCs w:val="24"/>
        </w:rPr>
        <w:t>hydrologic</w:t>
      </w:r>
      <w:r>
        <w:rPr>
          <w:rFonts w:cs="Times New Roman"/>
          <w:szCs w:val="24"/>
        </w:rPr>
        <w:t xml:space="preserve"> (VPU13)</w:t>
      </w:r>
      <w:r w:rsidRPr="00640B45">
        <w:rPr>
          <w:rFonts w:cs="Times New Roman"/>
          <w:szCs w:val="24"/>
        </w:rPr>
        <w:t xml:space="preserve"> region had relatively </w:t>
      </w:r>
      <w:r>
        <w:rPr>
          <w:rFonts w:cs="Times New Roman"/>
          <w:szCs w:val="24"/>
        </w:rPr>
        <w:t>low drainage density</w:t>
      </w:r>
      <w:r w:rsidRPr="00640B45">
        <w:rPr>
          <w:rFonts w:cs="Times New Roman"/>
          <w:szCs w:val="24"/>
        </w:rPr>
        <w:t xml:space="preserve"> and wide sub-basins and </w:t>
      </w:r>
      <w:r>
        <w:rPr>
          <w:rFonts w:cs="Times New Roman"/>
          <w:szCs w:val="24"/>
        </w:rPr>
        <w:t>thus could potentially</w:t>
      </w:r>
      <w:r w:rsidRPr="00640B45">
        <w:rPr>
          <w:rFonts w:cs="Times New Roman"/>
          <w:szCs w:val="24"/>
        </w:rPr>
        <w:t xml:space="preserve"> have </w:t>
      </w:r>
      <w:r>
        <w:rPr>
          <w:rFonts w:cs="Times New Roman"/>
          <w:szCs w:val="24"/>
        </w:rPr>
        <w:t xml:space="preserve">less extensive dependence on </w:t>
      </w:r>
      <w:r w:rsidRPr="00640B45">
        <w:rPr>
          <w:rFonts w:cs="Times New Roman"/>
          <w:szCs w:val="24"/>
        </w:rPr>
        <w:t>aquatic</w:t>
      </w:r>
      <w:r>
        <w:rPr>
          <w:rFonts w:cs="Times New Roman"/>
          <w:szCs w:val="24"/>
        </w:rPr>
        <w:t xml:space="preserve"> insect</w:t>
      </w:r>
      <w:r w:rsidRPr="00640B45">
        <w:rPr>
          <w:rFonts w:cs="Times New Roman"/>
          <w:szCs w:val="24"/>
        </w:rPr>
        <w:t xml:space="preserve"> subsidies</w:t>
      </w:r>
      <w:r>
        <w:rPr>
          <w:rFonts w:cs="Times New Roman"/>
          <w:szCs w:val="24"/>
        </w:rPr>
        <w:t xml:space="preserve">. Rarely have spatial subsidies been placed in a geographic context but as ecologists are tasked with addressing problems at increasingly large spatial scales, knowing where cross-ecosystems linkages are most important could inform management interventions </w:t>
      </w:r>
      <w:r w:rsidR="0079206C">
        <w:rPr>
          <w:rFonts w:cs="Times New Roman"/>
          <w:szCs w:val="24"/>
        </w:rPr>
        <w:t>or</w:t>
      </w:r>
      <w:r>
        <w:rPr>
          <w:rFonts w:cs="Times New Roman"/>
          <w:szCs w:val="24"/>
        </w:rPr>
        <w:t xml:space="preserve"> study designs to better understand local ecosystem functions </w:t>
      </w:r>
      <w:r>
        <w:rPr>
          <w:rFonts w:cs="Times New Roman"/>
          <w:szCs w:val="24"/>
        </w:rPr>
        <w:fldChar w:fldCharType="begin" w:fldLock="1"/>
      </w:r>
      <w:r w:rsidR="00306019">
        <w:rPr>
          <w:rFonts w:cs="Times New Roman"/>
          <w:szCs w:val="24"/>
        </w:rPr>
        <w:instrText>ADDIN CSL_CITATION {"citationItems":[{"id":"ITEM-1","itemData":{"DOI":"10.1007/0-387-24091-8_2","abstract":"Understanding the causes and consequences of spatial heterogeneity in ecosystem function represents a frontier in both ecosystem and land- scape ecology. Ecology lacks a theory of ecosystem function that is spa-tially explicit, and there are few empirical studies from which to infer general conclusions.We present an organizing framework that clarifies consideration of ecosystem processes in heterogeneous landscapes; con- sider when spatial heterogeneity is important; discuss methods for incor-porating spatial heterogeneity in ecosystem function; and identify challenges and opportunities for progress.Two general classes of ecosys- tem processes are distinguished. Point processes represent rates meas- ured at a particular location; lateral transfers are assumed to be small relative to the measured response and are ignored. Spatial heterogeneity is important for point processes when (1) the average rate must be deter- mined over an area that is spatially heterogeneous or (2) understanding or predicting the spatial pattern of process rates is an objective, for exam- ple, to identify areas of high or low rates, or to quantify the spatial pattern or scale of variability in rates. Lateral transfers are flows of materials, energy, or information from one location to another represented in a two-dimensional space. Spatial heterogeneity may be important for understanding lateral transfers when (1) the pattern of heterogeneity influences net lateral transfer and potentially the behavior of the whole system, (2) the spatial heterogeneity itself produces lateral transfers, or (3) the lateral transfers produce or alter patterns of spatial heterogeneity. We discuss homogeneous, mosaic, and interacting element approaches for dealing with space and identify both challenges and opportunities. Embracing spatial heterogeneity in ecosystem ecology will enhance understanding of pools, fluxes, and regulating factors in ecosystems; pro- duce a more complete understanding of landscape function; and improve the ability to scale up or down.","author":[{"dropping-particle":"","family":"Turner","given":"Monica G.","non-dropping-particle":"","parse-names":false,"suffix":""},{"dropping-particle":"","family":"Chapin","given":"F. Stuart","non-dropping-particle":"","parse-names":false,"suffix":""}],"chapter-number":"2","container-title":"Ecosystem Function in Heterogeneous Landscapes","editor":[{"dropping-particle":"","family":"Lovett","given":"Gary M.","non-dropping-particle":"","parse-names":false,"suffix":""},{"dropping-particle":"","family":"Jones","given":"Clive J.","non-dropping-particle":"","parse-names":false,"suffix":""},{"dropping-particle":"","family":"Turner","given":"Monica G.","non-dropping-particle":"","parse-names":false,"suffix":""},{"dropping-particle":"","family":"Weathers","given":"Kathleen C.","non-dropping-particle":"","parse-names":false,"suffix":""}],"id":"ITEM-1","issued":{"date-parts":[["2005"]]},"page":"30-51","publisher":"Springer S","publisher-place":"New York","title":"Causes and Consequences of Spatial Heterogeneity in Ecosystem Function","type":"chapter"},"uris":["http://www.mendeley.com/documents/?uuid=728676ca-5292-44ca-9a20-1328cc37ffd9"]},{"id":"ITEM-2","itemData":{"DOI":"10.1046/j.1461-0248.2003.00483.x","ISSN":"1461-023X","author":[{"dropping-particle":"","family":"Loreau","given":"Michel","non-dropping-particle":"","parse-names":false,"suffix":""},{"dropping-particle":"","family":"Mouquet","given":"Nicolas","non-dropping-particle":"","parse-names":false,"suffix":""},{"dropping-particle":"","family":"Holt","given":"Robert D.","non-dropping-particle":"","parse-names":false,"suffix":""}],"container-title":"Ecology Letters","id":"ITEM-2","issue":"8","issued":{"date-parts":[["2003","8"]]},"page":"673-679","title":"Meta-ecosystems: a theoretical framework for a spatial ecosystem ecology","type":"article-journal","volume":"6"},"uris":["http://www.mendeley.com/documents/?uuid=d40acc60-0beb-4a28-a0d6-470e5da099b4"]},{"id":"ITEM-3","itemData":{"DOI":"10.1890/120367","ISBN":"1540-9295","ISSN":"15409295","abstract":"Riverine macrosystems are described here as watershed-scale networks of connected and interacting riverine and upland habitat patches. Such systems are driven by variable responses of nutrients and organisms to a suite of global and regional factors (eg climate, human social systems) interacting with finer-scale variations in geo- logy, topography, and human modifications. We hypothesize that spatial heterogeneity, connectivity, and asyn- chrony among these patches regulate ecological dynamics of whole networks, altering system sensitivity, resis- tance, and resilience. Long-distance connections between patches may be particularly important in riverine macrosystems, shaping fundamental system properties. Furthermore, the type, extent, intensity, and spatial configuration of human activities (eg land-use change, dam construction) influence watershed-wide ecological properties through effects on habitat heterogeneity and connectivity at multiple scales. Thus, riverine macrosystems are coupled social–ecological systems with feedbacks that influence system responses to environ- mental change and the sustainable delivery of ecosystem services.","author":[{"dropping-particle":"","family":"McCluney","given":"Kevin E.","non-dropping-particle":"","parse-names":false,"suffix":""},{"dropping-particle":"","family":"Poff","given":"N. Leroy","non-dropping-particle":"","parse-names":false,"suffix":""},{"dropping-particle":"","family":"Palmer","given":"Margaret A.","non-dropping-particle":"","parse-names":false,"suffix":""},{"dropping-particle":"","family":"Thorp","given":"James H.","non-dropping-particle":"","parse-names":false,"suffix":""},{"dropping-particle":"","family":"Poole","given":"Geoffrey C.","non-dropping-particle":"","parse-names":false,"suffix":""},{"dropping-particle":"","family":"Williams","given":"Bradley S.","non-dropping-particle":"","parse-names":false,"suffix":""},{"dropping-particle":"","family":"Williams","given":"Michael R.","non-dropping-particle":"","parse-names":false,"suffix":""},{"dropping-particle":"","family":"Baron","given":"Jill S.","non-dropping-particle":"","parse-names":false,"suffix":""}],"container-title":"Frontiers in Ecology and the Environment","id":"ITEM-3","issue":"1","issued":{"date-parts":[["2014"]]},"note":"Introduction\nAdvances in theory and Techniques for studying whole watersheds\nEmergent Properties \nmacrosystem effects of human alterations\nmeasuring macrosystem change\nMacrosystem impacts of human modifications\nCrossing ecological thresholds\nResearch challenges in the study of riverine macorsystems","page":"48-58","title":"Riverine macrosystems ecology: Sensitivity, resistance, and resilience of whole river basins with human alterations","type":"article-journal","volume":"12"},"uris":["http://www.mendeley.com/documents/?uuid=5dfba60b-bce9-40c3-8faa-e788d149df40"]}],"mendeley":{"formattedCitation":"(Loreau et al. 2003, Turner and Chapin 2005, McCluney et al. 2014)","plainTextFormattedCitation":"(Loreau et al. 2003, Turner and Chapin 2005, McCluney et al. 2014)","previouslyFormattedCitation":"(Loreau et al. 2003, Turner and Chapin 2005, McCluney et al. 2014)"},"properties":{"noteIndex":0},"schema":"https://github.com/citation-style-language/schema/raw/master/csl-citation.json"}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(Loreau et al. 2003, Turner and Chapin 2005, McCluney et al. 2014)</w:t>
      </w:r>
      <w:r>
        <w:rPr>
          <w:rFonts w:cs="Times New Roman"/>
          <w:szCs w:val="24"/>
        </w:rPr>
        <w:fldChar w:fldCharType="end"/>
      </w:r>
      <w:r>
        <w:rPr>
          <w:rFonts w:cs="Times New Roman"/>
          <w:szCs w:val="24"/>
        </w:rPr>
        <w:t xml:space="preserve">. </w:t>
      </w:r>
    </w:p>
    <w:p w14:paraId="15585D4C" w14:textId="1E9EC2A0" w:rsidR="00BE5C6B" w:rsidRDefault="00BE5C6B" w:rsidP="00B27B90">
      <w:pPr>
        <w:spacing w:before="100" w:beforeAutospacing="1" w:after="100" w:afterAutospacing="1" w:line="480" w:lineRule="auto"/>
        <w:ind w:firstLine="720"/>
        <w:contextualSpacing/>
        <w:rPr>
          <w:rFonts w:cs="Times New Roman"/>
          <w:szCs w:val="24"/>
        </w:rPr>
      </w:pPr>
      <w:r>
        <w:rPr>
          <w:rFonts w:cs="Times New Roman"/>
          <w:szCs w:val="24"/>
        </w:rPr>
        <w:t>Beyond applying a theory of aquatic-terrestrial linkages to a large-scale geospatial dataset spanning the contiguous US and evaluating it statistically, we also found relationships between runoff and stream network geometry which could indicate a potential indirect role of climate in moderating aquatic-to-terrestrial interactions. In particular,</w:t>
      </w:r>
      <w:r w:rsidRPr="00640B45">
        <w:rPr>
          <w:rFonts w:cs="Times New Roman"/>
          <w:szCs w:val="24"/>
        </w:rPr>
        <w:t xml:space="preserve"> </w:t>
      </w:r>
      <w:r>
        <w:rPr>
          <w:rFonts w:cs="Times New Roman"/>
          <w:szCs w:val="24"/>
        </w:rPr>
        <w:t>a</w:t>
      </w:r>
      <w:r w:rsidRPr="00640B45">
        <w:rPr>
          <w:rFonts w:cs="Times New Roman"/>
          <w:szCs w:val="24"/>
        </w:rPr>
        <w:t xml:space="preserve">ssociations between runoff and drainage density and confluences have been detected elsewhere (e.g. </w:t>
      </w:r>
      <w:r w:rsidRPr="00640B45">
        <w:rPr>
          <w:rStyle w:val="FootnoteReference"/>
          <w:rFonts w:cs="Times New Roman"/>
          <w:szCs w:val="24"/>
        </w:rPr>
        <w:fldChar w:fldCharType="begin" w:fldLock="1"/>
      </w:r>
      <w:r w:rsidR="00306019">
        <w:rPr>
          <w:rFonts w:cs="Times New Roman"/>
          <w:szCs w:val="24"/>
        </w:rPr>
        <w:instrText>ADDIN CSL_CITATION {"citationItems":[{"id":"ITEM-1","itemData":{"DOI":"10.1016/j.jhydrol.2013.02.050","ISSN":"00221694","abstract":"We determined present-day (1981-2000) relationships between river network drainage density (Dd) and runoff (R), and between vegetation cover (V) and precipitation (P) across a contiguous 470,800 km2 area (the Texas Gulf Coast basin), where P varies from 438 to 1280 mm/yr. Dd(R) follows a saturation-growth model which is similar to process-based equilibrium landscape models. V(P) follows a linear relationship. The models for Dd(R) and V(P) were used to assess how Dd and V might respond to decadal-scale climate changes in R and P anomalies predicted by a regional climate model between 2041-2060 and 1981-2000. The regional climate model, CRCM, was forced following the SRES A2 emissions scenario. Our calculations indicate a tendency of 57,500 km of active river channels to drying up, representing 9.9% of the presentday total of 581,985 km, due to future decrease in R. This will be accompanied by a loss of 8150 km2 in V due to decrease in P. This study extends empirical studies of relationships between climate and landscape properties and explicitly links observations with process-based models. The results provide a simple framework for modeling potential trajectories of the landscape due to climate change. ?? Published by Elsevier B.V.","author":[{"dropping-particle":"","family":"Smith","given":"Virginia B.","non-dropping-particle":"","parse-names":false,"suffix":""},{"dropping-particle":"","family":"David","given":"Cédric H.","non-dropping-particle":"","parse-names":false,"suffix":""},{"dropping-particle":"","family":"Cardenas","given":"M. Bayani","non-dropping-particle":"","parse-names":false,"suffix":""},{"dropping-particle":"","family":"Yang","given":"Zong Liang","non-dropping-particle":"","parse-names":false,"suffix":""}],"container-title":"Journal of Hydrology","id":"ITEM-1","issue":"January 2014","issued":{"date-parts":[["2013"]]},"page":"101-109","publisher":"Elsevier B.V.","title":"Climate, river network, and vegetation cover relationships across a climate gradient and their potential for predicting effects of decadal-scale climate change","type":"article-journal","volume":"488"},"uris":["http://www.mendeley.com/documents/?uuid=b384e963-b8b3-48c5-be60-f878805a5851"]},{"id":"ITEM-2","itemData":{"DOI":"10.1002/2016GL072089","ISBN":"1944-8007","ISSN":"19448007","abstract":"©2017. American Geophysical Union. All Rights Reserved.Branching stream networks are a ubiquitous feature of the Earth's surface, but the processes that shape them, and their dependence on the climate in which they grow, remain poorly understood. Research has mainly focused on climatic controls of channel incision rates, while the climatic influence on planform geometry has often been overlooked. Here we analyze nearly one million digitally mapped river junctions throughout the contiguous United States and show that branching angles vary systematically with climatic aridity. In arid landscapes, which are thought to be dominated by surface runoff erosion, junction angles average roughly 45° in the driest places. Branching angles are systematically wider in humid regions, averaging roughly 72°, which is the theoretically predicted angle for network growth in a diffusive field such as groundwater seepage. The correlation of mean junction angle with aridity is stronger than with topographic gradient, downstream concavity, or other geometric factors that have been proposed as controls of junction angles. Thus, it may be possible to identify channelization processes from stream network geometry in relict landscapes, such as those on Mars.","author":[{"dropping-particle":"","family":"Seybold","given":"Hansjörg","non-dropping-particle":"","parse-names":false,"suffix":""},{"dropping-particle":"","family":"Rothman","given":"Daniel H","non-dropping-particle":"","parse-names":false,"suffix":""},{"dropping-particle":"","family":"Kirchner","given":"James W","non-dropping-particle":"","parse-names":false,"suffix":""}],"container-title":"Geophysical Research Letters","id":"ITEM-2","issue":"5","issued":{"date-parts":[["2017"]]},"page":"2272-2280","title":"Climate's watermark in the geometry of stream networks","type":"article-journal","volume":"44"},"uris":["http://www.mendeley.com/documents/?uuid=3ac95012-51a3-4cd7-93fb-cfa69f930631"]}],"mendeley":{"formattedCitation":"(Smith et al. 2013, Seybold et al. 2017)","manualFormatting":"Smith et al. 2013; Seybold et al. 2017)","plainTextFormattedCitation":"(Smith et al. 2013, Seybold et al. 2017)","previouslyFormattedCitation":"(Smith et al. 2013, Seybold et al. 2017)"},"properties":{"noteIndex":0},"schema":"https://github.com/citation-style-language/schema/raw/master/csl-citation.json"}</w:instrText>
      </w:r>
      <w:r w:rsidRPr="00640B45">
        <w:rPr>
          <w:rStyle w:val="FootnoteReference"/>
          <w:rFonts w:cs="Times New Roman"/>
          <w:szCs w:val="24"/>
        </w:rPr>
        <w:fldChar w:fldCharType="separate"/>
      </w:r>
      <w:r w:rsidRPr="00640B45">
        <w:rPr>
          <w:rFonts w:cs="Times New Roman"/>
          <w:noProof/>
          <w:szCs w:val="24"/>
        </w:rPr>
        <w:t>Smith et al. 2013; Seybold et al. 2017)</w:t>
      </w:r>
      <w:r w:rsidRPr="00640B45">
        <w:rPr>
          <w:rStyle w:val="FootnoteReference"/>
          <w:rFonts w:cs="Times New Roman"/>
          <w:szCs w:val="24"/>
        </w:rPr>
        <w:fldChar w:fldCharType="end"/>
      </w:r>
      <w:r>
        <w:rPr>
          <w:rFonts w:cs="Times New Roman"/>
          <w:szCs w:val="24"/>
        </w:rPr>
        <w:t xml:space="preserve"> and w</w:t>
      </w:r>
      <w:r w:rsidRPr="00640B45">
        <w:rPr>
          <w:rFonts w:cs="Times New Roman"/>
          <w:szCs w:val="24"/>
        </w:rPr>
        <w:t>e found evidence for geographical</w:t>
      </w:r>
      <w:r>
        <w:rPr>
          <w:rFonts w:cs="Times New Roman"/>
          <w:szCs w:val="24"/>
        </w:rPr>
        <w:t xml:space="preserve"> </w:t>
      </w:r>
      <w:r w:rsidRPr="00640B45">
        <w:rPr>
          <w:rFonts w:cs="Times New Roman"/>
          <w:szCs w:val="24"/>
        </w:rPr>
        <w:t>dependence of th</w:t>
      </w:r>
      <w:r>
        <w:rPr>
          <w:rFonts w:cs="Times New Roman"/>
          <w:szCs w:val="24"/>
        </w:rPr>
        <w:t>is</w:t>
      </w:r>
      <w:r w:rsidRPr="00640B45">
        <w:rPr>
          <w:rFonts w:cs="Times New Roman"/>
          <w:szCs w:val="24"/>
        </w:rPr>
        <w:t xml:space="preserve"> relationship</w:t>
      </w:r>
      <w:r>
        <w:rPr>
          <w:rFonts w:cs="Times New Roman"/>
          <w:szCs w:val="24"/>
        </w:rPr>
        <w:t>.</w:t>
      </w:r>
      <w:r w:rsidRPr="00640B45">
        <w:rPr>
          <w:rFonts w:cs="Times New Roman"/>
          <w:szCs w:val="24"/>
        </w:rPr>
        <w:t xml:space="preserve"> </w:t>
      </w:r>
      <w:r>
        <w:rPr>
          <w:rFonts w:cs="Times New Roman"/>
          <w:szCs w:val="24"/>
        </w:rPr>
        <w:t>Indeed, o</w:t>
      </w:r>
      <w:r w:rsidRPr="00640B45">
        <w:rPr>
          <w:rFonts w:cs="Times New Roman"/>
          <w:szCs w:val="24"/>
        </w:rPr>
        <w:t xml:space="preserve">thers have reported nonlinear relationships </w:t>
      </w:r>
      <w:r>
        <w:rPr>
          <w:rFonts w:cs="Times New Roman"/>
          <w:szCs w:val="24"/>
        </w:rPr>
        <w:t xml:space="preserve">(i.e. shifting between positive to negative along a continuous precipitation gradients) </w:t>
      </w:r>
      <w:r w:rsidRPr="00640B45">
        <w:rPr>
          <w:rFonts w:cs="Times New Roman"/>
          <w:szCs w:val="24"/>
        </w:rPr>
        <w:t>between drainage density and runoff (</w:t>
      </w:r>
      <w:r w:rsidRPr="00640B45">
        <w:rPr>
          <w:rStyle w:val="FootnoteReference"/>
          <w:rFonts w:cs="Times New Roman"/>
          <w:szCs w:val="24"/>
        </w:rPr>
        <w:fldChar w:fldCharType="begin" w:fldLock="1"/>
      </w:r>
      <w:r w:rsidR="00306019">
        <w:rPr>
          <w:rFonts w:cs="Times New Roman"/>
          <w:szCs w:val="24"/>
        </w:rPr>
        <w:instrText>ADDIN CSL_CITATION {"citationItems":[{"id":"ITEM-1","itemData":{"DOI":"10.1029/97WR02709","ISBN":"00431397","ISSN":"0043-1397","abstract":"Drainage density reflects the signature of climate on the topography and dictates the boundary conditions for surface hydrology. Hence defining the relationship between drainage density and climate is important in assessing the sensitivity of water resources and hydrology to climate change. Here we analyze the equilibrium relationship between drainage density and climate and estimate the relative sensitivity of drainage density to climate change. We conclude that the sign of the resulting change in drainage density depends not only on the direction of the change in climate but also on the prevailing climatic regime.","author":[{"dropping-particle":"","family":"Moglen","given":"Glenn E.","non-dropping-particle":"","parse-names":false,"suffix":""},{"dropping-particle":"","family":"Eltahir","given":"Elfatih a. B.","non-dropping-particle":"","parse-names":false,"suffix":""},{"dropping-particle":"","family":"Bras","given":"Rafael L.","non-dropping-particle":"","parse-names":false,"suffix":""}],"container-title":"Water Resources Research","id":"ITEM-1","issue":"4","issued":{"date-parts":[["1998"]]},"page":"855","title":"On the sensitivity of drainage density to climate change","type":"article-journal","volume":"34"},"uris":["http://www.mendeley.com/documents/?uuid=8148146f-b769-4cac-9d47-2ec42888d892"]},{"id":"ITEM-2","itemData":{"DOI":"10.1016/j.jhydrol.2013.02.050","ISSN":"00221694","abstract":"We determined present-day (1981-2000) relationships between river network drainage density (Dd) and runoff (R), and between vegetation cover (V) and precipitation (P) across a contiguous 470,800 km2 area (the Texas Gulf Coast basin), where P varies from 438 to 1280 mm/yr. Dd(R) follows a saturation-growth model which is similar to process-based equilibrium landscape models. V(P) follows a linear relationship. The models for Dd(R) and V(P) were used to assess how Dd and V might respond to decadal-scale climate changes in R and P anomalies predicted by a regional climate model between 2041-2060 and 1981-2000. The regional climate model, CRCM, was forced following the SRES A2 emissions scenario. Our calculations indicate a tendency of 57,500 km of active river channels to drying up, representing 9.9% of the presentday total of 581,985 km, due to future decrease in R. This will be accompanied by a loss of 8150 km2 in V due to decrease in P. This study extends empirical studies of relationships between climate and landscape properties and explicitly links observations with process-based models. The results provide a simple framework for modeling potential trajectories of the landscape due to climate change. ?? Published by Elsevier B.V.","author":[{"dropping-particle":"","family":"Smith","given":"Virginia B.","non-dropping-particle":"","parse-names":false,"suffix":""},{"dropping-particle":"","family":"David","given":"Cédric H.","non-dropping-particle":"","parse-names":false,"suffix":""},{"dropping-particle":"","family":"Cardenas","given":"M. Bayani","non-dropping-particle":"","parse-names":false,"suffix":""},{"dropping-particle":"","family":"Yang","given":"Zong Liang","non-dropping-particle":"","parse-names":false,"suffix":""}],"container-title":"Journal of Hydrology","id":"ITEM-2","issue":"January 2014","issued":{"date-parts":[["2013"]]},"page":"101-109","publisher":"Elsevier B.V.","title":"Climate, river network, and vegetation cover relationships across a climate gradient and their potential for predicting effects of decadal-scale climate change","type":"article-journal","volume":"488"},"uris":["http://www.mendeley.com/documents/?uuid=b384e963-b8b3-48c5-be60-f878805a5851"]},{"id":"ITEM-3","itemData":{"DOI":"10.1016/j.jhydrol.2016.02.051","ISSN":"0022-1694","author":[{"dropping-particle":"","family":"Sangireddy","given":"Harish","non-dropping-particle":"","parse-names":false,"suffix":""},{"dropping-particle":"","family":"Carothers","given":"Richard A","non-dropping-particle":"","parse-names":false,"suffix":""},{"dropping-particle":"","family":"Stark","given":"Colin P","non-dropping-particle":"","parse-names":false,"suffix":""},{"dropping-particle":"","family":"Passalacqua","given":"Paola","non-dropping-particle":"","parse-names":false,"suffix":""}],"container-title":"Journal of Hydrology","id":"ITEM-3","issued":{"date-parts":[["2016"]]},"page":"271-282","publisher":"Elsevier B.V.","title":"Controls of Climate, Topography, Vegetation, and Lithology on Drainage Density Extracted from High Resolution Topography Data","type":"article-journal","volume":"537"},"uris":["http://www.mendeley.com/documents/?uuid=f088c3bf-46f4-43c9-a1a9-6d89d022c968"]}],"mendeley":{"formattedCitation":"(Moglen et al. 1998, Smith et al. 2013, Sangireddy et al. 2016)","manualFormatting":"Moglen et al. 1998; Smith et al. 2013; Sangireddy et al. 2016)","plainTextFormattedCitation":"(Moglen et al. 1998, Smith et al. 2013, Sangireddy et al. 2016)","previouslyFormattedCitation":"(Moglen et al. 1998, Smith et al. 2013, Sangireddy et al. 2016)"},"properties":{"noteIndex":0},"schema":"https://github.com/citation-style-language/schema/raw/master/csl-citation.json"}</w:instrText>
      </w:r>
      <w:r w:rsidRPr="00640B45">
        <w:rPr>
          <w:rStyle w:val="FootnoteReference"/>
          <w:rFonts w:cs="Times New Roman"/>
          <w:szCs w:val="24"/>
        </w:rPr>
        <w:fldChar w:fldCharType="separate"/>
      </w:r>
      <w:r w:rsidRPr="00640B45">
        <w:rPr>
          <w:rFonts w:cs="Times New Roman"/>
          <w:noProof/>
          <w:szCs w:val="24"/>
        </w:rPr>
        <w:t>Moglen et al. 1998; Smith et al. 2013; Sangireddy et al. 2016)</w:t>
      </w:r>
      <w:r w:rsidRPr="00640B45">
        <w:rPr>
          <w:rStyle w:val="FootnoteReference"/>
          <w:rFonts w:cs="Times New Roman"/>
          <w:szCs w:val="24"/>
        </w:rPr>
        <w:fldChar w:fldCharType="end"/>
      </w:r>
      <w:r>
        <w:rPr>
          <w:rFonts w:cs="Times New Roman"/>
          <w:szCs w:val="24"/>
        </w:rPr>
        <w:t xml:space="preserve"> that are inconsistent with the positive </w:t>
      </w:r>
      <w:r w:rsidRPr="00640B45">
        <w:rPr>
          <w:rFonts w:cs="Times New Roman"/>
          <w:szCs w:val="24"/>
        </w:rPr>
        <w:t xml:space="preserve">parameter </w:t>
      </w:r>
      <w:r w:rsidRPr="00640B45">
        <w:rPr>
          <w:rFonts w:cs="Times New Roman"/>
          <w:szCs w:val="24"/>
        </w:rPr>
        <w:lastRenderedPageBreak/>
        <w:t xml:space="preserve">estimates </w:t>
      </w:r>
      <w:r>
        <w:rPr>
          <w:rFonts w:cs="Times New Roman"/>
          <w:szCs w:val="24"/>
        </w:rPr>
        <w:t>reported here. Still,</w:t>
      </w:r>
      <w:r w:rsidRPr="00640B45">
        <w:rPr>
          <w:rFonts w:cs="Times New Roman"/>
          <w:szCs w:val="24"/>
        </w:rPr>
        <w:t xml:space="preserve"> </w:t>
      </w:r>
      <w:r>
        <w:rPr>
          <w:rFonts w:cs="Times New Roman"/>
          <w:szCs w:val="24"/>
        </w:rPr>
        <w:t>the credible intervals for some regions</w:t>
      </w:r>
      <w:r w:rsidRPr="00640B45">
        <w:rPr>
          <w:rFonts w:cs="Times New Roman"/>
          <w:szCs w:val="24"/>
        </w:rPr>
        <w:t xml:space="preserve"> </w:t>
      </w:r>
      <w:r>
        <w:rPr>
          <w:rFonts w:cs="Times New Roman"/>
          <w:szCs w:val="24"/>
        </w:rPr>
        <w:t>were</w:t>
      </w:r>
      <w:r w:rsidRPr="00640B45">
        <w:rPr>
          <w:rFonts w:cs="Times New Roman"/>
          <w:szCs w:val="24"/>
        </w:rPr>
        <w:t xml:space="preserve"> not strictly positive or differing from zero</w:t>
      </w:r>
      <w:r>
        <w:rPr>
          <w:rFonts w:cs="Times New Roman"/>
          <w:szCs w:val="24"/>
        </w:rPr>
        <w:t xml:space="preserve"> and others were exceptionally</w:t>
      </w:r>
      <w:r w:rsidRPr="00640B45">
        <w:rPr>
          <w:rFonts w:cs="Times New Roman"/>
          <w:szCs w:val="24"/>
        </w:rPr>
        <w:t xml:space="preserve"> large</w:t>
      </w:r>
      <w:r>
        <w:rPr>
          <w:rFonts w:cs="Times New Roman"/>
          <w:szCs w:val="24"/>
        </w:rPr>
        <w:t>,</w:t>
      </w:r>
      <w:r w:rsidRPr="00640B45">
        <w:rPr>
          <w:rFonts w:cs="Times New Roman"/>
          <w:szCs w:val="24"/>
        </w:rPr>
        <w:t xml:space="preserve"> </w:t>
      </w:r>
      <w:r>
        <w:rPr>
          <w:rFonts w:cs="Times New Roman"/>
          <w:szCs w:val="24"/>
        </w:rPr>
        <w:t xml:space="preserve">indicating </w:t>
      </w:r>
      <w:r w:rsidRPr="00640B45">
        <w:rPr>
          <w:rFonts w:cs="Times New Roman"/>
          <w:szCs w:val="24"/>
        </w:rPr>
        <w:t>variation in the</w:t>
      </w:r>
      <w:r>
        <w:rPr>
          <w:rFonts w:cs="Times New Roman"/>
          <w:szCs w:val="24"/>
        </w:rPr>
        <w:t xml:space="preserve"> drainage density-runoff</w:t>
      </w:r>
      <w:r w:rsidRPr="00640B45">
        <w:rPr>
          <w:rFonts w:cs="Times New Roman"/>
          <w:szCs w:val="24"/>
        </w:rPr>
        <w:t xml:space="preserve"> relationship within </w:t>
      </w:r>
      <w:r>
        <w:rPr>
          <w:rFonts w:cs="Times New Roman"/>
          <w:szCs w:val="24"/>
        </w:rPr>
        <w:t>a hydrologic region</w:t>
      </w:r>
      <w:r w:rsidRPr="00640B45">
        <w:rPr>
          <w:rFonts w:cs="Times New Roman"/>
          <w:szCs w:val="24"/>
        </w:rPr>
        <w:t xml:space="preserve">. </w:t>
      </w:r>
      <w:r>
        <w:rPr>
          <w:rFonts w:cs="Times New Roman"/>
          <w:szCs w:val="24"/>
        </w:rPr>
        <w:t>T</w:t>
      </w:r>
      <w:r w:rsidRPr="00640B45">
        <w:rPr>
          <w:rFonts w:cs="Times New Roman"/>
          <w:szCs w:val="24"/>
        </w:rPr>
        <w:t xml:space="preserve">he Pacific Northwest (VPU17) </w:t>
      </w:r>
      <w:r>
        <w:rPr>
          <w:rFonts w:cs="Times New Roman"/>
          <w:szCs w:val="24"/>
        </w:rPr>
        <w:t xml:space="preserve">for instance </w:t>
      </w:r>
      <w:r w:rsidRPr="00640B45">
        <w:rPr>
          <w:rFonts w:cs="Times New Roman"/>
          <w:szCs w:val="24"/>
        </w:rPr>
        <w:t xml:space="preserve">spans a precipitation gradient large enough to produce both positive and negative relationship observed in other studies </w:t>
      </w:r>
      <w:r w:rsidRPr="00640B45">
        <w:rPr>
          <w:rStyle w:val="FootnoteReference"/>
          <w:rFonts w:cs="Times New Roman"/>
          <w:szCs w:val="24"/>
        </w:rPr>
        <w:fldChar w:fldCharType="begin" w:fldLock="1"/>
      </w:r>
      <w:r w:rsidR="00306019">
        <w:rPr>
          <w:rFonts w:cs="Times New Roman"/>
          <w:szCs w:val="24"/>
        </w:rPr>
        <w:instrText>ADDIN CSL_CITATION {"citationItems":[{"id":"ITEM-1","itemData":{"DOI":"10.1016/j.jhydrol.2016.02.051","ISSN":"0022-1694","author":[{"dropping-particle":"","family":"Sangireddy","given":"Harish","non-dropping-particle":"","parse-names":false,"suffix":""},{"dropping-particle":"","family":"Carothers","given":"Richard A","non-dropping-particle":"","parse-names":false,"suffix":""},{"dropping-particle":"","family":"Stark","given":"Colin P","non-dropping-particle":"","parse-names":false,"suffix":""},{"dropping-particle":"","family":"Passalacqua","given":"Paola","non-dropping-particle":"","parse-names":false,"suffix":""}],"container-title":"Journal of Hydrology","id":"ITEM-1","issued":{"date-parts":[["2016"]]},"page":"271-282","publisher":"Elsevier B.V.","title":"Controls of Climate, Topography, Vegetation, and Lithology on Drainage Density Extracted from High Resolution Topography Data","type":"article-journal","volume":"537"},"uris":["http://www.mendeley.com/documents/?uuid=f088c3bf-46f4-43c9-a1a9-6d89d022c968"]}],"mendeley":{"formattedCitation":"(Sangireddy et al. 2016)","plainTextFormattedCitation":"(Sangireddy et al. 2016)","previouslyFormattedCitation":"(Sangireddy et al. 2016)"},"properties":{"noteIndex":0},"schema":"https://github.com/citation-style-language/schema/raw/master/csl-citation.json"}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(Sangireddy et al. 2016)</w:t>
      </w:r>
      <w:r w:rsidRPr="00640B45">
        <w:rPr>
          <w:rStyle w:val="FootnoteReference"/>
          <w:rFonts w:cs="Times New Roman"/>
          <w:szCs w:val="24"/>
        </w:rPr>
        <w:fldChar w:fldCharType="end"/>
      </w:r>
      <w:r>
        <w:rPr>
          <w:rFonts w:cs="Times New Roman"/>
          <w:szCs w:val="24"/>
        </w:rPr>
        <w:t>. Consequently, at the resolution of our analysis (i.e. hydrologic region), positive associations could mask negative ones when both exist across a large spatial scale</w:t>
      </w:r>
      <w:r w:rsidRPr="00640B45">
        <w:rPr>
          <w:rFonts w:cs="Times New Roman"/>
          <w:szCs w:val="24"/>
        </w:rPr>
        <w:t xml:space="preserve">. </w:t>
      </w:r>
      <w:r>
        <w:rPr>
          <w:rFonts w:cs="Times New Roman"/>
          <w:szCs w:val="24"/>
        </w:rPr>
        <w:t xml:space="preserve">Though future efforts are needed to clarify the exact relationship between basin features and stream network geometry, the linkage we have uncovered here could </w:t>
      </w:r>
      <w:r w:rsidRPr="00640B45">
        <w:rPr>
          <w:rFonts w:cs="Times New Roman"/>
          <w:szCs w:val="24"/>
        </w:rPr>
        <w:t xml:space="preserve">highlight </w:t>
      </w:r>
      <w:r>
        <w:rPr>
          <w:rFonts w:cs="Times New Roman"/>
          <w:szCs w:val="24"/>
        </w:rPr>
        <w:t xml:space="preserve">a </w:t>
      </w:r>
      <w:r w:rsidRPr="00640B45">
        <w:rPr>
          <w:rFonts w:cs="Times New Roman"/>
          <w:szCs w:val="24"/>
        </w:rPr>
        <w:t xml:space="preserve">potential </w:t>
      </w:r>
      <w:r>
        <w:rPr>
          <w:rFonts w:cs="Times New Roman"/>
          <w:szCs w:val="24"/>
        </w:rPr>
        <w:t xml:space="preserve">understudied </w:t>
      </w:r>
      <w:r w:rsidRPr="00640B45">
        <w:rPr>
          <w:rFonts w:cs="Times New Roman"/>
          <w:szCs w:val="24"/>
        </w:rPr>
        <w:t xml:space="preserve">impact of climate change on aquatic-to-terrestrial resource exchange </w:t>
      </w:r>
      <w:r>
        <w:rPr>
          <w:rFonts w:cs="Times New Roman"/>
          <w:szCs w:val="24"/>
        </w:rPr>
        <w:t xml:space="preserve">that could affect some regions more than others </w:t>
      </w:r>
      <w:r w:rsidRPr="00640B45">
        <w:rPr>
          <w:rStyle w:val="FootnoteReference"/>
          <w:rFonts w:cs="Times New Roman"/>
          <w:szCs w:val="24"/>
        </w:rPr>
        <w:fldChar w:fldCharType="begin" w:fldLock="1"/>
      </w:r>
      <w:r w:rsidR="00306019">
        <w:rPr>
          <w:rFonts w:cs="Times New Roman"/>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change","type":"article-journal","volume":"22"},"uris":["http://www.mendeley.com/documents/?uuid=276fe761-5a80-4012-a137-397d1f4e806c"]}],"mendeley":{"formattedCitation":"(Larsen et al. 2016)","plainTextFormattedCitation":"(Larsen et al. 2016)","previouslyFormattedCitation":"(Larsen et al. 2016)"},"properties":{"noteIndex":0},"schema":"https://github.com/citation-style-language/schema/raw/master/csl-citation.json"}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(Larsen et al. 2016)</w:t>
      </w:r>
      <w:r w:rsidRPr="00640B45">
        <w:rPr>
          <w:rStyle w:val="FootnoteReference"/>
          <w:rFonts w:cs="Times New Roman"/>
          <w:szCs w:val="24"/>
        </w:rPr>
        <w:fldChar w:fldCharType="end"/>
      </w:r>
      <w:r w:rsidRPr="00640B45">
        <w:rPr>
          <w:rFonts w:cs="Times New Roman"/>
          <w:szCs w:val="24"/>
        </w:rPr>
        <w:t xml:space="preserve">. </w:t>
      </w:r>
    </w:p>
    <w:p w14:paraId="4B9D3E14" w14:textId="77777777" w:rsidR="00B27B90" w:rsidRPr="00640B45" w:rsidRDefault="00B27B90" w:rsidP="00B27B90">
      <w:pPr>
        <w:spacing w:before="100" w:beforeAutospacing="1" w:after="100" w:afterAutospacing="1" w:line="480" w:lineRule="auto"/>
        <w:ind w:firstLine="720"/>
        <w:contextualSpacing/>
        <w:rPr>
          <w:rFonts w:cs="Times New Roman"/>
          <w:szCs w:val="24"/>
        </w:rPr>
      </w:pPr>
    </w:p>
    <w:p w14:paraId="79FFF4B0" w14:textId="77777777" w:rsidR="00BE5C6B" w:rsidRPr="00B27B90" w:rsidRDefault="00BE5C6B" w:rsidP="00B27B90">
      <w:pPr>
        <w:spacing w:line="480" w:lineRule="auto"/>
        <w:contextualSpacing/>
        <w:rPr>
          <w:i/>
          <w:iCs/>
        </w:rPr>
      </w:pPr>
      <w:r w:rsidRPr="00B27B90">
        <w:rPr>
          <w:i/>
          <w:iCs/>
        </w:rPr>
        <w:t>Caveats and model assumptions</w:t>
      </w:r>
    </w:p>
    <w:p w14:paraId="6B5AFA19" w14:textId="7A7CA54B" w:rsidR="00BE5C6B" w:rsidRPr="00640B45" w:rsidRDefault="00BE5C6B" w:rsidP="00B27B90">
      <w:pPr>
        <w:spacing w:before="100" w:beforeAutospacing="1" w:after="100" w:afterAutospacing="1" w:line="480" w:lineRule="auto"/>
        <w:ind w:firstLine="720"/>
        <w:contextualSpacing/>
        <w:rPr>
          <w:rFonts w:cs="Times New Roman"/>
          <w:szCs w:val="24"/>
        </w:rPr>
      </w:pPr>
      <w:r w:rsidRPr="00640B45">
        <w:rPr>
          <w:rFonts w:cs="Times New Roman"/>
          <w:szCs w:val="24"/>
        </w:rPr>
        <w:t xml:space="preserve">A uniform </w:t>
      </w:r>
      <w:r>
        <w:rPr>
          <w:rFonts w:cs="Times New Roman"/>
          <w:szCs w:val="24"/>
        </w:rPr>
        <w:t xml:space="preserve">stream signature </w:t>
      </w:r>
      <w:r w:rsidRPr="00640B45">
        <w:rPr>
          <w:rFonts w:cs="Times New Roman"/>
          <w:szCs w:val="24"/>
        </w:rPr>
        <w:t xml:space="preserve">buffer </w:t>
      </w:r>
      <w:r>
        <w:rPr>
          <w:rFonts w:cs="Times New Roman"/>
          <w:szCs w:val="24"/>
        </w:rPr>
        <w:t xml:space="preserve">was appropriate for assessing the spatial influence of aquatic subsidies </w:t>
      </w:r>
      <w:r w:rsidRPr="00640B45">
        <w:rPr>
          <w:rFonts w:cs="Times New Roman"/>
          <w:szCs w:val="24"/>
        </w:rPr>
        <w:t>and allowed us to isolate the effects of network geometry</w:t>
      </w:r>
      <w:r>
        <w:rPr>
          <w:rFonts w:cs="Times New Roman"/>
          <w:szCs w:val="24"/>
        </w:rPr>
        <w:t xml:space="preserve">, </w:t>
      </w:r>
      <w:r w:rsidRPr="00640B45">
        <w:rPr>
          <w:rFonts w:cs="Times New Roman"/>
          <w:szCs w:val="24"/>
        </w:rPr>
        <w:t xml:space="preserve">but this approach greatly reduces the complexity experienced in nature. </w:t>
      </w:r>
      <w:r>
        <w:rPr>
          <w:rFonts w:cs="Times New Roman"/>
          <w:szCs w:val="24"/>
        </w:rPr>
        <w:t>Foremost we parameterized the stream signature models with general values (i.e. “all taxa” and “medium production”) and sacrificed specific estimates of uncertainty driven by regional variation in these parameters (i.e. variation driven by the ecology of the systems). Specifically, t</w:t>
      </w:r>
      <w:r w:rsidRPr="00640B45">
        <w:rPr>
          <w:rFonts w:cs="Times New Roman"/>
          <w:szCs w:val="24"/>
        </w:rPr>
        <w:t xml:space="preserve">he relative abundance of </w:t>
      </w:r>
      <w:r>
        <w:rPr>
          <w:rFonts w:cs="Times New Roman"/>
          <w:szCs w:val="24"/>
        </w:rPr>
        <w:t>emergent</w:t>
      </w:r>
      <w:r w:rsidRPr="00640B45">
        <w:rPr>
          <w:rFonts w:cs="Times New Roman"/>
          <w:szCs w:val="24"/>
        </w:rPr>
        <w:t xml:space="preserve"> taxa with different flight capabilities </w:t>
      </w:r>
      <w:r w:rsidRPr="00640B45">
        <w:rPr>
          <w:rStyle w:val="FootnoteReference"/>
          <w:rFonts w:cs="Times New Roman"/>
          <w:szCs w:val="24"/>
        </w:rPr>
        <w:fldChar w:fldCharType="begin" w:fldLock="1"/>
      </w:r>
      <w:r w:rsidR="00306019">
        <w:rPr>
          <w:rFonts w:cs="Times New Roman"/>
          <w:szCs w:val="24"/>
        </w:rPr>
        <w:instrText>ADDIN CSL_CITATION {"citationItems":[{"id":"ITEM-1","itemData":{"ISBN":"187","abstract":"The assessment and study of stream communities may be enhanced if functional characteristics such as life-history, habitat preference, and reproductive strategy were more widely available for specific taxa. Species traits can be used to develop these functional indicators because many traits directly link functional roles of organisms with controlling environmental factors (for example, flow, substratum, temperature). In addition, some functional traits may not be constrained by taxonomy and are thus applicable at multiple spatial scales. Unfortunately, a comprehensive summary of traits for North American invertebrate taxa does not exist. Consequently, the U.S. Geological Surveys National Water-Quality Assessment Program in cooperation with Colorado State University compiled a database of traits for North American invertebrates. A total of 14,127 records for over 2,200 species, 1,165 genera, and 249 families have been entered into the database from 967 publications, texts and reports. Quality-assurance procedures indicated error rates of less than 3 percent in the data entry process. Species trait information was most complete for insect taxa. Traits describing resource acquisition and habitat preferences were most frequently reported, whereas those describing physiological tolerances and reproductive biology were the least frequently reported in the literature. The database is not exhaustive of the literature for North American invertebrates and is biased towards aquatic insects, but it represents a first attempt to compile traits in a web-accessible database. This report describes the database and discusses important decisions necessary for identifying ecologically relevant, environmentally sensitive, non-redundant, and statistically tractable traits for use in bioassessment programs","author":[{"dropping-particle":"","family":"Vieira","given":"Nicole K M","non-dropping-particle":"","parse-names":false,"suffix":""},{"dropping-particle":"","family":"Poff","given":"N Leroy","non-dropping-particle":"","parse-names":false,"suffix":""},{"dropping-particle":"","family":"Carlisle","given":"Daren M","non-dropping-particle":"","parse-names":false,"suffix":""},{"dropping-particle":"","family":"Moulton","given":"Stephen R","non-dropping-particle":"","parse-names":false,"suffix":""},{"dropping-particle":"","family":"Koski","given":"Marci L","non-dropping-particle":"","parse-names":false,"suffix":""},{"dropping-particle":"","family":"Kondratieff","given":"Boris C","non-dropping-particle":"","parse-names":false,"suffix":""}],"container-title":"Data Series 187. http://pubs.water.usgs.gov/ds187i","id":"ITEM-1","issued":{"date-parts":[["2006"]]},"number-of-pages":"19","title":"A Database of Lotic Invertebrate Traits for North America","type":"report"},"uris":["http://www.mendeley.com/documents/?uuid=2579a446-3d1c-4107-864d-b9543cebbfff"]}],"mendeley":{"formattedCitation":"(Vieira et al. 2006)","plainTextFormattedCitation":"(Vieira et al. 2006)","previouslyFormattedCitation":"(Vieira et al. 2006)"},"properties":{"noteIndex":0},"schema":"https://github.com/citation-style-language/schema/raw/master/csl-citation.json"}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(Vieira et al. 2006)</w:t>
      </w:r>
      <w:r w:rsidRPr="00640B45">
        <w:rPr>
          <w:rStyle w:val="FootnoteReference"/>
          <w:rFonts w:cs="Times New Roman"/>
          <w:szCs w:val="24"/>
        </w:rPr>
        <w:fldChar w:fldCharType="end"/>
      </w:r>
      <w:r>
        <w:rPr>
          <w:rFonts w:cs="Times New Roman"/>
          <w:szCs w:val="24"/>
        </w:rPr>
        <w:t xml:space="preserve"> and the level of primary </w:t>
      </w:r>
      <w:r w:rsidRPr="00640B45">
        <w:rPr>
          <w:rFonts w:cs="Times New Roman"/>
          <w:szCs w:val="24"/>
        </w:rPr>
        <w:t xml:space="preserve">productivity </w:t>
      </w:r>
      <w:r w:rsidRPr="00640B45">
        <w:rPr>
          <w:rStyle w:val="FootnoteReference"/>
          <w:rFonts w:cs="Times New Roman"/>
          <w:szCs w:val="24"/>
        </w:rPr>
        <w:fldChar w:fldCharType="begin" w:fldLock="1"/>
      </w:r>
      <w:r w:rsidR="00306019">
        <w:rPr>
          <w:rFonts w:cs="Times New Roman"/>
          <w:szCs w:val="24"/>
        </w:rPr>
        <w:instrText>ADDIN CSL_CITATION {"citationItems":[{"id":"ITEM-1","itemData":{"abstract":"Studies of the effects of cross-habitat resource subsidies have been a feature of food web ecology over the past decade. To date, most studies have focused on demonstrating the magnitude of a subsidy or documenting it effect in the recipient habitat. Ecologists have yet to develop a staisfactory framework for predicting the magnitude of these effects. We used 115 data sets from 32 studies to compare consumer reponses to resource subsidies actross recipient habitat type, trophic level, and functiona group. Changes in consumer denity or biomass in response to subsidies were inconistent actoss habitat, trophic and functional groups. Responses in stream cobble har and coastline habitats were larger that in other habitat. comtrary to expectation, the magnitude of consumer response was not addected by recipient habitat productivity or the ratio of productivity between donor and recipient habitats. however, consumer response was significantly related to the ratio of subsidy resources to equivalent resources in the recipient habitat. Broad contrasts in productivity are modified by subsity type, vector and the physical and abiotic characteristics of both donor and recipient habitats. for this reason, the ratio of subsidy to equilivant resources is a more useful tool for predictin the possible effects of a subsidy than coarser contrasts of in situ productivity. The commonness of subsidy effects suggest that many ecosystems need to be studied as open systems.","author":[{"dropping-particle":"","family":"Marczak","given":"Laurie B","non-dropping-particle":"","parse-names":false,"suffix":""},{"dropping-particle":"","family":"Thompson","given":"Ross M","non-dropping-particle":"","parse-names":false,"suffix":""},{"dropping-particle":"","family":"Richardson","given":"John S","non-dropping-particle":"","parse-names":false,"suffix":""}],"container-title":"Eocology","id":"ITEM-1","issue":"1","issued":{"date-parts":[["2007"]]},"page":"140-148","title":"Meta-Analysis: Trophic Level, Habitat, and Productivity Shape the Food Web Effects of Resource Subsidies","type":"article-journal","volume":"88"},"uris":["http://www.mendeley.com/documents/?uuid=9c48ce22-9a4f-49d8-8056-81e298db9547"]}],"mendeley":{"formattedCitation":"(Marczak et al. 2007)","plainTextFormattedCitation":"(Marczak et al. 2007)","previouslyFormattedCitation":"(Marczak et al. 2007)"},"properties":{"noteIndex":0},"schema":"https://github.com/citation-style-language/schema/raw/master/csl-citation.json"}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(Marczak et al. 2007)</w:t>
      </w:r>
      <w:r w:rsidRPr="00640B45">
        <w:rPr>
          <w:rStyle w:val="FootnoteReference"/>
          <w:rFonts w:cs="Times New Roman"/>
          <w:szCs w:val="24"/>
        </w:rPr>
        <w:fldChar w:fldCharType="end"/>
      </w:r>
      <w:r>
        <w:rPr>
          <w:rStyle w:val="FootnoteReference"/>
          <w:rFonts w:cs="Times New Roman"/>
          <w:szCs w:val="24"/>
        </w:rPr>
        <w:t xml:space="preserve"> </w:t>
      </w:r>
      <w:r>
        <w:rPr>
          <w:rFonts w:cs="Times New Roman"/>
          <w:szCs w:val="24"/>
        </w:rPr>
        <w:t xml:space="preserve">should differ within and among stream networks and will change </w:t>
      </w:r>
      <w:r w:rsidRPr="00640B45">
        <w:rPr>
          <w:rFonts w:cs="Times New Roman"/>
          <w:szCs w:val="24"/>
        </w:rPr>
        <w:t xml:space="preserve">the </w:t>
      </w:r>
      <w:r>
        <w:rPr>
          <w:rFonts w:cs="Times New Roman"/>
          <w:szCs w:val="24"/>
        </w:rPr>
        <w:t xml:space="preserve">stream signature </w:t>
      </w:r>
      <w:r w:rsidRPr="00640B45">
        <w:rPr>
          <w:rFonts w:cs="Times New Roman"/>
          <w:szCs w:val="24"/>
        </w:rPr>
        <w:t>decay</w:t>
      </w:r>
      <w:r>
        <w:rPr>
          <w:rFonts w:cs="Times New Roman"/>
          <w:szCs w:val="24"/>
        </w:rPr>
        <w:t xml:space="preserve"> curve (</w:t>
      </w:r>
      <w:proofErr w:type="spellStart"/>
      <w:r>
        <w:rPr>
          <w:rFonts w:cs="Times New Roman"/>
          <w:szCs w:val="24"/>
        </w:rPr>
        <w:t>Muehlbauer</w:t>
      </w:r>
      <w:proofErr w:type="spellEnd"/>
      <w:r>
        <w:rPr>
          <w:rFonts w:cs="Times New Roman"/>
          <w:szCs w:val="24"/>
        </w:rPr>
        <w:t xml:space="preserve"> et al 2014)</w:t>
      </w:r>
      <w:r w:rsidRPr="00640B45">
        <w:rPr>
          <w:rFonts w:cs="Times New Roman"/>
          <w:szCs w:val="24"/>
        </w:rPr>
        <w:t>.</w:t>
      </w:r>
      <w:r>
        <w:rPr>
          <w:rFonts w:cs="Times New Roman"/>
          <w:szCs w:val="24"/>
        </w:rPr>
        <w:t xml:space="preserve"> Moreover we did not consider trophic relays (i.e. indirect transfers of aquatic subsidies through trophic interactions) in extending the stream signature </w:t>
      </w:r>
      <w:r>
        <w:rPr>
          <w:rFonts w:cs="Times New Roman"/>
          <w:szCs w:val="24"/>
        </w:rPr>
        <w:lastRenderedPageBreak/>
        <w:t xml:space="preserve">within </w:t>
      </w:r>
      <w:r>
        <w:rPr>
          <w:rFonts w:cs="Times New Roman"/>
          <w:szCs w:val="24"/>
        </w:rPr>
        <w:fldChar w:fldCharType="begin" w:fldLock="1"/>
      </w:r>
      <w:r w:rsidR="00306019">
        <w:rPr>
          <w:rFonts w:cs="Times New Roman"/>
          <w:szCs w:val="24"/>
        </w:rPr>
        <w:instrText>ADDIN CSL_CITATION {"citationItems":[{"id":"ITEM-1","itemData":{"DOI":"10.1007/s10021-016-0050-7","ISBN":"1435-0629","ISSN":"14350629","abstract":"Floods, spatially complex water flows, and organism movements all generate important fluxes of aquatic-derived materials into terrestrial habitats, counteracting the gravity-driven downhill transport of matter from terrestrial-to-aquatic ecosystems. The magnitude of these aquatic subsidies is often smaller than terrestrial subsidies to aquatic ecosystems but higher in nutritional quality, energy density, and nutrient concentration. The lateral extent of biological aquatic subsidies is typically small, extending only a few meters into riparian habitat; however, terrestrial consumers often aggregate on shorelines to capitalize on these high-quality resources. Although the ecological effects of aquatic subsidies remain partially understood, it is clear that ongoing human modification to aquatic ecosystems, riparian habitats and river floodplains affect the magnitude, quality, and spatial and temporal patterning of aquatic subsidies in terrestrial landscapes. These changes will alter the character of aquatic–terrestrial coupling and have consequences for terrestrial organisms that rely on these high-quality and temporally dependable resource subsidies. Homogenization of landscapes and flow regimes, eutrophication, exotic species, and contaminants all represent threats to the vital flows of aquatic-derived resources into terrestrial ecosystems. Research emphasizing that landscapes are integrated terrestrial–aquatic systems, characterized by both biological and hydrological flows among habitats, is needed for understanding the consequences of aquatic subsidies and managing ecological risks of ongoing human development.","author":[{"dropping-particle":"","family":"Schindler","given":"Daniel E.","non-dropping-particle":"","parse-names":false,"suffix":""},{"dropping-particle":"","family":"Smits","given":"Adrianne P.","non-dropping-particle":"","parse-names":false,"suffix":""}],"container-title":"Ecosystems","id":"ITEM-1","issued":{"date-parts":[["2017"]]},"page":"78-93","publisher":"Springer US","title":"Subsidies of Aquatic Resources in Terrestrial Ecosystems","type":"article-journal","volume":"20"},"uris":["http://www.mendeley.com/documents/?uuid=befe7691-520e-4605-a56a-8f676565a217"]}],"mendeley":{"formattedCitation":"(Schindler and Smits 2017)","plainTextFormattedCitation":"(Schindler and Smits 2017)","previouslyFormattedCitation":"(Schindler and Smits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(Schindler and Smits 2017)</w:t>
      </w:r>
      <w:r>
        <w:rPr>
          <w:rFonts w:cs="Times New Roman"/>
          <w:szCs w:val="24"/>
        </w:rPr>
        <w:fldChar w:fldCharType="end"/>
      </w:r>
      <w:r>
        <w:rPr>
          <w:rFonts w:cs="Times New Roman"/>
          <w:szCs w:val="24"/>
        </w:rPr>
        <w:t xml:space="preserve"> nor integrate potential effects of land </w:t>
      </w:r>
      <w:r w:rsidRPr="00640B45">
        <w:rPr>
          <w:rFonts w:cs="Times New Roman"/>
          <w:szCs w:val="24"/>
        </w:rPr>
        <w:t xml:space="preserve">cover </w:t>
      </w:r>
      <w:r>
        <w:rPr>
          <w:rFonts w:cs="Times New Roman"/>
          <w:szCs w:val="24"/>
        </w:rPr>
        <w:t>on</w:t>
      </w:r>
      <w:r w:rsidRPr="00640B45">
        <w:rPr>
          <w:rFonts w:cs="Times New Roman"/>
          <w:szCs w:val="24"/>
        </w:rPr>
        <w:t xml:space="preserve"> the relative permeability </w:t>
      </w:r>
      <w:r>
        <w:rPr>
          <w:rFonts w:cs="Times New Roman"/>
          <w:szCs w:val="24"/>
        </w:rPr>
        <w:t>of</w:t>
      </w:r>
      <w:r w:rsidRPr="00640B45">
        <w:rPr>
          <w:rFonts w:cs="Times New Roman"/>
          <w:szCs w:val="24"/>
        </w:rPr>
        <w:t xml:space="preserve"> the aquatic-terrestrial boundary </w:t>
      </w:r>
      <w:r w:rsidRPr="00640B45">
        <w:rPr>
          <w:rStyle w:val="FootnoteReference"/>
          <w:rFonts w:cs="Times New Roman"/>
          <w:szCs w:val="24"/>
        </w:rPr>
        <w:fldChar w:fldCharType="begin" w:fldLock="1"/>
      </w:r>
      <w:r w:rsidR="00306019">
        <w:rPr>
          <w:rFonts w:cs="Times New Roman"/>
          <w:szCs w:val="24"/>
        </w:rPr>
        <w:instrText>ADDIN CSL_CITATION {"citationItems":[{"id":"ITEM-1","itemData":{"DOI":"10.1007/s00442-015-3462-8","ISBN":"1010933404324","ISSN":"00298549","PMID":"26453520","abstract":"Despite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J.","non-dropping-particle":"","parse-names":false,"suffix":""}],"container-title":"Oecologia","id":"ITEM-1","issue":"2","issued":{"date-parts":[["2016"]]},"page":"551-566","publisher":"Springer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channels","type":"article-journal","volume":"180"},"uris":["http://www.mendeley.com/documents/?uuid=3540b554-d538-4eb9-a30e-6f5a1dd61f13"]}],"mendeley":{"formattedCitation":"(Greenwood and Booker 2016)","plainTextFormattedCitation":"(Greenwood and Booker 2016)","previouslyFormattedCitation":"(Greenwood and Booker 2016)"},"properties":{"noteIndex":0},"schema":"https://github.com/citation-style-language/schema/raw/master/csl-citation.json"}</w:instrText>
      </w:r>
      <w:r w:rsidRPr="00640B45">
        <w:rPr>
          <w:rStyle w:val="FootnoteReference"/>
          <w:rFonts w:cs="Times New Roman"/>
          <w:szCs w:val="24"/>
        </w:rPr>
        <w:fldChar w:fldCharType="separate"/>
      </w:r>
      <w:r w:rsidR="0034241C" w:rsidRPr="0034241C">
        <w:rPr>
          <w:rFonts w:cs="Times New Roman"/>
          <w:noProof/>
          <w:szCs w:val="24"/>
        </w:rPr>
        <w:t>(Greenwood and Booker 2016)</w:t>
      </w:r>
      <w:r w:rsidRPr="00640B45">
        <w:rPr>
          <w:rStyle w:val="FootnoteReference"/>
          <w:rFonts w:cs="Times New Roman"/>
          <w:szCs w:val="24"/>
        </w:rPr>
        <w:fldChar w:fldCharType="end"/>
      </w:r>
      <w:r w:rsidRPr="00640B45">
        <w:rPr>
          <w:rFonts w:cs="Times New Roman"/>
          <w:szCs w:val="24"/>
        </w:rPr>
        <w:t xml:space="preserve">. </w:t>
      </w:r>
      <w:r>
        <w:rPr>
          <w:rFonts w:cs="Times New Roman"/>
          <w:szCs w:val="24"/>
        </w:rPr>
        <w:t xml:space="preserve">With respect to the latter, </w:t>
      </w:r>
      <w:proofErr w:type="spellStart"/>
      <w:r>
        <w:rPr>
          <w:rFonts w:cs="Times New Roman"/>
          <w:szCs w:val="24"/>
        </w:rPr>
        <w:t>Muehlbauer</w:t>
      </w:r>
      <w:proofErr w:type="spellEnd"/>
      <w:r>
        <w:rPr>
          <w:rFonts w:cs="Times New Roman"/>
          <w:szCs w:val="24"/>
        </w:rPr>
        <w:t xml:space="preserve"> et al. (2014) did not find an effect of terrestrial vegetation structure on stream signatures but the data included in the meta-analysis were “poorly quantified” by the original source. Moving forward we encourage future studies to use national scale biological monitoring surveys (e.g. the US Environmental Protection Agency’s National Aquatic Resource Survey) to assess continental scale variation in flight traits, aquatic primary production and boundary permeability to better parameterize stream signature models.    </w:t>
      </w:r>
    </w:p>
    <w:p w14:paraId="1C397C28" w14:textId="1061FFF6" w:rsidR="00BE5C6B" w:rsidRDefault="00BE5C6B" w:rsidP="00BE5C6B">
      <w:pPr>
        <w:spacing w:before="100" w:beforeAutospacing="1" w:after="100" w:afterAutospacing="1" w:line="480" w:lineRule="auto"/>
        <w:ind w:firstLine="720"/>
        <w:contextualSpacing/>
        <w:rPr>
          <w:rFonts w:cs="Times New Roman"/>
          <w:szCs w:val="24"/>
        </w:rPr>
      </w:pPr>
      <w:r>
        <w:rPr>
          <w:rFonts w:cs="Times New Roman"/>
          <w:szCs w:val="24"/>
        </w:rPr>
        <w:t>O</w:t>
      </w:r>
      <w:r w:rsidRPr="00640B45">
        <w:rPr>
          <w:rFonts w:cs="Times New Roman"/>
          <w:szCs w:val="24"/>
        </w:rPr>
        <w:t xml:space="preserve">ur </w:t>
      </w:r>
      <w:r>
        <w:rPr>
          <w:rFonts w:cs="Times New Roman"/>
          <w:szCs w:val="24"/>
        </w:rPr>
        <w:t xml:space="preserve">analysis relies on the </w:t>
      </w:r>
      <w:r w:rsidRPr="00640B45">
        <w:rPr>
          <w:rFonts w:cs="Times New Roman"/>
          <w:szCs w:val="24"/>
        </w:rPr>
        <w:t xml:space="preserve">NHDPlusV2 </w:t>
      </w:r>
      <w:proofErr w:type="spellStart"/>
      <w:r w:rsidRPr="00640B45">
        <w:rPr>
          <w:rFonts w:cs="Times New Roman"/>
          <w:szCs w:val="24"/>
        </w:rPr>
        <w:t>flowlines</w:t>
      </w:r>
      <w:proofErr w:type="spellEnd"/>
      <w:r>
        <w:rPr>
          <w:rFonts w:cs="Times New Roman"/>
          <w:szCs w:val="24"/>
        </w:rPr>
        <w:t xml:space="preserve"> </w:t>
      </w:r>
      <w:r>
        <w:rPr>
          <w:rFonts w:cs="Times New Roman"/>
          <w:szCs w:val="24"/>
        </w:rPr>
        <w:fldChar w:fldCharType="begin" w:fldLock="1"/>
      </w:r>
      <w:r w:rsidR="00306019">
        <w:rPr>
          <w:rFonts w:cs="Times New Roman"/>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Guide","type":"article"},"uris":["http://www.mendeley.com/documents/?uuid=2eacd0aa-0fb0-448e-b8cc-991c6eb293fe"]}],"mendeley":{"formattedCitation":"(McKay et al. 2012)","plainTextFormattedCitation":"(McKay et al. 2012)","previouslyFormattedCitation":"(McKay et al. 2012)"},"properties":{"noteIndex":0},"schema":"https://github.com/citation-style-language/schema/raw/master/csl-citation.json"}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(McKay et al. 2012)</w:t>
      </w:r>
      <w:r>
        <w:rPr>
          <w:rFonts w:cs="Times New Roman"/>
          <w:szCs w:val="24"/>
        </w:rPr>
        <w:fldChar w:fldCharType="end"/>
      </w:r>
      <w:r>
        <w:rPr>
          <w:rFonts w:cs="Times New Roman"/>
          <w:szCs w:val="24"/>
        </w:rPr>
        <w:t xml:space="preserve"> for a spatial framework and is thus susceptible to issues caused by the spatial resolution</w:t>
      </w:r>
      <w:r w:rsidRPr="00640B45">
        <w:rPr>
          <w:rFonts w:cs="Times New Roman"/>
          <w:szCs w:val="24"/>
        </w:rPr>
        <w:t xml:space="preserve"> </w:t>
      </w:r>
      <w:r>
        <w:rPr>
          <w:rFonts w:cs="Times New Roman"/>
          <w:szCs w:val="24"/>
        </w:rPr>
        <w:t xml:space="preserve"> and original digitization of USGS Quadrangle maps</w:t>
      </w:r>
      <w:r w:rsidRPr="00640B45">
        <w:rPr>
          <w:rFonts w:cs="Times New Roman"/>
          <w:szCs w:val="24"/>
        </w:rPr>
        <w:t xml:space="preserve">. </w:t>
      </w:r>
      <w:r w:rsidR="0079206C">
        <w:rPr>
          <w:rFonts w:cs="Times New Roman"/>
          <w:szCs w:val="24"/>
        </w:rPr>
        <w:t>T</w:t>
      </w:r>
      <w:r w:rsidRPr="00640B45">
        <w:rPr>
          <w:rFonts w:cs="Times New Roman"/>
          <w:szCs w:val="24"/>
        </w:rPr>
        <w:t xml:space="preserve">he </w:t>
      </w:r>
      <w:r>
        <w:rPr>
          <w:rFonts w:cs="Times New Roman"/>
          <w:szCs w:val="24"/>
        </w:rPr>
        <w:t xml:space="preserve">medium </w:t>
      </w:r>
      <w:r w:rsidRPr="00640B45">
        <w:rPr>
          <w:rFonts w:cs="Times New Roman"/>
          <w:szCs w:val="24"/>
        </w:rPr>
        <w:t xml:space="preserve">resolution </w:t>
      </w:r>
      <w:r w:rsidR="0079206C">
        <w:rPr>
          <w:rFonts w:cs="Times New Roman"/>
          <w:szCs w:val="24"/>
        </w:rPr>
        <w:t xml:space="preserve">of the hydrography dataset </w:t>
      </w:r>
      <w:r w:rsidRPr="00640B45">
        <w:rPr>
          <w:rFonts w:cs="Times New Roman"/>
          <w:szCs w:val="24"/>
        </w:rPr>
        <w:t>could underestimat</w:t>
      </w:r>
      <w:r>
        <w:rPr>
          <w:rFonts w:cs="Times New Roman"/>
          <w:szCs w:val="24"/>
        </w:rPr>
        <w:t>e</w:t>
      </w:r>
      <w:r w:rsidRPr="00640B45">
        <w:rPr>
          <w:rFonts w:cs="Times New Roman"/>
          <w:szCs w:val="24"/>
        </w:rPr>
        <w:t xml:space="preserve"> drainage density and </w:t>
      </w:r>
      <w:r>
        <w:rPr>
          <w:rFonts w:cs="Times New Roman"/>
          <w:szCs w:val="24"/>
        </w:rPr>
        <w:t xml:space="preserve">therefore affect our estimates of </w:t>
      </w:r>
      <w:r w:rsidRPr="00640B45">
        <w:rPr>
          <w:rFonts w:cs="Times New Roman"/>
          <w:szCs w:val="24"/>
        </w:rPr>
        <w:t xml:space="preserve">the extent of the aquatic </w:t>
      </w:r>
      <w:r>
        <w:rPr>
          <w:rFonts w:cs="Times New Roman"/>
          <w:szCs w:val="24"/>
        </w:rPr>
        <w:t>insect subsidies</w:t>
      </w:r>
      <w:r w:rsidR="0079206C">
        <w:rPr>
          <w:rFonts w:cs="Times New Roman"/>
          <w:szCs w:val="24"/>
        </w:rPr>
        <w:t xml:space="preserve"> </w:t>
      </w:r>
      <w:r w:rsidR="0079206C" w:rsidRPr="00640B45">
        <w:rPr>
          <w:rStyle w:val="FootnoteReference"/>
          <w:rFonts w:cs="Times New Roman"/>
          <w:szCs w:val="24"/>
        </w:rPr>
        <w:fldChar w:fldCharType="begin" w:fldLock="1"/>
      </w:r>
      <w:r w:rsidR="0079206C">
        <w:rPr>
          <w:rFonts w:cs="Times New Roman"/>
          <w:szCs w:val="24"/>
        </w:rPr>
        <w:instrText>ADDIN CSL_CITATION {"citationItems":[{"id":"ITEM-1","itemData":{"DOI":"10.1038/ngeo1593","ISBN":"1752-0894\\r1752-0908","ISSN":"1752-0894","abstract":"Nature Geoscience 5, 678 (2012). doi:10.1038/ngeo1593","author":[{"dropping-particle":"","family":"Benstead","given":"Jonathan P.","non-dropping-particle":"","parse-names":false,"suffix":""},{"dropping-particle":"","family":"Leigh","given":"David S.","non-dropping-particle":"","parse-names":false,"suffix":""}],"container-title":"Nature Geoscience","id":"ITEM-1","issue":"10","issued":{"date-parts":[["2012"]]},"page":"678-679","publisher":"Nature Publishing Group","title":"An expanded role for river networks","type":"article-journal","volume":"5"},"uris":["http://www.mendeley.com/documents/?uuid=6ddf97a8-b744-4ed1-aa65-e1bad6052a78"]}],"mendeley":{"formattedCitation":"(Benstead and Leigh 2012)","plainTextFormattedCitation":"(Benstead and Leigh 2012)","previouslyFormattedCitation":"(Benstead and Leigh 2012)"},"properties":{"noteIndex":0},"schema":"https://github.com/citation-style-language/schema/raw/master/csl-citation.json"}</w:instrText>
      </w:r>
      <w:r w:rsidR="0079206C" w:rsidRPr="00640B45">
        <w:rPr>
          <w:rStyle w:val="FootnoteReference"/>
          <w:rFonts w:cs="Times New Roman"/>
          <w:szCs w:val="24"/>
        </w:rPr>
        <w:fldChar w:fldCharType="separate"/>
      </w:r>
      <w:r w:rsidR="0079206C" w:rsidRPr="0034241C">
        <w:rPr>
          <w:rFonts w:cs="Times New Roman"/>
          <w:bCs/>
          <w:noProof/>
          <w:szCs w:val="24"/>
        </w:rPr>
        <w:t>(Benstead and Leigh 2012)</w:t>
      </w:r>
      <w:r w:rsidR="0079206C" w:rsidRPr="00640B45">
        <w:rPr>
          <w:rStyle w:val="FootnoteReference"/>
          <w:rFonts w:cs="Times New Roman"/>
          <w:szCs w:val="24"/>
        </w:rPr>
        <w:fldChar w:fldCharType="end"/>
      </w:r>
      <w:r>
        <w:rPr>
          <w:rFonts w:cs="Times New Roman"/>
          <w:szCs w:val="24"/>
        </w:rPr>
        <w:t>. Also</w:t>
      </w:r>
      <w:r w:rsidR="0079206C">
        <w:rPr>
          <w:rFonts w:cs="Times New Roman"/>
          <w:szCs w:val="24"/>
        </w:rPr>
        <w:t>,</w:t>
      </w:r>
      <w:r>
        <w:rPr>
          <w:rFonts w:cs="Times New Roman"/>
          <w:szCs w:val="24"/>
        </w:rPr>
        <w:t xml:space="preserve"> </w:t>
      </w:r>
      <w:proofErr w:type="spellStart"/>
      <w:r w:rsidRPr="00640B45">
        <w:rPr>
          <w:rFonts w:cs="Times New Roman"/>
          <w:szCs w:val="24"/>
        </w:rPr>
        <w:t>plan</w:t>
      </w:r>
      <w:r>
        <w:rPr>
          <w:rFonts w:cs="Times New Roman"/>
          <w:szCs w:val="24"/>
        </w:rPr>
        <w:t>i</w:t>
      </w:r>
      <w:r w:rsidRPr="00640B45">
        <w:rPr>
          <w:rFonts w:cs="Times New Roman"/>
          <w:szCs w:val="24"/>
        </w:rPr>
        <w:t>metric</w:t>
      </w:r>
      <w:proofErr w:type="spellEnd"/>
      <w:r w:rsidRPr="00640B45">
        <w:rPr>
          <w:rFonts w:cs="Times New Roman"/>
          <w:szCs w:val="24"/>
        </w:rPr>
        <w:t xml:space="preserve"> 1:24K maps were </w:t>
      </w:r>
      <w:r>
        <w:rPr>
          <w:rFonts w:cs="Times New Roman"/>
          <w:szCs w:val="24"/>
        </w:rPr>
        <w:t xml:space="preserve">generalized to </w:t>
      </w:r>
      <w:r w:rsidRPr="00640B45">
        <w:rPr>
          <w:rFonts w:cs="Times New Roman"/>
          <w:szCs w:val="24"/>
        </w:rPr>
        <w:t>fill in gaps</w:t>
      </w:r>
      <w:r>
        <w:rPr>
          <w:rFonts w:cs="Times New Roman"/>
          <w:szCs w:val="24"/>
        </w:rPr>
        <w:t xml:space="preserve"> in the 1:100K maps to create a seamless</w:t>
      </w:r>
      <w:r w:rsidR="00F80040">
        <w:rPr>
          <w:rFonts w:cs="Times New Roman"/>
          <w:szCs w:val="24"/>
        </w:rPr>
        <w:t xml:space="preserve"> hydrography</w:t>
      </w:r>
      <w:r>
        <w:rPr>
          <w:rFonts w:cs="Times New Roman"/>
          <w:szCs w:val="24"/>
        </w:rPr>
        <w:t xml:space="preserve"> coverage </w:t>
      </w:r>
      <w:r w:rsidR="0079206C">
        <w:rPr>
          <w:rFonts w:cs="Times New Roman"/>
          <w:szCs w:val="24"/>
        </w:rPr>
        <w:t>for the CONUS</w:t>
      </w:r>
      <w:r w:rsidR="00F80040">
        <w:rPr>
          <w:rFonts w:cs="Times New Roman"/>
          <w:szCs w:val="24"/>
        </w:rPr>
        <w:t>. A</w:t>
      </w:r>
      <w:r>
        <w:rPr>
          <w:rFonts w:cs="Times New Roman"/>
          <w:szCs w:val="24"/>
        </w:rPr>
        <w:t>s a result</w:t>
      </w:r>
      <w:r w:rsidR="00F80040">
        <w:rPr>
          <w:rFonts w:cs="Times New Roman"/>
          <w:szCs w:val="24"/>
        </w:rPr>
        <w:t>,</w:t>
      </w:r>
      <w:r>
        <w:rPr>
          <w:rFonts w:cs="Times New Roman"/>
          <w:szCs w:val="24"/>
        </w:rPr>
        <w:t xml:space="preserve"> some </w:t>
      </w:r>
      <w:r w:rsidRPr="00640B45">
        <w:rPr>
          <w:rFonts w:cs="Times New Roman"/>
          <w:szCs w:val="24"/>
        </w:rPr>
        <w:t xml:space="preserve">inconsistencies </w:t>
      </w:r>
      <w:r>
        <w:rPr>
          <w:rFonts w:cs="Times New Roman"/>
          <w:szCs w:val="24"/>
        </w:rPr>
        <w:t>in drainage densities</w:t>
      </w:r>
      <w:r w:rsidR="00F80040">
        <w:rPr>
          <w:rFonts w:cs="Times New Roman"/>
          <w:szCs w:val="24"/>
        </w:rPr>
        <w:t xml:space="preserve"> are present</w:t>
      </w:r>
      <w:r>
        <w:rPr>
          <w:rFonts w:cs="Times New Roman"/>
          <w:szCs w:val="24"/>
        </w:rPr>
        <w:t xml:space="preserve"> along township </w:t>
      </w:r>
      <w:r w:rsidRPr="00640B45">
        <w:rPr>
          <w:rFonts w:cs="Times New Roman"/>
          <w:szCs w:val="24"/>
        </w:rPr>
        <w:t>boundaries</w:t>
      </w:r>
      <w:r>
        <w:rPr>
          <w:rFonts w:cs="Times New Roman"/>
          <w:szCs w:val="24"/>
        </w:rPr>
        <w:t>. Currently</w:t>
      </w:r>
      <w:r w:rsidR="00F80040">
        <w:rPr>
          <w:rFonts w:cs="Times New Roman"/>
          <w:szCs w:val="24"/>
        </w:rPr>
        <w:t>,</w:t>
      </w:r>
      <w:r>
        <w:rPr>
          <w:rFonts w:cs="Times New Roman"/>
          <w:szCs w:val="24"/>
        </w:rPr>
        <w:t xml:space="preserve"> </w:t>
      </w:r>
      <w:r w:rsidRPr="00640B45">
        <w:rPr>
          <w:rFonts w:cs="Times New Roman"/>
          <w:szCs w:val="24"/>
        </w:rPr>
        <w:t>there is not scale-based</w:t>
      </w:r>
      <w:r>
        <w:rPr>
          <w:rFonts w:cs="Times New Roman"/>
          <w:szCs w:val="24"/>
        </w:rPr>
        <w:t xml:space="preserve"> method to resolve this issue </w:t>
      </w:r>
      <w:r w:rsidRPr="00640B45">
        <w:rPr>
          <w:rFonts w:cs="Times New Roman"/>
          <w:szCs w:val="24"/>
        </w:rPr>
        <w:t>(</w:t>
      </w:r>
      <w:proofErr w:type="spellStart"/>
      <w:r w:rsidRPr="00640B45">
        <w:rPr>
          <w:rFonts w:cs="Times New Roman"/>
          <w:szCs w:val="24"/>
        </w:rPr>
        <w:t>NHDPlus</w:t>
      </w:r>
      <w:proofErr w:type="spellEnd"/>
      <w:r w:rsidRPr="00640B45">
        <w:rPr>
          <w:rFonts w:cs="Times New Roman"/>
          <w:szCs w:val="24"/>
        </w:rPr>
        <w:t xml:space="preserve"> Team, </w:t>
      </w:r>
      <w:proofErr w:type="spellStart"/>
      <w:r w:rsidRPr="00640B45">
        <w:rPr>
          <w:rFonts w:cs="Times New Roman"/>
          <w:i/>
          <w:szCs w:val="24"/>
        </w:rPr>
        <w:t>Per</w:t>
      </w:r>
      <w:r>
        <w:rPr>
          <w:rFonts w:cs="Times New Roman"/>
          <w:i/>
          <w:szCs w:val="24"/>
        </w:rPr>
        <w:t>s</w:t>
      </w:r>
      <w:proofErr w:type="spellEnd"/>
      <w:r w:rsidRPr="00640B45">
        <w:rPr>
          <w:rFonts w:cs="Times New Roman"/>
          <w:i/>
          <w:szCs w:val="24"/>
        </w:rPr>
        <w:t xml:space="preserve"> Com</w:t>
      </w:r>
      <w:r>
        <w:rPr>
          <w:rFonts w:cs="Times New Roman"/>
          <w:i/>
          <w:szCs w:val="24"/>
        </w:rPr>
        <w:t>m.</w:t>
      </w:r>
      <w:r w:rsidRPr="00640B45">
        <w:rPr>
          <w:rFonts w:cs="Times New Roman"/>
          <w:szCs w:val="24"/>
        </w:rPr>
        <w:t>)</w:t>
      </w:r>
      <w:r>
        <w:rPr>
          <w:rFonts w:cs="Times New Roman"/>
          <w:szCs w:val="24"/>
        </w:rPr>
        <w:t xml:space="preserve"> but visual inspection of the entire NHDPlusV2 dataset did not reveal systematic inconsistencies between the hydrologic regions. Thus, we assume they are evenly distributed across the US and did not bias our analysis. </w:t>
      </w:r>
      <w:r w:rsidRPr="00640B45">
        <w:rPr>
          <w:rFonts w:cs="Times New Roman"/>
          <w:szCs w:val="24"/>
        </w:rPr>
        <w:t xml:space="preserve"> </w:t>
      </w:r>
    </w:p>
    <w:p w14:paraId="4A1C9BAE" w14:textId="31F74AFB" w:rsidR="00175716" w:rsidRDefault="00BE5C6B" w:rsidP="00175716">
      <w:pPr>
        <w:spacing w:before="100" w:beforeAutospacing="1" w:after="100" w:afterAutospacing="1" w:line="480" w:lineRule="auto"/>
        <w:ind w:firstLine="720"/>
        <w:contextualSpacing/>
        <w:rPr>
          <w:rFonts w:cs="Times New Roman"/>
          <w:szCs w:val="24"/>
        </w:rPr>
      </w:pPr>
      <w:r>
        <w:rPr>
          <w:rFonts w:cs="Times New Roman"/>
          <w:szCs w:val="24"/>
        </w:rPr>
        <w:t>Regardless of these limitations,</w:t>
      </w:r>
      <w:r w:rsidRPr="00A435AB">
        <w:rPr>
          <w:rFonts w:cs="Times New Roman"/>
          <w:szCs w:val="24"/>
        </w:rPr>
        <w:t xml:space="preserve"> </w:t>
      </w:r>
      <w:r>
        <w:rPr>
          <w:rFonts w:cs="Times New Roman"/>
          <w:szCs w:val="24"/>
        </w:rPr>
        <w:t xml:space="preserve">establishing a link between stream network geometry and the spatial influence of aquatic insect subsidies provides a potential explanation of regional differences in the importance of subsidies and is a crucial step towards understanding ecosystem functioning at landscape scales. More generally, this study provides a framework for uniting </w:t>
      </w:r>
      <w:r>
        <w:rPr>
          <w:rFonts w:cs="Times New Roman"/>
          <w:szCs w:val="24"/>
        </w:rPr>
        <w:lastRenderedPageBreak/>
        <w:t xml:space="preserve">meta-analyses with theory and large-scale geospatial datasets which could be used to generate novel insights into broad scale patterns in ecology. As ecologists are presented with problems occurring at larger spatial scales this approach could become increasingly important.    </w:t>
      </w:r>
    </w:p>
    <w:p w14:paraId="1D36619C" w14:textId="65C177C5" w:rsidR="00175716" w:rsidRPr="005023AB" w:rsidRDefault="00175716" w:rsidP="00175716">
      <w:pPr>
        <w:pStyle w:val="Heading2"/>
        <w:spacing w:line="480" w:lineRule="auto"/>
        <w:contextualSpacing/>
      </w:pPr>
      <w:bookmarkStart w:id="9" w:name="_Toc60841214"/>
      <w:r w:rsidRPr="005023AB">
        <w:t>Acknowledgements</w:t>
      </w:r>
      <w:bookmarkEnd w:id="9"/>
      <w:r w:rsidRPr="005023AB">
        <w:t xml:space="preserve"> </w:t>
      </w:r>
    </w:p>
    <w:p w14:paraId="6E245A2F" w14:textId="77777777" w:rsidR="00155D79" w:rsidRDefault="00175716" w:rsidP="00155D79">
      <w:pPr>
        <w:spacing w:before="100" w:beforeAutospacing="1" w:after="100" w:afterAutospacing="1" w:line="480" w:lineRule="auto"/>
        <w:contextualSpacing/>
        <w:rPr>
          <w:rFonts w:cs="Times New Roman"/>
          <w:szCs w:val="24"/>
        </w:rPr>
      </w:pPr>
      <w:r w:rsidRPr="00640B45">
        <w:rPr>
          <w:rFonts w:cs="Times New Roman"/>
          <w:szCs w:val="24"/>
        </w:rPr>
        <w:t xml:space="preserve">We would like to thank M. </w:t>
      </w:r>
      <w:proofErr w:type="spellStart"/>
      <w:r w:rsidRPr="00640B45">
        <w:rPr>
          <w:rFonts w:cs="Times New Roman"/>
          <w:szCs w:val="24"/>
        </w:rPr>
        <w:t>Kaspari</w:t>
      </w:r>
      <w:proofErr w:type="spellEnd"/>
      <w:r w:rsidRPr="00640B45">
        <w:rPr>
          <w:rFonts w:cs="Times New Roman"/>
          <w:szCs w:val="24"/>
        </w:rPr>
        <w:t xml:space="preserve">, J. Kelly, </w:t>
      </w:r>
      <w:r>
        <w:rPr>
          <w:rFonts w:cs="Times New Roman"/>
          <w:szCs w:val="24"/>
        </w:rPr>
        <w:t xml:space="preserve">T. </w:t>
      </w:r>
      <w:proofErr w:type="spellStart"/>
      <w:r>
        <w:rPr>
          <w:rFonts w:cs="Times New Roman"/>
          <w:szCs w:val="24"/>
        </w:rPr>
        <w:t>Neeson</w:t>
      </w:r>
      <w:proofErr w:type="spellEnd"/>
      <w:r>
        <w:rPr>
          <w:rFonts w:cs="Times New Roman"/>
          <w:szCs w:val="24"/>
        </w:rPr>
        <w:t>,</w:t>
      </w:r>
      <w:r w:rsidRPr="00640B45">
        <w:rPr>
          <w:rFonts w:cs="Times New Roman"/>
          <w:szCs w:val="24"/>
        </w:rPr>
        <w:t xml:space="preserve"> </w:t>
      </w:r>
      <w:r>
        <w:rPr>
          <w:rFonts w:cs="Times New Roman"/>
          <w:szCs w:val="24"/>
        </w:rPr>
        <w:t xml:space="preserve">J. Wu, W. Cross, S. </w:t>
      </w:r>
      <w:proofErr w:type="spellStart"/>
      <w:r>
        <w:rPr>
          <w:rFonts w:cs="Times New Roman"/>
          <w:szCs w:val="24"/>
        </w:rPr>
        <w:t>Leroux</w:t>
      </w:r>
      <w:proofErr w:type="spellEnd"/>
      <w:r>
        <w:rPr>
          <w:rFonts w:cs="Times New Roman"/>
          <w:szCs w:val="24"/>
        </w:rPr>
        <w:t xml:space="preserve"> and an anonymous reviewer </w:t>
      </w:r>
      <w:r w:rsidRPr="00640B45">
        <w:rPr>
          <w:rFonts w:cs="Times New Roman"/>
          <w:szCs w:val="24"/>
        </w:rPr>
        <w:t>for providing comments on early versions of this manuscript. Financial support was provided by a grant from th</w:t>
      </w:r>
      <w:r>
        <w:rPr>
          <w:rFonts w:cs="Times New Roman"/>
          <w:szCs w:val="24"/>
        </w:rPr>
        <w:t>e</w:t>
      </w:r>
      <w:r w:rsidRPr="00640B45">
        <w:rPr>
          <w:rFonts w:cs="Times New Roman"/>
          <w:szCs w:val="24"/>
        </w:rPr>
        <w:t xml:space="preserve"> National Science Foundation (EF- 1802872) to DCA and the Adams Family Endowment at the University of Oklahoma provided additional financial support to DAK. </w:t>
      </w:r>
    </w:p>
    <w:p w14:paraId="3E830BEB" w14:textId="4FD65FC1" w:rsidR="00175716" w:rsidRPr="00155D79" w:rsidRDefault="00175716" w:rsidP="00155D79">
      <w:pPr>
        <w:pStyle w:val="Heading2"/>
        <w:spacing w:line="480" w:lineRule="auto"/>
        <w:contextualSpacing/>
        <w:rPr>
          <w:rFonts w:cs="Times New Roman"/>
          <w:szCs w:val="24"/>
        </w:rPr>
      </w:pPr>
      <w:bookmarkStart w:id="10" w:name="_Toc60841215"/>
      <w:r w:rsidRPr="005023AB">
        <w:t>References</w:t>
      </w:r>
      <w:bookmarkEnd w:id="10"/>
    </w:p>
    <w:p w14:paraId="7D03CBAA" w14:textId="718B9CCF" w:rsidR="008759C3" w:rsidRPr="008759C3" w:rsidRDefault="00175716" w:rsidP="008759C3">
      <w:pPr>
        <w:widowControl w:val="0"/>
        <w:autoSpaceDE w:val="0"/>
        <w:autoSpaceDN w:val="0"/>
        <w:adjustRightInd w:val="0"/>
        <w:spacing w:before="100" w:after="100" w:line="480" w:lineRule="auto"/>
        <w:ind w:left="480" w:hanging="480"/>
        <w:rPr>
          <w:rFonts w:cs="Times New Roman"/>
          <w:noProof/>
          <w:szCs w:val="24"/>
        </w:rPr>
      </w:pPr>
      <w:r>
        <w:rPr>
          <w:rFonts w:cs="Times New Roman"/>
          <w:szCs w:val="24"/>
        </w:rPr>
        <w:fldChar w:fldCharType="begin" w:fldLock="1"/>
      </w:r>
      <w:r>
        <w:rPr>
          <w:rFonts w:cs="Times New Roman"/>
          <w:szCs w:val="24"/>
        </w:rPr>
        <w:instrText xml:space="preserve">ADDIN Mendeley Bibliography CSL_BIBLIOGRAPHY </w:instrText>
      </w:r>
      <w:r>
        <w:rPr>
          <w:rFonts w:cs="Times New Roman"/>
          <w:szCs w:val="24"/>
        </w:rPr>
        <w:fldChar w:fldCharType="separate"/>
      </w:r>
      <w:r w:rsidR="008759C3" w:rsidRPr="008759C3">
        <w:rPr>
          <w:rFonts w:cs="Times New Roman"/>
          <w:noProof/>
          <w:szCs w:val="24"/>
        </w:rPr>
        <w:t>Allan, J. D. 2004. Landscapes and Riverscapes: The Influence of Land Use on Stream Ecosystems. Annual Review of Ecology, Evolution, and Systematics 35:257–284.</w:t>
      </w:r>
    </w:p>
    <w:p w14:paraId="15A92E0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Allen, D. C., and J. Wesner. 2016. Synthesis: comparing effects of resource and consumer fluxes into recipient food webs using meta-analysis. Ecology 97:594–604.</w:t>
      </w:r>
    </w:p>
    <w:p w14:paraId="16575A0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Allen, G. H., and T. M. Pavelsky. 2015. Patterns of river width and surface area revealed by the satellite-derived North American River Width data set. Geophysical Research Letters 42:395–402.</w:t>
      </w:r>
    </w:p>
    <w:p w14:paraId="30245FD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Allen, G. H., T. M. Pavelsky, E. A. Barefoot, M. P. Lamb, D. Butman, A. Tashie, and C. J. Gleason. 2018. Similarity of stream width distributions across headwater systems. Nature Communications 9:610.</w:t>
      </w:r>
    </w:p>
    <w:p w14:paraId="7E7E34B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Anderson, H. E., L. K. Albertson, and D. M. Walters. 2019. Water temperature drives variability </w:t>
      </w:r>
      <w:r w:rsidRPr="008759C3">
        <w:rPr>
          <w:rFonts w:cs="Times New Roman"/>
          <w:noProof/>
          <w:szCs w:val="24"/>
        </w:rPr>
        <w:lastRenderedPageBreak/>
        <w:t>in salmonfly abundance, emergence timing, and body size. River Research and Applications 35:1013–1022.</w:t>
      </w:r>
    </w:p>
    <w:p w14:paraId="4AB845D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Anderson, W. B., A. D. Wait, and P. Stapp. 2008. Resources From Another Place and Time: Responses To Pulses in a Spatially Subsidized System. Ecology 89:660–670.</w:t>
      </w:r>
    </w:p>
    <w:p w14:paraId="1A5D07E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Araújo, M. B., and A. T. Peterson. 2012. Uses and misuses of bioclimatic envelope modeling. Ecology 93:1527–1539.</w:t>
      </w:r>
    </w:p>
    <w:p w14:paraId="7E05E45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Baker, M. E., D. E. Weller, and T. E. Jordan. 2007. Effects of stream map resolution on measures of riparian buffer distribution and nutrient retention potential. Landscape Ecology 22:973–992.</w:t>
      </w:r>
    </w:p>
    <w:p w14:paraId="4316B8C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Baldwin, D. J. B., K. Weaver, F. Schnekenburger, and A. H. Perera. 2004. Sensitivity of landscape pattern indices to input data characteristics on real landscapes: implications for their use in natural disturbance emulation. Landscape Ecology 19:255–271.</w:t>
      </w:r>
    </w:p>
    <w:p w14:paraId="59BA660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Barnett, T. P., D. W. Pierce, H. G. Hidalgo, C. Bonfils, B. D. Santer, T. Das, G. Bala, A. W. Wood, T. Nozawa, A. a Mirin, D. R. Cayan, and M. D. Dettinger. 2008. Human-Induced Changes in the Hydrology of the Western United States. Science 319:1080–1083.</w:t>
      </w:r>
    </w:p>
    <w:p w14:paraId="5EEA0BC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Bartrons, M., M. Papeş, M. W. Diebel, C. Gratton, and M. J. Vander Zanden. 2013. Regional-Level Inputs of Emergent Aquatic Insects from Water to Land. Ecosystems 16:1353–1363.</w:t>
      </w:r>
    </w:p>
    <w:p w14:paraId="53D3230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Baxter, C. V., K. D. Fausch, and W. C. Saunders. 2005. Tangled webs: Reciprocal flows of invertebrate prey link streams and riparian zones. Freshwater Biology 50:201–220.</w:t>
      </w:r>
    </w:p>
    <w:p w14:paraId="65F33A1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Benda, L., N. L. Poff, D. Miller, T. Dunne, G. G. Reeves, G. Pess, and M. Pollock. 2004. The Network Dynamics Hypothesis: How Channel Networks Structure Riverine Habitats. BioScience 54:413.</w:t>
      </w:r>
    </w:p>
    <w:p w14:paraId="3F08D5A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Benstead, J. P., and D. S. Leigh. 2012. An expanded role for river networks. Nature Geoscience 5:678–679.</w:t>
      </w:r>
    </w:p>
    <w:p w14:paraId="50F867B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Bieger, K., H. Rathjens, P. M. Allen, and J. G. Arnold. 2015. Development and Evaluation of Bankfull Hydraulic Geometry Relationships for the Physiographic Regions of the United States. Journal of the American Water Resources Association 51:842–858.</w:t>
      </w:r>
    </w:p>
    <w:p w14:paraId="64AEC1D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Blöschl, G., J. Hall, J. Parajka, R. A. P. Perdigão, B. Merz, B. Arheimer, G. T. Aronica, A. Bilibashi, O. Bonacci, M. Borga, Č. Ivan, A. Castellarin, and G. B. Chirico. 2017. Climate change shifts timing of European floods. Science 590:588–590.</w:t>
      </w:r>
    </w:p>
    <w:p w14:paraId="1F4F85C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Borcard, D., F. Gillet, and P. Legendre. 2018. Numerical Ecology with R. second. Springer Nature, Cham, Switzerland.</w:t>
      </w:r>
    </w:p>
    <w:p w14:paraId="48CC55B2"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Breiman, L. 2001. Random forests. Machine Learning 45:5–32.</w:t>
      </w:r>
    </w:p>
    <w:p w14:paraId="62007A2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Brieuc, M. S. O., C. D. Waters, D. P. Drinan, and K. A. Naish. 2018. A practical introduction to Random Forest for genetic association studies in ecology and evolution. Molecular Ecology Resources 18:755–766.</w:t>
      </w:r>
    </w:p>
    <w:p w14:paraId="475B515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Bultman, H., D. Hoekman, J. Dreyer, and C. Gratton. 2014. Terrestrial deposition of aquatic insects increases plant quality for insect herbivores and herbivore density. Ecological Entomology 39:419–426.</w:t>
      </w:r>
    </w:p>
    <w:p w14:paraId="154C0CF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Bürkner, P. C. 2017. brms: An R package for Bayesian multilevel models using Stan. Journal of Statistical Software 80.</w:t>
      </w:r>
    </w:p>
    <w:p w14:paraId="21990B9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Buyantuyev, A., and J. Wu. 2007. Effects of thematic resolution on landscape pattern analysis. Landscape Ecology 22:7–13.</w:t>
      </w:r>
    </w:p>
    <w:p w14:paraId="075F30E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Campbell Grant, E. H. 2011. Structural complexity, movement bias, and metapopulation </w:t>
      </w:r>
      <w:r w:rsidRPr="008759C3">
        <w:rPr>
          <w:rFonts w:cs="Times New Roman"/>
          <w:noProof/>
          <w:szCs w:val="24"/>
        </w:rPr>
        <w:lastRenderedPageBreak/>
        <w:t>extinction risk in dendritic ecological networks. Journal of the North American Benthological Society 30:252–258.</w:t>
      </w:r>
    </w:p>
    <w:p w14:paraId="69E39722"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Carlson, P. E., B. G. Mckie, L. Sandin, and R. K. Johnson. 2016. Strong land-use effects on the dispersal patterns of adult stream insects: implications for transfers of aquatic subsidies to terrestrial consumers. Freshwater Biology 61:848–861.</w:t>
      </w:r>
    </w:p>
    <w:p w14:paraId="5B29DA4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Clarke, A., R. Mac Nally, N. Bond, and P. S. Lake. 2008. Macroinvertebrate diversity in headwater streams: A review. Freshwater Biology 53:1707–1721.</w:t>
      </w:r>
    </w:p>
    <w:p w14:paraId="6FA8ABD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Collins, S. E., S. F. Matter, I. Buffam, and J. E. Flotemersch. 2018. A patchy continuum? Stream processes show varied responses to patch- and continuum-based analyses. Ecosphere 9.</w:t>
      </w:r>
    </w:p>
    <w:p w14:paraId="34D5383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Collins, S. E., M. C. Thoms, and J. E. Flotemersch. 2014. Hydrogeomorphic zones characterize riverbed sediment patterns within a river network. River Systems 21:203–213.</w:t>
      </w:r>
    </w:p>
    <w:p w14:paraId="72DA590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Comte, L., and J. D. Olden. 2018. Fish dispersal in flowing waters: A synthesis of movement- and genetic-based studies. Fish and Fisheries 19:1063–1077.</w:t>
      </w:r>
    </w:p>
    <w:p w14:paraId="3D96C44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Cote, D., D. G. Kehler, C. Bourne, and Y. F. Wiersma. 2009. A new measure of longitudinal connectivity for stream networks. Landscape Ecology 24:101–113.</w:t>
      </w:r>
    </w:p>
    <w:p w14:paraId="5BF4A42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Cushman, S. A., J. Littell, and K. McGarigal. 2010. The Problem of Ecological Scaling in Spatially Complex, Nonequilibrium Ecological Systems. Pages 1–458 </w:t>
      </w:r>
      <w:r w:rsidRPr="008759C3">
        <w:rPr>
          <w:rFonts w:cs="Times New Roman"/>
          <w:i/>
          <w:iCs/>
          <w:noProof/>
          <w:szCs w:val="24"/>
        </w:rPr>
        <w:t>in</w:t>
      </w:r>
      <w:r w:rsidRPr="008759C3">
        <w:rPr>
          <w:rFonts w:cs="Times New Roman"/>
          <w:noProof/>
          <w:szCs w:val="24"/>
        </w:rPr>
        <w:t xml:space="preserve"> Cushman S.A. and F. Huettmann (editors). Spatial Complexity, Informatics, and Wildlife Conservation. Springer, Tokyo.</w:t>
      </w:r>
    </w:p>
    <w:p w14:paraId="5349FCC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Datry, T., H. Pella, C. Leigh, N. Bonada, and B. Hugueny. 2016. A landscape approach to advance intermittent river ecology. Freshwater Biology n/a-n/a.</w:t>
      </w:r>
    </w:p>
    <w:p w14:paraId="58742AC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Davis, J. M., A. D. Rosemond, and G. E. Small. 2011. Increasing donor ecosystem productivity </w:t>
      </w:r>
      <w:r w:rsidRPr="008759C3">
        <w:rPr>
          <w:rFonts w:cs="Times New Roman"/>
          <w:noProof/>
          <w:szCs w:val="24"/>
        </w:rPr>
        <w:lastRenderedPageBreak/>
        <w:t>decreases terrestrial consumer reliance on a stream resource subsidy. Oecologia 167:821–834.</w:t>
      </w:r>
    </w:p>
    <w:p w14:paraId="7B98DF4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Demars, B., R. Manson, J. Ólafsson, G. Gíslason, R. Gudmundsdóttir, G. Woodward, J. Reiss, D. Pichler, J. Rasmussen, and N. Friberg. 2011. Temperature and the metabolic balance of streams. Freshwater Biology 56:1106–1121.</w:t>
      </w:r>
    </w:p>
    <w:p w14:paraId="32BA138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Dodds, W. K., L. Bruckerhoff, D. Batzer, A. Schechner, C. Pennock, E. Renner, F. Tromboni, K. Bigham, and S. Grieger. 2019. The freshwater biome gradient framework: Predicting macroscale properties based on latitude, altitude, and precipitation. Ecosphere 10.</w:t>
      </w:r>
    </w:p>
    <w:p w14:paraId="278C54E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Dodds, W. K., K. Gido, M. R. Whiles, M. D. Daniels, and B. P. Grudzinski. 2015. The Stream Biome Gradient Concept: factors controlling lotic systems across broad biogeographic scales. Freshwater Science 34:1–19.</w:t>
      </w:r>
    </w:p>
    <w:p w14:paraId="4DA1C522"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Dolédec, S., N. Phillips, M. Scarsbrook, R. H. Riley, and C. R. Townsend. 2006. Comparison of structural and functional approaches to determining landuse effects on grassland stream invertebrate communities. Journal of the North American Benthological Society 25:44–60.</w:t>
      </w:r>
    </w:p>
    <w:p w14:paraId="5214916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Dreyer, J., P. A. Townsend, J. C. Hook, D. Hoekman, M. J. Vander Zanden, and C. Gratton. 2015. Quantifying aquatic insect deposition from lake to land. Ecology 96:499–509.</w:t>
      </w:r>
    </w:p>
    <w:p w14:paraId="7A1BE7E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Dunning, J. B. (Ed.). 2008. CRC Handbook of Avian Body Masses. CRC Press.</w:t>
      </w:r>
    </w:p>
    <w:p w14:paraId="1B9C529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Elith, J., J. R. Leathwick, and T. Hastie. 2008. A working guide to boosted regression trees. Journal of Animal Ecology 77:802–813.</w:t>
      </w:r>
    </w:p>
    <w:p w14:paraId="57189A2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Epanchin, P., R. Knapp, and S. Lawler. 2010. Nonnative trout impact an alpine-nesting bird by altering aquatic-insect subsidies. Ecology 91:2406–2415.</w:t>
      </w:r>
    </w:p>
    <w:p w14:paraId="65DED8A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Erős, T., and W. H. Lowe. 2019. The Landscape Ecology of Rivers: from Patch-Based to Spatial </w:t>
      </w:r>
      <w:r w:rsidRPr="008759C3">
        <w:rPr>
          <w:rFonts w:cs="Times New Roman"/>
          <w:noProof/>
          <w:szCs w:val="24"/>
        </w:rPr>
        <w:lastRenderedPageBreak/>
        <w:t>Network Analyses. Current Landscape Ecology Reports 4:103–112.</w:t>
      </w:r>
    </w:p>
    <w:p w14:paraId="312B777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Fausch, K. D., C. E. Torgersen, C. V. Baxter, and H. W. Li. 2002. Landscapes to riverscapes: Bridging the gap between research and conservation of stream fishes. BioScience 52:483–498.</w:t>
      </w:r>
    </w:p>
    <w:p w14:paraId="6B93959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Faustini, J. M., P. R. Kaufmann, and A. T. Herlihy. 2009. Downstream variation in bankfull width of wadeable streams across the conterminous United States. Geomorphology 108:292–311.</w:t>
      </w:r>
    </w:p>
    <w:p w14:paraId="17DE3E3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Fink, D., T. Auer, A. Johnston, V. Ruiz-Gutierrez, W. M. Hochachka, and S. Kelling. 2020a. Modeling avian full annual cycle distribution and population trends with citizen science data. Ecological Applications 30:1–16.</w:t>
      </w:r>
    </w:p>
    <w:p w14:paraId="44046EC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Fink, D., T. Auer, A. Johnston, M. Strimas-Mackey, O. Robinson, S. Ligocki, B. Petersen, C. Wood, I. Davies, B. Sullivan, M. Iliff, and S. Kelling. 2020b. eBird Status and Trends, Data Version: 2018; Released: 2020. Cornell Lab of Ornithology, Ithaca, New York.</w:t>
      </w:r>
    </w:p>
    <w:p w14:paraId="791BDDF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Finn, D. S., N. Bonada, C. Múrria, and J. M. Hughes. 2011. Small but mighty: headwaters are vital to stream network biodiversity at two levels of organization. Journal of the North American Benthological Society 30:963–980.</w:t>
      </w:r>
    </w:p>
    <w:p w14:paraId="3D1EC2E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Fox, E. W., R. A. Hill, S. G. Leibowitz, A. R. Olsen, D. J. Thornbrugh, and M. H. Weber. 2017. Assessing the accuracy and stability of variable selection methods for random forest modeling in ecology. Environmental Monitoring and Assessment 189:316.</w:t>
      </w:r>
    </w:p>
    <w:p w14:paraId="60286CC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Fullerton, A. H., B. J. Burke, J. J. Lawler, C. E. Torgersen, J. L. Ebersole, and S. G. Leibowitz. 2017. Simulated juvenile salmon growth and phenology respond to altered thermal regimes and stream network shape. Ecosphere 8.</w:t>
      </w:r>
    </w:p>
    <w:p w14:paraId="09E25CC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Giam, X., W. Chen, T. A. Schriever, R. Van Driesche, R. Muneepeerakul, D. A. Lytle, and J. D. Olden. 2017. Hydrology drives seasonal variation in dryland stream macroinvertebrate communities. Aquatic Sciences 79:705–717.</w:t>
      </w:r>
    </w:p>
    <w:p w14:paraId="4C0EC8A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Goodrich, B., J. Gabry, I. Ali, and S. Brilleman. 2018. Package ‘rstanarm’’: Bayesian Applied Regression Medeling via Stan.’ (Available from: http://mc-stan.org/)</w:t>
      </w:r>
    </w:p>
    <w:p w14:paraId="6E34F15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Gounand, I., C. J. Little, E. Harvey, and F. Altermatt. 2018. Cross-ecosystem carbon flows connecting ecosystems worldwide. Nature Communications 9:4825.</w:t>
      </w:r>
    </w:p>
    <w:p w14:paraId="001B1FF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Gratton, C., D. Hoekman, J. Dreyer, and R. D. Jackson. 2017. Increased duration of aquatic resource pulse alters community and ecosystem responses in a subarctic plant community. Ecology 98:2860–2872.</w:t>
      </w:r>
    </w:p>
    <w:p w14:paraId="2BA6620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Gratton, C., and M. . Vander Zanden. 2009. Flux of aquatic insect productivity to land: comparison of lentic and lotic ecosystems. Ecology 90:2689–2699.</w:t>
      </w:r>
    </w:p>
    <w:p w14:paraId="290CA1A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Greenwood, M. J. 2014. More than a barrier: The complex effects of ecotone vegetation type on terrestrial consumer consumption of an aquatic prey resource. Austral Ecology 39:941–951.</w:t>
      </w:r>
    </w:p>
    <w:p w14:paraId="64A37C5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Greenwood, M. J., and D. J. Booker. 2016. Influence of hydrological regime and land cover on traits and potential export capacity of adult aquatic insects from river channels. Oecologia 180:551–566.</w:t>
      </w:r>
    </w:p>
    <w:p w14:paraId="6EE5A6D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Gregorutti, B., B. Michel, and P. Saint-Pierre. 2017. Correlation and variable importance in random forests. Statistics and Computing 27:659–678.</w:t>
      </w:r>
    </w:p>
    <w:p w14:paraId="7B3E576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Greig, H. S., P. Kratina, P. L. Thompson, and W. J. Palen. 2012. Warming, eutrophication, and predator loss amplify subsidies between aquatic and terrestrial ecosystems. Global Change Biology 18:504–514.</w:t>
      </w:r>
    </w:p>
    <w:p w14:paraId="21ABE76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Hadwen, W. L., C. S. Fellows, D. Westhorpe, G. N. Rees, S. M. Mitrovic, B. Taylor, D. S. Baldwin, E. Silvester, and R. Croome. 2010. Longitudinal trends in river functioning: Patterns of nutrient and carbin processing in three Australian rivers. River Research and Applications 26:1129–1152.</w:t>
      </w:r>
    </w:p>
    <w:p w14:paraId="5AD9444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Hamilton, A. T., R. B. Schäfer, M. I. Pyne, B. Chessman, K. Kakouei, K. S. Boersma, P. F. M. Verdonschot, R. C. M. Verdonschot, M. Mims, K. Khamis, B. Bierwagen, and J. Stamp. 2020. Limitations of trait-based approaches for stressor assessment: The case of freshwater invertebrates and climate drivers. Global Change Biology 26:364–379.</w:t>
      </w:r>
    </w:p>
    <w:p w14:paraId="5C1DBDF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Harding, J. S., and M. J. Winterbourn. 1995. Effects of contrasting land use on physico-chemical conditions and benthic assemblages of streams in a canterbury (South Island, New Zealand) river system. New Zealand Journal of Marine and Freshwater Research 29:479–492.</w:t>
      </w:r>
    </w:p>
    <w:p w14:paraId="7C0DD34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Hargrove, W. W., and F. M. Hoffman. 2004. Potential of multivariate quantitative methods for delineation and visualization of ecoregions. Environmental Management 34:39–60.</w:t>
      </w:r>
    </w:p>
    <w:p w14:paraId="396FDC4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Harris, C., M. Thoms, and M. Scown. 2009. The ecohydrology of stream networks. Ecohydrology of Surface and Groundwater Dependent Systems: Concepts, Methods and Recent Developments 328:127–136.</w:t>
      </w:r>
    </w:p>
    <w:p w14:paraId="13628FB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Heffernan, J. B., P. A. Soranno, M. J. Angilletta, L. B. Buckley, D. S. Gruner, T. H. Keitt, J. R. Kellner, J. S. Kominoski, A. V. Rocha, J. Xiao, T. K. Harms, S. J. Goring, L. E. Koenig, W. H. McDowell, H. Powell, A. D. Richardson, C. A. Stow, R. Vargas, and K. C. Weathers. 2014. Macrosystems ecology: Understanding ecological patterns and processes at continental scales. Frontiers in Ecology and the Environment 12:5–14.</w:t>
      </w:r>
    </w:p>
    <w:p w14:paraId="472F7BD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Heino, J., D. Schmera, and T. Eros. 2013. A macroecological perspective of trait patterns in </w:t>
      </w:r>
      <w:r w:rsidRPr="008759C3">
        <w:rPr>
          <w:rFonts w:cs="Times New Roman"/>
          <w:noProof/>
          <w:szCs w:val="24"/>
        </w:rPr>
        <w:lastRenderedPageBreak/>
        <w:t>stream communities. Freshwater Biology 58:1539–1555.</w:t>
      </w:r>
    </w:p>
    <w:p w14:paraId="03AE378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Herlihy, A. T., S. G. Paulsen, J. Van Sickle, J. L. Stoddard, C. P. Hawkins, and L. L. Yuan. 2008. Striving for consistency in a national assessment: The challenges of applying a reference-condition approach at a continental scale. Journal of the North American Benthological Society 27:860–877.</w:t>
      </w:r>
    </w:p>
    <w:p w14:paraId="4D9502C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Hijmans, R. J. 2020. Package ‘ raster ’: Geographic Data Analysis and Modeling. R Package Documentation.</w:t>
      </w:r>
    </w:p>
    <w:p w14:paraId="6898196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Hijmans, R. J., S. E. Cameron, J. L. Parra, P. G. Jones, and A. Jarvis. 2005. Very high resolution interpolated climate surfaces for global land areas. International Journal of Climatology 25:1965–1978.</w:t>
      </w:r>
    </w:p>
    <w:p w14:paraId="2E137C7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Hill, R. A., E. W. Fox, S. G. Leibowitz, A. R. Olsen, D. J. Thornbrugh, and M. H. Weber. 2017. Predictive mapping of the biotic condition of conterminous U.S. rivers and streams. Ecological Applications 27:2397–2415.</w:t>
      </w:r>
    </w:p>
    <w:p w14:paraId="3C9A478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Holt, R. D. 2004. Implications of System Openness for Local Community Structure and Ecosystem Function. Pages 96–114 Foodwebs at the Landscape Level.</w:t>
      </w:r>
    </w:p>
    <w:p w14:paraId="05B6FAA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Horton, R. 1945. Erosional Development of streams and their drainage basins: hydrophysical approach to quantitative morphology. Geological Society Of America Bulletin 56:151–180.</w:t>
      </w:r>
    </w:p>
    <w:p w14:paraId="57B9E49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Hubler, S., D. D. Huff, P. Edwards, and Y. Pan. 2016. The Biological Sediment Tolerance Index: Assessing fine sediments conditions in Oregon streams using macroinvertebrates. Ecological Indicators 67:132–145.</w:t>
      </w:r>
    </w:p>
    <w:p w14:paraId="1183DA4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Huryn, A. D., and J. B. Wallace. 2000. Life History and Production of Stream Insects. Annual Review of Entomology 45:83–110.</w:t>
      </w:r>
    </w:p>
    <w:p w14:paraId="0A5A036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IPCC. 2014. Climate Change 2014: Synthesis Report. Contribution of Woeking Groups I, II, III to the 5th Assessment Report of the Intergovernmental Panel on Climate Change.</w:t>
      </w:r>
    </w:p>
    <w:p w14:paraId="3A415AF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Iwata, T., S. Nakano, and M. Murakami. 2003. Stream meanders increase insectivorous bird abundance in riparian deciduous forests. Ecography 26:325–337.</w:t>
      </w:r>
    </w:p>
    <w:p w14:paraId="784A7ED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Jackson, H. B., and L. Fahrig. 2015. Are ecologists conducting research at the optimal scale? Global Ecology and Biogeography 24:52–63.</w:t>
      </w:r>
    </w:p>
    <w:p w14:paraId="5CF07C7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Johnston, A., T. Auer, D. Fink, M. Strimas-Mackey, M. Iliff, K. V. Rosenberg, S. Brown, R. Lanctot, A. D. Rodewald, and S. Kelling. 2020. Comparing abundance distributions and range maps in spatial conservation planning for migratory species. Ecological Applications 30:1–13.</w:t>
      </w:r>
    </w:p>
    <w:p w14:paraId="10E36EA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Jones, C. D., J. K. Hughes, N. Bellouin, S. C. Hardiman, G. S. Jones, J. Knight, S. Liddicoat, F. M. O’Connor, R. J. Andres, C. Bell, K. O. Boo, A. Bozzo, N. Butchart, P. Cadule, K. D. Corbin, M. Doutriaux-Boucher, P. Friedlingstein, J. Gornall, L. Gray, P. R. Halloran, G. Hurtt, W. J. Ingram, J. F. Lamarque, R. M. Law, M. Meinshausen, S. Osprey, E. J. Palin, L. Parsons Chini, T. Raddatz, M. G. Sanderson, A. A. Sellar, A. Schurer, P. Valdes, N. Wood, S. Woodward, M. Yoshioka, and M. Zerroukat. 2011. The HadGEM2-ES implementation of CMIP5 centennial simulations. Geoscientific Model Development 4:543–570.</w:t>
      </w:r>
    </w:p>
    <w:p w14:paraId="0018772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Kendrick, M. R., A. E. Hershey, and A. D. Huryn. 2019. Disturbance, nutrients, and antecedent flow conditions affect macroinvertebrate community structure and productivity in an Arctic river. Limnology and Oceanography 64:S93–S104.</w:t>
      </w:r>
    </w:p>
    <w:p w14:paraId="459ECF8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van Klink, R., D. E. Bowler, K. B. Gongalsky, and A. B. Swengel. 2020. Meta-analysis reveals declines in terrestrial but increases in freshwater insect abundances. Science 420:417–420.</w:t>
      </w:r>
    </w:p>
    <w:p w14:paraId="788C642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Konapala, G., A. Mishra, Y. Wada, and M. E. Mann. 2020. Climate change will affect global water availability through compounding changes in seasonal precipitation and evaporation. Nature Communications 1–10.</w:t>
      </w:r>
    </w:p>
    <w:p w14:paraId="3CEA37A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Kraus, J. M., J. Wesner, and D. M. Walters. 2020. Contaminants and Ecological Subsidies. Contaminants and Ecological Subsidies.</w:t>
      </w:r>
    </w:p>
    <w:p w14:paraId="0065F0A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Lafage, D., E. Bergman, R. L. Eckstein, E. M. Österling, J. P. Sadler, and J. J. Piccolo. 2019. Local and landscape drivers of aquatic-to-terrestrial subsidies in riparian ecosystems: a worldwide meta-analysis. Ecosphere 10:e02697.</w:t>
      </w:r>
    </w:p>
    <w:p w14:paraId="61CD776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Lancaster, J., B. J. Downes, and G. K. Dwyer. 2020. Terrestrial–aquatic transitions: Local abundances and movements of mature female caddisflies are related to oviposition habits but not flight capability. Freshwater Biology 65:908–919.</w:t>
      </w:r>
    </w:p>
    <w:p w14:paraId="226B851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Larsen, S., J. D. Muehlbauer, and E. Marti. 2016. Resource subsidies between stream and terrestrial ecosystems under global change. Global Change Biology 22:2489–2504.</w:t>
      </w:r>
    </w:p>
    <w:p w14:paraId="11DE7CB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Lehner, B., K. Verdin, and A. Jarvis. 2008. New global Hydrography derived from spaceborne elevation data. Eos Transactions 94–94.</w:t>
      </w:r>
    </w:p>
    <w:p w14:paraId="1F62F70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Leroux, S. J., and M. Loreau. 2008. Subsidy hypothesis and strength of trophic cascades across ecosystems. Ecology Letters 11:1147–1156.</w:t>
      </w:r>
    </w:p>
    <w:p w14:paraId="32ACC2F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Li, H., and J. Wu. 2004. Use and misuse of landscape indices. Landscape Ecology 19:389–399.</w:t>
      </w:r>
    </w:p>
    <w:p w14:paraId="28C0EA6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Liaw, A., and M. Wiener. 2002. Classification and Regression by randomForest. R News 2:18–22.</w:t>
      </w:r>
    </w:p>
    <w:p w14:paraId="0BEE503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Loreau, M., N. Mouquet, and R. D. Holt. 2003. Meta-ecosystems: a theoretical framework for a spatial ecosystem ecology. Ecology Letters 6:673–679.</w:t>
      </w:r>
    </w:p>
    <w:p w14:paraId="5088D23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Maasri, A., J. H. Thorp, J. K. Gelhaus, F. Tromboni, S. Chandra, and S. J. Kenner. 2019. Communities associated with the Functional Process Zone scale: A case study of stream macroinvertebrates in endorheic drainages. Science of the Total Environment 677:184–193.</w:t>
      </w:r>
    </w:p>
    <w:p w14:paraId="2BF50EE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Maechler, M., P. Rousseeuw, A. Struyf, M. Hubert, K. Hornik, M. Studer, P. Roudier, J. Gonzalez, K. Kozlowski, E. Schubert, and K. Murphy. 2019. Package “cluster” for R: ‘Finding Groups in Data’: Cluster Analysis Extended. R package version 2.1.0.</w:t>
      </w:r>
    </w:p>
    <w:p w14:paraId="7348761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Mallakpour, I., and G. Villarini. 2015. The changing nature of flooding across the central United States. Nature Climate Change 5:250–254.</w:t>
      </w:r>
    </w:p>
    <w:p w14:paraId="3DE87FC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Marcarelli, A. M., C. V. Baxter, M. M. Mineau, and R. O. J. Hall. 2011. Quantity and quality: unifying food web and ecosystem perspectives on the role of resource subsidies in freshwaters. Ecology 92:1215–1225.</w:t>
      </w:r>
    </w:p>
    <w:p w14:paraId="1B7B646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Marczak, L. B., R. M. Thompson, and J. S. Richardson. 2007. Meta-Analysis: Trophic Level, Habitat, and Productivity Shape the Food Web Effects of Resource Subsidies. Eocology 88:140–148.</w:t>
      </w:r>
    </w:p>
    <w:p w14:paraId="67C71B6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Martin-Creuzburg, D., C. Kowarik, and D. Straile. 2017. Cross-ecosystem fluxes: Export of polyunsaturated fatty acids from aquatic to terrestrial ecosystems via emerging insects. Science of the Total Environment 577:174–182.</w:t>
      </w:r>
    </w:p>
    <w:p w14:paraId="5C733EC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McCabe, G. J., and D. M. Wolock. 2011. Independent effects of temperature and precipitation on modeled runoff in the conterminous United States. Water Resources Research 47:1–11.</w:t>
      </w:r>
    </w:p>
    <w:p w14:paraId="4C3BEB2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McCluney, K. E., N. L. Poff, M. A. Palmer, J. H. Thorp, G. C. Poole, B. S. Williams, M. R. Williams, and J. S. Baron. 2014. Riverine macrosystems ecology: Sensitivity, resistance, and resilience of whole river basins with human alterations. Frontiers in Ecology and the </w:t>
      </w:r>
      <w:r w:rsidRPr="008759C3">
        <w:rPr>
          <w:rFonts w:cs="Times New Roman"/>
          <w:noProof/>
          <w:szCs w:val="24"/>
        </w:rPr>
        <w:lastRenderedPageBreak/>
        <w:t>Environment 12:48–58.</w:t>
      </w:r>
    </w:p>
    <w:p w14:paraId="31B9EE7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McElreath, R. 2016. Statistical Rethinking: A Bayesian Course with Examples in R and Stan. CRC Press, New York.</w:t>
      </w:r>
    </w:p>
    <w:p w14:paraId="44FF4D1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McGarigal, K., S. Cushman, and E. Ene. 2012. FRAGSTATS v4: Spatial Pattern Analysis Program for Categorical and Continuous Maps.</w:t>
      </w:r>
    </w:p>
    <w:p w14:paraId="113E163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McKay, L., T. Bondelid, T. Dewald, J. Johnston, R. Moore, and A. Rea. 2012. NHD Plus Version 2: User Guide.</w:t>
      </w:r>
    </w:p>
    <w:p w14:paraId="15E8380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McKie, B. G., L. Sandin, P. E. Carlson, and R. K. Johnson. 2018. Species traits reveal effects of land use, season and habitat on the potential subsidy of stream invertebrates to terrestrial food webs. Aquatic Sciences 80:1–12.</w:t>
      </w:r>
    </w:p>
    <w:p w14:paraId="08B9D61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McManamay, R. A., and C. R. Derolph. 2019. Data descriptor: A stream classification system for the conterminous United States. Scientific Data 6:1–18.</w:t>
      </w:r>
    </w:p>
    <w:p w14:paraId="5C56BB4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Meinshausen, N. 2006. Quantile Regression Forests. Journal of Multivariate Analysis 7:983–999.</w:t>
      </w:r>
    </w:p>
    <w:p w14:paraId="065C1A0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Meinshausen, N. 2017. Package ‘quantregForest’: Quantile Regression Forests. R Package Documentation 1–8.</w:t>
      </w:r>
    </w:p>
    <w:p w14:paraId="165EE94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Messan, M. R., D. Kopp, D. C. Allen, and Y. Kang. 2018. Dynamical implications of bi-directional resource exchange within a meta-ecosystem. Mathematical Biosciences 301:167–184.</w:t>
      </w:r>
    </w:p>
    <w:p w14:paraId="5227991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Moglen, G. E., E. a. B. Eltahir, and R. L. Bras. 1998. On the sensitivity of drainage density to climate change. Water Resources Research 34:855.</w:t>
      </w:r>
    </w:p>
    <w:p w14:paraId="5427DFF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Montagano, L., S. J. Leroux, M. A. Giroux, and N. Lecomte. 2019. The strength of ecological </w:t>
      </w:r>
      <w:r w:rsidRPr="008759C3">
        <w:rPr>
          <w:rFonts w:cs="Times New Roman"/>
          <w:noProof/>
          <w:szCs w:val="24"/>
        </w:rPr>
        <w:lastRenderedPageBreak/>
        <w:t>subsidies across ecosystems: a latitudinal gradient of direct and indirect impacts on food webs. Ecology Letters 22:265–274.</w:t>
      </w:r>
    </w:p>
    <w:p w14:paraId="18C7E8D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Montagano, L., S. J. Leroux, M. Giroux, and N. Lecomte. 2018. The strength of ecological subsidies across ecosystems: a latitudinal gradient of direct and indirect impacts on food webs. Ecology Letters 22:265–274.</w:t>
      </w:r>
    </w:p>
    <w:p w14:paraId="483B447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Moore, J. W., M. P. Beakes, H. K. Nesbitt, J. D. Yeakel, D. A. Patterson, L. A. Thompson, C. C. Phillis, D. C. Braun, C. Favaro, D. Scott, C. Carr-Harris, and W. I. Atlas. 2015. Emergent stability in a large, free-flowing watershed. Ecology 96:340–347.</w:t>
      </w:r>
    </w:p>
    <w:p w14:paraId="24BF297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Moore, R. B., and T. G. Dewald. 2016. The Road to NHDPlus - Advancements in Digital Stream Networks and Associated Catchments. Journal of the American Water Resources Association 52:890–900.</w:t>
      </w:r>
    </w:p>
    <w:p w14:paraId="54A724C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Moore, R. B., L. McKay, A. Rea, T. Bondelid, C. Price, T. Dewald, and C. Johnston. 2019. User’s guide for the national hydrography dataset plus (NHDPlus) high resolution. U.S. Geological Survey 2019–1096:66.</w:t>
      </w:r>
    </w:p>
    <w:p w14:paraId="2B39EE7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Moriasi, D., J. Arnold, M. Van Liew, R. Bingner, R. Harmel, and T. Veith. 2007. Model evaluation guidelines for systematic quantification of accuracy in watershed simulations. American Society of Agricultural and Biological Engineers 50:885–900.</w:t>
      </w:r>
    </w:p>
    <w:p w14:paraId="687ED3E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Morin, A., and P. Dumont. 1994. A Simple Model to Estimate Growth Rate of Lotic Insect Larvae and Its Value for Estimating Population and Community Production. Journal of the North American Benthological Society 13:357–367.</w:t>
      </w:r>
    </w:p>
    <w:p w14:paraId="6493277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Moyo, S. 2020. Preliminary estimations of insect mediated transfers of mercury and physiologically important fatty acids from water to land. Biomolecules 10:129.</w:t>
      </w:r>
    </w:p>
    <w:p w14:paraId="7C5EF4E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Muehlbauer, J. D., S. F. Collins, M. W. Doyle, and K. Tockner. 2014. How wide is a stream? Spatial extent of the potential “stream signature” in terrestrial food webs using meta-analysis. Ecology 95:44–55.</w:t>
      </w:r>
    </w:p>
    <w:p w14:paraId="61E6EE0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Mulholland, P. J., C. S. Fellows, S. K. Hamilton, E. Marti, E. S. Division, O. Ridge, O. Ridge, N. Dame, K. B. Station, H. Corners, N. Zealand, J. Hall, and W. Hole. 2001. Inter-biome comparison of factors controlling stream metabolism.</w:t>
      </w:r>
    </w:p>
    <w:p w14:paraId="7345885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Nagy, K. A., I. A. Girard, and T. K. Brown. 1999. Energetics of free-ranging mammals, reptiles, and birds. Annual Review of Nutrition 19:247–277.</w:t>
      </w:r>
    </w:p>
    <w:p w14:paraId="4D8C1B4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Nakano, S., and M. Murakami. 2001. Reciprocal subsidies: Dynamic interdependence between terrestrial and aquatic food webs. Proceedings of the National Academy of Sciences of the United States of America 98:166–170.</w:t>
      </w:r>
    </w:p>
    <w:p w14:paraId="12FED93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Nelson, D., J. P. Benstead, A. D. Huryn, W. F. Cross, J. M. Hood, P. W. Johnson, J. R. Junker, G. M. Gíslason, and J. S. Ólafsson. 2017. Experimental whole-stream warming alters community size structure. Global Change Biology 23:2618–2628.</w:t>
      </w:r>
    </w:p>
    <w:p w14:paraId="55E0FBA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O’Neill, R. V, J. R. Krummel, R. H. Gardner, G. Sugihara, B. Jackson, D. L. DeAngelis, B. T. Milne, M. G. Turner, B. Zygmunt, S. W. Christensen, V. H. Dale, and R. L. Graham. 1988. Indices of landscape pattern. Landscape Ecology 1:153–162.</w:t>
      </w:r>
    </w:p>
    <w:p w14:paraId="3324527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Oksanen, J., F. G. Blanchet, M. Friendly, R. Kindt, P. Legendre, D. Mcglinn, P. R. Minchin, R. B. O’hara, G. L. Simpson, P. Solymos, M. Henry, H. Stevens, E. Szoecs, and H. W. Maintainer. 2019. Package “vegan” Community Ecology Package. R package.</w:t>
      </w:r>
    </w:p>
    <w:p w14:paraId="137BD282"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Patrick, C. J., D. J. McGarvey, J. H. Larson, W. F. Cross, D. C. Allen, A. C. Benke, T. Brey, A. D. Huryn, J. Jones, C. A. Murphy, C. Ruffing, P. Saffarinia, M. R. Whiles, J. B. Wallace, </w:t>
      </w:r>
      <w:r w:rsidRPr="008759C3">
        <w:rPr>
          <w:rFonts w:cs="Times New Roman"/>
          <w:noProof/>
          <w:szCs w:val="24"/>
        </w:rPr>
        <w:lastRenderedPageBreak/>
        <w:t>and G. Woodward. 2019. Precipitation and temperature drive continental-scale patterns in stream invertebrate production. Science Advances 5:1–10.</w:t>
      </w:r>
    </w:p>
    <w:p w14:paraId="104778B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Le Pichon, C., G. Gorges, J. Baudry, F. Goreaud, and P. Boet. 2007. Spatial metrics and methods for riverscapes: quantifying variability in riverine fish habitat patterns. Environmetrics 18:697–712.</w:t>
      </w:r>
    </w:p>
    <w:p w14:paraId="20EE631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Poepperl, R. 2000. Benthic secondary production and biomass of insects emerging from a northern German temperate stream. Freshwater Biology 44:199–211.</w:t>
      </w:r>
    </w:p>
    <w:p w14:paraId="745B363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Poff, N. L., B. P. Bledsoe, M. I. Pyne, C. C. Cuhaciyan, and D. M. Carlisle. 2010. Developing linkages between species traits and multiscaled environmental variation to explore vulnerability of stream benthic communities to climate change. Journal of the North American Benthological Society 29:1441–1458.</w:t>
      </w:r>
    </w:p>
    <w:p w14:paraId="6A3B371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Poff, N. L., J. D. Olden, D. S. Finn, N. K. M. Vieira, M. P. Simmons, and B. C. Kondratieff. 2006. Functional trait niches of North American lotic insects: traits-based ecological applications in light of phylogenetic relationships. Journal of the North American Benthological Society 25:730–755.</w:t>
      </w:r>
    </w:p>
    <w:p w14:paraId="7CBE45A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Poff, N. L. R., E. I. Larson, P. E. Salerno, S. G. Morton, B. C. Kondratieff, A. S. Flecker, K. R. Zamudio, and W. C. Funk. 2018. Extreme streams: species persistence and genomic change in montane insect populations across a flooding gradient. Ecology Letters 21:525–535.</w:t>
      </w:r>
    </w:p>
    <w:p w14:paraId="2A82E3A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Polis, G. A., W. B. Anderson, and R. D. Holt. 1997. Toward an integration of landscape and food web ecology: the dynamics of spatially subsidized food webs. Annual Review of Ecology and Systematics 28:289–316.</w:t>
      </w:r>
    </w:p>
    <w:p w14:paraId="7A6411F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Popova, O. N., A. Y. Haritonov, N. N. Sushchik, O. N. Makhutova, G. S. Kalachova, A. A. </w:t>
      </w:r>
      <w:r w:rsidRPr="008759C3">
        <w:rPr>
          <w:rFonts w:cs="Times New Roman"/>
          <w:noProof/>
          <w:szCs w:val="24"/>
        </w:rPr>
        <w:lastRenderedPageBreak/>
        <w:t>Kolmakova, and M. I. Gladyshev. 2017. Export of aquatic productivity, including highly unsaturated fatty acids, to terrestrial ecosystems via Odonata. Science of the Total Environment 581–582:40–48.</w:t>
      </w:r>
    </w:p>
    <w:p w14:paraId="6C125FE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Power, M. E., and W. E. Rainey. 2000. Food webs and resource sheds: towards spatially delimiting trophic interactions. Pages 291–314 </w:t>
      </w:r>
      <w:r w:rsidRPr="008759C3">
        <w:rPr>
          <w:rFonts w:cs="Times New Roman"/>
          <w:i/>
          <w:iCs/>
          <w:noProof/>
          <w:szCs w:val="24"/>
        </w:rPr>
        <w:t>in</w:t>
      </w:r>
      <w:r w:rsidRPr="008759C3">
        <w:rPr>
          <w:rFonts w:cs="Times New Roman"/>
          <w:noProof/>
          <w:szCs w:val="24"/>
        </w:rPr>
        <w:t xml:space="preserve"> E. A. J. Hutchings and A. J. A. Stewart (editors). Ecological Consequences of Habitat Heterogeneity.</w:t>
      </w:r>
    </w:p>
    <w:p w14:paraId="17F6619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Qiu, Y., S. N. Teng, Y. Zhang, J. Santana, J. C. Svenning, L. Reino, S. Abades, H. Ma, L. Yang, Y. Wu, Z. Y. X. Huang, and C. Xu. 2019. The resolution-dependent role of landscape attributes in shaping macro-scale biodiversity patterns. Global Ecology and Biogeography 28:767–778.</w:t>
      </w:r>
    </w:p>
    <w:p w14:paraId="620984C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Raitif, J., M. Plantegenest, and J. M. Roussel. 2019. From stream to land: Ecosystem services provided by stream insects to agriculture. Agriculture, Ecosystems and Environment 270–271:32–40.</w:t>
      </w:r>
    </w:p>
    <w:p w14:paraId="22380B0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Ramey, T. L., and J. S. Richardson. 2017. Terrestrial Invertebrates in the Riparian Zone: Mechanisms Underlying Their Unique Diversity. BioScience 67.</w:t>
      </w:r>
    </w:p>
    <w:p w14:paraId="5B0CF17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Recalde, F. C., C. P. B. Breviglieri, and G. Q. Romero. 2020. Allochthonous aquatic subsidies alleviate predation pressure in terrestrial ecosystems. Ecology 101:e03074.</w:t>
      </w:r>
    </w:p>
    <w:p w14:paraId="1A98A38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Resh, V. H., A. V Brown, A. P. Covich, M. E. Gurtz, W. Hiram, G. W. Minshall, S. R. Reice, A. L. Sheldon, J. B. Wallace, C. Robert, M. E. Gurtz, H. W. Li, and G. W. Minshall. 1988. The Role of Disturbance in Stream Ecology. Journal of the North American Benthological Society 7:433–455.</w:t>
      </w:r>
    </w:p>
    <w:p w14:paraId="6CC6FD9C"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Ribera, I., and A. P. Vogler. 2004. Speciation of Iberian diving beetles in Pleistocene refugia </w:t>
      </w:r>
      <w:r w:rsidRPr="008759C3">
        <w:rPr>
          <w:rFonts w:cs="Times New Roman"/>
          <w:noProof/>
          <w:szCs w:val="24"/>
        </w:rPr>
        <w:lastRenderedPageBreak/>
        <w:t>(Coleoptera, Dytiscidae). Molecular Ecology 13:179–193.</w:t>
      </w:r>
    </w:p>
    <w:p w14:paraId="28FC3C0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Richardson, J. S., and T. Sato. 2015. Resource subsidy flows across freshwater-terrestrial boundaries and influence on processes linking adjacent ecosystems. Ecohydrology 8:406–415.</w:t>
      </w:r>
    </w:p>
    <w:p w14:paraId="6F97201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Richardson, J. S., Y. Zhang, and L. B. Marczak. 2010. Resource subsidies across the land-freshwater interface and responses in recipient communities. River Research and Applications 26:55–66.</w:t>
      </w:r>
    </w:p>
    <w:p w14:paraId="13B827B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Rüegg, J., W. K. Dodds, M. D. Daniels, K. R. Sheehan, C. L. Baker, W. B. Bowden, K. J. Farrell, M. B. Flinn, T. K. Harms, J. B. Jones, L. E. Koenig, J. S. Kominoski, W. H. McDowell, S. P. Parker, A. D. Rosemond, M. T. Trentman, M. Whiles, and W. M. Wollheim. 2016. Baseflow physical characteristics differ at multiple spatial scales in stream networks across diverse biomes. Landscape Ecology 31:119–136.</w:t>
      </w:r>
    </w:p>
    <w:p w14:paraId="1AD88B6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Sabo, J. L., and E. M. Hagen. 2012. A network theory for resource exchange between rivers and their watersheds. Water Resources Research 48.</w:t>
      </w:r>
    </w:p>
    <w:p w14:paraId="00687B7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Sabo, J. L., and M. E. Power. 2002. River-Watershed Exchange : Effects of Riverine Subsidies on Riparian Lizards and Their Terrestrial Prey. Ecology 83:1860–1869.</w:t>
      </w:r>
    </w:p>
    <w:p w14:paraId="4355023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Sangireddy, H., R. A. Carothers, C. P. Stark, and P. Passalacqua. 2016. Controls of Climate, Topography, Vegetation, and Lithology on Drainage Density Extracted from High Resolution Topography Data. Journal of Hydrology 537:271–282.</w:t>
      </w:r>
    </w:p>
    <w:p w14:paraId="2F4288C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Schilke, P. R., M. Bartrons, J. M. Gorzo, M. J. Vander Zanden, C. Gratton, R. W. Howe, and A. M. Pidgeon. 2020. Modeling a cross-ecosystem subsidy: forest songbird response to emergent aquatic insects. Landscape Ecology 35:1587–1604.</w:t>
      </w:r>
    </w:p>
    <w:p w14:paraId="2685A37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Schindler, D. E., and A. P. Smits. 2017. Subsidies of Aquatic Resources in Terrestrial Ecosystems. Ecosystems 20:78–93.</w:t>
      </w:r>
    </w:p>
    <w:p w14:paraId="6FDBF08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Schmera, D., D. Árva, P. Boda, E. Bódis, Á. Bolgovics, G. Borics, A. Csercsa, C. Deák, E. Krasznai, B. A. Lukács, P. Mauchart, A. Móra, P. Sály, A. Specziár, K. Süveges, I. Szivák, P. Takács, M. Tóth, G. Várbíró, A. E. Vojtkó, and T. Erős. 2018. Does isolation influence the relative role of environmental and dispersal-related processes in stream networks? An empirical test of the network position hypothesis using multiple taxa. Freshwater Biology 63:74–85.</w:t>
      </w:r>
    </w:p>
    <w:p w14:paraId="63A75A0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Serra, S. R. Q., M. A. S. Graça, S. Dolédec, and M. J. Feio. 2017. Chironomidae traits and life history strategies as indicators of anthropogenic disturbance. Environmental Monitoring and Assessment 189:326.</w:t>
      </w:r>
    </w:p>
    <w:p w14:paraId="2634FF6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Seybold, H., D. H. Rothman, and J. W. Kirchner. 2017. Climate’s watermark in the geometry of stream networks. Geophysical Research Letters 44:2272–2280.</w:t>
      </w:r>
    </w:p>
    <w:p w14:paraId="5A36015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Shangguan, W., T. Hengl, J. Mendes de Jesus, H. Yuan, and D. Yongjiu. 2017. Mapping the global depth to bedrock for land surface modeling. Journal of Advances in Modeling Earth Systems 9:65–88.</w:t>
      </w:r>
    </w:p>
    <w:p w14:paraId="64DEE71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Shen, W., G. D. Jenerette, J. Wu, and R. H. Gardner. 2004. Evaluating empirical scaling relations of pattern metrics with simulated landscapes. Ecography 27:459–469.</w:t>
      </w:r>
    </w:p>
    <w:p w14:paraId="5654077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Šímová, P., and K. Gdulová. 2012. Landscape indices behavior: A review of scale effects. Applied Geography 34:385–394.</w:t>
      </w:r>
    </w:p>
    <w:p w14:paraId="70AF3D3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Smith, V. B., C. H. David, M. B. Cardenas, and Z. L. Yang. 2013. Climate, river network, and vegetation cover relationships across a climate gradient and their potential for predicting </w:t>
      </w:r>
      <w:r w:rsidRPr="008759C3">
        <w:rPr>
          <w:rFonts w:cs="Times New Roman"/>
          <w:noProof/>
          <w:szCs w:val="24"/>
        </w:rPr>
        <w:lastRenderedPageBreak/>
        <w:t>effects of decadal-scale climate change. Journal of Hydrology 488:101–109.</w:t>
      </w:r>
    </w:p>
    <w:p w14:paraId="0DCC50C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Spiller, K. J., and R. Dettmers. 2019. Evidence for multiple drivers of aerial insectivore declines in North America. Condor 121:1–13.</w:t>
      </w:r>
    </w:p>
    <w:p w14:paraId="7243CE6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Statzner, B., S. Doledec, and B. Hugueny. 2004. Biological composition communities trait of European stream invertebrate: the effects of various trait filter assessing types. Ecography 27:470–488.</w:t>
      </w:r>
    </w:p>
    <w:p w14:paraId="2E52967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Statzner, B., and V. H. Resh. 1993. Oecologia Multiple-site and -year analyses of stream insect emergence: a test of ecological theory. Oecologia 96:65–79.</w:t>
      </w:r>
    </w:p>
    <w:p w14:paraId="31634B0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Stenroth, K., L. E. Polvi, E. Fältström, and M. Jonsson. 2015. Land-use effects on terrestrial consumers through changed size structure of aquatic insects. Freshwater Biology 60:136–149.</w:t>
      </w:r>
    </w:p>
    <w:p w14:paraId="4942A97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Stepanian, P. M., S. A. Entrekin, C. E. Wainwright, D. Mirkovic, J. L. Tank, and J. F. Kelly. 2020. Declines in an abundant aquatic insect, the burrowing mayfly, across major North American waterways. Proceedings of the National Academy of Sciences of the United States of America 117:2987–2992.</w:t>
      </w:r>
    </w:p>
    <w:p w14:paraId="1D6CAE4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Stoddard, J. L., A. T. Herlihy, D. V Peck, R. M. Hughes, R. Thomas, E. Tarquinio, J. L. Stoddard, A. T. Herlihy, D. V Peck, and T. R. Whittier. 2008. A process for creating multimetric indices for large-scale aquatic surveys. Journal of the North American Benthological Society 27:878–891.</w:t>
      </w:r>
    </w:p>
    <w:p w14:paraId="6D667E0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Subalusky, A. L., and D. M. Post. 2018. Context dependency of animal resource subsidies. Biological Reviews 94:517–538.</w:t>
      </w:r>
    </w:p>
    <w:p w14:paraId="0FFEDBF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Tanentzap, A. J., B. W. Kielstra, G. M. Wilkinson, M. Berggren, N. Craig, P. A. del Giorgio, J. </w:t>
      </w:r>
      <w:r w:rsidRPr="008759C3">
        <w:rPr>
          <w:rFonts w:cs="Times New Roman"/>
          <w:noProof/>
          <w:szCs w:val="24"/>
        </w:rPr>
        <w:lastRenderedPageBreak/>
        <w:t>Grey, J. M. Gunn, S. E. Jones, J. Karlsson, C. T. Solomon, and M. L. Pace. 2017. Terrestrial support of lake food webs: Synthesis reveals controls over cross-ecosystem resource use. Science Advances 3:e1601765.</w:t>
      </w:r>
    </w:p>
    <w:p w14:paraId="3F4A7152"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Thoms, M. C., and M. Parsons. 2002. Eco-geomorphology : an interdisciplinary approach to river science. The Structure, Function and Management Implications of Fluvial Sedimentary Systems (Proceedings of an international symposium held at Alice Springs, Australia, September 2002). IAHS Publ. no. 276, 2002. 113–119.</w:t>
      </w:r>
    </w:p>
    <w:p w14:paraId="25EA2CA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Thoms, M., M. Scown, and J. Flotemersch. 2018. Characterization of River Networks: A GIS Approach and Its Applications. Journal of the American Water Resources Association 54:899–913.</w:t>
      </w:r>
    </w:p>
    <w:p w14:paraId="23C0090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Thorp, J. H., J. E. Flotemersch, M. D. Delong, A. F. Casper, M. C. Thoms, F. Ballantyne, B. S. Williams, B. J. O’Neill, and C. S. Haase. 2010. Linking Ecosystem Services, Rehabilitation, and River Hydrogeomorphology. BioScience 60:67–74.</w:t>
      </w:r>
    </w:p>
    <w:p w14:paraId="1926AC1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Thorp, J. H., M. C. Thoms, and M. D. Delong. 2006. The riverine ecosystem synthesis: Biocomplexity in river networks across space and time. River Research and Applications 22:123–147.</w:t>
      </w:r>
    </w:p>
    <w:p w14:paraId="7BA45BF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Thorp, J., M. Thoms, and D. Michael. 2008. The Riverine Ecosystem Synthesis: towards a conceptual cohesiveness in river science. Elsevier, Oxford, UK.</w:t>
      </w:r>
    </w:p>
    <w:p w14:paraId="6B6A329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Tonkin, J. D., F. Altermatt, D. S. Finn, J. Heino, J. D. Olden, S. U. Pauls, and D. A. Lytle. 2017. The role of dispersal in river network metacommunities: Patterns, processes, and pathways. Freshwater Biology 141–163.</w:t>
      </w:r>
    </w:p>
    <w:p w14:paraId="64235C2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Tonkin, J. D., J. Heino, A. Sundermann, P. Haase, and S. C. Jähnig. 2016. Context dependency </w:t>
      </w:r>
      <w:r w:rsidRPr="008759C3">
        <w:rPr>
          <w:rFonts w:cs="Times New Roman"/>
          <w:noProof/>
          <w:szCs w:val="24"/>
        </w:rPr>
        <w:lastRenderedPageBreak/>
        <w:t>in biodiversity patterns of central German stream metacommunities. Freshwater Biology 61:607–620.</w:t>
      </w:r>
    </w:p>
    <w:p w14:paraId="3B938F9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Townsend, C. R., and A. G. Hildrew. 1994. Species Traits in relation to a habitat templet for river systems. Freshwater Biology 31:265–275.</w:t>
      </w:r>
    </w:p>
    <w:p w14:paraId="26F8C05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Turner, M. G. 1989. Landscape Ecology: The Effect of Pattern on Process. Annual Review of Ecology and Systematics 20:171–197.</w:t>
      </w:r>
    </w:p>
    <w:p w14:paraId="2FF7A8B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Turner, M. G., and F. S. Chapin. 2005. Causes and Consequences of Spatial Heterogeneity in Ecosystem Function. Pages 30–51 </w:t>
      </w:r>
      <w:r w:rsidRPr="008759C3">
        <w:rPr>
          <w:rFonts w:cs="Times New Roman"/>
          <w:i/>
          <w:iCs/>
          <w:noProof/>
          <w:szCs w:val="24"/>
        </w:rPr>
        <w:t>in</w:t>
      </w:r>
      <w:r w:rsidRPr="008759C3">
        <w:rPr>
          <w:rFonts w:cs="Times New Roman"/>
          <w:noProof/>
          <w:szCs w:val="24"/>
        </w:rPr>
        <w:t xml:space="preserve"> G. M. Lovett, C. J. Jones, M. G. Turner, and K. C. Weathers (editors). Ecosystem Function in Heterogeneous Landscapes. Springer S, New York.</w:t>
      </w:r>
    </w:p>
    <w:p w14:paraId="4B0F550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Turner, M. G., and R. H. Gardner. 2015. Landscape Ecology in Theory and Practice. Second. Springer-Verlag, New York.</w:t>
      </w:r>
    </w:p>
    <w:p w14:paraId="263DFFB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Turner, M. G., R. V. O’Neill, R. H. Gardner, and B. T. Milne. 1989. Effects of changing spatial extent on landscape pattern analysis. Landscape Ecology 3:153–162.</w:t>
      </w:r>
    </w:p>
    <w:p w14:paraId="33886B0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Twining, C. W., J. T. Brenna, P. Lawrence, D. W. Winkler, A. S. Flecker, and N. G. Hairston. 2019. Aquatic and terrestrial resources are not nutritionally reciprocal for consumers. Functional Ecology 0–2.</w:t>
      </w:r>
    </w:p>
    <w:p w14:paraId="137E809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Twining, C. W., J. R. Shipley, and D. W. Winkler. 2018. Aquatic insects rich in omega-3 fatty acids drive breeding success in a widespread bird. Ecology Letters 21:1812–1820.</w:t>
      </w:r>
    </w:p>
    <w:p w14:paraId="771848F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U.S. EPA. 2012. Freshwater Biological Traits Database. Global Change Research Program, National Center for Environmental Assessment, Washington, DC EPA/600/R-11/038F. Washington, DC. (Available from: http://www.epa.gov/ncea)</w:t>
      </w:r>
    </w:p>
    <w:p w14:paraId="79B52930"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lastRenderedPageBreak/>
        <w:t>U.S. EPA. 2016a. National Rivers and Streams Assessment 2008-2009: Technical Report, Office of Water and Office of Research and Development, Washington, DC EPA-841-R-16-008.</w:t>
      </w:r>
    </w:p>
    <w:p w14:paraId="35FA0C7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U.S. EPA. 2016b. National Rivers and Streams Assessment 2008-2009: A Collaborative Survey, Office of Water and Office of Research and Development, Washington, DC EPA-841-R-16-008. Washington, DC. (Available from: http://www.epa.gov/national‐aquatic‐resource‐surveys/nrsa)</w:t>
      </w:r>
    </w:p>
    <w:p w14:paraId="54BC74EA"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Uno, H. 2016. Stream thermal heterogeneity prolongs aquatic-terrestrial subsidy and enhances riparian spider growth. Ecology 97:2547–2553.</w:t>
      </w:r>
    </w:p>
    <w:p w14:paraId="5CDE066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Uno, H., and M. E. Power. 2015. Mainstem-tributary linkages by mayfly migration help sustain salmonids in a warming river network. Ecology Letters 18:1012–1020.</w:t>
      </w:r>
    </w:p>
    <w:p w14:paraId="4CA79B1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USGCRP. 2018. Fourth National Climate Assessment. (D. R. Reidmiller, C. W. Avery, D. R. Easterline, K. E. Kunkel, K. L. M. Lewis, T. K. Maycock, and B. C. Stewart, Eds.). U.S. Global Change Research Program, Washington, DC.</w:t>
      </w:r>
    </w:p>
    <w:p w14:paraId="54F6AC9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Usseglio-Polatera, P., M. Bournaud, P. Richoux, and H. Tachet. 2000. Biological and ecological traits of benthic freshwater macroinvertebrates: Relationships and definition of groups with similar traits. Freshwater Biology 43:175–205.</w:t>
      </w:r>
    </w:p>
    <w:p w14:paraId="1648A6E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Vehtari, A., A. Gelman, and J. Gabry. 2017. Practical Bayesian model evaluation using leave-one-out cross-validation and WAIC. Statistics and Computing 27:1413–1432.</w:t>
      </w:r>
    </w:p>
    <w:p w14:paraId="7C38AC2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Verberk, W. C. E. P., C. G. E. Van Noordwijk, and A. G. Hildrew. 2013. Delivering on a promise: Integrating species traits to transform descriptive community ecology into a predictive science. Freshwater Science 32:531–547.</w:t>
      </w:r>
    </w:p>
    <w:p w14:paraId="2531877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Verberk, W. C. E. P., H. Siepel, and H. Esselink. 2008. Life-history strategies in freshwater </w:t>
      </w:r>
      <w:r w:rsidRPr="008759C3">
        <w:rPr>
          <w:rFonts w:cs="Times New Roman"/>
          <w:noProof/>
          <w:szCs w:val="24"/>
        </w:rPr>
        <w:lastRenderedPageBreak/>
        <w:t>macroinvertebrates. Freshwater Biology 53:1722–1738.</w:t>
      </w:r>
    </w:p>
    <w:p w14:paraId="7826FA0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Vieira, N. K. M., N. L. Poff, D. M. Carlisle, S. R. Moulton, M. L. Koski, and B. C. Kondratieff. 2006. A Database of Lotic Invertebrate Traits for North America. Data Series 187. http://pubs.water.usgs.gov/ds187i. (Available from: http://pubs.water.usgs.gov/ds187)</w:t>
      </w:r>
    </w:p>
    <w:p w14:paraId="0A53E7C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Viger, R. J., A. Rea, J. D. Simley, and K. M. Hanson. 2016. NHDPlusHR: A National Geospatial Framework for Surface-Water Information. Journal of the American Water Resources Association 52:901–905.</w:t>
      </w:r>
    </w:p>
    <w:p w14:paraId="4FEF2DA2"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Walling, D. E. 1999. Linking land use, erosion and sediment yields in river basins. Hydrobiologia 410:223–240.</w:t>
      </w:r>
    </w:p>
    <w:p w14:paraId="25B67B1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Ward, J. V., F. Malard, and K. Tockner. 2002. Landscape ecology: a framework for integrating pattern and process in river corridors. 17:35–45.</w:t>
      </w:r>
    </w:p>
    <w:p w14:paraId="649DEA8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Watanabe, S. 2010. Asymptotic Equivalence of Bayes Cross Validation and Widely Applicable Information Criterion in Singular Learning Theory. 11:3571–3594.</w:t>
      </w:r>
    </w:p>
    <w:p w14:paraId="193AA1C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Waters, T. F. 1977. Secondary Production in Inland Waters. Advances in Ecological Research 10:91–164.</w:t>
      </w:r>
    </w:p>
    <w:p w14:paraId="795CD7E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Wesner, J. S., D. L. Swanson, M. D. Dixon, D. A. Soluk, D. J. Quist, L. A. Yager, J. W. Warmbold, E. Oddy, and T. C. Seidel. 2020. Loss of Potential Aquatic-Terrestrial Subsidies Along the Missouri River Floodplain. Ecosystems 23:111–123.</w:t>
      </w:r>
    </w:p>
    <w:p w14:paraId="79D3DB3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Wesner, J., D. Walters, and R. Zuellig. 2019. Pulsed salmonfly emergence and its potential contribution to terrestrial detrital pools. Food Webs 18:e00105.</w:t>
      </w:r>
    </w:p>
    <w:p w14:paraId="4F8D913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Whiles, M. R., and J. B. Wallace. 1995. Macroinvertebrate production in a headwater stream during recovery from anthropogenic disturbance and hydrologic extremes. Canadian Journal </w:t>
      </w:r>
      <w:r w:rsidRPr="008759C3">
        <w:rPr>
          <w:rFonts w:cs="Times New Roman"/>
          <w:noProof/>
          <w:szCs w:val="24"/>
        </w:rPr>
        <w:lastRenderedPageBreak/>
        <w:t>of Fisheries and Aquatic Sciences 52:2402–2422.</w:t>
      </w:r>
    </w:p>
    <w:p w14:paraId="0509BD49"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White, M. S., B. G. Tavernia, P. B. Shafroth, T. B. Chapman, and J. S. Sanderson. 2018. Vegetative and geomorphic complexity at tributaty jusctions on Colorago and Delores Rivers: a blueprint for riparian restoration. Landscape Ecology.</w:t>
      </w:r>
    </w:p>
    <w:p w14:paraId="61AF511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Wiens, J. A. 1989. Spatial scaling in ecology. Functional Ecology 3:385–397.</w:t>
      </w:r>
    </w:p>
    <w:p w14:paraId="1DC7BD33"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Williams, B. S., E. D’Amico, J. H. Kastens, J. H. Thorp, J. E. Flotemersch, and M. C. Thoms. 2013. Automated riverine landscape characterization: GIS-based tools for watershed-scale research, assessment, and management. Environmental Monitoring and Assessment 185:7485–7499.</w:t>
      </w:r>
    </w:p>
    <w:p w14:paraId="12B20414"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Wohl, E. 2004. Limits of downstream hydraulic geometry. Geology 32:897–900.</w:t>
      </w:r>
    </w:p>
    <w:p w14:paraId="52532FB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Woodward, G., D. M. Perkins, and L. E. Brown. 2010. Climate change and freshwater ecosystems: impacts across multiple levels of organization. Philosophical transactions of the Royal Society B 365:2093–2106.</w:t>
      </w:r>
    </w:p>
    <w:p w14:paraId="5C5B092D"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Wu, J. 2004. Effects of changing scale on landscape pattern analysis: Scaling relations. Landscape Ecology 19:125–138.</w:t>
      </w:r>
    </w:p>
    <w:p w14:paraId="2B7BE0EF"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Wu, J., and H. Li. 2006. Concepts of scale and scaling. Scaling and Uncertainty Analysis in Ecology: Methods and Applications 3–15.</w:t>
      </w:r>
    </w:p>
    <w:p w14:paraId="4A7105A5"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Wu, J., and O. Loucks. 1995. From Balance of Nature to Hierarchical Patch Dynamics : A Paradigm Shift in Ecology. The Quarterly Review of Biology 70:439–466.</w:t>
      </w:r>
    </w:p>
    <w:p w14:paraId="6CF25618"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Wu, J., W. Shen, W. Sun, and P. T. Tueller. 2002. Empirical patterns of the effects of changing scale on landscape metrics. Landscape Ecology 17:761–782.</w:t>
      </w:r>
    </w:p>
    <w:p w14:paraId="27DDB7AE"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 xml:space="preserve">Xu, C., S. Zhao, and S. Liu. 2020. Spatial scaling of multiple landscape features in the </w:t>
      </w:r>
      <w:r w:rsidRPr="008759C3">
        <w:rPr>
          <w:rFonts w:cs="Times New Roman"/>
          <w:noProof/>
          <w:szCs w:val="24"/>
        </w:rPr>
        <w:lastRenderedPageBreak/>
        <w:t>conterminous United States. Landscape Ecology 35:223–247.</w:t>
      </w:r>
    </w:p>
    <w:p w14:paraId="7FDC437B"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Yager, L. A., M. D. Dixon, T. C. Cowman, and D. A. Soluk. 2013. Historic changes (1941-2008) in side channel and backwater habitats on an unchannelized reach of the missouri river. River Research and Applications 29:493–501.</w:t>
      </w:r>
    </w:p>
    <w:p w14:paraId="4015CB81"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Yang, L. H., K. F. Edwards, J. E. Byrnes, J. L. Bastow, A. N. Wright, and K. O. Spence. 2010. A meta-analysis of resource pulse–consumer interactions. Ecological Monographs 80:125–151.</w:t>
      </w:r>
    </w:p>
    <w:p w14:paraId="1F2CFD97"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Yeakel, J. D., J. W. Moore, P. R. Guimarães, and M. A. M. de Aguiar. 2014. Synchronisation and stability in river metapopulation networks. Ecology Letters 17:273–283.</w:t>
      </w:r>
    </w:p>
    <w:p w14:paraId="1C0948A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szCs w:val="24"/>
        </w:rPr>
      </w:pPr>
      <w:r w:rsidRPr="008759C3">
        <w:rPr>
          <w:rFonts w:cs="Times New Roman"/>
          <w:noProof/>
          <w:szCs w:val="24"/>
        </w:rPr>
        <w:t>Yu, H., M. Chin, T. Yuan, H. Bian, L. A. Remer, J. M. Prospero, A. Omar, D. Winker, Y. Yang, Y. Zhang, Z. Zhang, and C. Zhao. 2015. The fertilizing role of African dust in the Amazon rainforest: A first multiyear assessment based on data from Cloud-Aerosol Lidar and Infrared Pathfinder Satellite Observations. Geophysical Research Letters 42:1984–1991.</w:t>
      </w:r>
    </w:p>
    <w:p w14:paraId="2B34C406" w14:textId="77777777" w:rsidR="008759C3" w:rsidRPr="008759C3" w:rsidRDefault="008759C3" w:rsidP="008759C3">
      <w:pPr>
        <w:widowControl w:val="0"/>
        <w:autoSpaceDE w:val="0"/>
        <w:autoSpaceDN w:val="0"/>
        <w:adjustRightInd w:val="0"/>
        <w:spacing w:before="100" w:after="100" w:line="480" w:lineRule="auto"/>
        <w:ind w:left="480" w:hanging="480"/>
        <w:rPr>
          <w:rFonts w:cs="Times New Roman"/>
          <w:noProof/>
        </w:rPr>
      </w:pPr>
      <w:r w:rsidRPr="008759C3">
        <w:rPr>
          <w:rFonts w:cs="Times New Roman"/>
          <w:noProof/>
          <w:szCs w:val="24"/>
        </w:rPr>
        <w:t>Zhao, M., and S. W. Running. 2010. Drought-Induced Reduction in Global Terrestrial Net Primary Production from 2000 Through 2009. Science 329:940–944.</w:t>
      </w:r>
    </w:p>
    <w:p w14:paraId="3BF3C3E7" w14:textId="77777777" w:rsidR="00175716" w:rsidRPr="00640B45" w:rsidRDefault="00175716" w:rsidP="00155D79">
      <w:pPr>
        <w:spacing w:before="100" w:beforeAutospacing="1" w:after="100" w:afterAutospacing="1" w:line="480" w:lineRule="auto"/>
        <w:contextualSpacing/>
        <w:rPr>
          <w:rFonts w:cs="Times New Roman"/>
          <w:b/>
          <w:szCs w:val="24"/>
        </w:rPr>
      </w:pPr>
      <w:r>
        <w:rPr>
          <w:rFonts w:cs="Times New Roman"/>
          <w:szCs w:val="24"/>
        </w:rPr>
        <w:fldChar w:fldCharType="end"/>
      </w:r>
    </w:p>
    <w:p w14:paraId="0C2868C4" w14:textId="77777777" w:rsidR="00175716" w:rsidRPr="00CA7195" w:rsidRDefault="00175716" w:rsidP="00175716">
      <w:pPr>
        <w:spacing w:line="480" w:lineRule="auto"/>
        <w:contextualSpacing/>
        <w:rPr>
          <w:rFonts w:cs="Times New Roman"/>
          <w:b/>
          <w:szCs w:val="24"/>
        </w:rPr>
      </w:pPr>
    </w:p>
    <w:p w14:paraId="0547DF8E" w14:textId="77777777" w:rsidR="00175716" w:rsidRPr="00CA7195" w:rsidRDefault="00175716" w:rsidP="00175716">
      <w:pPr>
        <w:spacing w:line="480" w:lineRule="auto"/>
        <w:contextualSpacing/>
        <w:rPr>
          <w:rFonts w:cs="Times New Roman"/>
          <w:szCs w:val="24"/>
          <w:u w:val="single"/>
        </w:rPr>
        <w:sectPr w:rsidR="00175716" w:rsidRPr="00CA7195" w:rsidSect="00C02A3F">
          <w:pgSz w:w="12240" w:h="15840"/>
          <w:pgMar w:top="1440" w:right="1440" w:bottom="1440" w:left="1440" w:header="720" w:footer="720" w:gutter="0"/>
          <w:pgNumType w:start="1"/>
          <w:cols w:space="720"/>
          <w:docGrid w:linePitch="360"/>
        </w:sectPr>
      </w:pPr>
    </w:p>
    <w:p w14:paraId="3157EE7A" w14:textId="2657C924" w:rsidR="00175716" w:rsidRPr="00CA7195" w:rsidRDefault="00135D1F" w:rsidP="00135D1F">
      <w:pPr>
        <w:pStyle w:val="Caption"/>
      </w:pPr>
      <w:bookmarkStart w:id="11" w:name="_Toc60480681"/>
      <w:bookmarkStart w:id="12" w:name="_Toc61883046"/>
      <w:r>
        <w:lastRenderedPageBreak/>
        <w:t xml:space="preserve">Table </w:t>
      </w:r>
      <w:fldSimple w:instr=" STYLEREF 1 \s ">
        <w:r w:rsidR="000C6138">
          <w:rPr>
            <w:noProof/>
          </w:rPr>
          <w:t>1</w:t>
        </w:r>
      </w:fldSimple>
      <w:r w:rsidR="004F311A">
        <w:t>.</w:t>
      </w:r>
      <w:fldSimple w:instr=" SEQ Table \* ARABIC \s 1 ">
        <w:r w:rsidR="000C6138">
          <w:rPr>
            <w:noProof/>
          </w:rPr>
          <w:t>1</w:t>
        </w:r>
      </w:fldSimple>
      <w:r w:rsidRPr="00CA7195">
        <w:t>. Spatial extent and mean stream signature with parameter estimates (</w:t>
      </w:r>
      <w:r w:rsidRPr="00CA7195">
        <w:rPr>
          <w:rFonts w:cs="Times New Roman"/>
          <w:szCs w:val="24"/>
        </w:rPr>
        <w:t xml:space="preserve">90% credible intervals) for network geometry components. </w:t>
      </w:r>
      <w:proofErr w:type="spellStart"/>
      <w:r w:rsidRPr="00CA7195">
        <w:rPr>
          <w:rFonts w:cs="Times New Roman"/>
          <w:szCs w:val="24"/>
        </w:rPr>
        <w:t>CoV</w:t>
      </w:r>
      <w:proofErr w:type="spellEnd"/>
      <w:r w:rsidRPr="00CA7195">
        <w:rPr>
          <w:rFonts w:cs="Times New Roman"/>
          <w:szCs w:val="24"/>
        </w:rPr>
        <w:t xml:space="preserve">= coefficient of variation </w:t>
      </w:r>
      <m:oMath>
        <m:sSub>
          <m:sSubPr>
            <m:ctrlPr>
              <w:rPr>
                <w:rFonts w:ascii="Cambria Math" w:eastAsia="Cambria Math" w:hAnsi="Cambria Math" w:cs="Times New Roman"/>
                <w:i/>
                <w:iCs w:val="0"/>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w:r w:rsidRPr="00CA7195">
        <w:rPr>
          <w:rFonts w:eastAsiaTheme="minorEastAsia" w:cs="Times New Roman"/>
          <w:iCs w:val="0"/>
          <w:color w:val="000000" w:themeColor="text1"/>
          <w:kern w:val="24"/>
          <w:szCs w:val="24"/>
        </w:rPr>
        <w:t xml:space="preserve"> = drainage density, </w:t>
      </w:r>
      <m:oMath>
        <m:r>
          <w:rPr>
            <w:rFonts w:ascii="Cambria Math" w:eastAsia="Cambria Math" w:hAnsi="Cambria Math" w:cs="Times New Roman"/>
            <w:color w:val="000000" w:themeColor="text1"/>
            <w:kern w:val="24"/>
            <w:szCs w:val="24"/>
          </w:rPr>
          <m:t>C</m:t>
        </m:r>
      </m:oMath>
      <w:r w:rsidRPr="00CA7195">
        <w:rPr>
          <w:rFonts w:cs="Times New Roman"/>
          <w:szCs w:val="24"/>
        </w:rPr>
        <w:t xml:space="preserve"> = number of confluences, </w:t>
      </w:r>
      <m:oMath>
        <m:sSub>
          <m:sSubPr>
            <m:ctrlPr>
              <w:rPr>
                <w:rFonts w:ascii="Cambria Math" w:eastAsia="Cambria Math" w:hAnsi="Cambria Math" w:cs="Times New Roman"/>
                <w:i/>
                <w:iCs w:val="0"/>
                <w:color w:val="000000" w:themeColor="text1"/>
                <w:kern w:val="24"/>
                <w:szCs w:val="24"/>
              </w:rPr>
            </m:ctrlPr>
          </m:sSubPr>
          <m:e>
            <m:r>
              <w:rPr>
                <w:rFonts w:ascii="Cambria Math" w:eastAsia="Cambria Math" w:hAnsi="Cambria Math" w:cs="Times New Roman"/>
                <w:color w:val="000000" w:themeColor="text1"/>
                <w:kern w:val="24"/>
                <w:szCs w:val="24"/>
              </w:rPr>
              <m:t>W</m:t>
            </m:r>
          </m:e>
          <m:sub>
            <m:r>
              <w:rPr>
                <w:rFonts w:ascii="Cambria Math" w:eastAsia="Cambria Math" w:hAnsi="Cambria Math" w:cs="Times New Roman"/>
                <w:color w:val="000000" w:themeColor="text1"/>
                <w:kern w:val="24"/>
                <w:szCs w:val="24"/>
              </w:rPr>
              <m:t>b</m:t>
            </m:r>
          </m:sub>
        </m:sSub>
      </m:oMath>
      <w:r w:rsidRPr="00CA7195">
        <w:rPr>
          <w:rFonts w:eastAsiaTheme="minorEastAsia" w:cs="Times New Roman"/>
          <w:iCs w:val="0"/>
          <w:color w:val="000000" w:themeColor="text1"/>
          <w:kern w:val="24"/>
          <w:szCs w:val="24"/>
        </w:rPr>
        <w:t xml:space="preserve"> = median subbasin width and </w:t>
      </w:r>
      <m:oMath>
        <m:r>
          <w:rPr>
            <w:rFonts w:ascii="Cambria Math" w:eastAsia="Cambria Math" w:hAnsi="Cambria Math" w:cs="Times New Roman"/>
            <w:color w:val="000000" w:themeColor="text1"/>
            <w:kern w:val="24"/>
            <w:szCs w:val="24"/>
          </w:rPr>
          <m:t>λ</m:t>
        </m:r>
      </m:oMath>
      <w:r w:rsidRPr="00CA7195">
        <w:rPr>
          <w:rFonts w:eastAsiaTheme="minorEastAsia" w:cs="Times New Roman"/>
          <w:color w:val="000000" w:themeColor="text1"/>
          <w:kern w:val="24"/>
          <w:szCs w:val="24"/>
        </w:rPr>
        <w:t xml:space="preserve"> = mean sinuosity</w:t>
      </w:r>
      <w:bookmarkEnd w:id="11"/>
      <w:bookmarkEnd w:id="12"/>
    </w:p>
    <w:tbl>
      <w:tblPr>
        <w:tblStyle w:val="TableGrid"/>
        <w:tblW w:w="61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
        <w:gridCol w:w="1049"/>
        <w:gridCol w:w="905"/>
        <w:gridCol w:w="983"/>
        <w:gridCol w:w="983"/>
        <w:gridCol w:w="983"/>
        <w:gridCol w:w="983"/>
        <w:gridCol w:w="566"/>
      </w:tblGrid>
      <w:tr w:rsidR="00175716" w:rsidRPr="00CA7195" w14:paraId="28D274B7" w14:textId="77777777" w:rsidTr="000002F8">
        <w:trPr>
          <w:trHeight w:val="547"/>
          <w:jc w:val="center"/>
        </w:trPr>
        <w:tc>
          <w:tcPr>
            <w:tcW w:w="0" w:type="auto"/>
            <w:vMerge w:val="restart"/>
            <w:vAlign w:val="center"/>
          </w:tcPr>
          <w:p w14:paraId="15649863" w14:textId="77777777" w:rsidR="00175716" w:rsidRPr="00CA7195" w:rsidRDefault="00175716" w:rsidP="00175716">
            <w:pPr>
              <w:contextualSpacing/>
              <w:jc w:val="center"/>
              <w:rPr>
                <w:rFonts w:cs="Times New Roman"/>
                <w:sz w:val="20"/>
                <w:szCs w:val="20"/>
              </w:rPr>
            </w:pPr>
          </w:p>
        </w:tc>
        <w:tc>
          <w:tcPr>
            <w:tcW w:w="929" w:type="dxa"/>
            <w:vMerge w:val="restart"/>
            <w:vAlign w:val="center"/>
          </w:tcPr>
          <w:p w14:paraId="4F36CE2E" w14:textId="77777777" w:rsidR="00175716" w:rsidRPr="00CA7195" w:rsidRDefault="00175716" w:rsidP="00175716">
            <w:pPr>
              <w:contextualSpacing/>
              <w:jc w:val="center"/>
              <w:rPr>
                <w:rFonts w:cs="Times New Roman"/>
                <w:i/>
                <w:sz w:val="20"/>
                <w:szCs w:val="20"/>
              </w:rPr>
            </w:pPr>
            <w:r w:rsidRPr="00CA7195">
              <w:rPr>
                <w:rFonts w:cs="Times New Roman"/>
                <w:color w:val="000000"/>
                <w:sz w:val="20"/>
                <w:szCs w:val="20"/>
              </w:rPr>
              <w:t>Stream Signature Buffer (Distance)</w:t>
            </w:r>
          </w:p>
        </w:tc>
        <w:tc>
          <w:tcPr>
            <w:tcW w:w="598" w:type="dxa"/>
            <w:vMerge w:val="restart"/>
            <w:vAlign w:val="center"/>
          </w:tcPr>
          <w:p w14:paraId="049087BE" w14:textId="77777777" w:rsidR="00175716" w:rsidRPr="00CA7195" w:rsidRDefault="00175716" w:rsidP="00175716">
            <w:pPr>
              <w:contextualSpacing/>
              <w:jc w:val="center"/>
              <w:rPr>
                <w:rFonts w:cs="Times New Roman"/>
                <w:color w:val="000000"/>
                <w:sz w:val="20"/>
                <w:szCs w:val="20"/>
              </w:rPr>
            </w:pPr>
            <w:r w:rsidRPr="00CA7195">
              <w:rPr>
                <w:rFonts w:cs="Times New Roman"/>
                <w:color w:val="000000"/>
                <w:sz w:val="20"/>
                <w:szCs w:val="20"/>
              </w:rPr>
              <w:t>National</w:t>
            </w:r>
          </w:p>
          <w:p w14:paraId="37B42D03" w14:textId="77777777" w:rsidR="00175716" w:rsidRPr="00CA7195" w:rsidRDefault="00175716" w:rsidP="00175716">
            <w:pPr>
              <w:contextualSpacing/>
              <w:jc w:val="center"/>
              <w:rPr>
                <w:rFonts w:cs="Times New Roman"/>
                <w:i/>
                <w:sz w:val="20"/>
                <w:szCs w:val="20"/>
              </w:rPr>
            </w:pPr>
            <w:r w:rsidRPr="00CA7195">
              <w:rPr>
                <w:rFonts w:cs="Times New Roman"/>
                <w:color w:val="000000"/>
                <w:sz w:val="20"/>
                <w:szCs w:val="20"/>
              </w:rPr>
              <w:t>Mean (</w:t>
            </w:r>
            <w:proofErr w:type="spellStart"/>
            <w:r w:rsidRPr="00CA7195">
              <w:rPr>
                <w:rFonts w:cs="Times New Roman"/>
                <w:color w:val="000000"/>
                <w:sz w:val="20"/>
                <w:szCs w:val="20"/>
              </w:rPr>
              <w:t>CoV</w:t>
            </w:r>
            <w:proofErr w:type="spellEnd"/>
            <w:r w:rsidRPr="00CA7195">
              <w:rPr>
                <w:rFonts w:cs="Times New Roman"/>
                <w:color w:val="000000"/>
                <w:sz w:val="20"/>
                <w:szCs w:val="20"/>
              </w:rPr>
              <w:t>)</w:t>
            </w:r>
          </w:p>
        </w:tc>
        <w:tc>
          <w:tcPr>
            <w:tcW w:w="3989" w:type="dxa"/>
            <w:gridSpan w:val="4"/>
            <w:tcBorders>
              <w:bottom w:val="single" w:sz="4" w:space="0" w:color="auto"/>
            </w:tcBorders>
            <w:vAlign w:val="center"/>
          </w:tcPr>
          <w:p w14:paraId="162F8D48" w14:textId="77777777" w:rsidR="00175716" w:rsidRPr="00CA7195" w:rsidRDefault="00175716" w:rsidP="00175716">
            <w:pPr>
              <w:contextualSpacing/>
              <w:jc w:val="center"/>
              <w:rPr>
                <w:rFonts w:cs="Times New Roman"/>
                <w:color w:val="000000"/>
                <w:sz w:val="20"/>
                <w:szCs w:val="20"/>
                <w:u w:val="single"/>
              </w:rPr>
            </w:pPr>
            <w:r w:rsidRPr="00CA7195">
              <w:rPr>
                <w:rFonts w:cs="Times New Roman"/>
                <w:color w:val="000000"/>
                <w:sz w:val="20"/>
                <w:szCs w:val="20"/>
              </w:rPr>
              <w:t xml:space="preserve">Parameter Estimates </w:t>
            </w:r>
          </w:p>
        </w:tc>
        <w:tc>
          <w:tcPr>
            <w:tcW w:w="374" w:type="dxa"/>
            <w:vMerge w:val="restart"/>
            <w:vAlign w:val="center"/>
          </w:tcPr>
          <w:p w14:paraId="394BB7AF" w14:textId="77777777" w:rsidR="00175716" w:rsidRPr="00CA7195" w:rsidRDefault="00175716" w:rsidP="00175716">
            <w:pPr>
              <w:contextualSpacing/>
              <w:jc w:val="center"/>
              <w:rPr>
                <w:rFonts w:eastAsia="Calibri" w:cs="Times New Roman"/>
                <w:color w:val="000000" w:themeColor="text1"/>
                <w:kern w:val="24"/>
                <w:sz w:val="20"/>
                <w:szCs w:val="20"/>
              </w:rPr>
            </w:pPr>
            <w:r w:rsidRPr="00CA7195">
              <w:rPr>
                <w:rFonts w:eastAsia="Calibri" w:cs="Times New Roman"/>
                <w:color w:val="000000" w:themeColor="text1"/>
                <w:kern w:val="24"/>
                <w:sz w:val="20"/>
                <w:szCs w:val="20"/>
              </w:rPr>
              <w:t>R</w:t>
            </w:r>
            <w:r w:rsidRPr="00CA7195">
              <w:rPr>
                <w:rFonts w:eastAsia="Calibri" w:cs="Times New Roman"/>
                <w:color w:val="000000" w:themeColor="text1"/>
                <w:kern w:val="24"/>
                <w:sz w:val="20"/>
                <w:szCs w:val="20"/>
                <w:vertAlign w:val="superscript"/>
              </w:rPr>
              <w:t>2</w:t>
            </w:r>
          </w:p>
        </w:tc>
      </w:tr>
      <w:tr w:rsidR="00175716" w:rsidRPr="0069762B" w14:paraId="7A98AB25" w14:textId="77777777" w:rsidTr="000002F8">
        <w:trPr>
          <w:trHeight w:val="410"/>
          <w:jc w:val="center"/>
        </w:trPr>
        <w:tc>
          <w:tcPr>
            <w:tcW w:w="0" w:type="auto"/>
            <w:vMerge/>
            <w:vAlign w:val="center"/>
          </w:tcPr>
          <w:p w14:paraId="2CD4568A" w14:textId="77777777" w:rsidR="00175716" w:rsidRPr="0069762B" w:rsidRDefault="00175716" w:rsidP="00175716">
            <w:pPr>
              <w:contextualSpacing/>
              <w:jc w:val="center"/>
              <w:rPr>
                <w:rFonts w:cs="Times New Roman"/>
                <w:sz w:val="20"/>
                <w:szCs w:val="20"/>
              </w:rPr>
            </w:pPr>
          </w:p>
        </w:tc>
        <w:tc>
          <w:tcPr>
            <w:tcW w:w="929" w:type="dxa"/>
            <w:vMerge/>
            <w:tcBorders>
              <w:bottom w:val="single" w:sz="4" w:space="0" w:color="auto"/>
            </w:tcBorders>
            <w:vAlign w:val="center"/>
          </w:tcPr>
          <w:p w14:paraId="6908BF9A" w14:textId="77777777" w:rsidR="00175716" w:rsidRPr="0069762B" w:rsidRDefault="00175716" w:rsidP="00175716">
            <w:pPr>
              <w:contextualSpacing/>
              <w:jc w:val="center"/>
              <w:rPr>
                <w:rFonts w:cs="Times New Roman"/>
                <w:color w:val="000000"/>
                <w:sz w:val="20"/>
                <w:szCs w:val="20"/>
              </w:rPr>
            </w:pPr>
          </w:p>
        </w:tc>
        <w:tc>
          <w:tcPr>
            <w:tcW w:w="598" w:type="dxa"/>
            <w:vMerge/>
            <w:tcBorders>
              <w:bottom w:val="single" w:sz="4" w:space="0" w:color="auto"/>
            </w:tcBorders>
            <w:vAlign w:val="center"/>
          </w:tcPr>
          <w:p w14:paraId="0FAB5E20" w14:textId="77777777" w:rsidR="00175716" w:rsidRPr="0069762B" w:rsidRDefault="00175716" w:rsidP="00175716">
            <w:pPr>
              <w:contextualSpacing/>
              <w:jc w:val="center"/>
              <w:rPr>
                <w:rFonts w:cs="Times New Roman"/>
                <w:color w:val="000000"/>
                <w:sz w:val="20"/>
                <w:szCs w:val="20"/>
              </w:rPr>
            </w:pPr>
          </w:p>
        </w:tc>
        <w:tc>
          <w:tcPr>
            <w:tcW w:w="925" w:type="dxa"/>
            <w:tcBorders>
              <w:top w:val="single" w:sz="4" w:space="0" w:color="auto"/>
              <w:bottom w:val="single" w:sz="4" w:space="0" w:color="auto"/>
            </w:tcBorders>
            <w:vAlign w:val="center"/>
          </w:tcPr>
          <w:p w14:paraId="3C46A9AC" w14:textId="77777777" w:rsidR="00175716" w:rsidRPr="0069762B" w:rsidRDefault="00B5442B" w:rsidP="00175716">
            <w:pPr>
              <w:contextualSpacing/>
              <w:jc w:val="center"/>
              <w:rPr>
                <w:rFonts w:eastAsia="Calibri" w:cs="Times New Roman"/>
                <w:iCs/>
                <w:color w:val="000000" w:themeColor="text1"/>
                <w:kern w:val="24"/>
                <w:sz w:val="20"/>
                <w:szCs w:val="20"/>
              </w:rPr>
            </w:pPr>
            <m:oMath>
              <m:sSub>
                <m:sSubPr>
                  <m:ctrlPr>
                    <w:rPr>
                      <w:rFonts w:ascii="Cambria Math" w:eastAsia="Cambria Math" w:hAnsi="Cambria Math" w:cs="Times New Roman"/>
                      <w:i/>
                      <w:iCs/>
                      <w:color w:val="000000" w:themeColor="text1"/>
                      <w:kern w:val="24"/>
                      <w:sz w:val="20"/>
                      <w:szCs w:val="20"/>
                    </w:rPr>
                  </m:ctrlPr>
                </m:sSubPr>
                <m:e>
                  <m:r>
                    <w:rPr>
                      <w:rFonts w:ascii="Cambria Math" w:eastAsia="Cambria Math" w:hAnsi="Cambria Math" w:cs="Times New Roman"/>
                      <w:color w:val="000000" w:themeColor="text1"/>
                      <w:kern w:val="24"/>
                      <w:sz w:val="20"/>
                      <w:szCs w:val="20"/>
                    </w:rPr>
                    <m:t>D</m:t>
                  </m:r>
                </m:e>
                <m:sub>
                  <m:r>
                    <w:rPr>
                      <w:rFonts w:ascii="Cambria Math" w:eastAsia="Cambria Math" w:hAnsi="Cambria Math" w:cs="Times New Roman"/>
                      <w:color w:val="000000" w:themeColor="text1"/>
                      <w:kern w:val="24"/>
                      <w:sz w:val="20"/>
                      <w:szCs w:val="20"/>
                    </w:rPr>
                    <m:t>d</m:t>
                  </m:r>
                </m:sub>
              </m:sSub>
            </m:oMath>
            <w:r w:rsidR="00175716" w:rsidRPr="0069762B">
              <w:rPr>
                <w:rFonts w:eastAsia="Calibri" w:cs="Times New Roman"/>
                <w:iCs/>
                <w:color w:val="000000" w:themeColor="text1"/>
                <w:kern w:val="24"/>
                <w:sz w:val="20"/>
                <w:szCs w:val="20"/>
              </w:rPr>
              <w:t xml:space="preserve"> (90%CrI)</w:t>
            </w:r>
          </w:p>
        </w:tc>
        <w:tc>
          <w:tcPr>
            <w:tcW w:w="1037" w:type="dxa"/>
            <w:tcBorders>
              <w:top w:val="single" w:sz="4" w:space="0" w:color="auto"/>
              <w:bottom w:val="single" w:sz="4" w:space="0" w:color="auto"/>
            </w:tcBorders>
            <w:vAlign w:val="center"/>
          </w:tcPr>
          <w:p w14:paraId="7DE8003A" w14:textId="77777777" w:rsidR="00175716" w:rsidRPr="0069762B" w:rsidRDefault="00175716" w:rsidP="00175716">
            <w:pPr>
              <w:contextualSpacing/>
              <w:jc w:val="center"/>
              <w:rPr>
                <w:rFonts w:eastAsia="Calibri" w:cs="Times New Roman"/>
                <w:i/>
                <w:iCs/>
                <w:color w:val="000000" w:themeColor="text1"/>
                <w:kern w:val="24"/>
                <w:sz w:val="20"/>
                <w:szCs w:val="20"/>
              </w:rPr>
            </w:pPr>
            <m:oMath>
              <m:r>
                <w:rPr>
                  <w:rFonts w:ascii="Cambria Math" w:eastAsia="Cambria Math" w:hAnsi="Cambria Math" w:cs="Times New Roman"/>
                  <w:color w:val="000000" w:themeColor="text1"/>
                  <w:kern w:val="24"/>
                  <w:sz w:val="20"/>
                  <w:szCs w:val="20"/>
                </w:rPr>
                <m:t>C</m:t>
              </m:r>
            </m:oMath>
            <w:r w:rsidRPr="0069762B">
              <w:rPr>
                <w:rFonts w:eastAsia="Calibri" w:cs="Times New Roman"/>
                <w:color w:val="000000" w:themeColor="text1"/>
                <w:kern w:val="24"/>
                <w:sz w:val="20"/>
                <w:szCs w:val="20"/>
              </w:rPr>
              <w:t xml:space="preserve"> </w:t>
            </w:r>
            <w:r w:rsidRPr="0069762B">
              <w:rPr>
                <w:rFonts w:eastAsia="Calibri" w:cs="Times New Roman"/>
                <w:iCs/>
                <w:color w:val="000000" w:themeColor="text1"/>
                <w:kern w:val="24"/>
                <w:sz w:val="20"/>
                <w:szCs w:val="20"/>
              </w:rPr>
              <w:t>(90%CrI)</w:t>
            </w:r>
          </w:p>
        </w:tc>
        <w:tc>
          <w:tcPr>
            <w:tcW w:w="1032" w:type="dxa"/>
            <w:tcBorders>
              <w:top w:val="single" w:sz="4" w:space="0" w:color="auto"/>
              <w:bottom w:val="single" w:sz="4" w:space="0" w:color="auto"/>
            </w:tcBorders>
            <w:vAlign w:val="center"/>
          </w:tcPr>
          <w:p w14:paraId="485D9B9E" w14:textId="77777777" w:rsidR="00175716" w:rsidRPr="0069762B" w:rsidRDefault="00B5442B" w:rsidP="00175716">
            <w:pPr>
              <w:contextualSpacing/>
              <w:jc w:val="center"/>
              <w:rPr>
                <w:rFonts w:eastAsia="Calibri" w:cs="Times New Roman"/>
                <w:i/>
                <w:iCs/>
                <w:color w:val="000000" w:themeColor="text1"/>
                <w:kern w:val="24"/>
                <w:sz w:val="20"/>
                <w:szCs w:val="20"/>
              </w:rPr>
            </w:pPr>
            <m:oMath>
              <m:sSub>
                <m:sSubPr>
                  <m:ctrlPr>
                    <w:rPr>
                      <w:rFonts w:ascii="Cambria Math" w:eastAsia="Cambria Math" w:hAnsi="Cambria Math" w:cs="Times New Roman"/>
                      <w:i/>
                      <w:iCs/>
                      <w:color w:val="000000" w:themeColor="text1"/>
                      <w:kern w:val="24"/>
                      <w:sz w:val="20"/>
                      <w:szCs w:val="20"/>
                    </w:rPr>
                  </m:ctrlPr>
                </m:sSubPr>
                <m:e>
                  <m:r>
                    <w:rPr>
                      <w:rFonts w:ascii="Cambria Math" w:eastAsia="Cambria Math" w:hAnsi="Cambria Math" w:cs="Times New Roman"/>
                      <w:color w:val="000000" w:themeColor="text1"/>
                      <w:kern w:val="24"/>
                      <w:sz w:val="20"/>
                      <w:szCs w:val="20"/>
                    </w:rPr>
                    <m:t>W</m:t>
                  </m:r>
                </m:e>
                <m:sub>
                  <m:r>
                    <w:rPr>
                      <w:rFonts w:ascii="Cambria Math" w:eastAsia="Cambria Math" w:hAnsi="Cambria Math" w:cs="Times New Roman"/>
                      <w:color w:val="000000" w:themeColor="text1"/>
                      <w:kern w:val="24"/>
                      <w:sz w:val="20"/>
                      <w:szCs w:val="20"/>
                    </w:rPr>
                    <m:t>b</m:t>
                  </m:r>
                </m:sub>
              </m:sSub>
            </m:oMath>
            <w:r w:rsidR="00175716" w:rsidRPr="0069762B">
              <w:rPr>
                <w:rFonts w:eastAsia="Calibri" w:cs="Times New Roman"/>
                <w:iCs/>
                <w:color w:val="000000" w:themeColor="text1"/>
                <w:kern w:val="24"/>
                <w:sz w:val="20"/>
                <w:szCs w:val="20"/>
              </w:rPr>
              <w:t xml:space="preserve"> (90%CrI)</w:t>
            </w:r>
          </w:p>
        </w:tc>
        <w:tc>
          <w:tcPr>
            <w:tcW w:w="994" w:type="dxa"/>
            <w:tcBorders>
              <w:top w:val="single" w:sz="4" w:space="0" w:color="auto"/>
              <w:bottom w:val="single" w:sz="4" w:space="0" w:color="auto"/>
            </w:tcBorders>
            <w:vAlign w:val="center"/>
          </w:tcPr>
          <w:p w14:paraId="4A27E1A0" w14:textId="77777777" w:rsidR="00175716" w:rsidRPr="0069762B" w:rsidRDefault="00175716" w:rsidP="00175716">
            <w:pPr>
              <w:contextualSpacing/>
              <w:jc w:val="center"/>
              <w:rPr>
                <w:rFonts w:eastAsia="Calibri" w:cs="Times New Roman"/>
                <w:i/>
                <w:iCs/>
                <w:color w:val="000000" w:themeColor="text1"/>
                <w:kern w:val="24"/>
                <w:sz w:val="20"/>
                <w:szCs w:val="20"/>
              </w:rPr>
            </w:pPr>
            <m:oMath>
              <m:r>
                <w:rPr>
                  <w:rFonts w:ascii="Cambria Math" w:eastAsia="Cambria Math" w:hAnsi="Cambria Math" w:cs="Times New Roman"/>
                  <w:color w:val="000000" w:themeColor="text1"/>
                  <w:kern w:val="24"/>
                  <w:sz w:val="20"/>
                  <w:szCs w:val="20"/>
                </w:rPr>
                <m:t>λ</m:t>
              </m:r>
            </m:oMath>
            <w:r w:rsidRPr="0069762B">
              <w:rPr>
                <w:rFonts w:eastAsia="Calibri" w:cs="Times New Roman"/>
                <w:i/>
                <w:color w:val="000000" w:themeColor="text1"/>
                <w:kern w:val="24"/>
                <w:sz w:val="20"/>
                <w:szCs w:val="20"/>
              </w:rPr>
              <w:t xml:space="preserve"> </w:t>
            </w:r>
            <w:r w:rsidRPr="0069762B">
              <w:rPr>
                <w:rFonts w:eastAsia="Calibri" w:cs="Times New Roman"/>
                <w:iCs/>
                <w:color w:val="000000" w:themeColor="text1"/>
                <w:kern w:val="24"/>
                <w:sz w:val="20"/>
                <w:szCs w:val="20"/>
              </w:rPr>
              <w:t>(90%CrI)</w:t>
            </w:r>
          </w:p>
        </w:tc>
        <w:tc>
          <w:tcPr>
            <w:tcW w:w="374" w:type="dxa"/>
            <w:vMerge/>
            <w:tcBorders>
              <w:bottom w:val="single" w:sz="4" w:space="0" w:color="auto"/>
            </w:tcBorders>
            <w:vAlign w:val="center"/>
          </w:tcPr>
          <w:p w14:paraId="7707A02C" w14:textId="77777777" w:rsidR="00175716" w:rsidRPr="0069762B" w:rsidRDefault="00175716" w:rsidP="00175716">
            <w:pPr>
              <w:contextualSpacing/>
              <w:jc w:val="center"/>
              <w:rPr>
                <w:rFonts w:eastAsia="Calibri" w:cs="Times New Roman"/>
                <w:color w:val="000000" w:themeColor="text1"/>
                <w:kern w:val="24"/>
                <w:sz w:val="20"/>
                <w:szCs w:val="20"/>
              </w:rPr>
            </w:pPr>
          </w:p>
        </w:tc>
      </w:tr>
      <w:tr w:rsidR="00175716" w:rsidRPr="0069762B" w14:paraId="5314F133" w14:textId="77777777" w:rsidTr="000002F8">
        <w:trPr>
          <w:trHeight w:val="645"/>
          <w:jc w:val="center"/>
        </w:trPr>
        <w:tc>
          <w:tcPr>
            <w:tcW w:w="0" w:type="auto"/>
            <w:vMerge w:val="restart"/>
            <w:textDirection w:val="btLr"/>
            <w:vAlign w:val="center"/>
          </w:tcPr>
          <w:p w14:paraId="4DEAB1B0" w14:textId="77777777" w:rsidR="00175716" w:rsidRPr="0069762B" w:rsidRDefault="00175716" w:rsidP="00175716">
            <w:pPr>
              <w:ind w:left="113" w:right="113"/>
              <w:contextualSpacing/>
              <w:jc w:val="center"/>
              <w:rPr>
                <w:rFonts w:cs="Times New Roman"/>
                <w:color w:val="000000"/>
                <w:sz w:val="20"/>
                <w:szCs w:val="20"/>
              </w:rPr>
            </w:pPr>
            <w:r w:rsidRPr="0069762B">
              <w:rPr>
                <w:rFonts w:cs="Times New Roman"/>
                <w:color w:val="000000"/>
                <w:sz w:val="20"/>
                <w:szCs w:val="20"/>
              </w:rPr>
              <w:t>Extent of Stream Signature</w:t>
            </w:r>
          </w:p>
        </w:tc>
        <w:tc>
          <w:tcPr>
            <w:tcW w:w="929" w:type="dxa"/>
            <w:tcBorders>
              <w:top w:val="single" w:sz="4" w:space="0" w:color="auto"/>
            </w:tcBorders>
            <w:vAlign w:val="center"/>
          </w:tcPr>
          <w:p w14:paraId="3FAF8188" w14:textId="77777777" w:rsidR="00175716" w:rsidRPr="0069762B" w:rsidRDefault="00175716" w:rsidP="00175716">
            <w:pPr>
              <w:contextualSpacing/>
              <w:jc w:val="center"/>
              <w:rPr>
                <w:rFonts w:cs="Times New Roman"/>
                <w:color w:val="000000"/>
                <w:sz w:val="20"/>
                <w:szCs w:val="20"/>
              </w:rPr>
            </w:pPr>
            <w:r w:rsidRPr="0069762B">
              <w:rPr>
                <w:rFonts w:cs="Times New Roman"/>
                <w:sz w:val="20"/>
                <w:szCs w:val="20"/>
              </w:rPr>
              <w:t>8% (</w:t>
            </w:r>
            <w:r w:rsidRPr="0069762B">
              <w:rPr>
                <w:rFonts w:cs="Times New Roman"/>
                <w:color w:val="000000"/>
                <w:sz w:val="20"/>
                <w:szCs w:val="20"/>
              </w:rPr>
              <w:t>1000m)</w:t>
            </w:r>
          </w:p>
        </w:tc>
        <w:tc>
          <w:tcPr>
            <w:tcW w:w="598" w:type="dxa"/>
            <w:tcBorders>
              <w:top w:val="single" w:sz="4" w:space="0" w:color="auto"/>
            </w:tcBorders>
            <w:vAlign w:val="center"/>
          </w:tcPr>
          <w:p w14:paraId="4B091B04"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1.007  (0.229)</w:t>
            </w:r>
          </w:p>
        </w:tc>
        <w:tc>
          <w:tcPr>
            <w:tcW w:w="925" w:type="dxa"/>
            <w:tcBorders>
              <w:top w:val="single" w:sz="4" w:space="0" w:color="auto"/>
            </w:tcBorders>
            <w:vAlign w:val="center"/>
          </w:tcPr>
          <w:p w14:paraId="375E55C6"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0.947</w:t>
            </w:r>
          </w:p>
          <w:p w14:paraId="3608CA73" w14:textId="77777777" w:rsidR="000002F8"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(0.920, </w:t>
            </w:r>
          </w:p>
          <w:p w14:paraId="390D674B" w14:textId="159FFF10"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0.978)</w:t>
            </w:r>
          </w:p>
        </w:tc>
        <w:tc>
          <w:tcPr>
            <w:tcW w:w="1037" w:type="dxa"/>
            <w:tcBorders>
              <w:top w:val="single" w:sz="4" w:space="0" w:color="auto"/>
            </w:tcBorders>
            <w:vAlign w:val="center"/>
          </w:tcPr>
          <w:p w14:paraId="52408455"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-0.126</w:t>
            </w:r>
          </w:p>
          <w:p w14:paraId="418CF642"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(-0.149, </w:t>
            </w:r>
          </w:p>
          <w:p w14:paraId="102193CA" w14:textId="0C8ABD4D"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-0.102)</w:t>
            </w:r>
          </w:p>
        </w:tc>
        <w:tc>
          <w:tcPr>
            <w:tcW w:w="1032" w:type="dxa"/>
            <w:tcBorders>
              <w:top w:val="single" w:sz="4" w:space="0" w:color="auto"/>
            </w:tcBorders>
            <w:vAlign w:val="center"/>
          </w:tcPr>
          <w:p w14:paraId="732F56DD"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0.154</w:t>
            </w:r>
          </w:p>
          <w:p w14:paraId="51FDAF73"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(0.124,</w:t>
            </w:r>
          </w:p>
          <w:p w14:paraId="7A245C1C" w14:textId="24335BD3"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 xml:space="preserve"> 0.183)</w:t>
            </w:r>
          </w:p>
        </w:tc>
        <w:tc>
          <w:tcPr>
            <w:tcW w:w="994" w:type="dxa"/>
            <w:tcBorders>
              <w:top w:val="single" w:sz="4" w:space="0" w:color="auto"/>
            </w:tcBorders>
            <w:vAlign w:val="center"/>
          </w:tcPr>
          <w:p w14:paraId="5FEE99E0"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-0.165</w:t>
            </w:r>
          </w:p>
          <w:p w14:paraId="57DA307B"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(-0.189, </w:t>
            </w:r>
          </w:p>
          <w:p w14:paraId="5F922261" w14:textId="2036229A"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-0.141)</w:t>
            </w:r>
          </w:p>
        </w:tc>
        <w:tc>
          <w:tcPr>
            <w:tcW w:w="374" w:type="dxa"/>
            <w:tcBorders>
              <w:top w:val="single" w:sz="4" w:space="0" w:color="auto"/>
            </w:tcBorders>
            <w:vAlign w:val="center"/>
          </w:tcPr>
          <w:p w14:paraId="043DD4AF"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0.85</w:t>
            </w:r>
          </w:p>
        </w:tc>
      </w:tr>
      <w:tr w:rsidR="00175716" w:rsidRPr="0069762B" w14:paraId="41E7F9D0" w14:textId="77777777" w:rsidTr="000002F8">
        <w:trPr>
          <w:trHeight w:val="296"/>
          <w:jc w:val="center"/>
        </w:trPr>
        <w:tc>
          <w:tcPr>
            <w:tcW w:w="0" w:type="auto"/>
            <w:vMerge/>
            <w:vAlign w:val="center"/>
          </w:tcPr>
          <w:p w14:paraId="65761122" w14:textId="77777777" w:rsidR="00175716" w:rsidRPr="0069762B" w:rsidRDefault="00175716" w:rsidP="00175716">
            <w:pPr>
              <w:contextualSpacing/>
              <w:jc w:val="center"/>
              <w:rPr>
                <w:rFonts w:cs="Times New Roman"/>
                <w:sz w:val="20"/>
                <w:szCs w:val="20"/>
              </w:rPr>
            </w:pPr>
          </w:p>
        </w:tc>
        <w:tc>
          <w:tcPr>
            <w:tcW w:w="929" w:type="dxa"/>
            <w:vAlign w:val="center"/>
          </w:tcPr>
          <w:p w14:paraId="7D7C3CDC" w14:textId="77777777" w:rsidR="00175716" w:rsidRPr="0069762B" w:rsidRDefault="00175716" w:rsidP="00175716">
            <w:pPr>
              <w:contextualSpacing/>
              <w:jc w:val="center"/>
              <w:rPr>
                <w:rFonts w:cs="Times New Roman"/>
                <w:color w:val="000000"/>
                <w:sz w:val="20"/>
                <w:szCs w:val="20"/>
              </w:rPr>
            </w:pPr>
            <w:r w:rsidRPr="0069762B">
              <w:rPr>
                <w:rFonts w:cs="Times New Roman"/>
                <w:sz w:val="20"/>
                <w:szCs w:val="20"/>
              </w:rPr>
              <w:t>13% (100m)</w:t>
            </w:r>
          </w:p>
        </w:tc>
        <w:tc>
          <w:tcPr>
            <w:tcW w:w="598" w:type="dxa"/>
            <w:vAlign w:val="center"/>
          </w:tcPr>
          <w:p w14:paraId="2237B943"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0.159  (0.325)</w:t>
            </w:r>
          </w:p>
        </w:tc>
        <w:tc>
          <w:tcPr>
            <w:tcW w:w="925" w:type="dxa"/>
            <w:vAlign w:val="center"/>
          </w:tcPr>
          <w:p w14:paraId="4ECB0433"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1.000</w:t>
            </w:r>
          </w:p>
          <w:p w14:paraId="5DFC58F0" w14:textId="77777777" w:rsidR="000002F8"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(0.995, </w:t>
            </w:r>
          </w:p>
          <w:p w14:paraId="5D6CEF98" w14:textId="229C3725"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cs="Times New Roman"/>
                <w:b/>
                <w:color w:val="000000"/>
                <w:sz w:val="20"/>
                <w:szCs w:val="20"/>
              </w:rPr>
            </w:pPr>
            <w:r w:rsidRPr="0069762B">
              <w:rPr>
                <w:rFonts w:eastAsia="Times New Roman" w:cs="Times New Roman"/>
                <w:color w:val="000000"/>
                <w:sz w:val="20"/>
                <w:szCs w:val="20"/>
                <w:bdr w:val="none" w:sz="0" w:space="0" w:color="auto" w:frame="1"/>
              </w:rPr>
              <w:t>1.006)</w:t>
            </w:r>
          </w:p>
        </w:tc>
        <w:tc>
          <w:tcPr>
            <w:tcW w:w="1037" w:type="dxa"/>
            <w:vAlign w:val="center"/>
          </w:tcPr>
          <w:p w14:paraId="3730769B"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-0.005</w:t>
            </w:r>
          </w:p>
          <w:p w14:paraId="77FC2E4B" w14:textId="77777777" w:rsidR="000002F8"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(-0.01</w:t>
            </w:r>
            <w:r w:rsidR="000002F8">
              <w:rPr>
                <w:rFonts w:eastAsia="Times New Roman" w:cs="Times New Roman"/>
                <w:color w:val="000000"/>
                <w:sz w:val="20"/>
                <w:szCs w:val="20"/>
                <w:bdr w:val="none" w:sz="0" w:space="0" w:color="auto" w:frame="1"/>
              </w:rPr>
              <w:t>,</w:t>
            </w:r>
          </w:p>
          <w:p w14:paraId="5942F0B9" w14:textId="0C7B79CC"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 xml:space="preserve"> 0.000)</w:t>
            </w:r>
          </w:p>
        </w:tc>
        <w:tc>
          <w:tcPr>
            <w:tcW w:w="1032" w:type="dxa"/>
            <w:vAlign w:val="center"/>
          </w:tcPr>
          <w:p w14:paraId="7819CFEE"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0.02</w:t>
            </w:r>
          </w:p>
          <w:p w14:paraId="1CD705EE"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(0.014, </w:t>
            </w:r>
          </w:p>
          <w:p w14:paraId="114ADECA" w14:textId="240988EF"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0.026)</w:t>
            </w:r>
          </w:p>
        </w:tc>
        <w:tc>
          <w:tcPr>
            <w:tcW w:w="994" w:type="dxa"/>
            <w:vAlign w:val="center"/>
          </w:tcPr>
          <w:p w14:paraId="0051B2A5"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-0.039</w:t>
            </w:r>
          </w:p>
          <w:p w14:paraId="48668D5C"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(-0.044, </w:t>
            </w:r>
          </w:p>
          <w:p w14:paraId="593F0D73" w14:textId="11DF8E66"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-0.034)</w:t>
            </w:r>
          </w:p>
        </w:tc>
        <w:tc>
          <w:tcPr>
            <w:tcW w:w="374" w:type="dxa"/>
            <w:vAlign w:val="center"/>
          </w:tcPr>
          <w:p w14:paraId="62F3E6BE"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0.99</w:t>
            </w:r>
          </w:p>
        </w:tc>
      </w:tr>
      <w:tr w:rsidR="00175716" w:rsidRPr="0069762B" w14:paraId="6FEC794B" w14:textId="77777777" w:rsidTr="000002F8">
        <w:trPr>
          <w:trHeight w:val="791"/>
          <w:jc w:val="center"/>
        </w:trPr>
        <w:tc>
          <w:tcPr>
            <w:tcW w:w="0" w:type="auto"/>
            <w:vMerge/>
            <w:vAlign w:val="center"/>
          </w:tcPr>
          <w:p w14:paraId="7B6784E3" w14:textId="77777777" w:rsidR="00175716" w:rsidRPr="0069762B" w:rsidRDefault="00175716" w:rsidP="00175716">
            <w:pPr>
              <w:contextualSpacing/>
              <w:jc w:val="center"/>
              <w:rPr>
                <w:rFonts w:cs="Times New Roman"/>
                <w:sz w:val="20"/>
                <w:szCs w:val="20"/>
              </w:rPr>
            </w:pPr>
          </w:p>
        </w:tc>
        <w:tc>
          <w:tcPr>
            <w:tcW w:w="929" w:type="dxa"/>
            <w:vAlign w:val="center"/>
          </w:tcPr>
          <w:p w14:paraId="4D6200FC" w14:textId="77777777" w:rsidR="00175716" w:rsidRPr="0069762B" w:rsidRDefault="00175716" w:rsidP="00175716">
            <w:pPr>
              <w:contextualSpacing/>
              <w:jc w:val="center"/>
              <w:rPr>
                <w:rFonts w:cs="Times New Roman"/>
                <w:color w:val="000000"/>
                <w:sz w:val="20"/>
                <w:szCs w:val="20"/>
              </w:rPr>
            </w:pPr>
            <w:r w:rsidRPr="0069762B">
              <w:rPr>
                <w:rFonts w:cs="Times New Roman"/>
                <w:sz w:val="20"/>
                <w:szCs w:val="20"/>
              </w:rPr>
              <w:t>21% (10m)</w:t>
            </w:r>
          </w:p>
        </w:tc>
        <w:tc>
          <w:tcPr>
            <w:tcW w:w="598" w:type="dxa"/>
            <w:vAlign w:val="center"/>
          </w:tcPr>
          <w:p w14:paraId="43CC9B96"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0.010  (0.331)</w:t>
            </w:r>
          </w:p>
        </w:tc>
        <w:tc>
          <w:tcPr>
            <w:tcW w:w="925" w:type="dxa"/>
            <w:vAlign w:val="center"/>
          </w:tcPr>
          <w:p w14:paraId="1B79B3BE" w14:textId="77777777" w:rsidR="00175716" w:rsidRPr="0069762B" w:rsidRDefault="00175716" w:rsidP="00175716">
            <w:pPr>
              <w:pStyle w:val="HTMLPreformatted"/>
              <w:shd w:val="clear" w:color="auto" w:fill="FFFFFF"/>
              <w:wordWrap w:val="0"/>
              <w:spacing w:line="225" w:lineRule="atLeast"/>
              <w:jc w:val="center"/>
              <w:rPr>
                <w:rFonts w:ascii="Times New Roman" w:hAnsi="Times New Roman" w:cs="Times New Roman"/>
                <w:color w:val="000000"/>
                <w:bdr w:val="none" w:sz="0" w:space="0" w:color="auto" w:frame="1"/>
              </w:rPr>
            </w:pPr>
            <w:r w:rsidRPr="0069762B">
              <w:rPr>
                <w:rFonts w:ascii="Times New Roman" w:hAnsi="Times New Roman" w:cs="Times New Roman"/>
                <w:color w:val="000000"/>
                <w:bdr w:val="none" w:sz="0" w:space="0" w:color="auto" w:frame="1"/>
              </w:rPr>
              <w:t>1.000</w:t>
            </w:r>
          </w:p>
          <w:p w14:paraId="6942F306" w14:textId="77777777" w:rsidR="000002F8" w:rsidRDefault="00175716" w:rsidP="00175716">
            <w:pPr>
              <w:pStyle w:val="HTMLPreformatted"/>
              <w:shd w:val="clear" w:color="auto" w:fill="FFFFFF"/>
              <w:wordWrap w:val="0"/>
              <w:spacing w:line="225" w:lineRule="atLeast"/>
              <w:jc w:val="center"/>
              <w:rPr>
                <w:rFonts w:ascii="Times New Roman" w:hAnsi="Times New Roman" w:cs="Times New Roman"/>
                <w:color w:val="000000"/>
                <w:bdr w:val="none" w:sz="0" w:space="0" w:color="auto" w:frame="1"/>
              </w:rPr>
            </w:pPr>
            <w:r w:rsidRPr="0069762B">
              <w:rPr>
                <w:rFonts w:ascii="Times New Roman" w:hAnsi="Times New Roman" w:cs="Times New Roman"/>
                <w:color w:val="000000"/>
                <w:bdr w:val="none" w:sz="0" w:space="0" w:color="auto" w:frame="1"/>
              </w:rPr>
              <w:t xml:space="preserve">(1.000, </w:t>
            </w:r>
          </w:p>
          <w:p w14:paraId="26F1493B" w14:textId="09ED2221" w:rsidR="00175716" w:rsidRPr="0069762B" w:rsidRDefault="00175716" w:rsidP="00175716">
            <w:pPr>
              <w:pStyle w:val="HTMLPreformatted"/>
              <w:shd w:val="clear" w:color="auto" w:fill="FFFFFF"/>
              <w:wordWrap w:val="0"/>
              <w:spacing w:line="225" w:lineRule="atLeast"/>
              <w:jc w:val="center"/>
              <w:rPr>
                <w:rFonts w:ascii="Times New Roman" w:hAnsi="Times New Roman" w:cs="Times New Roman"/>
                <w:color w:val="000000"/>
              </w:rPr>
            </w:pPr>
            <w:r w:rsidRPr="0069762B">
              <w:rPr>
                <w:rFonts w:ascii="Times New Roman" w:hAnsi="Times New Roman" w:cs="Times New Roman"/>
                <w:color w:val="000000"/>
                <w:bdr w:val="none" w:sz="0" w:space="0" w:color="auto" w:frame="1"/>
              </w:rPr>
              <w:t>1.003)</w:t>
            </w:r>
          </w:p>
        </w:tc>
        <w:tc>
          <w:tcPr>
            <w:tcW w:w="1037" w:type="dxa"/>
            <w:vAlign w:val="center"/>
          </w:tcPr>
          <w:p w14:paraId="119321AC"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0.000</w:t>
            </w:r>
          </w:p>
          <w:p w14:paraId="547F70AA"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(-0.001, 0.000)</w:t>
            </w:r>
          </w:p>
        </w:tc>
        <w:tc>
          <w:tcPr>
            <w:tcW w:w="1032" w:type="dxa"/>
            <w:vAlign w:val="center"/>
          </w:tcPr>
          <w:p w14:paraId="381217E7"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0.001</w:t>
            </w:r>
          </w:p>
          <w:p w14:paraId="162EF3A5"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(0.001, </w:t>
            </w:r>
          </w:p>
          <w:p w14:paraId="292BD335" w14:textId="1D13A85F"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0.001)</w:t>
            </w:r>
          </w:p>
        </w:tc>
        <w:tc>
          <w:tcPr>
            <w:tcW w:w="994" w:type="dxa"/>
            <w:vAlign w:val="center"/>
          </w:tcPr>
          <w:p w14:paraId="11526D60"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-0.001</w:t>
            </w:r>
          </w:p>
          <w:p w14:paraId="53D603AB" w14:textId="77777777" w:rsidR="00B5442B" w:rsidRDefault="00175716" w:rsidP="00B544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(-0.001, </w:t>
            </w:r>
          </w:p>
          <w:p w14:paraId="223ABC8A" w14:textId="660473A9" w:rsidR="00175716" w:rsidRPr="0069762B" w:rsidRDefault="00175716" w:rsidP="00B544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rPr>
            </w:pPr>
            <w:r w:rsidRPr="0069762B">
              <w:rPr>
                <w:rFonts w:eastAsia="Times New Roman" w:cs="Times New Roman"/>
                <w:color w:val="000000"/>
                <w:sz w:val="20"/>
                <w:szCs w:val="20"/>
                <w:bdr w:val="none" w:sz="0" w:space="0" w:color="auto" w:frame="1"/>
              </w:rPr>
              <w:t>-</w:t>
            </w:r>
            <w:r w:rsidR="00B5442B">
              <w:rPr>
                <w:rFonts w:eastAsia="Times New Roman" w:cs="Times New Roman"/>
                <w:color w:val="000000"/>
                <w:sz w:val="20"/>
                <w:szCs w:val="20"/>
                <w:bdr w:val="none" w:sz="0" w:space="0" w:color="auto" w:frame="1"/>
              </w:rPr>
              <w:t>0</w:t>
            </w:r>
            <w:r w:rsidRPr="0069762B">
              <w:rPr>
                <w:rFonts w:eastAsia="Times New Roman" w:cs="Times New Roman"/>
                <w:color w:val="000000"/>
                <w:sz w:val="20"/>
                <w:szCs w:val="20"/>
                <w:bdr w:val="none" w:sz="0" w:space="0" w:color="auto" w:frame="1"/>
              </w:rPr>
              <w:t>.001)</w:t>
            </w:r>
          </w:p>
        </w:tc>
        <w:tc>
          <w:tcPr>
            <w:tcW w:w="374" w:type="dxa"/>
            <w:vAlign w:val="center"/>
          </w:tcPr>
          <w:p w14:paraId="425FCA9B"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w:t>
            </w:r>
          </w:p>
        </w:tc>
      </w:tr>
      <w:tr w:rsidR="00175716" w:rsidRPr="0069762B" w14:paraId="45C492A4" w14:textId="77777777" w:rsidTr="000002F8">
        <w:trPr>
          <w:trHeight w:val="695"/>
          <w:jc w:val="center"/>
        </w:trPr>
        <w:tc>
          <w:tcPr>
            <w:tcW w:w="0" w:type="auto"/>
            <w:vMerge/>
            <w:tcBorders>
              <w:bottom w:val="single" w:sz="4" w:space="0" w:color="auto"/>
            </w:tcBorders>
            <w:vAlign w:val="center"/>
          </w:tcPr>
          <w:p w14:paraId="5DF61C0B" w14:textId="77777777" w:rsidR="00175716" w:rsidRPr="0069762B" w:rsidRDefault="00175716" w:rsidP="00175716">
            <w:pPr>
              <w:contextualSpacing/>
              <w:jc w:val="center"/>
              <w:rPr>
                <w:rFonts w:cs="Times New Roman"/>
                <w:sz w:val="20"/>
                <w:szCs w:val="20"/>
              </w:rPr>
            </w:pPr>
          </w:p>
        </w:tc>
        <w:tc>
          <w:tcPr>
            <w:tcW w:w="929" w:type="dxa"/>
            <w:tcBorders>
              <w:bottom w:val="single" w:sz="4" w:space="0" w:color="auto"/>
            </w:tcBorders>
            <w:vAlign w:val="center"/>
          </w:tcPr>
          <w:p w14:paraId="459EBE1E" w14:textId="77777777" w:rsidR="00175716" w:rsidRPr="0069762B" w:rsidRDefault="00175716" w:rsidP="00175716">
            <w:pPr>
              <w:contextualSpacing/>
              <w:jc w:val="center"/>
              <w:rPr>
                <w:rFonts w:cs="Times New Roman"/>
                <w:sz w:val="20"/>
                <w:szCs w:val="20"/>
              </w:rPr>
            </w:pPr>
            <w:r w:rsidRPr="0069762B">
              <w:rPr>
                <w:rFonts w:cs="Times New Roman"/>
                <w:sz w:val="20"/>
                <w:szCs w:val="20"/>
              </w:rPr>
              <w:t>34% (1m)</w:t>
            </w:r>
          </w:p>
        </w:tc>
        <w:tc>
          <w:tcPr>
            <w:tcW w:w="598" w:type="dxa"/>
            <w:tcBorders>
              <w:bottom w:val="single" w:sz="4" w:space="0" w:color="auto"/>
            </w:tcBorders>
            <w:vAlign w:val="center"/>
          </w:tcPr>
          <w:p w14:paraId="75F062DB"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0.002 (0.332)</w:t>
            </w:r>
          </w:p>
        </w:tc>
        <w:tc>
          <w:tcPr>
            <w:tcW w:w="925" w:type="dxa"/>
            <w:tcBorders>
              <w:bottom w:val="single" w:sz="4" w:space="0" w:color="auto"/>
            </w:tcBorders>
            <w:vAlign w:val="center"/>
          </w:tcPr>
          <w:p w14:paraId="220D6339"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1.000</w:t>
            </w:r>
          </w:p>
          <w:p w14:paraId="76A43854"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(1.000, 1.000)</w:t>
            </w:r>
          </w:p>
        </w:tc>
        <w:tc>
          <w:tcPr>
            <w:tcW w:w="1037" w:type="dxa"/>
            <w:tcBorders>
              <w:bottom w:val="single" w:sz="4" w:space="0" w:color="auto"/>
            </w:tcBorders>
            <w:vAlign w:val="center"/>
          </w:tcPr>
          <w:p w14:paraId="1511D851"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0.000</w:t>
            </w:r>
          </w:p>
          <w:p w14:paraId="68A4612F"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(0.000, 0.000)</w:t>
            </w:r>
          </w:p>
        </w:tc>
        <w:tc>
          <w:tcPr>
            <w:tcW w:w="1032" w:type="dxa"/>
            <w:tcBorders>
              <w:bottom w:val="single" w:sz="4" w:space="0" w:color="auto"/>
            </w:tcBorders>
            <w:vAlign w:val="center"/>
          </w:tcPr>
          <w:p w14:paraId="0531260A"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0.000</w:t>
            </w:r>
          </w:p>
          <w:p w14:paraId="498CF891"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(0.000, 0.000)</w:t>
            </w:r>
          </w:p>
        </w:tc>
        <w:tc>
          <w:tcPr>
            <w:tcW w:w="994" w:type="dxa"/>
            <w:tcBorders>
              <w:bottom w:val="single" w:sz="4" w:space="0" w:color="auto"/>
            </w:tcBorders>
            <w:vAlign w:val="center"/>
          </w:tcPr>
          <w:p w14:paraId="4028AF96" w14:textId="77777777" w:rsidR="00175716" w:rsidRPr="0069762B" w:rsidRDefault="00175716" w:rsidP="00175716">
            <w:pPr>
              <w:pStyle w:val="HTMLPreformatted"/>
              <w:shd w:val="clear" w:color="auto" w:fill="FFFFFF"/>
              <w:wordWrap w:val="0"/>
              <w:spacing w:line="225" w:lineRule="atLeast"/>
              <w:jc w:val="center"/>
              <w:rPr>
                <w:rFonts w:ascii="Times New Roman" w:hAnsi="Times New Roman" w:cs="Times New Roman"/>
                <w:color w:val="000000"/>
              </w:rPr>
            </w:pPr>
            <w:r w:rsidRPr="0069762B">
              <w:rPr>
                <w:rFonts w:ascii="Times New Roman" w:hAnsi="Times New Roman" w:cs="Times New Roman"/>
                <w:color w:val="000000"/>
              </w:rPr>
              <w:t>0.0000</w:t>
            </w:r>
          </w:p>
          <w:p w14:paraId="2DF1960D" w14:textId="77777777" w:rsidR="00B5442B" w:rsidRDefault="00175716" w:rsidP="00175716">
            <w:pPr>
              <w:pStyle w:val="HTMLPreformatted"/>
              <w:shd w:val="clear" w:color="auto" w:fill="FFFFFF"/>
              <w:wordWrap w:val="0"/>
              <w:spacing w:line="225" w:lineRule="atLeast"/>
              <w:jc w:val="center"/>
              <w:rPr>
                <w:rFonts w:ascii="Times New Roman" w:hAnsi="Times New Roman" w:cs="Times New Roman"/>
                <w:color w:val="000000"/>
              </w:rPr>
            </w:pPr>
            <w:r w:rsidRPr="0069762B">
              <w:rPr>
                <w:rFonts w:ascii="Times New Roman" w:hAnsi="Times New Roman" w:cs="Times New Roman"/>
                <w:color w:val="000000"/>
              </w:rPr>
              <w:t>(</w:t>
            </w:r>
            <w:r w:rsidRPr="0069762B">
              <w:rPr>
                <w:rFonts w:ascii="Times New Roman" w:hAnsi="Times New Roman" w:cs="Times New Roman"/>
                <w:color w:val="000000"/>
                <w:bdr w:val="none" w:sz="0" w:space="0" w:color="auto" w:frame="1"/>
              </w:rPr>
              <w:t>0.000</w:t>
            </w:r>
            <w:r w:rsidRPr="0069762B">
              <w:rPr>
                <w:rFonts w:ascii="Times New Roman" w:hAnsi="Times New Roman" w:cs="Times New Roman"/>
                <w:color w:val="000000"/>
              </w:rPr>
              <w:t xml:space="preserve">, </w:t>
            </w:r>
          </w:p>
          <w:p w14:paraId="73E4F052" w14:textId="5A05DCB9" w:rsidR="00175716" w:rsidRPr="0069762B" w:rsidRDefault="00175716" w:rsidP="00175716">
            <w:pPr>
              <w:pStyle w:val="HTMLPreformatted"/>
              <w:shd w:val="clear" w:color="auto" w:fill="FFFFFF"/>
              <w:wordWrap w:val="0"/>
              <w:spacing w:line="225" w:lineRule="atLeast"/>
              <w:jc w:val="center"/>
              <w:rPr>
                <w:rFonts w:ascii="Times New Roman" w:hAnsi="Times New Roman" w:cs="Times New Roman"/>
                <w:color w:val="000000"/>
              </w:rPr>
            </w:pPr>
            <w:r w:rsidRPr="0069762B">
              <w:rPr>
                <w:rFonts w:ascii="Times New Roman" w:hAnsi="Times New Roman" w:cs="Times New Roman"/>
                <w:color w:val="000000"/>
                <w:bdr w:val="none" w:sz="0" w:space="0" w:color="auto" w:frame="1"/>
              </w:rPr>
              <w:t>0.000)</w:t>
            </w:r>
          </w:p>
        </w:tc>
        <w:tc>
          <w:tcPr>
            <w:tcW w:w="374" w:type="dxa"/>
            <w:tcBorders>
              <w:bottom w:val="single" w:sz="4" w:space="0" w:color="auto"/>
            </w:tcBorders>
            <w:vAlign w:val="center"/>
          </w:tcPr>
          <w:p w14:paraId="30E46A08"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w:t>
            </w:r>
          </w:p>
        </w:tc>
      </w:tr>
      <w:tr w:rsidR="00175716" w:rsidRPr="0069762B" w14:paraId="550AF383" w14:textId="77777777" w:rsidTr="000002F8">
        <w:trPr>
          <w:trHeight w:val="772"/>
          <w:jc w:val="center"/>
        </w:trPr>
        <w:tc>
          <w:tcPr>
            <w:tcW w:w="0" w:type="auto"/>
            <w:vMerge w:val="restart"/>
            <w:tcBorders>
              <w:top w:val="single" w:sz="4" w:space="0" w:color="auto"/>
            </w:tcBorders>
            <w:textDirection w:val="btLr"/>
            <w:vAlign w:val="center"/>
          </w:tcPr>
          <w:p w14:paraId="213A8056" w14:textId="77777777" w:rsidR="00175716" w:rsidRPr="0069762B" w:rsidRDefault="00175716" w:rsidP="00175716">
            <w:pPr>
              <w:ind w:left="113" w:right="113"/>
              <w:contextualSpacing/>
              <w:jc w:val="center"/>
              <w:rPr>
                <w:rFonts w:cs="Times New Roman"/>
                <w:sz w:val="20"/>
                <w:szCs w:val="20"/>
              </w:rPr>
            </w:pPr>
            <w:r w:rsidRPr="0069762B">
              <w:rPr>
                <w:rFonts w:cs="Times New Roman"/>
                <w:sz w:val="20"/>
                <w:szCs w:val="20"/>
              </w:rPr>
              <w:t>Mean Stream Signatures</w:t>
            </w:r>
          </w:p>
        </w:tc>
        <w:tc>
          <w:tcPr>
            <w:tcW w:w="929" w:type="dxa"/>
            <w:tcBorders>
              <w:top w:val="single" w:sz="4" w:space="0" w:color="auto"/>
            </w:tcBorders>
            <w:vAlign w:val="center"/>
          </w:tcPr>
          <w:p w14:paraId="5C5A2627" w14:textId="77777777" w:rsidR="00175716" w:rsidRPr="0069762B" w:rsidRDefault="00175716" w:rsidP="00175716">
            <w:pPr>
              <w:contextualSpacing/>
              <w:jc w:val="center"/>
              <w:rPr>
                <w:rFonts w:cs="Times New Roman"/>
                <w:sz w:val="20"/>
                <w:szCs w:val="20"/>
              </w:rPr>
            </w:pPr>
            <w:r w:rsidRPr="0069762B">
              <w:rPr>
                <w:rFonts w:cs="Times New Roman"/>
                <w:sz w:val="20"/>
                <w:szCs w:val="20"/>
              </w:rPr>
              <w:t>8% (</w:t>
            </w:r>
            <w:r w:rsidRPr="0069762B">
              <w:rPr>
                <w:rFonts w:cs="Times New Roman"/>
                <w:color w:val="000000"/>
                <w:sz w:val="20"/>
                <w:szCs w:val="20"/>
              </w:rPr>
              <w:t>1000m)</w:t>
            </w:r>
          </w:p>
        </w:tc>
        <w:tc>
          <w:tcPr>
            <w:tcW w:w="598" w:type="dxa"/>
            <w:tcBorders>
              <w:top w:val="single" w:sz="4" w:space="0" w:color="auto"/>
            </w:tcBorders>
            <w:vAlign w:val="center"/>
          </w:tcPr>
          <w:p w14:paraId="097687E1"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2.219 (0.237)</w:t>
            </w:r>
          </w:p>
        </w:tc>
        <w:tc>
          <w:tcPr>
            <w:tcW w:w="925" w:type="dxa"/>
            <w:tcBorders>
              <w:top w:val="single" w:sz="4" w:space="0" w:color="auto"/>
            </w:tcBorders>
            <w:vAlign w:val="center"/>
          </w:tcPr>
          <w:p w14:paraId="234770D2"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0.682</w:t>
            </w:r>
          </w:p>
          <w:p w14:paraId="3B7D1894"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(0.652, </w:t>
            </w:r>
          </w:p>
          <w:p w14:paraId="06BFF6F8" w14:textId="692B4182"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0.713)</w:t>
            </w:r>
          </w:p>
        </w:tc>
        <w:tc>
          <w:tcPr>
            <w:tcW w:w="1037" w:type="dxa"/>
            <w:tcBorders>
              <w:top w:val="single" w:sz="4" w:space="0" w:color="auto"/>
            </w:tcBorders>
            <w:vAlign w:val="center"/>
          </w:tcPr>
          <w:p w14:paraId="0D7230EF"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0.091</w:t>
            </w:r>
          </w:p>
          <w:p w14:paraId="311BAAE4"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(0.066, </w:t>
            </w:r>
          </w:p>
          <w:p w14:paraId="70CBF413" w14:textId="0F7FB3A6"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0.116)</w:t>
            </w:r>
          </w:p>
        </w:tc>
        <w:tc>
          <w:tcPr>
            <w:tcW w:w="1032" w:type="dxa"/>
            <w:tcBorders>
              <w:top w:val="single" w:sz="4" w:space="0" w:color="auto"/>
            </w:tcBorders>
            <w:vAlign w:val="center"/>
          </w:tcPr>
          <w:p w14:paraId="5B5F6008"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-0.323</w:t>
            </w:r>
          </w:p>
          <w:p w14:paraId="55B47C7E"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(-0.353, </w:t>
            </w:r>
          </w:p>
          <w:p w14:paraId="74F3F8BB" w14:textId="0CA94B25"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-0.292)</w:t>
            </w:r>
          </w:p>
        </w:tc>
        <w:tc>
          <w:tcPr>
            <w:tcW w:w="994" w:type="dxa"/>
            <w:tcBorders>
              <w:top w:val="single" w:sz="4" w:space="0" w:color="auto"/>
            </w:tcBorders>
            <w:vAlign w:val="center"/>
          </w:tcPr>
          <w:p w14:paraId="4E9A185E" w14:textId="77777777" w:rsidR="00175716" w:rsidRPr="0069762B" w:rsidRDefault="00175716" w:rsidP="00175716">
            <w:pPr>
              <w:contextualSpacing/>
              <w:jc w:val="center"/>
              <w:rPr>
                <w:rFonts w:cs="Times New Roman"/>
                <w:color w:val="000000"/>
                <w:sz w:val="20"/>
                <w:szCs w:val="20"/>
              </w:rPr>
            </w:pPr>
          </w:p>
        </w:tc>
        <w:tc>
          <w:tcPr>
            <w:tcW w:w="374" w:type="dxa"/>
            <w:tcBorders>
              <w:top w:val="single" w:sz="4" w:space="0" w:color="auto"/>
            </w:tcBorders>
            <w:vAlign w:val="center"/>
          </w:tcPr>
          <w:p w14:paraId="08A5A080" w14:textId="77777777" w:rsidR="00175716" w:rsidRPr="0069762B" w:rsidRDefault="00175716" w:rsidP="00175716">
            <w:pPr>
              <w:contextualSpacing/>
              <w:jc w:val="center"/>
              <w:rPr>
                <w:rFonts w:cs="Times New Roman"/>
                <w:color w:val="000000"/>
                <w:sz w:val="20"/>
                <w:szCs w:val="20"/>
              </w:rPr>
            </w:pPr>
            <w:r w:rsidRPr="0069762B">
              <w:rPr>
                <w:rFonts w:eastAsia="Times New Roman" w:cs="Times New Roman"/>
                <w:color w:val="000000"/>
                <w:sz w:val="20"/>
                <w:szCs w:val="20"/>
                <w:bdr w:val="none" w:sz="0" w:space="0" w:color="auto" w:frame="1"/>
              </w:rPr>
              <w:t>0.83</w:t>
            </w:r>
          </w:p>
        </w:tc>
      </w:tr>
      <w:tr w:rsidR="00175716" w:rsidRPr="0069762B" w14:paraId="50A19C71" w14:textId="77777777" w:rsidTr="000002F8">
        <w:trPr>
          <w:trHeight w:val="636"/>
          <w:jc w:val="center"/>
        </w:trPr>
        <w:tc>
          <w:tcPr>
            <w:tcW w:w="0" w:type="auto"/>
            <w:vMerge/>
            <w:textDirection w:val="btLr"/>
            <w:vAlign w:val="center"/>
          </w:tcPr>
          <w:p w14:paraId="202CDE74" w14:textId="77777777" w:rsidR="00175716" w:rsidRPr="0069762B" w:rsidRDefault="00175716" w:rsidP="00175716">
            <w:pPr>
              <w:contextualSpacing/>
              <w:jc w:val="center"/>
              <w:rPr>
                <w:rFonts w:cs="Times New Roman"/>
                <w:sz w:val="20"/>
                <w:szCs w:val="20"/>
              </w:rPr>
            </w:pPr>
          </w:p>
        </w:tc>
        <w:tc>
          <w:tcPr>
            <w:tcW w:w="929" w:type="dxa"/>
            <w:vAlign w:val="center"/>
          </w:tcPr>
          <w:p w14:paraId="745ED743" w14:textId="77777777" w:rsidR="00175716" w:rsidRPr="0069762B" w:rsidRDefault="00175716" w:rsidP="00175716">
            <w:pPr>
              <w:contextualSpacing/>
              <w:jc w:val="center"/>
              <w:rPr>
                <w:rFonts w:cs="Times New Roman"/>
                <w:sz w:val="20"/>
                <w:szCs w:val="20"/>
              </w:rPr>
            </w:pPr>
            <w:r w:rsidRPr="0069762B">
              <w:rPr>
                <w:rFonts w:cs="Times New Roman"/>
                <w:sz w:val="20"/>
                <w:szCs w:val="20"/>
              </w:rPr>
              <w:t>13% (100m)</w:t>
            </w:r>
          </w:p>
        </w:tc>
        <w:tc>
          <w:tcPr>
            <w:tcW w:w="598" w:type="dxa"/>
            <w:vAlign w:val="center"/>
          </w:tcPr>
          <w:p w14:paraId="75751E59"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1.060 (0.025)</w:t>
            </w:r>
          </w:p>
        </w:tc>
        <w:tc>
          <w:tcPr>
            <w:tcW w:w="925" w:type="dxa"/>
            <w:vAlign w:val="center"/>
          </w:tcPr>
          <w:p w14:paraId="291A23A9"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0.255</w:t>
            </w:r>
          </w:p>
          <w:p w14:paraId="5BB61636"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(0.200, </w:t>
            </w:r>
          </w:p>
          <w:p w14:paraId="6AD6D073" w14:textId="6B19E6BF"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0.310)</w:t>
            </w:r>
          </w:p>
        </w:tc>
        <w:tc>
          <w:tcPr>
            <w:tcW w:w="1037" w:type="dxa"/>
            <w:vAlign w:val="center"/>
          </w:tcPr>
          <w:p w14:paraId="4E07C59C"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0.012</w:t>
            </w:r>
          </w:p>
          <w:p w14:paraId="1B34D900"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(-0.033, 0.056)</w:t>
            </w:r>
          </w:p>
        </w:tc>
        <w:tc>
          <w:tcPr>
            <w:tcW w:w="1032" w:type="dxa"/>
            <w:vAlign w:val="center"/>
          </w:tcPr>
          <w:p w14:paraId="55759AFB"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-0.506</w:t>
            </w:r>
          </w:p>
          <w:p w14:paraId="660E7157"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(-0.561, </w:t>
            </w:r>
          </w:p>
          <w:p w14:paraId="1BC7820D" w14:textId="6A33F36C"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-0.452)</w:t>
            </w:r>
          </w:p>
        </w:tc>
        <w:tc>
          <w:tcPr>
            <w:tcW w:w="994" w:type="dxa"/>
            <w:vAlign w:val="center"/>
          </w:tcPr>
          <w:p w14:paraId="4FD4F1A8" w14:textId="77777777" w:rsidR="00175716" w:rsidRPr="0069762B" w:rsidRDefault="00175716" w:rsidP="00175716">
            <w:pPr>
              <w:contextualSpacing/>
              <w:jc w:val="center"/>
              <w:rPr>
                <w:rFonts w:cs="Times New Roman"/>
                <w:color w:val="000000"/>
                <w:sz w:val="20"/>
                <w:szCs w:val="20"/>
              </w:rPr>
            </w:pPr>
          </w:p>
        </w:tc>
        <w:tc>
          <w:tcPr>
            <w:tcW w:w="374" w:type="dxa"/>
            <w:vAlign w:val="center"/>
          </w:tcPr>
          <w:p w14:paraId="37479811"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0.47</w:t>
            </w:r>
          </w:p>
        </w:tc>
      </w:tr>
      <w:tr w:rsidR="00175716" w:rsidRPr="0069762B" w14:paraId="38E1DBC1" w14:textId="77777777" w:rsidTr="000002F8">
        <w:trPr>
          <w:trHeight w:val="636"/>
          <w:jc w:val="center"/>
        </w:trPr>
        <w:tc>
          <w:tcPr>
            <w:tcW w:w="0" w:type="auto"/>
            <w:vMerge/>
            <w:vAlign w:val="center"/>
          </w:tcPr>
          <w:p w14:paraId="62FB73D7" w14:textId="77777777" w:rsidR="00175716" w:rsidRPr="0069762B" w:rsidRDefault="00175716" w:rsidP="00175716">
            <w:pPr>
              <w:contextualSpacing/>
              <w:jc w:val="center"/>
              <w:rPr>
                <w:rFonts w:cs="Times New Roman"/>
                <w:sz w:val="20"/>
                <w:szCs w:val="20"/>
              </w:rPr>
            </w:pPr>
          </w:p>
        </w:tc>
        <w:tc>
          <w:tcPr>
            <w:tcW w:w="929" w:type="dxa"/>
            <w:vAlign w:val="center"/>
          </w:tcPr>
          <w:p w14:paraId="6397E24F" w14:textId="77777777" w:rsidR="00175716" w:rsidRPr="0069762B" w:rsidRDefault="00175716" w:rsidP="00175716">
            <w:pPr>
              <w:contextualSpacing/>
              <w:jc w:val="center"/>
              <w:rPr>
                <w:rFonts w:cs="Times New Roman"/>
                <w:sz w:val="20"/>
                <w:szCs w:val="20"/>
              </w:rPr>
            </w:pPr>
            <w:r w:rsidRPr="0069762B">
              <w:rPr>
                <w:rFonts w:cs="Times New Roman"/>
                <w:sz w:val="20"/>
                <w:szCs w:val="20"/>
              </w:rPr>
              <w:t>21% (10m)</w:t>
            </w:r>
          </w:p>
        </w:tc>
        <w:tc>
          <w:tcPr>
            <w:tcW w:w="598" w:type="dxa"/>
            <w:vAlign w:val="center"/>
          </w:tcPr>
          <w:p w14:paraId="54D1DD6B"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1.005 (0.002)</w:t>
            </w:r>
          </w:p>
        </w:tc>
        <w:tc>
          <w:tcPr>
            <w:tcW w:w="925" w:type="dxa"/>
            <w:vAlign w:val="center"/>
          </w:tcPr>
          <w:p w14:paraId="12284138"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0.247</w:t>
            </w:r>
          </w:p>
          <w:p w14:paraId="0B8A24A9"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(0.195, </w:t>
            </w:r>
          </w:p>
          <w:p w14:paraId="2D5AB1AD" w14:textId="6DAFC7A0"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0.298)</w:t>
            </w:r>
          </w:p>
        </w:tc>
        <w:tc>
          <w:tcPr>
            <w:tcW w:w="1037" w:type="dxa"/>
            <w:vAlign w:val="center"/>
          </w:tcPr>
          <w:p w14:paraId="0B5EF365"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-0.007</w:t>
            </w:r>
          </w:p>
          <w:p w14:paraId="54AC3059"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(-0.048, 0.0349)</w:t>
            </w:r>
          </w:p>
        </w:tc>
        <w:tc>
          <w:tcPr>
            <w:tcW w:w="1032" w:type="dxa"/>
            <w:vAlign w:val="center"/>
          </w:tcPr>
          <w:p w14:paraId="6CC7AB2F"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-0.559</w:t>
            </w:r>
          </w:p>
          <w:p w14:paraId="012FAAA8"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(-0.610, </w:t>
            </w:r>
          </w:p>
          <w:p w14:paraId="42FF16A5" w14:textId="4180B1BE"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-0.508)</w:t>
            </w:r>
          </w:p>
        </w:tc>
        <w:tc>
          <w:tcPr>
            <w:tcW w:w="994" w:type="dxa"/>
            <w:vAlign w:val="center"/>
          </w:tcPr>
          <w:p w14:paraId="4F14996C" w14:textId="77777777" w:rsidR="00175716" w:rsidRPr="0069762B" w:rsidRDefault="00175716" w:rsidP="00175716">
            <w:pPr>
              <w:contextualSpacing/>
              <w:jc w:val="center"/>
              <w:rPr>
                <w:rFonts w:cs="Times New Roman"/>
                <w:color w:val="000000"/>
                <w:sz w:val="20"/>
                <w:szCs w:val="20"/>
              </w:rPr>
            </w:pPr>
          </w:p>
        </w:tc>
        <w:tc>
          <w:tcPr>
            <w:tcW w:w="374" w:type="dxa"/>
            <w:vAlign w:val="center"/>
          </w:tcPr>
          <w:p w14:paraId="644EAA23"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0.53</w:t>
            </w:r>
          </w:p>
        </w:tc>
      </w:tr>
      <w:tr w:rsidR="00175716" w:rsidRPr="0069762B" w14:paraId="617691E6" w14:textId="77777777" w:rsidTr="000002F8">
        <w:trPr>
          <w:trHeight w:val="636"/>
          <w:jc w:val="center"/>
        </w:trPr>
        <w:tc>
          <w:tcPr>
            <w:tcW w:w="0" w:type="auto"/>
            <w:vMerge/>
            <w:vAlign w:val="center"/>
          </w:tcPr>
          <w:p w14:paraId="4BB84930" w14:textId="77777777" w:rsidR="00175716" w:rsidRPr="0069762B" w:rsidRDefault="00175716" w:rsidP="00175716">
            <w:pPr>
              <w:contextualSpacing/>
              <w:jc w:val="center"/>
              <w:rPr>
                <w:rFonts w:cs="Times New Roman"/>
                <w:sz w:val="20"/>
                <w:szCs w:val="20"/>
              </w:rPr>
            </w:pPr>
          </w:p>
        </w:tc>
        <w:tc>
          <w:tcPr>
            <w:tcW w:w="929" w:type="dxa"/>
            <w:vAlign w:val="center"/>
          </w:tcPr>
          <w:p w14:paraId="77DC9A9D" w14:textId="77777777" w:rsidR="00175716" w:rsidRPr="0069762B" w:rsidRDefault="00175716" w:rsidP="00175716">
            <w:pPr>
              <w:contextualSpacing/>
              <w:jc w:val="center"/>
              <w:rPr>
                <w:rFonts w:cs="Times New Roman"/>
                <w:sz w:val="20"/>
                <w:szCs w:val="20"/>
              </w:rPr>
            </w:pPr>
            <w:r w:rsidRPr="0069762B">
              <w:rPr>
                <w:rFonts w:cs="Times New Roman"/>
                <w:sz w:val="20"/>
                <w:szCs w:val="20"/>
              </w:rPr>
              <w:t>34% (1m)</w:t>
            </w:r>
          </w:p>
        </w:tc>
        <w:tc>
          <w:tcPr>
            <w:tcW w:w="598" w:type="dxa"/>
            <w:vAlign w:val="center"/>
          </w:tcPr>
          <w:p w14:paraId="6524739E"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1.000 (0.000)</w:t>
            </w:r>
          </w:p>
        </w:tc>
        <w:tc>
          <w:tcPr>
            <w:tcW w:w="925" w:type="dxa"/>
            <w:vAlign w:val="center"/>
          </w:tcPr>
          <w:p w14:paraId="42745488"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0.245</w:t>
            </w:r>
          </w:p>
          <w:p w14:paraId="6B849CE3"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(0.194,</w:t>
            </w:r>
          </w:p>
          <w:p w14:paraId="03DBC0F9" w14:textId="6716AA00"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 0.296)</w:t>
            </w:r>
          </w:p>
        </w:tc>
        <w:tc>
          <w:tcPr>
            <w:tcW w:w="1037" w:type="dxa"/>
            <w:vAlign w:val="center"/>
          </w:tcPr>
          <w:p w14:paraId="2086C296"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-0.006</w:t>
            </w:r>
          </w:p>
          <w:p w14:paraId="6CE3BBD2"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(-0.0481, 0.035)</w:t>
            </w:r>
          </w:p>
        </w:tc>
        <w:tc>
          <w:tcPr>
            <w:tcW w:w="1032" w:type="dxa"/>
            <w:vAlign w:val="center"/>
          </w:tcPr>
          <w:p w14:paraId="77A9647E" w14:textId="77777777"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-0.510</w:t>
            </w:r>
          </w:p>
          <w:p w14:paraId="337C0B86" w14:textId="77777777" w:rsidR="00B544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 xml:space="preserve">(-0.611, </w:t>
            </w:r>
          </w:p>
          <w:p w14:paraId="388123B2" w14:textId="4DCFAF11" w:rsidR="00175716" w:rsidRPr="0069762B" w:rsidRDefault="00175716" w:rsidP="001757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eastAsia="Times New Roman" w:cs="Times New Roman"/>
                <w:color w:val="000000"/>
                <w:sz w:val="20"/>
                <w:szCs w:val="20"/>
                <w:bdr w:val="none" w:sz="0" w:space="0" w:color="auto" w:frame="1"/>
              </w:rPr>
            </w:pPr>
            <w:r w:rsidRPr="0069762B">
              <w:rPr>
                <w:rFonts w:eastAsia="Times New Roman" w:cs="Times New Roman"/>
                <w:color w:val="000000"/>
                <w:sz w:val="20"/>
                <w:szCs w:val="20"/>
                <w:bdr w:val="none" w:sz="0" w:space="0" w:color="auto" w:frame="1"/>
              </w:rPr>
              <w:t>-0.508)</w:t>
            </w:r>
          </w:p>
        </w:tc>
        <w:tc>
          <w:tcPr>
            <w:tcW w:w="994" w:type="dxa"/>
            <w:vAlign w:val="center"/>
          </w:tcPr>
          <w:p w14:paraId="4D43291F" w14:textId="77777777" w:rsidR="00175716" w:rsidRPr="0069762B" w:rsidRDefault="00175716" w:rsidP="00175716">
            <w:pPr>
              <w:contextualSpacing/>
              <w:jc w:val="center"/>
              <w:rPr>
                <w:rFonts w:cs="Times New Roman"/>
                <w:color w:val="000000"/>
                <w:sz w:val="20"/>
                <w:szCs w:val="20"/>
              </w:rPr>
            </w:pPr>
          </w:p>
        </w:tc>
        <w:tc>
          <w:tcPr>
            <w:tcW w:w="374" w:type="dxa"/>
            <w:vAlign w:val="center"/>
          </w:tcPr>
          <w:p w14:paraId="248D72B7" w14:textId="77777777" w:rsidR="00175716" w:rsidRPr="0069762B" w:rsidRDefault="00175716" w:rsidP="00175716">
            <w:pPr>
              <w:contextualSpacing/>
              <w:jc w:val="center"/>
              <w:rPr>
                <w:rFonts w:cs="Times New Roman"/>
                <w:color w:val="000000"/>
                <w:sz w:val="20"/>
                <w:szCs w:val="20"/>
              </w:rPr>
            </w:pPr>
            <w:r w:rsidRPr="0069762B">
              <w:rPr>
                <w:rFonts w:cs="Times New Roman"/>
                <w:color w:val="000000"/>
                <w:sz w:val="20"/>
                <w:szCs w:val="20"/>
              </w:rPr>
              <w:t>0.53</w:t>
            </w:r>
          </w:p>
        </w:tc>
      </w:tr>
    </w:tbl>
    <w:p w14:paraId="1CC7FFF8" w14:textId="77777777" w:rsidR="00175716" w:rsidRPr="00CA7195" w:rsidRDefault="00175716" w:rsidP="00175716">
      <w:pPr>
        <w:spacing w:line="480" w:lineRule="auto"/>
        <w:contextualSpacing/>
        <w:rPr>
          <w:rFonts w:cs="Times New Roman"/>
          <w:b/>
          <w:szCs w:val="24"/>
          <w:u w:val="single"/>
        </w:rPr>
        <w:sectPr w:rsidR="00175716" w:rsidRPr="00CA7195" w:rsidSect="00D0469B">
          <w:pgSz w:w="12240" w:h="15840"/>
          <w:pgMar w:top="1440" w:right="1440" w:bottom="1440" w:left="1440" w:header="720" w:footer="720" w:gutter="0"/>
          <w:cols w:space="720"/>
          <w:docGrid w:linePitch="360"/>
        </w:sectPr>
      </w:pPr>
    </w:p>
    <w:p w14:paraId="3FB397A6" w14:textId="708AA066" w:rsidR="00175716" w:rsidRPr="00CA7195" w:rsidRDefault="00EF430D" w:rsidP="00135D1F">
      <w:pPr>
        <w:pStyle w:val="Caption"/>
        <w:keepNext/>
        <w:contextualSpacing/>
      </w:pPr>
      <w:bookmarkStart w:id="13" w:name="_Toc60238868"/>
      <w:bookmarkStart w:id="14" w:name="_Toc60480682"/>
      <w:bookmarkStart w:id="15" w:name="_Toc61883047"/>
      <w:r w:rsidRPr="00CA7195">
        <w:lastRenderedPageBreak/>
        <w:t xml:space="preserve">Table </w:t>
      </w:r>
      <w:fldSimple w:instr=" STYLEREF 1 \s ">
        <w:r w:rsidR="000C6138">
          <w:rPr>
            <w:noProof/>
          </w:rPr>
          <w:t>1</w:t>
        </w:r>
      </w:fldSimple>
      <w:r w:rsidR="004F311A">
        <w:t>.</w:t>
      </w:r>
      <w:fldSimple w:instr=" SEQ Table \* ARABIC \s 1 ">
        <w:r w:rsidR="000C6138">
          <w:rPr>
            <w:noProof/>
          </w:rPr>
          <w:t>2</w:t>
        </w:r>
      </w:fldSimple>
      <w:r w:rsidRPr="00CA7195">
        <w:t xml:space="preserve">. </w:t>
      </w:r>
      <w:r w:rsidR="00175716" w:rsidRPr="00CA7195">
        <w:rPr>
          <w:rFonts w:cs="Times New Roman"/>
          <w:szCs w:val="24"/>
        </w:rPr>
        <w:t xml:space="preserve">Parameter estimates (90% credible intervals) for mixed effects models predicting stream network geometry components. Models are </w:t>
      </w:r>
      <w:r w:rsidR="00CA7195" w:rsidRPr="00CA7195">
        <w:rPr>
          <w:rFonts w:cs="Times New Roman"/>
          <w:szCs w:val="24"/>
        </w:rPr>
        <w:t xml:space="preserve">the </w:t>
      </w:r>
      <w:r w:rsidR="00175716" w:rsidRPr="00CA7195">
        <w:rPr>
          <w:rFonts w:cs="Times New Roman"/>
          <w:szCs w:val="24"/>
        </w:rPr>
        <w:t xml:space="preserve">best preforming (the lowest WAIC) of </w:t>
      </w:r>
      <w:r w:rsidR="00CA7195" w:rsidRPr="00CA7195">
        <w:rPr>
          <w:rFonts w:cs="Times New Roman"/>
          <w:szCs w:val="24"/>
        </w:rPr>
        <w:t>a suite of competing models</w:t>
      </w:r>
      <w:r w:rsidR="00175716" w:rsidRPr="00CA7195">
        <w:rPr>
          <w:rFonts w:cs="Times New Roman"/>
          <w:szCs w:val="24"/>
        </w:rPr>
        <w:t xml:space="preserve"> generated from a backwards step-wise procedure</w:t>
      </w:r>
      <w:r w:rsidR="00CA7195">
        <w:rPr>
          <w:rFonts w:cs="Times New Roman"/>
          <w:szCs w:val="24"/>
        </w:rPr>
        <w:t xml:space="preserve"> to iteratively and sequentially remove a single predictor variable</w:t>
      </w:r>
      <w:r w:rsidR="00175716" w:rsidRPr="00CA7195">
        <w:rPr>
          <w:rFonts w:cs="Times New Roman"/>
          <w:szCs w:val="24"/>
        </w:rPr>
        <w:t>. Predictor variables were mean-centered and standardized</w:t>
      </w:r>
      <w:r w:rsidR="00CA7195" w:rsidRPr="00CA7195">
        <w:rPr>
          <w:rFonts w:cs="Times New Roman"/>
          <w:szCs w:val="24"/>
        </w:rPr>
        <w:t xml:space="preserve"> prior to analysis</w:t>
      </w:r>
      <w:r w:rsidR="00175716" w:rsidRPr="00CA7195">
        <w:rPr>
          <w:rFonts w:cs="Times New Roman"/>
          <w:szCs w:val="24"/>
        </w:rPr>
        <w:t>.</w:t>
      </w:r>
      <w:bookmarkEnd w:id="13"/>
      <w:bookmarkEnd w:id="14"/>
      <w:bookmarkEnd w:id="15"/>
    </w:p>
    <w:tbl>
      <w:tblPr>
        <w:tblStyle w:val="TableGrid"/>
        <w:tblW w:w="37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913"/>
        <w:gridCol w:w="801"/>
        <w:gridCol w:w="1083"/>
        <w:gridCol w:w="1001"/>
        <w:gridCol w:w="728"/>
        <w:gridCol w:w="566"/>
        <w:gridCol w:w="715"/>
      </w:tblGrid>
      <w:tr w:rsidR="00175716" w:rsidRPr="0069762B" w14:paraId="094B5E37" w14:textId="77777777" w:rsidTr="00D0469B">
        <w:trPr>
          <w:trHeight w:val="495"/>
        </w:trPr>
        <w:tc>
          <w:tcPr>
            <w:tcW w:w="911" w:type="pct"/>
            <w:tcBorders>
              <w:bottom w:val="single" w:sz="4" w:space="0" w:color="auto"/>
            </w:tcBorders>
            <w:vAlign w:val="center"/>
          </w:tcPr>
          <w:p w14:paraId="67CD8AE0" w14:textId="77777777" w:rsidR="00175716" w:rsidRPr="0069762B" w:rsidRDefault="00175716" w:rsidP="00B5442B">
            <w:pPr>
              <w:contextualSpacing/>
              <w:rPr>
                <w:rFonts w:cs="Times New Roman"/>
                <w:sz w:val="20"/>
                <w:szCs w:val="20"/>
              </w:rPr>
            </w:pPr>
            <w:r w:rsidRPr="0069762B">
              <w:rPr>
                <w:rFonts w:cs="Times New Roman"/>
                <w:sz w:val="20"/>
                <w:szCs w:val="20"/>
              </w:rPr>
              <w:t xml:space="preserve">Network Geometry </w:t>
            </w:r>
            <m:oMath>
              <m:sSub>
                <m:sSubPr>
                  <m:ctrlPr>
                    <w:rPr>
                      <w:rFonts w:ascii="Cambria Math" w:hAnsi="Cambria Math" w:cs="Times New Roman"/>
                      <w:iCs/>
                      <w:sz w:val="20"/>
                      <w:szCs w:val="20"/>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oMath>
          </w:p>
        </w:tc>
        <w:tc>
          <w:tcPr>
            <w:tcW w:w="662" w:type="pct"/>
            <w:tcBorders>
              <w:bottom w:val="single" w:sz="4" w:space="0" w:color="auto"/>
            </w:tcBorders>
            <w:vAlign w:val="center"/>
          </w:tcPr>
          <w:p w14:paraId="5355AFD4" w14:textId="77777777" w:rsidR="00175716" w:rsidRPr="0069762B" w:rsidRDefault="00175716" w:rsidP="00B5442B">
            <w:pPr>
              <w:contextualSpacing/>
              <w:rPr>
                <w:rFonts w:cs="Times New Roman"/>
                <w:sz w:val="20"/>
                <w:szCs w:val="20"/>
              </w:rPr>
            </w:pPr>
            <w:r w:rsidRPr="0069762B">
              <w:rPr>
                <w:rFonts w:cs="Times New Roman"/>
                <w:color w:val="000000"/>
                <w:sz w:val="20"/>
                <w:szCs w:val="20"/>
              </w:rPr>
              <w:t xml:space="preserve">Basin Slope </w:t>
            </w:r>
            <m:oMath>
              <m:r>
                <w:rPr>
                  <w:rFonts w:ascii="Cambria Math" w:hAnsi="Cambria Math" w:cs="Times New Roman"/>
                  <w:color w:val="000000"/>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β</m:t>
                  </m:r>
                </m:e>
                <m:sub>
                  <m:r>
                    <w:rPr>
                      <w:rFonts w:ascii="Cambria Math" w:hAnsi="Cambria Math" w:cs="Times New Roman"/>
                      <w:sz w:val="20"/>
                      <w:szCs w:val="20"/>
                    </w:rPr>
                    <m:t>S</m:t>
                  </m:r>
                </m:sub>
              </m:sSub>
              <m:r>
                <w:rPr>
                  <w:rFonts w:ascii="Cambria Math" w:hAnsi="Cambria Math" w:cs="Times New Roman"/>
                  <w:sz w:val="20"/>
                  <w:szCs w:val="20"/>
                </w:rPr>
                <m:t>)</m:t>
              </m:r>
            </m:oMath>
          </w:p>
        </w:tc>
        <w:tc>
          <w:tcPr>
            <w:tcW w:w="583" w:type="pct"/>
            <w:tcBorders>
              <w:bottom w:val="single" w:sz="4" w:space="0" w:color="auto"/>
            </w:tcBorders>
            <w:vAlign w:val="center"/>
          </w:tcPr>
          <w:p w14:paraId="19474CE8" w14:textId="77777777" w:rsidR="00175716" w:rsidRPr="0069762B" w:rsidRDefault="00175716" w:rsidP="00B5442B">
            <w:pPr>
              <w:contextualSpacing/>
              <w:rPr>
                <w:rFonts w:eastAsiaTheme="minorEastAsia" w:cs="Times New Roman"/>
                <w:color w:val="000000"/>
                <w:sz w:val="20"/>
                <w:szCs w:val="20"/>
              </w:rPr>
            </w:pPr>
            <w:r w:rsidRPr="0069762B">
              <w:rPr>
                <w:rFonts w:cs="Times New Roman"/>
                <w:color w:val="000000"/>
                <w:sz w:val="20"/>
                <w:szCs w:val="20"/>
              </w:rPr>
              <w:t>Runoff</w:t>
            </w:r>
          </w:p>
          <w:p w14:paraId="5F5E218B" w14:textId="77777777" w:rsidR="00175716" w:rsidRPr="0069762B" w:rsidRDefault="00175716" w:rsidP="00B5442B">
            <w:pPr>
              <w:contextualSpacing/>
              <w:rPr>
                <w:rFonts w:cs="Times New Roman"/>
                <w:sz w:val="20"/>
                <w:szCs w:val="20"/>
              </w:rPr>
            </w:pPr>
            <m:oMath>
              <m:r>
                <w:rPr>
                  <w:rFonts w:ascii="Cambria Math" w:hAnsi="Cambria Math" w:cs="Times New Roman"/>
                  <w:color w:val="000000"/>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β</m:t>
                  </m:r>
                </m:e>
                <m:sub>
                  <m:r>
                    <w:rPr>
                      <w:rFonts w:ascii="Cambria Math" w:hAnsi="Cambria Math" w:cs="Times New Roman"/>
                      <w:sz w:val="20"/>
                      <w:szCs w:val="20"/>
                    </w:rPr>
                    <m:t>R </m:t>
                  </m:r>
                </m:sub>
              </m:sSub>
            </m:oMath>
            <w:r w:rsidRPr="0069762B">
              <w:rPr>
                <w:rFonts w:eastAsiaTheme="minorEastAsia" w:cs="Times New Roman"/>
                <w:sz w:val="20"/>
                <w:szCs w:val="20"/>
              </w:rPr>
              <w:t>)</w:t>
            </w:r>
          </w:p>
        </w:tc>
        <w:tc>
          <w:tcPr>
            <w:tcW w:w="765" w:type="pct"/>
            <w:tcBorders>
              <w:bottom w:val="single" w:sz="4" w:space="0" w:color="auto"/>
            </w:tcBorders>
            <w:vAlign w:val="center"/>
          </w:tcPr>
          <w:p w14:paraId="3939B35A" w14:textId="77777777" w:rsidR="00175716" w:rsidRPr="0069762B" w:rsidRDefault="00175716" w:rsidP="00B5442B">
            <w:pPr>
              <w:contextualSpacing/>
              <w:rPr>
                <w:rFonts w:cs="Times New Roman"/>
                <w:sz w:val="20"/>
                <w:szCs w:val="20"/>
              </w:rPr>
            </w:pPr>
            <w:proofErr w:type="spellStart"/>
            <w:r w:rsidRPr="0069762B">
              <w:rPr>
                <w:rFonts w:cs="Times New Roman"/>
                <w:color w:val="000000"/>
                <w:sz w:val="20"/>
                <w:szCs w:val="20"/>
              </w:rPr>
              <w:t>Erodibility</w:t>
            </w:r>
            <w:proofErr w:type="spellEnd"/>
            <w:r w:rsidRPr="0069762B">
              <w:rPr>
                <w:rFonts w:cs="Times New Roman"/>
                <w:color w:val="000000"/>
                <w:sz w:val="20"/>
                <w:szCs w:val="20"/>
              </w:rPr>
              <w:t xml:space="preserve"> </w:t>
            </w:r>
            <m:oMath>
              <m:r>
                <w:rPr>
                  <w:rFonts w:ascii="Cambria Math" w:hAnsi="Cambria Math" w:cs="Times New Roman"/>
                  <w:color w:val="000000"/>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β</m:t>
                  </m:r>
                </m:e>
                <m:sub>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w</m:t>
                      </m:r>
                    </m:sub>
                  </m:sSub>
                  <m:r>
                    <w:rPr>
                      <w:rFonts w:ascii="Cambria Math" w:hAnsi="Cambria Math" w:cs="Times New Roman"/>
                      <w:sz w:val="20"/>
                      <w:szCs w:val="20"/>
                    </w:rPr>
                    <m:t> </m:t>
                  </m:r>
                </m:sub>
              </m:sSub>
              <m:r>
                <w:rPr>
                  <w:rFonts w:ascii="Cambria Math" w:hAnsi="Cambria Math" w:cs="Times New Roman"/>
                  <w:sz w:val="20"/>
                  <w:szCs w:val="20"/>
                </w:rPr>
                <m:t>)</m:t>
              </m:r>
            </m:oMath>
          </w:p>
        </w:tc>
        <w:tc>
          <w:tcPr>
            <w:tcW w:w="724" w:type="pct"/>
            <w:tcBorders>
              <w:bottom w:val="single" w:sz="4" w:space="0" w:color="auto"/>
            </w:tcBorders>
            <w:vAlign w:val="center"/>
          </w:tcPr>
          <w:p w14:paraId="75A26613" w14:textId="77777777" w:rsidR="00175716" w:rsidRPr="0069762B" w:rsidRDefault="00175716" w:rsidP="00B5442B">
            <w:pPr>
              <w:contextualSpacing/>
              <w:rPr>
                <w:rFonts w:cs="Times New Roman"/>
                <w:sz w:val="20"/>
                <w:szCs w:val="20"/>
              </w:rPr>
            </w:pPr>
            <w:r w:rsidRPr="0069762B">
              <w:rPr>
                <w:rFonts w:cs="Times New Roman"/>
                <w:color w:val="000000"/>
                <w:sz w:val="20"/>
                <w:szCs w:val="20"/>
              </w:rPr>
              <w:t>Bare Ground</w:t>
            </w:r>
            <w:r w:rsidRPr="0069762B">
              <w:rPr>
                <w:rFonts w:eastAsiaTheme="minorEastAsia" w:cs="Times New Roman"/>
                <w:color w:val="000000"/>
                <w:sz w:val="20"/>
                <w:szCs w:val="20"/>
              </w:rPr>
              <w:t xml:space="preserve"> </w:t>
            </w:r>
            <m:oMath>
              <m:r>
                <w:rPr>
                  <w:rFonts w:ascii="Cambria Math" w:hAnsi="Cambria Math" w:cs="Times New Roman"/>
                  <w:color w:val="000000"/>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β</m:t>
                  </m:r>
                </m:e>
                <m:sub>
                  <m:r>
                    <w:rPr>
                      <w:rFonts w:ascii="Cambria Math" w:hAnsi="Cambria Math" w:cs="Times New Roman"/>
                      <w:sz w:val="20"/>
                      <w:szCs w:val="20"/>
                    </w:rPr>
                    <m:t>V</m:t>
                  </m:r>
                </m:sub>
              </m:sSub>
              <m:r>
                <w:rPr>
                  <w:rFonts w:ascii="Cambria Math" w:hAnsi="Cambria Math" w:cs="Times New Roman"/>
                  <w:sz w:val="20"/>
                  <w:szCs w:val="20"/>
                </w:rPr>
                <m:t>)</m:t>
              </m:r>
            </m:oMath>
          </w:p>
        </w:tc>
        <w:tc>
          <w:tcPr>
            <w:tcW w:w="528" w:type="pct"/>
            <w:tcBorders>
              <w:bottom w:val="single" w:sz="4" w:space="0" w:color="auto"/>
            </w:tcBorders>
            <w:vAlign w:val="center"/>
          </w:tcPr>
          <w:p w14:paraId="7232D3B2" w14:textId="77777777" w:rsidR="00175716" w:rsidRPr="0069762B" w:rsidRDefault="00175716" w:rsidP="00B5442B">
            <w:pPr>
              <w:contextualSpacing/>
              <w:rPr>
                <w:rFonts w:cs="Times New Roman"/>
                <w:sz w:val="20"/>
                <w:szCs w:val="20"/>
              </w:rPr>
            </w:pPr>
            <w:r w:rsidRPr="0069762B">
              <w:rPr>
                <w:rFonts w:cs="Times New Roman"/>
                <w:sz w:val="20"/>
                <w:szCs w:val="20"/>
              </w:rPr>
              <w:t>Sigma</w:t>
            </w:r>
          </w:p>
          <w:p w14:paraId="22F049FA" w14:textId="77777777" w:rsidR="00175716" w:rsidRPr="0069762B" w:rsidRDefault="00B5442B" w:rsidP="00B5442B">
            <w:pPr>
              <w:contextualSpacing/>
              <w:rPr>
                <w:rFonts w:cs="Times New Roman"/>
                <w:sz w:val="20"/>
                <w:szCs w:val="20"/>
              </w:rPr>
            </w:pPr>
            <m:oMathPara>
              <m:oMath>
                <m:sSub>
                  <m:sSubPr>
                    <m:ctrlPr>
                      <w:rPr>
                        <w:rFonts w:ascii="Cambria Math" w:hAnsi="Cambria Math" w:cs="Times New Roman"/>
                        <w:i/>
                        <w:iCs/>
                        <w:sz w:val="20"/>
                        <w:szCs w:val="20"/>
                      </w:rPr>
                    </m:ctrlPr>
                  </m:sSubPr>
                  <m:e>
                    <m:r>
                      <w:rPr>
                        <w:rFonts w:ascii="Cambria Math" w:hAnsi="Cambria Math" w:cs="Times New Roman"/>
                        <w:sz w:val="20"/>
                        <w:szCs w:val="20"/>
                      </w:rPr>
                      <m:t>(σ</m:t>
                    </m:r>
                  </m:e>
                  <m:sub>
                    <m:r>
                      <w:rPr>
                        <w:rFonts w:ascii="Cambria Math" w:hAnsi="Cambria Math" w:cs="Times New Roman"/>
                        <w:sz w:val="20"/>
                        <w:szCs w:val="20"/>
                      </w:rPr>
                      <m:t>i</m:t>
                    </m:r>
                  </m:sub>
                </m:sSub>
                <m:r>
                  <w:rPr>
                    <w:rFonts w:ascii="Cambria Math" w:hAnsi="Cambria Math" w:cs="Times New Roman"/>
                    <w:sz w:val="20"/>
                    <w:szCs w:val="20"/>
                  </w:rPr>
                  <m:t>)</m:t>
                </m:r>
              </m:oMath>
            </m:oMathPara>
          </w:p>
        </w:tc>
        <w:tc>
          <w:tcPr>
            <w:tcW w:w="302" w:type="pct"/>
            <w:tcBorders>
              <w:bottom w:val="single" w:sz="4" w:space="0" w:color="auto"/>
            </w:tcBorders>
            <w:vAlign w:val="center"/>
          </w:tcPr>
          <w:p w14:paraId="7752CE77" w14:textId="77777777" w:rsidR="00175716" w:rsidRPr="0069762B" w:rsidRDefault="00175716" w:rsidP="00B5442B">
            <w:pPr>
              <w:contextualSpacing/>
              <w:rPr>
                <w:rFonts w:cs="Times New Roman"/>
                <w:sz w:val="20"/>
                <w:szCs w:val="20"/>
              </w:rPr>
            </w:pPr>
            <w:r w:rsidRPr="0069762B">
              <w:rPr>
                <w:rFonts w:cs="Times New Roman"/>
                <w:sz w:val="20"/>
                <w:szCs w:val="20"/>
              </w:rPr>
              <w:t>R</w:t>
            </w:r>
            <w:r w:rsidRPr="0069762B">
              <w:rPr>
                <w:rFonts w:cs="Times New Roman"/>
                <w:sz w:val="20"/>
                <w:szCs w:val="20"/>
                <w:vertAlign w:val="superscript"/>
              </w:rPr>
              <w:t>2</w:t>
            </w:r>
          </w:p>
        </w:tc>
        <w:tc>
          <w:tcPr>
            <w:tcW w:w="525" w:type="pct"/>
            <w:tcBorders>
              <w:bottom w:val="single" w:sz="4" w:space="0" w:color="auto"/>
            </w:tcBorders>
            <w:vAlign w:val="center"/>
          </w:tcPr>
          <w:p w14:paraId="3EC7927B" w14:textId="77777777" w:rsidR="00175716" w:rsidRPr="0069762B" w:rsidRDefault="00175716" w:rsidP="00B5442B">
            <w:pPr>
              <w:contextualSpacing/>
              <w:rPr>
                <w:rFonts w:cs="Times New Roman"/>
                <w:sz w:val="20"/>
                <w:szCs w:val="20"/>
              </w:rPr>
            </w:pPr>
            <w:r w:rsidRPr="0069762B">
              <w:rPr>
                <w:rFonts w:cs="Times New Roman"/>
                <w:sz w:val="20"/>
                <w:szCs w:val="20"/>
              </w:rPr>
              <w:t>Mean (O/E)</w:t>
            </w:r>
          </w:p>
        </w:tc>
      </w:tr>
      <w:tr w:rsidR="00175716" w:rsidRPr="0069762B" w14:paraId="6E0CE75D" w14:textId="77777777" w:rsidTr="00D0469B">
        <w:trPr>
          <w:trHeight w:val="675"/>
        </w:trPr>
        <w:tc>
          <w:tcPr>
            <w:tcW w:w="911" w:type="pct"/>
            <w:tcBorders>
              <w:top w:val="single" w:sz="4" w:space="0" w:color="auto"/>
            </w:tcBorders>
            <w:vAlign w:val="center"/>
          </w:tcPr>
          <w:p w14:paraId="2B6A1C2E" w14:textId="77777777" w:rsidR="00175716" w:rsidRPr="0069762B" w:rsidRDefault="00175716" w:rsidP="00B5442B">
            <w:pPr>
              <w:contextualSpacing/>
              <w:rPr>
                <w:rFonts w:cs="Times New Roman"/>
                <w:sz w:val="20"/>
                <w:szCs w:val="20"/>
              </w:rPr>
            </w:pPr>
            <w:r w:rsidRPr="0069762B">
              <w:rPr>
                <w:rFonts w:cs="Times New Roman"/>
                <w:color w:val="000000"/>
                <w:sz w:val="20"/>
                <w:szCs w:val="20"/>
              </w:rPr>
              <w:t>(</w:t>
            </w:r>
            <m:oMath>
              <m:sSub>
                <m:sSubPr>
                  <m:ctrlPr>
                    <w:rPr>
                      <w:rFonts w:ascii="Cambria Math" w:eastAsia="Cambria Math" w:hAnsi="Cambria Math" w:cs="Times New Roman"/>
                      <w:i/>
                      <w:iCs/>
                      <w:color w:val="000000" w:themeColor="text1"/>
                      <w:kern w:val="24"/>
                      <w:sz w:val="20"/>
                      <w:szCs w:val="20"/>
                    </w:rPr>
                  </m:ctrlPr>
                </m:sSubPr>
                <m:e>
                  <m:r>
                    <w:rPr>
                      <w:rFonts w:ascii="Cambria Math" w:eastAsia="Cambria Math" w:hAnsi="Cambria Math" w:cs="Times New Roman"/>
                      <w:color w:val="000000" w:themeColor="text1"/>
                      <w:kern w:val="24"/>
                      <w:sz w:val="20"/>
                      <w:szCs w:val="20"/>
                    </w:rPr>
                    <m:t>D</m:t>
                  </m:r>
                </m:e>
                <m:sub>
                  <m:r>
                    <w:rPr>
                      <w:rFonts w:ascii="Cambria Math" w:eastAsia="Cambria Math" w:hAnsi="Cambria Math" w:cs="Times New Roman"/>
                      <w:color w:val="000000" w:themeColor="text1"/>
                      <w:kern w:val="24"/>
                      <w:sz w:val="20"/>
                      <w:szCs w:val="20"/>
                    </w:rPr>
                    <m:t>d</m:t>
                  </m:r>
                </m:sub>
              </m:sSub>
            </m:oMath>
            <w:r w:rsidRPr="0069762B">
              <w:rPr>
                <w:rFonts w:cs="Times New Roman"/>
                <w:color w:val="000000"/>
                <w:sz w:val="20"/>
                <w:szCs w:val="20"/>
              </w:rPr>
              <w:t>)</w:t>
            </w:r>
          </w:p>
        </w:tc>
        <w:tc>
          <w:tcPr>
            <w:tcW w:w="662" w:type="pct"/>
            <w:tcBorders>
              <w:top w:val="single" w:sz="4" w:space="0" w:color="auto"/>
            </w:tcBorders>
            <w:vAlign w:val="center"/>
          </w:tcPr>
          <w:p w14:paraId="20C7CD08"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0.08</w:t>
            </w:r>
          </w:p>
          <w:p w14:paraId="2C1167DA"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(0.06, 0.11)</w:t>
            </w:r>
          </w:p>
        </w:tc>
        <w:tc>
          <w:tcPr>
            <w:tcW w:w="583" w:type="pct"/>
            <w:tcBorders>
              <w:top w:val="single" w:sz="4" w:space="0" w:color="auto"/>
            </w:tcBorders>
            <w:vAlign w:val="center"/>
          </w:tcPr>
          <w:p w14:paraId="32C9D5A9"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0.22</w:t>
            </w:r>
          </w:p>
          <w:p w14:paraId="04168878"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(0.17, 0.26)</w:t>
            </w:r>
          </w:p>
        </w:tc>
        <w:tc>
          <w:tcPr>
            <w:tcW w:w="765" w:type="pct"/>
            <w:tcBorders>
              <w:top w:val="single" w:sz="4" w:space="0" w:color="auto"/>
            </w:tcBorders>
            <w:vAlign w:val="center"/>
          </w:tcPr>
          <w:p w14:paraId="6F7E0F6D"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0.07</w:t>
            </w:r>
          </w:p>
          <w:p w14:paraId="5222AC67"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(0.06, 0.09)</w:t>
            </w:r>
          </w:p>
        </w:tc>
        <w:tc>
          <w:tcPr>
            <w:tcW w:w="724" w:type="pct"/>
            <w:tcBorders>
              <w:top w:val="single" w:sz="4" w:space="0" w:color="auto"/>
            </w:tcBorders>
            <w:vAlign w:val="center"/>
          </w:tcPr>
          <w:p w14:paraId="173CC329"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-0.02</w:t>
            </w:r>
          </w:p>
          <w:p w14:paraId="5A4AA8AF" w14:textId="77777777" w:rsidR="00D0469B" w:rsidRDefault="00175716" w:rsidP="00B5442B">
            <w:pPr>
              <w:contextualSpacing/>
              <w:rPr>
                <w:rFonts w:cs="Times New Roman"/>
                <w:color w:val="000000"/>
                <w:sz w:val="20"/>
                <w:szCs w:val="20"/>
              </w:rPr>
            </w:pPr>
            <w:r w:rsidRPr="0069762B">
              <w:rPr>
                <w:rFonts w:cs="Times New Roman"/>
                <w:color w:val="000000"/>
                <w:sz w:val="20"/>
                <w:szCs w:val="20"/>
              </w:rPr>
              <w:t xml:space="preserve">(-0.03, </w:t>
            </w:r>
          </w:p>
          <w:p w14:paraId="1117CA46" w14:textId="71F18A11"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-0.01)</w:t>
            </w:r>
          </w:p>
        </w:tc>
        <w:tc>
          <w:tcPr>
            <w:tcW w:w="528" w:type="pct"/>
            <w:tcBorders>
              <w:top w:val="single" w:sz="4" w:space="0" w:color="auto"/>
            </w:tcBorders>
            <w:vAlign w:val="center"/>
          </w:tcPr>
          <w:p w14:paraId="58B792C1"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0.21</w:t>
            </w:r>
          </w:p>
          <w:p w14:paraId="1585E037" w14:textId="77777777" w:rsidR="00175716" w:rsidRPr="0069762B" w:rsidRDefault="00175716" w:rsidP="00B5442B">
            <w:pPr>
              <w:contextualSpacing/>
              <w:rPr>
                <w:rFonts w:cs="Times New Roman"/>
                <w:sz w:val="20"/>
                <w:szCs w:val="20"/>
              </w:rPr>
            </w:pPr>
            <w:r w:rsidRPr="0069762B">
              <w:rPr>
                <w:rFonts w:cs="Times New Roman"/>
                <w:color w:val="000000"/>
                <w:sz w:val="20"/>
                <w:szCs w:val="20"/>
              </w:rPr>
              <w:t>(0.2, 0.22)</w:t>
            </w:r>
          </w:p>
        </w:tc>
        <w:tc>
          <w:tcPr>
            <w:tcW w:w="302" w:type="pct"/>
            <w:tcBorders>
              <w:top w:val="single" w:sz="4" w:space="0" w:color="auto"/>
            </w:tcBorders>
            <w:vAlign w:val="center"/>
          </w:tcPr>
          <w:p w14:paraId="4BF75940"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0.44</w:t>
            </w:r>
          </w:p>
        </w:tc>
        <w:tc>
          <w:tcPr>
            <w:tcW w:w="525" w:type="pct"/>
            <w:tcBorders>
              <w:top w:val="single" w:sz="4" w:space="0" w:color="auto"/>
            </w:tcBorders>
            <w:vAlign w:val="center"/>
          </w:tcPr>
          <w:p w14:paraId="6B27B9B9"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0.99</w:t>
            </w:r>
          </w:p>
        </w:tc>
      </w:tr>
      <w:tr w:rsidR="00175716" w:rsidRPr="0069762B" w14:paraId="666947BF" w14:textId="77777777" w:rsidTr="00D0469B">
        <w:trPr>
          <w:trHeight w:val="690"/>
        </w:trPr>
        <w:tc>
          <w:tcPr>
            <w:tcW w:w="911" w:type="pct"/>
            <w:vAlign w:val="center"/>
          </w:tcPr>
          <w:p w14:paraId="0014D00D" w14:textId="77777777" w:rsidR="00175716" w:rsidRPr="0069762B" w:rsidRDefault="00175716" w:rsidP="00B5442B">
            <w:pPr>
              <w:contextualSpacing/>
              <w:rPr>
                <w:rFonts w:cs="Times New Roman"/>
                <w:sz w:val="20"/>
                <w:szCs w:val="20"/>
              </w:rPr>
            </w:pPr>
            <w:r w:rsidRPr="0069762B">
              <w:rPr>
                <w:rFonts w:cs="Times New Roman"/>
                <w:color w:val="000000"/>
                <w:sz w:val="20"/>
                <w:szCs w:val="20"/>
              </w:rPr>
              <w:t xml:space="preserve">Log </w:t>
            </w:r>
            <m:oMath>
              <m:r>
                <w:rPr>
                  <w:rFonts w:ascii="Cambria Math" w:hAnsi="Cambria Math" w:cs="Times New Roman"/>
                  <w:color w:val="000000"/>
                  <w:sz w:val="20"/>
                  <w:szCs w:val="20"/>
                </w:rPr>
                <m:t>(</m:t>
              </m:r>
              <m:r>
                <w:rPr>
                  <w:rFonts w:ascii="Cambria Math" w:eastAsia="Cambria Math" w:hAnsi="Cambria Math" w:cs="Times New Roman"/>
                  <w:color w:val="000000" w:themeColor="text1"/>
                  <w:kern w:val="24"/>
                  <w:sz w:val="20"/>
                  <w:szCs w:val="20"/>
                </w:rPr>
                <m:t>λ)</m:t>
              </m:r>
            </m:oMath>
          </w:p>
        </w:tc>
        <w:tc>
          <w:tcPr>
            <w:tcW w:w="662" w:type="pct"/>
            <w:vAlign w:val="center"/>
          </w:tcPr>
          <w:p w14:paraId="397E408A"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-0.03</w:t>
            </w:r>
          </w:p>
          <w:p w14:paraId="5F9986B7" w14:textId="77777777" w:rsidR="00D0469B" w:rsidRDefault="00175716" w:rsidP="00B5442B">
            <w:pPr>
              <w:contextualSpacing/>
              <w:rPr>
                <w:rFonts w:cs="Times New Roman"/>
                <w:color w:val="000000"/>
                <w:sz w:val="20"/>
                <w:szCs w:val="20"/>
              </w:rPr>
            </w:pPr>
            <w:r w:rsidRPr="0069762B">
              <w:rPr>
                <w:rFonts w:cs="Times New Roman"/>
                <w:color w:val="000000"/>
                <w:sz w:val="20"/>
                <w:szCs w:val="20"/>
              </w:rPr>
              <w:t xml:space="preserve">(-0.04, </w:t>
            </w:r>
          </w:p>
          <w:p w14:paraId="3B7EC25B" w14:textId="31B749DE"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-0.02)</w:t>
            </w:r>
          </w:p>
        </w:tc>
        <w:tc>
          <w:tcPr>
            <w:tcW w:w="583" w:type="pct"/>
            <w:vAlign w:val="center"/>
          </w:tcPr>
          <w:p w14:paraId="08F2E478"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-0.03</w:t>
            </w:r>
          </w:p>
          <w:p w14:paraId="6933870A"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(-0.04, -0.02)</w:t>
            </w:r>
          </w:p>
        </w:tc>
        <w:tc>
          <w:tcPr>
            <w:tcW w:w="765" w:type="pct"/>
            <w:vAlign w:val="center"/>
          </w:tcPr>
          <w:p w14:paraId="78D0745A" w14:textId="77777777" w:rsidR="00175716" w:rsidRPr="0069762B" w:rsidRDefault="00175716" w:rsidP="00B5442B">
            <w:pPr>
              <w:contextualSpacing/>
              <w:rPr>
                <w:rFonts w:cs="Times New Roman"/>
                <w:sz w:val="20"/>
                <w:szCs w:val="20"/>
              </w:rPr>
            </w:pPr>
          </w:p>
        </w:tc>
        <w:tc>
          <w:tcPr>
            <w:tcW w:w="724" w:type="pct"/>
            <w:vAlign w:val="center"/>
          </w:tcPr>
          <w:p w14:paraId="700CAC36" w14:textId="77777777" w:rsidR="00175716" w:rsidRPr="0069762B" w:rsidRDefault="00175716" w:rsidP="00B5442B">
            <w:pPr>
              <w:contextualSpacing/>
              <w:rPr>
                <w:rFonts w:cs="Times New Roman"/>
                <w:sz w:val="20"/>
                <w:szCs w:val="20"/>
              </w:rPr>
            </w:pPr>
          </w:p>
        </w:tc>
        <w:tc>
          <w:tcPr>
            <w:tcW w:w="528" w:type="pct"/>
            <w:vAlign w:val="center"/>
          </w:tcPr>
          <w:p w14:paraId="313775D9"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0.55</w:t>
            </w:r>
          </w:p>
          <w:p w14:paraId="37B0E4C4" w14:textId="77777777" w:rsidR="00175716" w:rsidRPr="0069762B" w:rsidRDefault="00175716" w:rsidP="00B5442B">
            <w:pPr>
              <w:contextualSpacing/>
              <w:rPr>
                <w:rFonts w:cs="Times New Roman"/>
                <w:sz w:val="20"/>
                <w:szCs w:val="20"/>
              </w:rPr>
            </w:pPr>
            <w:r w:rsidRPr="0069762B">
              <w:rPr>
                <w:rFonts w:cs="Times New Roman"/>
                <w:color w:val="000000"/>
                <w:sz w:val="20"/>
                <w:szCs w:val="20"/>
              </w:rPr>
              <w:t>(0.52, 0.57)</w:t>
            </w:r>
          </w:p>
        </w:tc>
        <w:tc>
          <w:tcPr>
            <w:tcW w:w="302" w:type="pct"/>
            <w:vAlign w:val="center"/>
          </w:tcPr>
          <w:p w14:paraId="1845125D"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0.45</w:t>
            </w:r>
          </w:p>
        </w:tc>
        <w:tc>
          <w:tcPr>
            <w:tcW w:w="525" w:type="pct"/>
            <w:vAlign w:val="center"/>
          </w:tcPr>
          <w:p w14:paraId="2CDE477D"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0.30</w:t>
            </w:r>
          </w:p>
        </w:tc>
      </w:tr>
      <w:tr w:rsidR="00175716" w:rsidRPr="0069762B" w14:paraId="65707E23" w14:textId="77777777" w:rsidTr="00D0469B">
        <w:trPr>
          <w:trHeight w:val="690"/>
        </w:trPr>
        <w:tc>
          <w:tcPr>
            <w:tcW w:w="911" w:type="pct"/>
            <w:vAlign w:val="center"/>
          </w:tcPr>
          <w:p w14:paraId="6FF25335" w14:textId="77777777" w:rsidR="00175716" w:rsidRPr="0069762B" w:rsidRDefault="00175716" w:rsidP="00B5442B">
            <w:pPr>
              <w:contextualSpacing/>
              <w:rPr>
                <w:rFonts w:cs="Times New Roman"/>
                <w:sz w:val="20"/>
                <w:szCs w:val="20"/>
              </w:rPr>
            </w:pPr>
            <w:r w:rsidRPr="0069762B">
              <w:rPr>
                <w:rFonts w:cs="Times New Roman"/>
                <w:color w:val="000000"/>
                <w:sz w:val="20"/>
                <w:szCs w:val="20"/>
              </w:rPr>
              <w:t xml:space="preserve">Log </w:t>
            </w:r>
            <m:oMath>
              <m:r>
                <w:rPr>
                  <w:rFonts w:ascii="Cambria Math" w:hAnsi="Cambria Math" w:cs="Times New Roman"/>
                  <w:color w:val="000000"/>
                  <w:sz w:val="20"/>
                  <w:szCs w:val="20"/>
                </w:rPr>
                <m:t>(</m:t>
              </m:r>
              <m:r>
                <w:rPr>
                  <w:rFonts w:ascii="Cambria Math" w:eastAsia="Cambria Math" w:hAnsi="Cambria Math" w:cs="Times New Roman"/>
                  <w:color w:val="000000" w:themeColor="text1"/>
                  <w:kern w:val="24"/>
                  <w:sz w:val="20"/>
                  <w:szCs w:val="20"/>
                </w:rPr>
                <m:t>C)</m:t>
              </m:r>
            </m:oMath>
          </w:p>
        </w:tc>
        <w:tc>
          <w:tcPr>
            <w:tcW w:w="662" w:type="pct"/>
            <w:vAlign w:val="center"/>
          </w:tcPr>
          <w:p w14:paraId="3E6F1CE1"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0.3</w:t>
            </w:r>
          </w:p>
          <w:p w14:paraId="47B3AAB2"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(0.24, 0.35)</w:t>
            </w:r>
          </w:p>
        </w:tc>
        <w:tc>
          <w:tcPr>
            <w:tcW w:w="583" w:type="pct"/>
            <w:vAlign w:val="center"/>
          </w:tcPr>
          <w:p w14:paraId="52A84907"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-1.33</w:t>
            </w:r>
          </w:p>
          <w:p w14:paraId="1D066DA2"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(-1.45, -1.22)</w:t>
            </w:r>
          </w:p>
        </w:tc>
        <w:tc>
          <w:tcPr>
            <w:tcW w:w="765" w:type="pct"/>
            <w:vAlign w:val="center"/>
          </w:tcPr>
          <w:p w14:paraId="1AA89C65" w14:textId="77777777" w:rsidR="00175716" w:rsidRPr="0069762B" w:rsidRDefault="00175716" w:rsidP="00B5442B">
            <w:pPr>
              <w:contextualSpacing/>
              <w:rPr>
                <w:rFonts w:cs="Times New Roman"/>
                <w:sz w:val="20"/>
                <w:szCs w:val="20"/>
              </w:rPr>
            </w:pPr>
          </w:p>
        </w:tc>
        <w:tc>
          <w:tcPr>
            <w:tcW w:w="724" w:type="pct"/>
            <w:vAlign w:val="center"/>
          </w:tcPr>
          <w:p w14:paraId="51849F8A" w14:textId="77777777" w:rsidR="00175716" w:rsidRPr="0069762B" w:rsidRDefault="00175716" w:rsidP="00B5442B">
            <w:pPr>
              <w:contextualSpacing/>
              <w:rPr>
                <w:rFonts w:cs="Times New Roman"/>
                <w:sz w:val="20"/>
                <w:szCs w:val="20"/>
              </w:rPr>
            </w:pPr>
          </w:p>
        </w:tc>
        <w:tc>
          <w:tcPr>
            <w:tcW w:w="528" w:type="pct"/>
            <w:vAlign w:val="center"/>
          </w:tcPr>
          <w:p w14:paraId="67E94A98"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0.06</w:t>
            </w:r>
          </w:p>
          <w:p w14:paraId="7BDFA4C6" w14:textId="77777777" w:rsidR="00175716" w:rsidRPr="0069762B" w:rsidRDefault="00175716" w:rsidP="00B5442B">
            <w:pPr>
              <w:contextualSpacing/>
              <w:rPr>
                <w:rFonts w:cs="Times New Roman"/>
                <w:sz w:val="20"/>
                <w:szCs w:val="20"/>
              </w:rPr>
            </w:pPr>
            <w:r w:rsidRPr="0069762B">
              <w:rPr>
                <w:rFonts w:cs="Times New Roman"/>
                <w:color w:val="000000"/>
                <w:sz w:val="20"/>
                <w:szCs w:val="20"/>
              </w:rPr>
              <w:t>(0.06, 0.06)</w:t>
            </w:r>
          </w:p>
        </w:tc>
        <w:tc>
          <w:tcPr>
            <w:tcW w:w="302" w:type="pct"/>
            <w:vAlign w:val="center"/>
          </w:tcPr>
          <w:p w14:paraId="4DC12DED"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0.37</w:t>
            </w:r>
          </w:p>
        </w:tc>
        <w:tc>
          <w:tcPr>
            <w:tcW w:w="525" w:type="pct"/>
            <w:vAlign w:val="center"/>
          </w:tcPr>
          <w:p w14:paraId="070BA974"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0.63</w:t>
            </w:r>
          </w:p>
        </w:tc>
      </w:tr>
      <w:tr w:rsidR="00175716" w:rsidRPr="0069762B" w14:paraId="6B58B1B4" w14:textId="77777777" w:rsidTr="00D0469B">
        <w:trPr>
          <w:trHeight w:val="690"/>
        </w:trPr>
        <w:tc>
          <w:tcPr>
            <w:tcW w:w="911" w:type="pct"/>
            <w:vAlign w:val="center"/>
          </w:tcPr>
          <w:p w14:paraId="27A3EAFE" w14:textId="77777777" w:rsidR="00175716" w:rsidRPr="0069762B" w:rsidRDefault="00175716" w:rsidP="00B5442B">
            <w:pPr>
              <w:contextualSpacing/>
              <w:rPr>
                <w:rFonts w:cs="Times New Roman"/>
                <w:sz w:val="20"/>
                <w:szCs w:val="20"/>
              </w:rPr>
            </w:pPr>
            <w:r w:rsidRPr="0069762B">
              <w:rPr>
                <w:rFonts w:cs="Times New Roman"/>
                <w:color w:val="000000"/>
                <w:sz w:val="20"/>
                <w:szCs w:val="20"/>
              </w:rPr>
              <w:t xml:space="preserve">Log </w:t>
            </w:r>
            <m:oMath>
              <m:sSub>
                <m:sSubPr>
                  <m:ctrlPr>
                    <w:rPr>
                      <w:rFonts w:ascii="Cambria Math" w:eastAsia="Cambria Math" w:hAnsi="Cambria Math" w:cs="Times New Roman"/>
                      <w:i/>
                      <w:iCs/>
                      <w:color w:val="000000" w:themeColor="text1"/>
                      <w:kern w:val="24"/>
                      <w:sz w:val="20"/>
                      <w:szCs w:val="20"/>
                    </w:rPr>
                  </m:ctrlPr>
                </m:sSubPr>
                <m:e>
                  <m:r>
                    <w:rPr>
                      <w:rFonts w:ascii="Cambria Math" w:eastAsia="Cambria Math" w:hAnsi="Cambria Math" w:cs="Times New Roman"/>
                      <w:color w:val="000000" w:themeColor="text1"/>
                      <w:kern w:val="24"/>
                      <w:sz w:val="20"/>
                      <w:szCs w:val="20"/>
                    </w:rPr>
                    <m:t>(W</m:t>
                  </m:r>
                </m:e>
                <m:sub>
                  <m:r>
                    <w:rPr>
                      <w:rFonts w:ascii="Cambria Math" w:eastAsia="Cambria Math" w:hAnsi="Cambria Math" w:cs="Times New Roman"/>
                      <w:color w:val="000000" w:themeColor="text1"/>
                      <w:kern w:val="24"/>
                      <w:sz w:val="20"/>
                      <w:szCs w:val="20"/>
                    </w:rPr>
                    <m:t>b</m:t>
                  </m:r>
                </m:sub>
              </m:sSub>
              <m:r>
                <w:rPr>
                  <w:rFonts w:ascii="Cambria Math" w:eastAsia="Cambria Math" w:hAnsi="Cambria Math" w:cs="Times New Roman"/>
                  <w:color w:val="000000" w:themeColor="text1"/>
                  <w:kern w:val="24"/>
                  <w:sz w:val="20"/>
                  <w:szCs w:val="20"/>
                </w:rPr>
                <m:t>)</m:t>
              </m:r>
            </m:oMath>
          </w:p>
        </w:tc>
        <w:tc>
          <w:tcPr>
            <w:tcW w:w="662" w:type="pct"/>
            <w:vAlign w:val="center"/>
          </w:tcPr>
          <w:p w14:paraId="567AE9CA"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-0.07</w:t>
            </w:r>
          </w:p>
          <w:p w14:paraId="6FAB95BE" w14:textId="77777777" w:rsidR="00D0469B" w:rsidRDefault="00175716" w:rsidP="00B5442B">
            <w:pPr>
              <w:contextualSpacing/>
              <w:rPr>
                <w:rFonts w:cs="Times New Roman"/>
                <w:color w:val="000000"/>
                <w:sz w:val="20"/>
                <w:szCs w:val="20"/>
              </w:rPr>
            </w:pPr>
            <w:r w:rsidRPr="0069762B">
              <w:rPr>
                <w:rFonts w:cs="Times New Roman"/>
                <w:color w:val="000000"/>
                <w:sz w:val="20"/>
                <w:szCs w:val="20"/>
              </w:rPr>
              <w:t xml:space="preserve">(-0.09, </w:t>
            </w:r>
          </w:p>
          <w:p w14:paraId="4467CA37" w14:textId="72ACF122"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-0.04)</w:t>
            </w:r>
          </w:p>
        </w:tc>
        <w:tc>
          <w:tcPr>
            <w:tcW w:w="583" w:type="pct"/>
            <w:vAlign w:val="center"/>
          </w:tcPr>
          <w:p w14:paraId="5CC58608"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-0.05</w:t>
            </w:r>
          </w:p>
          <w:p w14:paraId="20B3C9E2"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(-0.11, 0.01)</w:t>
            </w:r>
          </w:p>
        </w:tc>
        <w:tc>
          <w:tcPr>
            <w:tcW w:w="765" w:type="pct"/>
            <w:vAlign w:val="center"/>
          </w:tcPr>
          <w:p w14:paraId="2C54A8F0"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-0.03</w:t>
            </w:r>
          </w:p>
          <w:p w14:paraId="57B695C3" w14:textId="77777777" w:rsidR="00D0469B" w:rsidRDefault="00175716" w:rsidP="00B5442B">
            <w:pPr>
              <w:contextualSpacing/>
              <w:rPr>
                <w:rFonts w:cs="Times New Roman"/>
                <w:color w:val="000000"/>
                <w:sz w:val="20"/>
                <w:szCs w:val="20"/>
              </w:rPr>
            </w:pPr>
            <w:r w:rsidRPr="0069762B">
              <w:rPr>
                <w:rFonts w:cs="Times New Roman"/>
                <w:color w:val="000000"/>
                <w:sz w:val="20"/>
                <w:szCs w:val="20"/>
              </w:rPr>
              <w:t xml:space="preserve">(-0.05, </w:t>
            </w:r>
          </w:p>
          <w:p w14:paraId="46E1BDC1" w14:textId="0A541BAE"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-0.01)</w:t>
            </w:r>
          </w:p>
        </w:tc>
        <w:tc>
          <w:tcPr>
            <w:tcW w:w="724" w:type="pct"/>
            <w:vAlign w:val="center"/>
          </w:tcPr>
          <w:p w14:paraId="5D39624A" w14:textId="77777777" w:rsidR="00175716" w:rsidRPr="0069762B" w:rsidRDefault="00175716" w:rsidP="00B5442B">
            <w:pPr>
              <w:contextualSpacing/>
              <w:rPr>
                <w:rFonts w:cs="Times New Roman"/>
                <w:sz w:val="20"/>
                <w:szCs w:val="20"/>
              </w:rPr>
            </w:pPr>
          </w:p>
        </w:tc>
        <w:tc>
          <w:tcPr>
            <w:tcW w:w="528" w:type="pct"/>
            <w:vAlign w:val="center"/>
          </w:tcPr>
          <w:p w14:paraId="7D7C8E2A"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0.26</w:t>
            </w:r>
          </w:p>
          <w:p w14:paraId="2E66E6EE" w14:textId="77777777" w:rsidR="00175716" w:rsidRPr="0069762B" w:rsidRDefault="00175716" w:rsidP="00B5442B">
            <w:pPr>
              <w:contextualSpacing/>
              <w:rPr>
                <w:rFonts w:cs="Times New Roman"/>
                <w:sz w:val="20"/>
                <w:szCs w:val="20"/>
              </w:rPr>
            </w:pPr>
            <w:r w:rsidRPr="0069762B">
              <w:rPr>
                <w:rFonts w:cs="Times New Roman"/>
                <w:color w:val="000000"/>
                <w:sz w:val="20"/>
                <w:szCs w:val="20"/>
              </w:rPr>
              <w:t>(0.25, 0.28)</w:t>
            </w:r>
          </w:p>
        </w:tc>
        <w:tc>
          <w:tcPr>
            <w:tcW w:w="302" w:type="pct"/>
            <w:vAlign w:val="center"/>
          </w:tcPr>
          <w:p w14:paraId="3CB61419"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0.26</w:t>
            </w:r>
          </w:p>
        </w:tc>
        <w:tc>
          <w:tcPr>
            <w:tcW w:w="525" w:type="pct"/>
            <w:vAlign w:val="center"/>
          </w:tcPr>
          <w:p w14:paraId="302DE28B" w14:textId="77777777" w:rsidR="00175716" w:rsidRPr="0069762B" w:rsidRDefault="00175716" w:rsidP="00B5442B">
            <w:pPr>
              <w:contextualSpacing/>
              <w:rPr>
                <w:rFonts w:cs="Times New Roman"/>
                <w:color w:val="000000"/>
                <w:sz w:val="20"/>
                <w:szCs w:val="20"/>
              </w:rPr>
            </w:pPr>
            <w:r w:rsidRPr="0069762B">
              <w:rPr>
                <w:rFonts w:cs="Times New Roman"/>
                <w:color w:val="000000"/>
                <w:sz w:val="20"/>
                <w:szCs w:val="20"/>
              </w:rPr>
              <w:t>0.84</w:t>
            </w:r>
          </w:p>
        </w:tc>
      </w:tr>
    </w:tbl>
    <w:p w14:paraId="44A643F8" w14:textId="77777777" w:rsidR="00175716" w:rsidRPr="00640B45" w:rsidRDefault="00175716" w:rsidP="00175716">
      <w:pPr>
        <w:spacing w:line="480" w:lineRule="auto"/>
        <w:contextualSpacing/>
        <w:rPr>
          <w:rFonts w:cs="Times New Roman"/>
          <w:szCs w:val="24"/>
        </w:rPr>
      </w:pPr>
    </w:p>
    <w:p w14:paraId="398A6B6B" w14:textId="77777777" w:rsidR="00175716" w:rsidRPr="00640B45" w:rsidRDefault="00175716" w:rsidP="00175716">
      <w:pPr>
        <w:spacing w:line="480" w:lineRule="auto"/>
        <w:contextualSpacing/>
        <w:rPr>
          <w:rFonts w:cs="Times New Roman"/>
          <w:szCs w:val="24"/>
        </w:rPr>
        <w:sectPr w:rsidR="00175716" w:rsidRPr="00640B45" w:rsidSect="00D0469B">
          <w:pgSz w:w="12240" w:h="15840"/>
          <w:pgMar w:top="1440" w:right="1440" w:bottom="1440" w:left="1440" w:header="720" w:footer="720" w:gutter="0"/>
          <w:cols w:space="720"/>
          <w:docGrid w:linePitch="360"/>
        </w:sectPr>
      </w:pPr>
    </w:p>
    <w:p w14:paraId="0F0788D7" w14:textId="155FE9C4" w:rsidR="004A70A1" w:rsidRDefault="004A70A1" w:rsidP="004A70A1">
      <w:pPr>
        <w:pStyle w:val="Caption"/>
      </w:pPr>
      <w:r>
        <w:lastRenderedPageBreak/>
        <w:t>Figure Captions</w:t>
      </w:r>
    </w:p>
    <w:p w14:paraId="706C6578" w14:textId="0F8429EF" w:rsidR="00175716" w:rsidRDefault="00175716" w:rsidP="00175716">
      <w:pPr>
        <w:spacing w:line="480" w:lineRule="auto"/>
        <w:contextualSpacing/>
        <w:rPr>
          <w:rFonts w:cs="Times New Roman"/>
          <w:szCs w:val="24"/>
        </w:rPr>
      </w:pPr>
      <w:r w:rsidRPr="00640B45">
        <w:rPr>
          <w:rFonts w:cs="Times New Roman"/>
          <w:szCs w:val="24"/>
        </w:rPr>
        <w:t xml:space="preserve">Figure </w:t>
      </w:r>
      <w:r>
        <w:rPr>
          <w:rFonts w:cs="Times New Roman"/>
          <w:szCs w:val="24"/>
        </w:rPr>
        <w:t>1.</w:t>
      </w:r>
      <w:r w:rsidRPr="00640B45">
        <w:rPr>
          <w:rFonts w:cs="Times New Roman"/>
          <w:szCs w:val="24"/>
        </w:rPr>
        <w:t xml:space="preserve"> NHDPlusV2 vector processing units (e.g. </w:t>
      </w:r>
      <w:r>
        <w:rPr>
          <w:rFonts w:cs="Times New Roman"/>
          <w:szCs w:val="24"/>
        </w:rPr>
        <w:t>H</w:t>
      </w:r>
      <w:r w:rsidRPr="00640B45">
        <w:rPr>
          <w:rFonts w:cs="Times New Roman"/>
          <w:szCs w:val="24"/>
        </w:rPr>
        <w:t>ydrologic</w:t>
      </w:r>
      <w:r>
        <w:rPr>
          <w:rFonts w:cs="Times New Roman"/>
          <w:szCs w:val="24"/>
        </w:rPr>
        <w:t xml:space="preserve"> Regions</w:t>
      </w:r>
      <w:r w:rsidRPr="00640B45">
        <w:rPr>
          <w:rFonts w:cs="Times New Roman"/>
          <w:szCs w:val="24"/>
        </w:rPr>
        <w:t xml:space="preserve">) for the contiguous US: 01 = Northeast, 02 = Mid-Atlantic, 03N = South Atlantic North, 03S = South Atlantic South, 03W = South Atlantic West; 04 = Great Lakes, 05 = Ohio, 06 = Tennessee, 07 = Upper Mississippi, 08 = Lower Mississippi, 09 = Souris-Red-Rainy, 10U = Upper Missouri, 10L = Lower Missouri, 11 = Arkansas- Red-White, 12 = Texas, 13 = Rio Grande, 14 = Upper Colorado, 15 = Lower Colorado, 16 = Great Basin, 17 = Pacific Northwest, 18 = California. Points are </w:t>
      </w:r>
      <w:r w:rsidR="00AB7646" w:rsidRPr="00640B45">
        <w:rPr>
          <w:rFonts w:cs="Times New Roman"/>
          <w:szCs w:val="24"/>
        </w:rPr>
        <w:t>randomly selected</w:t>
      </w:r>
      <w:r w:rsidRPr="00640B45">
        <w:rPr>
          <w:rFonts w:cs="Times New Roman"/>
          <w:szCs w:val="24"/>
        </w:rPr>
        <w:t xml:space="preserve"> fourth order river network</w:t>
      </w:r>
      <w:r>
        <w:rPr>
          <w:rFonts w:cs="Times New Roman"/>
          <w:szCs w:val="24"/>
        </w:rPr>
        <w:t>s</w:t>
      </w:r>
      <w:r w:rsidRPr="00640B45">
        <w:rPr>
          <w:rFonts w:cs="Times New Roman"/>
          <w:szCs w:val="24"/>
        </w:rPr>
        <w:t xml:space="preserve"> (N = 735</w:t>
      </w:r>
      <w:r>
        <w:rPr>
          <w:rFonts w:cs="Times New Roman"/>
          <w:szCs w:val="24"/>
        </w:rPr>
        <w:t>)</w:t>
      </w:r>
      <w:r w:rsidRPr="00640B45">
        <w:rPr>
          <w:rFonts w:cs="Times New Roman"/>
          <w:szCs w:val="24"/>
        </w:rPr>
        <w:t xml:space="preserve">. </w:t>
      </w:r>
    </w:p>
    <w:p w14:paraId="097DA6E1" w14:textId="77777777" w:rsidR="00175716" w:rsidRDefault="00175716" w:rsidP="00175716">
      <w:pPr>
        <w:spacing w:line="480" w:lineRule="auto"/>
        <w:contextualSpacing/>
        <w:rPr>
          <w:rFonts w:cs="Times New Roman"/>
          <w:szCs w:val="24"/>
        </w:rPr>
      </w:pPr>
    </w:p>
    <w:p w14:paraId="3477CA00" w14:textId="555CCD36" w:rsidR="00175716" w:rsidRPr="00640B45" w:rsidRDefault="00175716" w:rsidP="00175716">
      <w:pPr>
        <w:spacing w:line="480" w:lineRule="auto"/>
        <w:contextualSpacing/>
        <w:rPr>
          <w:rFonts w:cs="Times New Roman"/>
          <w:szCs w:val="24"/>
        </w:rPr>
      </w:pPr>
      <w:r>
        <w:rPr>
          <w:rFonts w:cs="Times New Roman"/>
          <w:szCs w:val="24"/>
        </w:rPr>
        <w:t xml:space="preserve">Figure 2. </w:t>
      </w:r>
      <w:r w:rsidRPr="00640B45">
        <w:rPr>
          <w:rFonts w:cs="Times New Roman"/>
          <w:szCs w:val="24"/>
        </w:rPr>
        <w:t>A)</w:t>
      </w:r>
      <w:r>
        <w:rPr>
          <w:rFonts w:cs="Times New Roman"/>
          <w:szCs w:val="24"/>
        </w:rPr>
        <w:t xml:space="preserve"> The spatial extent of an 8% stream signature and</w:t>
      </w:r>
      <w:r w:rsidRPr="00640B45">
        <w:rPr>
          <w:rFonts w:cs="Times New Roman"/>
          <w:szCs w:val="24"/>
        </w:rPr>
        <w:t xml:space="preserve"> </w:t>
      </w:r>
      <w:r>
        <w:rPr>
          <w:rFonts w:cs="Times New Roman"/>
          <w:szCs w:val="24"/>
        </w:rPr>
        <w:t>c</w:t>
      </w:r>
      <w:r w:rsidRPr="00640B45">
        <w:rPr>
          <w:rFonts w:cs="Times New Roman"/>
          <w:szCs w:val="24"/>
        </w:rPr>
        <w:t xml:space="preserve">omponents of stream network geometry. </w:t>
      </w:r>
      <w:r>
        <w:rPr>
          <w:rFonts w:cs="Times New Roman"/>
          <w:szCs w:val="24"/>
        </w:rPr>
        <w:t xml:space="preserve">B) </w:t>
      </w:r>
      <w:r w:rsidRPr="00640B45">
        <w:rPr>
          <w:rFonts w:cs="Times New Roman"/>
          <w:szCs w:val="24"/>
        </w:rPr>
        <w:t xml:space="preserve">The spatial distribution </w:t>
      </w:r>
      <w:r>
        <w:rPr>
          <w:rFonts w:cs="Times New Roman"/>
          <w:szCs w:val="24"/>
        </w:rPr>
        <w:t xml:space="preserve">resulting from stream network configuration </w:t>
      </w:r>
      <w:r w:rsidRPr="00640B45">
        <w:rPr>
          <w:rFonts w:cs="Times New Roman"/>
          <w:szCs w:val="24"/>
        </w:rPr>
        <w:t>within an 8% stream signature (1000m) buffer</w:t>
      </w:r>
      <w:r w:rsidR="00AB7646">
        <w:rPr>
          <w:rFonts w:cs="Times New Roman"/>
          <w:szCs w:val="24"/>
        </w:rPr>
        <w:t>. I</w:t>
      </w:r>
      <w:r w:rsidR="00AB7646" w:rsidRPr="00640B45">
        <w:rPr>
          <w:rFonts w:cs="Times New Roman"/>
          <w:szCs w:val="24"/>
        </w:rPr>
        <w:t>ncreasing shading intensity</w:t>
      </w:r>
      <w:r w:rsidR="00AB7646">
        <w:rPr>
          <w:rFonts w:cs="Times New Roman"/>
          <w:szCs w:val="24"/>
        </w:rPr>
        <w:t xml:space="preserve"> indicates overlapping stream signature values</w:t>
      </w:r>
      <w:r>
        <w:rPr>
          <w:rFonts w:cs="Times New Roman"/>
          <w:szCs w:val="24"/>
        </w:rPr>
        <w:t>. C) The difference</w:t>
      </w:r>
      <w:r w:rsidRPr="00640B45">
        <w:rPr>
          <w:rFonts w:cs="Times New Roman"/>
          <w:szCs w:val="24"/>
        </w:rPr>
        <w:t xml:space="preserve"> </w:t>
      </w:r>
      <w:r>
        <w:rPr>
          <w:rFonts w:cs="Times New Roman"/>
          <w:szCs w:val="24"/>
        </w:rPr>
        <w:t xml:space="preserve">in area </w:t>
      </w:r>
      <w:r w:rsidRPr="00640B45">
        <w:rPr>
          <w:rFonts w:cs="Times New Roman"/>
          <w:szCs w:val="24"/>
        </w:rPr>
        <w:t>between a stream signature buffer created around the reach</w:t>
      </w:r>
      <w:r>
        <w:rPr>
          <w:rFonts w:cs="Times New Roman"/>
          <w:szCs w:val="24"/>
        </w:rPr>
        <w:t xml:space="preserve"> (left)</w:t>
      </w:r>
      <w:r w:rsidRPr="00640B45">
        <w:rPr>
          <w:rFonts w:cs="Times New Roman"/>
          <w:szCs w:val="24"/>
        </w:rPr>
        <w:t xml:space="preserve"> and one created around a straight channel of equal length</w:t>
      </w:r>
      <w:r>
        <w:rPr>
          <w:rFonts w:cs="Times New Roman"/>
          <w:szCs w:val="24"/>
        </w:rPr>
        <w:t xml:space="preserve"> (right) is the area of overlapping stream signature</w:t>
      </w:r>
      <w:r w:rsidR="00AB7646">
        <w:rPr>
          <w:rFonts w:cs="Times New Roman"/>
          <w:szCs w:val="24"/>
        </w:rPr>
        <w:t xml:space="preserve"> caused by channel planform</w:t>
      </w:r>
      <w:r w:rsidRPr="00640B45">
        <w:rPr>
          <w:rFonts w:cs="Times New Roman"/>
          <w:szCs w:val="24"/>
        </w:rPr>
        <w:t xml:space="preserve">. </w:t>
      </w:r>
      <w:r>
        <w:rPr>
          <w:rFonts w:cs="Times New Roman"/>
          <w:szCs w:val="24"/>
        </w:rPr>
        <w:t>D) Inverse power function from</w:t>
      </w:r>
      <w:r w:rsidRPr="00640B45">
        <w:rPr>
          <w:rFonts w:cs="Times New Roman"/>
          <w:szCs w:val="24"/>
        </w:rPr>
        <w:fldChar w:fldCharType="begin" w:fldLock="1"/>
      </w:r>
      <w:r>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2014)","manualFormatting":" Muehlbauer et al. (2014)","plainTextFormattedCitation":"(Muehlbauer et al. 2014)","previouslyFormattedCitation":"(Muehlbauer et al. 2014)"},"properties":{"noteIndex":0},"schema":"https://github.com/citation-style-language/schema/raw/master/csl-citation.json"}</w:instrText>
      </w:r>
      <w:r w:rsidRPr="00640B45">
        <w:rPr>
          <w:rFonts w:cs="Times New Roman"/>
          <w:szCs w:val="24"/>
        </w:rPr>
        <w:fldChar w:fldCharType="separate"/>
      </w:r>
      <w:r w:rsidRPr="00640B45">
        <w:rPr>
          <w:rFonts w:cs="Times New Roman"/>
          <w:noProof/>
          <w:szCs w:val="24"/>
        </w:rPr>
        <w:t xml:space="preserve"> Muehlbauer et al. (2014)</w:t>
      </w:r>
      <w:r w:rsidRPr="00640B45">
        <w:rPr>
          <w:rFonts w:cs="Times New Roman"/>
          <w:szCs w:val="24"/>
        </w:rPr>
        <w:fldChar w:fldCharType="end"/>
      </w:r>
      <m:oMath>
        <m:r>
          <w:rPr>
            <w:rFonts w:ascii="Cambria Math" w:hAnsi="Cambria Math" w:cs="Times New Roman"/>
            <w:szCs w:val="24"/>
          </w:rPr>
          <m:t xml:space="preserve"> </m:t>
        </m:r>
      </m:oMath>
      <w:r w:rsidRPr="00640B45">
        <w:rPr>
          <w:rFonts w:cs="Times New Roman"/>
          <w:szCs w:val="24"/>
        </w:rPr>
        <w:t xml:space="preserve">used to calculate 34, 21, 13 and 8% stream signatures. The figure shows a third-order stream network for clarity while our analysis focused on fourth-order systems. </w:t>
      </w:r>
    </w:p>
    <w:p w14:paraId="728D27AE" w14:textId="77777777" w:rsidR="00175716" w:rsidRPr="00640B45" w:rsidRDefault="00175716" w:rsidP="00175716">
      <w:pPr>
        <w:spacing w:line="480" w:lineRule="auto"/>
        <w:contextualSpacing/>
        <w:rPr>
          <w:rFonts w:cs="Times New Roman"/>
          <w:szCs w:val="24"/>
        </w:rPr>
      </w:pPr>
      <w:r w:rsidRPr="00640B45">
        <w:rPr>
          <w:rFonts w:cs="Times New Roman"/>
          <w:szCs w:val="24"/>
        </w:rPr>
        <w:t xml:space="preserve"> </w:t>
      </w:r>
    </w:p>
    <w:p w14:paraId="2C383B91" w14:textId="46B69EFF" w:rsidR="00175716" w:rsidRDefault="00175716" w:rsidP="00175716">
      <w:pPr>
        <w:spacing w:line="480" w:lineRule="auto"/>
        <w:contextualSpacing/>
        <w:rPr>
          <w:rFonts w:cs="Times New Roman"/>
          <w:szCs w:val="24"/>
        </w:rPr>
      </w:pPr>
      <w:r>
        <w:rPr>
          <w:rFonts w:cs="Times New Roman"/>
          <w:szCs w:val="24"/>
        </w:rPr>
        <w:t xml:space="preserve">Figure 3. The proportion of the spatial extent consisting of overlapping stream signatures resulting from channel </w:t>
      </w:r>
      <w:r w:rsidR="00AB7646">
        <w:rPr>
          <w:rFonts w:cs="Times New Roman"/>
          <w:szCs w:val="24"/>
        </w:rPr>
        <w:t xml:space="preserve">planform </w:t>
      </w:r>
      <w:r>
        <w:rPr>
          <w:rFonts w:cs="Times New Roman"/>
          <w:szCs w:val="24"/>
        </w:rPr>
        <w:t xml:space="preserve">(Black) or network configuration (Gray) at different stream signature distances. 95% credible intervals are displayed over bars.   </w:t>
      </w:r>
    </w:p>
    <w:p w14:paraId="0451FF2C" w14:textId="77777777" w:rsidR="00175716" w:rsidRDefault="00175716" w:rsidP="00175716">
      <w:pPr>
        <w:spacing w:line="480" w:lineRule="auto"/>
        <w:contextualSpacing/>
        <w:rPr>
          <w:rFonts w:cs="Times New Roman"/>
          <w:szCs w:val="24"/>
        </w:rPr>
      </w:pPr>
    </w:p>
    <w:p w14:paraId="58B6F820" w14:textId="6CB03202" w:rsidR="00175716" w:rsidRDefault="00175716" w:rsidP="00175716">
      <w:pPr>
        <w:spacing w:line="480" w:lineRule="auto"/>
        <w:contextualSpacing/>
        <w:rPr>
          <w:rFonts w:cs="Times New Roman"/>
          <w:szCs w:val="24"/>
        </w:rPr>
      </w:pPr>
      <w:r>
        <w:rPr>
          <w:rFonts w:cs="Times New Roman"/>
          <w:szCs w:val="24"/>
        </w:rPr>
        <w:lastRenderedPageBreak/>
        <w:t>Figure 4.</w:t>
      </w:r>
      <w:r w:rsidR="00AB7646">
        <w:rPr>
          <w:rFonts w:cs="Times New Roman"/>
          <w:szCs w:val="24"/>
        </w:rPr>
        <w:t xml:space="preserve"> Regional variation in the spatial extent and distribution of aquatic insect resource subsidies</w:t>
      </w:r>
      <w:r w:rsidR="00937691">
        <w:rPr>
          <w:rFonts w:cs="Times New Roman"/>
          <w:szCs w:val="24"/>
        </w:rPr>
        <w:t xml:space="preserve"> at the 13% stream signature distance (100m)</w:t>
      </w:r>
      <w:r w:rsidR="00AB7646">
        <w:rPr>
          <w:rFonts w:cs="Times New Roman"/>
          <w:szCs w:val="24"/>
        </w:rPr>
        <w:t>.</w:t>
      </w:r>
      <w:r>
        <w:rPr>
          <w:rFonts w:cs="Times New Roman"/>
          <w:szCs w:val="24"/>
        </w:rPr>
        <w:t xml:space="preserve"> A) </w:t>
      </w:r>
      <w:r w:rsidR="00AB7646">
        <w:rPr>
          <w:rFonts w:cs="Times New Roman"/>
          <w:szCs w:val="24"/>
        </w:rPr>
        <w:t>shows the r</w:t>
      </w:r>
      <w:r>
        <w:rPr>
          <w:rFonts w:cs="Times New Roman"/>
          <w:szCs w:val="24"/>
        </w:rPr>
        <w:t>egional variability in the mean spatial extent</w:t>
      </w:r>
      <w:r w:rsidR="00AB7646">
        <w:rPr>
          <w:rFonts w:cs="Times New Roman"/>
          <w:szCs w:val="24"/>
        </w:rPr>
        <w:t>.</w:t>
      </w:r>
      <w:r>
        <w:rPr>
          <w:rFonts w:cs="Times New Roman"/>
          <w:szCs w:val="24"/>
        </w:rPr>
        <w:t xml:space="preserve"> B) </w:t>
      </w:r>
      <w:r w:rsidR="00AB7646">
        <w:rPr>
          <w:rFonts w:cs="Times New Roman"/>
          <w:szCs w:val="24"/>
        </w:rPr>
        <w:t xml:space="preserve">shows </w:t>
      </w:r>
      <w:r>
        <w:rPr>
          <w:rFonts w:cs="Times New Roman"/>
          <w:szCs w:val="24"/>
        </w:rPr>
        <w:t>area weighted stream signature</w:t>
      </w:r>
      <w:r w:rsidR="00AB7646">
        <w:rPr>
          <w:rFonts w:cs="Times New Roman"/>
          <w:szCs w:val="24"/>
        </w:rPr>
        <w:t xml:space="preserve">. C) shows </w:t>
      </w:r>
      <w:r>
        <w:rPr>
          <w:rFonts w:cs="Times New Roman"/>
          <w:szCs w:val="24"/>
        </w:rPr>
        <w:t xml:space="preserve">the </w:t>
      </w:r>
      <w:r w:rsidR="00AB7646">
        <w:rPr>
          <w:rFonts w:cs="Times New Roman"/>
          <w:szCs w:val="24"/>
        </w:rPr>
        <w:t xml:space="preserve">mean </w:t>
      </w:r>
      <w:r>
        <w:rPr>
          <w:rFonts w:cs="Times New Roman"/>
          <w:szCs w:val="24"/>
        </w:rPr>
        <w:t>proportion of</w:t>
      </w:r>
      <w:r w:rsidR="00AB7646">
        <w:rPr>
          <w:rFonts w:cs="Times New Roman"/>
          <w:szCs w:val="24"/>
        </w:rPr>
        <w:t xml:space="preserve"> the</w:t>
      </w:r>
      <w:r>
        <w:rPr>
          <w:rFonts w:cs="Times New Roman"/>
          <w:szCs w:val="24"/>
        </w:rPr>
        <w:t xml:space="preserve"> </w:t>
      </w:r>
      <w:r w:rsidR="00AB7646">
        <w:rPr>
          <w:rFonts w:cs="Times New Roman"/>
          <w:szCs w:val="24"/>
        </w:rPr>
        <w:t xml:space="preserve">spatial </w:t>
      </w:r>
      <w:r>
        <w:rPr>
          <w:rFonts w:cs="Times New Roman"/>
          <w:szCs w:val="24"/>
        </w:rPr>
        <w:t xml:space="preserve">extent </w:t>
      </w:r>
      <w:r w:rsidR="00AB7646">
        <w:rPr>
          <w:rFonts w:cs="Times New Roman"/>
          <w:szCs w:val="24"/>
        </w:rPr>
        <w:t xml:space="preserve">receiving aquatic insect subsidies form </w:t>
      </w:r>
      <w:r>
        <w:rPr>
          <w:rFonts w:cs="Times New Roman"/>
          <w:szCs w:val="24"/>
        </w:rPr>
        <w:t xml:space="preserve">multiple stream signatures </w:t>
      </w:r>
      <w:r w:rsidR="00937691">
        <w:rPr>
          <w:rFonts w:cs="Times New Roman"/>
          <w:szCs w:val="24"/>
        </w:rPr>
        <w:t>because of overlap at confluences and sub-basin divides. D) shows the mean proportion of the spatial extent receiving aquatic insect subsidies form multiple stream signatures because of overlap at meander bends.</w:t>
      </w:r>
      <w:r>
        <w:rPr>
          <w:rFonts w:cs="Times New Roman"/>
          <w:szCs w:val="24"/>
        </w:rPr>
        <w:t xml:space="preserve"> Circles represent the 95% credible interval</w:t>
      </w:r>
      <w:r w:rsidR="00937691">
        <w:rPr>
          <w:rFonts w:cs="Times New Roman"/>
          <w:szCs w:val="24"/>
        </w:rPr>
        <w:t xml:space="preserve"> range and</w:t>
      </w:r>
      <w:r>
        <w:rPr>
          <w:rFonts w:cs="Times New Roman"/>
          <w:szCs w:val="24"/>
        </w:rPr>
        <w:t xml:space="preserve"> </w:t>
      </w:r>
      <w:r w:rsidR="00937691">
        <w:rPr>
          <w:rFonts w:cs="Times New Roman"/>
          <w:szCs w:val="24"/>
        </w:rPr>
        <w:t xml:space="preserve">shading intensity reflects the </w:t>
      </w:r>
      <w:r>
        <w:rPr>
          <w:rFonts w:cs="Times New Roman"/>
          <w:szCs w:val="24"/>
        </w:rPr>
        <w:t xml:space="preserve">mean estimate for the hydrological region. </w:t>
      </w:r>
    </w:p>
    <w:p w14:paraId="7E59C5DA" w14:textId="77777777" w:rsidR="00175716" w:rsidRPr="00640B45" w:rsidRDefault="00175716" w:rsidP="00175716">
      <w:pPr>
        <w:spacing w:line="480" w:lineRule="auto"/>
        <w:contextualSpacing/>
        <w:rPr>
          <w:rFonts w:cs="Times New Roman"/>
          <w:szCs w:val="24"/>
        </w:rPr>
      </w:pPr>
    </w:p>
    <w:p w14:paraId="7FA59990" w14:textId="21C1FBBA" w:rsidR="00175716" w:rsidRDefault="00175716" w:rsidP="00175716">
      <w:pPr>
        <w:spacing w:line="480" w:lineRule="auto"/>
        <w:contextualSpacing/>
        <w:rPr>
          <w:rFonts w:cs="Times New Roman"/>
          <w:szCs w:val="24"/>
        </w:rPr>
      </w:pPr>
      <w:r w:rsidRPr="00640B45">
        <w:rPr>
          <w:rFonts w:cs="Times New Roman"/>
          <w:szCs w:val="24"/>
        </w:rPr>
        <w:t xml:space="preserve">Figure </w:t>
      </w:r>
      <w:r>
        <w:rPr>
          <w:rFonts w:cs="Times New Roman"/>
          <w:szCs w:val="24"/>
        </w:rPr>
        <w:t>5</w:t>
      </w:r>
      <w:r w:rsidR="00937691">
        <w:rPr>
          <w:rFonts w:cs="Times New Roman"/>
          <w:szCs w:val="24"/>
        </w:rPr>
        <w:t>.</w:t>
      </w:r>
      <w:r w:rsidRPr="00640B45">
        <w:rPr>
          <w:rFonts w:cs="Times New Roman"/>
          <w:szCs w:val="24"/>
        </w:rPr>
        <w:t xml:space="preserve"> </w:t>
      </w:r>
      <w:r w:rsidR="00937691">
        <w:rPr>
          <w:rFonts w:cs="Times New Roman"/>
          <w:szCs w:val="24"/>
        </w:rPr>
        <w:t>Regional variability in the components of stream network geometry</w:t>
      </w:r>
      <w:r w:rsidR="000B3C27">
        <w:rPr>
          <w:rFonts w:cs="Times New Roman"/>
          <w:szCs w:val="24"/>
        </w:rPr>
        <w:t xml:space="preserve"> shown as mean parameter estimates</w:t>
      </w:r>
      <w:r w:rsidR="00937691">
        <w:rPr>
          <w:rFonts w:cs="Times New Roman"/>
          <w:szCs w:val="24"/>
        </w:rPr>
        <w:t xml:space="preserve">. A) </w:t>
      </w:r>
      <w:r w:rsidR="000B3C27">
        <w:rPr>
          <w:rFonts w:cs="Times New Roman"/>
          <w:szCs w:val="24"/>
        </w:rPr>
        <w:t>mean drainage density, B) mean basin width, C) mean confluence number and D) mean sinuosity.  E) shows the mean effect of runoff on drainage density for each hydrologic region (VPU)</w:t>
      </w:r>
      <w:r w:rsidRPr="00640B45">
        <w:rPr>
          <w:rFonts w:cs="Times New Roman"/>
          <w:szCs w:val="24"/>
        </w:rPr>
        <w:t>. Estimates in panels B, C and D were natural log transformed</w:t>
      </w:r>
      <w:r w:rsidR="000B3C27">
        <w:rPr>
          <w:rFonts w:cs="Times New Roman"/>
          <w:szCs w:val="24"/>
        </w:rPr>
        <w:t xml:space="preserve"> and </w:t>
      </w:r>
      <w:r>
        <w:rPr>
          <w:rFonts w:cs="Times New Roman"/>
          <w:szCs w:val="24"/>
        </w:rPr>
        <w:t xml:space="preserve">unshaded </w:t>
      </w:r>
      <w:r w:rsidRPr="00640B45">
        <w:rPr>
          <w:rFonts w:cs="Times New Roman"/>
          <w:szCs w:val="24"/>
        </w:rPr>
        <w:t>VPUs</w:t>
      </w:r>
      <w:r w:rsidR="000B3C27">
        <w:rPr>
          <w:rFonts w:cs="Times New Roman"/>
          <w:szCs w:val="24"/>
        </w:rPr>
        <w:t xml:space="preserve"> in panel E</w:t>
      </w:r>
      <w:r w:rsidRPr="00640B45">
        <w:rPr>
          <w:rFonts w:cs="Times New Roman"/>
          <w:szCs w:val="24"/>
        </w:rPr>
        <w:t xml:space="preserve"> indicate</w:t>
      </w:r>
      <w:r w:rsidR="000B3C27">
        <w:rPr>
          <w:rFonts w:cs="Times New Roman"/>
          <w:szCs w:val="24"/>
        </w:rPr>
        <w:t xml:space="preserve"> that the</w:t>
      </w:r>
      <w:r w:rsidRPr="00640B45">
        <w:rPr>
          <w:rFonts w:cs="Times New Roman"/>
          <w:szCs w:val="24"/>
        </w:rPr>
        <w:t xml:space="preserve"> 90% creditab</w:t>
      </w:r>
      <w:r>
        <w:rPr>
          <w:rFonts w:cs="Times New Roman"/>
          <w:szCs w:val="24"/>
        </w:rPr>
        <w:t>le intervals overlap with zero</w:t>
      </w:r>
    </w:p>
    <w:p w14:paraId="3AE0667B" w14:textId="77777777" w:rsidR="006A50D1" w:rsidRDefault="006A50D1" w:rsidP="00175716">
      <w:pPr>
        <w:spacing w:line="480" w:lineRule="auto"/>
        <w:contextualSpacing/>
        <w:rPr>
          <w:rFonts w:cs="Times New Roman"/>
          <w:szCs w:val="24"/>
        </w:rPr>
      </w:pPr>
    </w:p>
    <w:p w14:paraId="34AD0466" w14:textId="77777777" w:rsidR="006A50D1" w:rsidRDefault="006A50D1" w:rsidP="00175716">
      <w:pPr>
        <w:spacing w:line="480" w:lineRule="auto"/>
        <w:contextualSpacing/>
        <w:rPr>
          <w:rFonts w:cs="Times New Roman"/>
          <w:szCs w:val="24"/>
        </w:rPr>
      </w:pPr>
    </w:p>
    <w:p w14:paraId="6D98B944" w14:textId="315FA682" w:rsidR="006A50D1" w:rsidRDefault="00937691" w:rsidP="006A50D1">
      <w:pPr>
        <w:spacing w:line="480" w:lineRule="auto"/>
        <w:contextualSpacing/>
        <w:jc w:val="center"/>
        <w:rPr>
          <w:rFonts w:cs="Times New Roman"/>
          <w:szCs w:val="24"/>
        </w:rPr>
      </w:pPr>
      <w:r>
        <w:rPr>
          <w:rFonts w:cs="Times New Roman"/>
          <w:noProof/>
          <w:szCs w:val="24"/>
        </w:rPr>
        <w:lastRenderedPageBreak/>
        <w:drawing>
          <wp:inline distT="0" distB="0" distL="0" distR="0" wp14:anchorId="654688B9" wp14:editId="2BFADD46">
            <wp:extent cx="4543425" cy="3145516"/>
            <wp:effectExtent l="0" t="0" r="0" b="0"/>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rotWithShape="1">
                    <a:blip r:embed="rId11" cstate="print">
                      <a:extLst>
                        <a:ext uri="{28A0092B-C50C-407E-A947-70E740481C1C}">
                          <a14:useLocalDpi xmlns:a14="http://schemas.microsoft.com/office/drawing/2010/main" val="0"/>
                        </a:ext>
                      </a:extLst>
                    </a:blip>
                    <a:srcRect l="3387" b="13443"/>
                    <a:stretch/>
                  </pic:blipFill>
                  <pic:spPr bwMode="auto">
                    <a:xfrm>
                      <a:off x="0" y="0"/>
                      <a:ext cx="4622787" cy="3200460"/>
                    </a:xfrm>
                    <a:prstGeom prst="rect">
                      <a:avLst/>
                    </a:prstGeom>
                    <a:ln>
                      <a:noFill/>
                    </a:ln>
                    <a:extLst>
                      <a:ext uri="{53640926-AAD7-44D8-BBD7-CCE9431645EC}">
                        <a14:shadowObscured xmlns:a14="http://schemas.microsoft.com/office/drawing/2010/main"/>
                      </a:ext>
                    </a:extLst>
                  </pic:spPr>
                </pic:pic>
              </a:graphicData>
            </a:graphic>
          </wp:inline>
        </w:drawing>
      </w:r>
    </w:p>
    <w:p w14:paraId="3D83A77D" w14:textId="1FD5CB2F" w:rsidR="006A50D1" w:rsidRDefault="004A70A1" w:rsidP="004A70A1">
      <w:pPr>
        <w:pStyle w:val="Caption"/>
        <w:rPr>
          <w:noProof/>
        </w:rPr>
      </w:pPr>
      <w:bookmarkStart w:id="16" w:name="_Toc60480643"/>
      <w:r>
        <w:t xml:space="preserve">Figure </w:t>
      </w:r>
      <w:fldSimple w:instr=" STYLEREF 1 \s ">
        <w:r w:rsidR="000C6138">
          <w:rPr>
            <w:noProof/>
          </w:rPr>
          <w:t>1</w:t>
        </w:r>
      </w:fldSimple>
      <w:r w:rsidR="004F311A">
        <w:t>.</w:t>
      </w:r>
      <w:fldSimple w:instr=" SEQ Figure \* ARABIC \s 1 ">
        <w:r w:rsidR="000C6138">
          <w:rPr>
            <w:noProof/>
          </w:rPr>
          <w:t>1</w:t>
        </w:r>
      </w:fldSimple>
      <w:bookmarkEnd w:id="16"/>
    </w:p>
    <w:p w14:paraId="0D3AFD3D" w14:textId="77777777" w:rsidR="00CC0475" w:rsidRPr="00CC0475" w:rsidRDefault="00CC0475" w:rsidP="00CC0475"/>
    <w:p w14:paraId="528E157C" w14:textId="2FDB223F" w:rsidR="006A50D1" w:rsidRDefault="00937691" w:rsidP="006A50D1">
      <w:pPr>
        <w:spacing w:line="480" w:lineRule="auto"/>
        <w:contextualSpacing/>
        <w:jc w:val="center"/>
        <w:rPr>
          <w:rFonts w:cs="Times New Roman"/>
          <w:szCs w:val="24"/>
        </w:rPr>
      </w:pPr>
      <w:r>
        <w:rPr>
          <w:rFonts w:cs="Times New Roman"/>
          <w:noProof/>
          <w:szCs w:val="24"/>
        </w:rPr>
        <w:lastRenderedPageBreak/>
        <w:drawing>
          <wp:inline distT="0" distB="0" distL="0" distR="0" wp14:anchorId="48E68787" wp14:editId="389ECB07">
            <wp:extent cx="4327451" cy="5363079"/>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2016" cy="5418309"/>
                    </a:xfrm>
                    <a:prstGeom prst="rect">
                      <a:avLst/>
                    </a:prstGeom>
                  </pic:spPr>
                </pic:pic>
              </a:graphicData>
            </a:graphic>
          </wp:inline>
        </w:drawing>
      </w:r>
    </w:p>
    <w:p w14:paraId="04BD8975" w14:textId="6DB4BBB6" w:rsidR="006A50D1" w:rsidRDefault="006A50D1" w:rsidP="006A50D1">
      <w:pPr>
        <w:pStyle w:val="Caption"/>
        <w:rPr>
          <w:rFonts w:cs="Times New Roman"/>
          <w:szCs w:val="24"/>
        </w:rPr>
      </w:pPr>
      <w:bookmarkStart w:id="17" w:name="_Toc60480644"/>
      <w:bookmarkStart w:id="18" w:name="_Toc60238570"/>
      <w:bookmarkStart w:id="19" w:name="_Toc60478060"/>
      <w:r>
        <w:t xml:space="preserve">Figure </w:t>
      </w:r>
      <w:fldSimple w:instr=" STYLEREF 1 \s ">
        <w:r w:rsidR="000C6138">
          <w:rPr>
            <w:noProof/>
          </w:rPr>
          <w:t>1</w:t>
        </w:r>
      </w:fldSimple>
      <w:r w:rsidR="004F311A">
        <w:t>.</w:t>
      </w:r>
      <w:fldSimple w:instr=" SEQ Figure \* ARABIC \s 1 ">
        <w:r w:rsidR="000C6138">
          <w:rPr>
            <w:noProof/>
          </w:rPr>
          <w:t>2</w:t>
        </w:r>
      </w:fldSimple>
      <w:bookmarkEnd w:id="17"/>
      <w:bookmarkEnd w:id="18"/>
      <w:bookmarkEnd w:id="19"/>
    </w:p>
    <w:p w14:paraId="62AD95D9" w14:textId="77777777" w:rsidR="006A50D1" w:rsidRDefault="00937691" w:rsidP="006A50D1">
      <w:pPr>
        <w:spacing w:line="480" w:lineRule="auto"/>
        <w:contextualSpacing/>
        <w:jc w:val="center"/>
      </w:pPr>
      <w:r>
        <w:rPr>
          <w:rFonts w:cs="Times New Roman"/>
          <w:noProof/>
          <w:szCs w:val="24"/>
        </w:rPr>
        <w:lastRenderedPageBreak/>
        <w:drawing>
          <wp:inline distT="0" distB="0" distL="0" distR="0" wp14:anchorId="2F0C0560" wp14:editId="3389C484">
            <wp:extent cx="3401888" cy="3157870"/>
            <wp:effectExtent l="0" t="0" r="8255" b="4445"/>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8607" cy="3182672"/>
                    </a:xfrm>
                    <a:prstGeom prst="rect">
                      <a:avLst/>
                    </a:prstGeom>
                  </pic:spPr>
                </pic:pic>
              </a:graphicData>
            </a:graphic>
          </wp:inline>
        </w:drawing>
      </w:r>
    </w:p>
    <w:p w14:paraId="5DA536D1" w14:textId="1CA0B8F6" w:rsidR="006A50D1" w:rsidRDefault="006A50D1" w:rsidP="006A50D1">
      <w:pPr>
        <w:spacing w:line="480" w:lineRule="auto"/>
        <w:contextualSpacing/>
        <w:rPr>
          <w:rFonts w:cs="Times New Roman"/>
          <w:szCs w:val="24"/>
        </w:rPr>
      </w:pPr>
      <w:bookmarkStart w:id="20" w:name="_Toc60480645"/>
      <w:bookmarkStart w:id="21" w:name="_Toc60238571"/>
      <w:bookmarkStart w:id="22" w:name="_Toc60478061"/>
      <w:r>
        <w:t xml:space="preserve">Figure </w:t>
      </w:r>
      <w:fldSimple w:instr=" STYLEREF 1 \s ">
        <w:r w:rsidR="000C6138">
          <w:rPr>
            <w:noProof/>
          </w:rPr>
          <w:t>1</w:t>
        </w:r>
      </w:fldSimple>
      <w:r w:rsidR="004F311A">
        <w:t>.</w:t>
      </w:r>
      <w:fldSimple w:instr=" SEQ Figure \* ARABIC \s 1 ">
        <w:r w:rsidR="000C6138">
          <w:rPr>
            <w:noProof/>
          </w:rPr>
          <w:t>3</w:t>
        </w:r>
      </w:fldSimple>
      <w:bookmarkEnd w:id="20"/>
      <w:bookmarkEnd w:id="21"/>
      <w:bookmarkEnd w:id="22"/>
    </w:p>
    <w:p w14:paraId="3D59455C" w14:textId="0793ADF9" w:rsidR="006A50D1" w:rsidRDefault="00937691" w:rsidP="006A50D1">
      <w:pPr>
        <w:spacing w:line="480" w:lineRule="auto"/>
        <w:contextualSpacing/>
        <w:jc w:val="center"/>
        <w:rPr>
          <w:rFonts w:cs="Times New Roman"/>
          <w:szCs w:val="24"/>
        </w:rPr>
      </w:pPr>
      <w:r>
        <w:rPr>
          <w:rFonts w:cs="Times New Roman"/>
          <w:noProof/>
          <w:szCs w:val="24"/>
        </w:rPr>
        <w:lastRenderedPageBreak/>
        <w:drawing>
          <wp:inline distT="0" distB="0" distL="0" distR="0" wp14:anchorId="589CADE4" wp14:editId="1C6A5183">
            <wp:extent cx="4856816" cy="5869172"/>
            <wp:effectExtent l="0" t="0" r="1270" b="0"/>
            <wp:docPr id="14" name="Picture 14"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6798" cy="5917488"/>
                    </a:xfrm>
                    <a:prstGeom prst="rect">
                      <a:avLst/>
                    </a:prstGeom>
                  </pic:spPr>
                </pic:pic>
              </a:graphicData>
            </a:graphic>
          </wp:inline>
        </w:drawing>
      </w:r>
      <w:r w:rsidR="006A50D1">
        <w:rPr>
          <w:rFonts w:cs="Times New Roman"/>
          <w:szCs w:val="24"/>
        </w:rPr>
        <w:t xml:space="preserve">  </w:t>
      </w:r>
    </w:p>
    <w:p w14:paraId="45499E83" w14:textId="5CFB8AB8" w:rsidR="006A50D1" w:rsidRDefault="006A50D1" w:rsidP="006A50D1">
      <w:pPr>
        <w:pStyle w:val="Caption"/>
        <w:rPr>
          <w:rFonts w:cs="Times New Roman"/>
          <w:szCs w:val="24"/>
        </w:rPr>
      </w:pPr>
      <w:bookmarkStart w:id="23" w:name="_Toc60480646"/>
      <w:bookmarkStart w:id="24" w:name="_Toc60238572"/>
      <w:bookmarkStart w:id="25" w:name="_Toc60478062"/>
      <w:r>
        <w:t xml:space="preserve">Figure </w:t>
      </w:r>
      <w:fldSimple w:instr=" STYLEREF 1 \s ">
        <w:r w:rsidR="000C6138">
          <w:rPr>
            <w:noProof/>
          </w:rPr>
          <w:t>1</w:t>
        </w:r>
      </w:fldSimple>
      <w:r w:rsidR="004F311A">
        <w:t>.</w:t>
      </w:r>
      <w:fldSimple w:instr=" SEQ Figure \* ARABIC \s 1 ">
        <w:r w:rsidR="000C6138">
          <w:rPr>
            <w:noProof/>
          </w:rPr>
          <w:t>4</w:t>
        </w:r>
      </w:fldSimple>
      <w:bookmarkEnd w:id="23"/>
      <w:bookmarkEnd w:id="24"/>
      <w:bookmarkEnd w:id="25"/>
    </w:p>
    <w:p w14:paraId="430534FF" w14:textId="39AD0302" w:rsidR="00155D79" w:rsidRDefault="00937691" w:rsidP="006A50D1">
      <w:pPr>
        <w:spacing w:line="480" w:lineRule="auto"/>
        <w:contextualSpacing/>
        <w:jc w:val="center"/>
        <w:rPr>
          <w:rFonts w:cs="Times New Roman"/>
          <w:szCs w:val="24"/>
        </w:rPr>
      </w:pPr>
      <w:r>
        <w:rPr>
          <w:rFonts w:cs="Times New Roman"/>
          <w:noProof/>
          <w:szCs w:val="24"/>
        </w:rPr>
        <w:lastRenderedPageBreak/>
        <w:drawing>
          <wp:inline distT="0" distB="0" distL="0" distR="0" wp14:anchorId="6BD2B7AF" wp14:editId="7BD468D3">
            <wp:extent cx="5416360" cy="7389628"/>
            <wp:effectExtent l="0" t="0" r="0" b="1905"/>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39434" cy="7421108"/>
                    </a:xfrm>
                    <a:prstGeom prst="rect">
                      <a:avLst/>
                    </a:prstGeom>
                  </pic:spPr>
                </pic:pic>
              </a:graphicData>
            </a:graphic>
          </wp:inline>
        </w:drawing>
      </w:r>
    </w:p>
    <w:p w14:paraId="1D688D68" w14:textId="77777777" w:rsidR="00155D79" w:rsidRDefault="00155D79" w:rsidP="00175716">
      <w:pPr>
        <w:spacing w:line="480" w:lineRule="auto"/>
        <w:contextualSpacing/>
        <w:rPr>
          <w:rFonts w:cs="Times New Roman"/>
          <w:szCs w:val="24"/>
          <w:u w:val="single"/>
        </w:rPr>
      </w:pPr>
    </w:p>
    <w:p w14:paraId="5508416B" w14:textId="701B6519" w:rsidR="006A50D1" w:rsidRPr="00EF1F8F" w:rsidRDefault="006A50D1" w:rsidP="006A50D1">
      <w:pPr>
        <w:pStyle w:val="Caption"/>
        <w:rPr>
          <w:rFonts w:cs="Times New Roman"/>
          <w:szCs w:val="24"/>
          <w:u w:val="single"/>
        </w:rPr>
        <w:sectPr w:rsidR="006A50D1" w:rsidRPr="00EF1F8F" w:rsidSect="00D0469B">
          <w:pgSz w:w="12240" w:h="15840"/>
          <w:pgMar w:top="1440" w:right="1440" w:bottom="1440" w:left="1440" w:header="720" w:footer="720" w:gutter="0"/>
          <w:cols w:space="720"/>
          <w:docGrid w:linePitch="360"/>
        </w:sectPr>
      </w:pPr>
      <w:bookmarkStart w:id="26" w:name="_Toc60480647"/>
      <w:bookmarkStart w:id="27" w:name="_Toc60238573"/>
      <w:bookmarkStart w:id="28" w:name="_Toc60478063"/>
      <w:r>
        <w:t xml:space="preserve">Figure </w:t>
      </w:r>
      <w:fldSimple w:instr=" STYLEREF 1 \s ">
        <w:r w:rsidR="000C6138">
          <w:rPr>
            <w:noProof/>
          </w:rPr>
          <w:t>1</w:t>
        </w:r>
      </w:fldSimple>
      <w:r w:rsidR="004F311A">
        <w:t>.</w:t>
      </w:r>
      <w:fldSimple w:instr=" SEQ Figure \* ARABIC \s 1 ">
        <w:r w:rsidR="000C6138">
          <w:rPr>
            <w:noProof/>
          </w:rPr>
          <w:t>5</w:t>
        </w:r>
      </w:fldSimple>
      <w:bookmarkEnd w:id="26"/>
      <w:bookmarkEnd w:id="27"/>
      <w:bookmarkEnd w:id="28"/>
    </w:p>
    <w:p w14:paraId="2EC68AC3" w14:textId="2029AF7C" w:rsidR="00504067" w:rsidRPr="00504067" w:rsidRDefault="00504067" w:rsidP="00504067">
      <w:pPr>
        <w:pStyle w:val="Heading2"/>
      </w:pPr>
      <w:bookmarkStart w:id="29" w:name="_Toc60841216"/>
      <w:r w:rsidRPr="00C91104">
        <w:rPr>
          <w:rFonts w:cs="Times New Roman"/>
          <w:szCs w:val="24"/>
        </w:rPr>
        <w:lastRenderedPageBreak/>
        <w:t>Appendix S1</w:t>
      </w:r>
      <w:r w:rsidR="002D7985">
        <w:rPr>
          <w:rFonts w:cs="Times New Roman"/>
          <w:szCs w:val="24"/>
        </w:rPr>
        <w:t>. Supporting Information</w:t>
      </w:r>
      <w:bookmarkEnd w:id="29"/>
    </w:p>
    <w:p w14:paraId="718EE365" w14:textId="77777777" w:rsidR="00CB6346" w:rsidRDefault="00CB6346" w:rsidP="00504067">
      <w:pPr>
        <w:spacing w:line="480" w:lineRule="auto"/>
        <w:contextualSpacing/>
        <w:rPr>
          <w:rFonts w:cs="Times New Roman"/>
          <w:szCs w:val="24"/>
        </w:rPr>
      </w:pPr>
    </w:p>
    <w:p w14:paraId="41D0BF33" w14:textId="08E26D7C" w:rsidR="00504067" w:rsidRPr="00CB6346" w:rsidRDefault="00504067" w:rsidP="00504067">
      <w:pPr>
        <w:spacing w:line="480" w:lineRule="auto"/>
        <w:contextualSpacing/>
        <w:rPr>
          <w:rFonts w:cs="Times New Roman"/>
          <w:b/>
          <w:bCs/>
          <w:szCs w:val="24"/>
        </w:rPr>
      </w:pPr>
      <w:r w:rsidRPr="00CB6346">
        <w:rPr>
          <w:rFonts w:cs="Times New Roman"/>
          <w:b/>
          <w:bCs/>
          <w:szCs w:val="24"/>
        </w:rPr>
        <w:t>Model Descriptions</w:t>
      </w:r>
    </w:p>
    <w:p w14:paraId="0043CDF7" w14:textId="77777777" w:rsidR="00504067" w:rsidRDefault="00504067" w:rsidP="00504067">
      <w:pPr>
        <w:spacing w:line="480" w:lineRule="auto"/>
        <w:ind w:firstLine="720"/>
        <w:contextualSpacing/>
        <w:rPr>
          <w:rFonts w:eastAsiaTheme="minorEastAsia" w:cs="Times New Roman"/>
          <w:color w:val="000000" w:themeColor="text1"/>
          <w:kern w:val="24"/>
          <w:szCs w:val="24"/>
        </w:rPr>
      </w:pPr>
      <w:r>
        <w:rPr>
          <w:rFonts w:cs="Times New Roman"/>
          <w:szCs w:val="24"/>
        </w:rPr>
        <w:t>The following model was used to assess the relative role of network characteristics on</w:t>
      </w:r>
      <w:r>
        <w:rPr>
          <w:rFonts w:eastAsiaTheme="minorEastAsia" w:cs="Times New Roman"/>
          <w:color w:val="000000" w:themeColor="text1"/>
          <w:kern w:val="24"/>
          <w:szCs w:val="24"/>
        </w:rPr>
        <w:t xml:space="preserve"> the spatial extent of aquatic subsidies </w:t>
      </w:r>
      <m:oMath>
        <m:r>
          <w:rPr>
            <w:rFonts w:ascii="Cambria Math" w:eastAsiaTheme="minorEastAsia" w:hAnsi="Cambria Math" w:cs="Times New Roman"/>
            <w:color w:val="000000" w:themeColor="text1"/>
            <w:kern w:val="24"/>
            <w:szCs w:val="24"/>
          </w:rPr>
          <m:t>(</m:t>
        </m:r>
        <m:sSub>
          <m:sSubPr>
            <m:ctrlPr>
              <w:rPr>
                <w:rFonts w:ascii="Cambria Math" w:eastAsia="Cambria Math" w:hAnsi="Cambria Math"/>
                <w:i/>
                <w:color w:val="000000" w:themeColor="text1"/>
                <w:kern w:val="24"/>
              </w:rPr>
            </m:ctrlPr>
          </m:sSubPr>
          <m:e>
            <m:r>
              <w:rPr>
                <w:rFonts w:ascii="Cambria Math" w:eastAsia="Cambria Math" w:hAnsi="Cambria Math"/>
                <w:color w:val="000000" w:themeColor="text1"/>
                <w:kern w:val="24"/>
              </w:rPr>
              <m:t>E</m:t>
            </m:r>
          </m:e>
          <m:sub>
            <m:r>
              <w:rPr>
                <w:rFonts w:ascii="Cambria Math" w:eastAsia="Cambria Math" w:hAnsi="Cambria Math"/>
                <w:color w:val="000000" w:themeColor="text1"/>
                <w:kern w:val="24"/>
              </w:rPr>
              <m:t>A</m:t>
            </m:r>
          </m:sub>
        </m:sSub>
        <m:r>
          <w:rPr>
            <w:rFonts w:ascii="Cambria Math" w:eastAsia="Cambria Math" w:hAnsi="Cambria Math"/>
            <w:color w:val="000000" w:themeColor="text1"/>
            <w:kern w:val="24"/>
          </w:rPr>
          <m:t>)</m:t>
        </m:r>
      </m:oMath>
      <w:r>
        <w:rPr>
          <w:rFonts w:eastAsiaTheme="minorEastAsia" w:cs="Times New Roman"/>
          <w:color w:val="000000" w:themeColor="text1"/>
          <w:kern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gridCol w:w="890"/>
      </w:tblGrid>
      <w:tr w:rsidR="00504067" w14:paraId="31D6FC4F" w14:textId="77777777" w:rsidTr="00504067">
        <w:trPr>
          <w:trHeight w:val="1931"/>
        </w:trPr>
        <w:tc>
          <w:tcPr>
            <w:tcW w:w="8460" w:type="dxa"/>
            <w:vAlign w:val="center"/>
          </w:tcPr>
          <w:p w14:paraId="44412651" w14:textId="77777777" w:rsidR="00504067" w:rsidRPr="00454DA1" w:rsidRDefault="00B5442B" w:rsidP="00504067">
            <w:pPr>
              <w:pStyle w:val="NormalWeb"/>
              <w:spacing w:before="0" w:beforeAutospacing="0" w:after="0" w:afterAutospacing="0" w:line="480" w:lineRule="auto"/>
              <w:rPr>
                <w:iCs/>
                <w:color w:val="000000" w:themeColor="text1"/>
                <w:kern w:val="24"/>
              </w:rPr>
            </w:pP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E</m:t>
                  </m:r>
                </m:e>
                <m:sub>
                  <m:sSub>
                    <m:sSubPr>
                      <m:ctrlPr>
                        <w:rPr>
                          <w:rFonts w:ascii="Cambria Math" w:eastAsia="Cambria Math" w:hAnsi="Cambria Math" w:cstheme="minorBidi"/>
                          <w:i/>
                          <w:color w:val="000000" w:themeColor="text1"/>
                          <w:kern w:val="24"/>
                        </w:rPr>
                      </m:ctrlPr>
                    </m:sSubPr>
                    <m:e>
                      <m:r>
                        <w:rPr>
                          <w:rFonts w:ascii="Cambria Math" w:eastAsia="Cambria Math" w:hAnsi="Cambria Math" w:cstheme="minorBidi"/>
                          <w:color w:val="000000" w:themeColor="text1"/>
                          <w:kern w:val="24"/>
                        </w:rPr>
                        <m:t>A</m:t>
                      </m:r>
                    </m:e>
                    <m:sub>
                      <m:r>
                        <w:rPr>
                          <w:rFonts w:ascii="Cambria Math" w:eastAsia="Cambria Math" w:hAnsi="Cambria Math" w:cstheme="minorBidi"/>
                          <w:color w:val="000000" w:themeColor="text1"/>
                          <w:kern w:val="24"/>
                        </w:rPr>
                        <m:t>i</m:t>
                      </m:r>
                    </m:sub>
                  </m:sSub>
                </m:sub>
              </m:sSub>
              <m:r>
                <w:rPr>
                  <w:rFonts w:ascii="Cambria Math" w:eastAsia="Cambria Math" w:hAnsi="Cambria Math" w:cstheme="minorBidi"/>
                  <w:color w:val="000000" w:themeColor="text1"/>
                  <w:kern w:val="24"/>
                </w:rPr>
                <m:t xml:space="preserve"> ~ N</m:t>
              </m:r>
              <m:d>
                <m:dPr>
                  <m:ctrlPr>
                    <w:rPr>
                      <w:rFonts w:ascii="Cambria Math" w:eastAsia="Cambria Math" w:hAnsi="Cambria Math" w:cstheme="minorBidi"/>
                      <w:i/>
                      <w:iCs/>
                      <w:color w:val="000000" w:themeColor="text1"/>
                      <w:kern w:val="24"/>
                    </w:rPr>
                  </m:ctrlPr>
                </m:dPr>
                <m:e>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μ</m:t>
                      </m:r>
                    </m:e>
                    <m:sub>
                      <m:r>
                        <w:rPr>
                          <w:rFonts w:ascii="Cambria Math" w:eastAsia="Cambria Math" w:hAnsi="Cambria Math" w:cstheme="minorBidi"/>
                          <w:color w:val="000000" w:themeColor="text1"/>
                          <w:kern w:val="24"/>
                        </w:rPr>
                        <m:t>i</m:t>
                      </m:r>
                    </m:sub>
                  </m:sSub>
                  <m:r>
                    <w:rPr>
                      <w:rFonts w:ascii="Cambria Math" w:eastAsia="Cambria Math" w:hAnsi="Cambria Math" w:cstheme="minorBidi"/>
                      <w:color w:val="000000" w:themeColor="text1"/>
                      <w:kern w:val="24"/>
                    </w:rPr>
                    <m:t> , σ</m:t>
                  </m:r>
                </m:e>
              </m:d>
            </m:oMath>
            <w:r w:rsidR="00504067">
              <w:rPr>
                <w:color w:val="000000" w:themeColor="text1"/>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μ</m:t>
                  </m:r>
                </m:e>
                <m:sub>
                  <m:r>
                    <w:rPr>
                      <w:rFonts w:ascii="Cambria Math" w:eastAsia="Cambria Math" w:hAnsi="Cambria Math" w:cstheme="minorBidi"/>
                      <w:color w:val="000000" w:themeColor="text1"/>
                      <w:kern w:val="24"/>
                    </w:rPr>
                    <m:t>i</m:t>
                  </m:r>
                </m:sub>
              </m:sSub>
              <m:r>
                <w:rPr>
                  <w:rFonts w:ascii="Cambria Math" w:eastAsia="Cambria Math" w:hAnsi="Cambria Math" w:cstheme="minorBidi"/>
                  <w:color w:val="000000" w:themeColor="text1"/>
                  <w:kern w:val="24"/>
                </w:rPr>
                <m:t>=α+</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sSub>
                    <m:sSubPr>
                      <m:ctrlPr>
                        <w:rPr>
                          <w:rFonts w:ascii="Cambria Math" w:eastAsia="Cambria Math" w:hAnsi="Cambria Math" w:cstheme="minorBidi"/>
                          <w:i/>
                          <w:color w:val="000000" w:themeColor="text1"/>
                          <w:kern w:val="24"/>
                        </w:rPr>
                      </m:ctrlPr>
                    </m:sSubPr>
                    <m:e>
                      <m:r>
                        <w:rPr>
                          <w:rFonts w:ascii="Cambria Math" w:eastAsia="Cambria Math" w:hAnsi="Cambria Math" w:cstheme="minorBidi"/>
                          <w:color w:val="000000" w:themeColor="text1"/>
                          <w:kern w:val="24"/>
                        </w:rPr>
                        <m:t>D</m:t>
                      </m:r>
                    </m:e>
                    <m:sub>
                      <m:r>
                        <w:rPr>
                          <w:rFonts w:ascii="Cambria Math" w:eastAsia="Cambria Math" w:hAnsi="Cambria Math" w:cstheme="minorBidi"/>
                          <w:color w:val="000000" w:themeColor="text1"/>
                          <w:kern w:val="24"/>
                        </w:rPr>
                        <m:t>d</m:t>
                      </m:r>
                    </m:sub>
                  </m:sSub>
                  <m:r>
                    <w:rPr>
                      <w:rFonts w:ascii="Cambria Math" w:eastAsia="Cambria Math" w:hAnsi="Cambria Math" w:cstheme="minorBidi"/>
                      <w:color w:val="000000" w:themeColor="text1"/>
                      <w:kern w:val="24"/>
                    </w:rPr>
                    <m:t> </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D</m:t>
                  </m:r>
                </m:e>
                <m:sub>
                  <m:r>
                    <w:rPr>
                      <w:rFonts w:ascii="Cambria Math" w:eastAsia="Cambria Math" w:hAnsi="Cambria Math" w:cstheme="minorBidi"/>
                      <w:color w:val="000000" w:themeColor="text1"/>
                      <w:kern w:val="24"/>
                    </w:rPr>
                    <m:t>d</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C</m:t>
                  </m:r>
                </m:sub>
              </m:sSub>
              <m:r>
                <w:rPr>
                  <w:rFonts w:ascii="Cambria Math" w:eastAsia="Cambria Math" w:hAnsi="Cambria Math" w:cstheme="minorBidi"/>
                  <w:color w:val="000000" w:themeColor="text1"/>
                  <w:kern w:val="24"/>
                </w:rPr>
                <m:t>*</m:t>
              </m:r>
              <m:func>
                <m:funcPr>
                  <m:ctrlPr>
                    <w:rPr>
                      <w:rFonts w:ascii="Cambria Math" w:eastAsia="Cambria Math" w:hAnsi="Cambria Math" w:cstheme="minorBidi"/>
                      <w:i/>
                      <w:color w:val="000000" w:themeColor="text1"/>
                      <w:kern w:val="24"/>
                    </w:rPr>
                  </m:ctrlPr>
                </m:funcPr>
                <m:fName>
                  <m:r>
                    <m:rPr>
                      <m:sty m:val="p"/>
                    </m:rPr>
                    <w:rPr>
                      <w:rFonts w:ascii="Cambria Math" w:eastAsia="Cambria Math" w:hAnsi="Cambria Math"/>
                      <w:color w:val="000000" w:themeColor="text1"/>
                      <w:kern w:val="24"/>
                    </w:rPr>
                    <m:t>log</m:t>
                  </m:r>
                </m:fName>
                <m:e>
                  <m:r>
                    <w:rPr>
                      <w:rFonts w:ascii="Cambria Math" w:eastAsia="Cambria Math" w:hAnsi="Cambria Math" w:cstheme="minorBidi"/>
                      <w:color w:val="000000" w:themeColor="text1"/>
                      <w:kern w:val="24"/>
                    </w:rPr>
                    <m:t>C</m:t>
                  </m:r>
                </m:e>
              </m:func>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λ</m:t>
                  </m:r>
                </m:sub>
              </m:sSub>
              <m:r>
                <w:rPr>
                  <w:rFonts w:ascii="Cambria Math" w:eastAsia="Cambria Math" w:hAnsi="Cambria Math" w:cstheme="minorBidi"/>
                  <w:color w:val="000000" w:themeColor="text1"/>
                  <w:kern w:val="24"/>
                </w:rPr>
                <m:t>*</m:t>
              </m:r>
              <m:func>
                <m:funcPr>
                  <m:ctrlPr>
                    <w:rPr>
                      <w:rFonts w:ascii="Cambria Math" w:eastAsia="Cambria Math" w:hAnsi="Cambria Math" w:cstheme="minorBidi"/>
                      <w:i/>
                      <w:color w:val="000000" w:themeColor="text1"/>
                      <w:kern w:val="24"/>
                    </w:rPr>
                  </m:ctrlPr>
                </m:funcPr>
                <m:fName>
                  <m:r>
                    <m:rPr>
                      <m:sty m:val="p"/>
                    </m:rPr>
                    <w:rPr>
                      <w:rFonts w:ascii="Cambria Math" w:eastAsia="Cambria Math" w:hAnsi="Cambria Math"/>
                      <w:color w:val="000000" w:themeColor="text1"/>
                      <w:kern w:val="24"/>
                    </w:rPr>
                    <m:t>log</m:t>
                  </m:r>
                </m:fName>
                <m:e>
                  <m:r>
                    <w:rPr>
                      <w:rFonts w:ascii="Cambria Math" w:eastAsia="Cambria Math" w:hAnsi="Cambria Math" w:cstheme="minorBidi"/>
                      <w:color w:val="000000" w:themeColor="text1"/>
                      <w:kern w:val="24"/>
                    </w:rPr>
                    <m:t>λ</m:t>
                  </m:r>
                </m:e>
              </m:func>
              <m:r>
                <w:rPr>
                  <w:rFonts w:ascii="Cambria Math" w:eastAsia="Cambria Math" w:hAnsi="Cambria Math" w:cstheme="minorBidi"/>
                  <w:color w:val="000000" w:themeColor="text1"/>
                  <w:kern w:val="24"/>
                </w:rPr>
                <m:t xml:space="preserve">+ </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sSub>
                    <m:sSubPr>
                      <m:ctrlPr>
                        <w:rPr>
                          <w:rFonts w:ascii="Cambria Math" w:eastAsia="Cambria Math" w:hAnsi="Cambria Math" w:cstheme="minorBidi"/>
                          <w:i/>
                          <w:color w:val="000000" w:themeColor="text1"/>
                          <w:kern w:val="24"/>
                        </w:rPr>
                      </m:ctrlPr>
                    </m:sSubPr>
                    <m:e>
                      <m:r>
                        <w:rPr>
                          <w:rFonts w:ascii="Cambria Math" w:eastAsia="Cambria Math" w:hAnsi="Cambria Math" w:cstheme="minorBidi"/>
                          <w:color w:val="000000" w:themeColor="text1"/>
                          <w:kern w:val="24"/>
                        </w:rPr>
                        <m:t>W</m:t>
                      </m:r>
                    </m:e>
                    <m:sub>
                      <m:r>
                        <w:rPr>
                          <w:rFonts w:ascii="Cambria Math" w:eastAsia="Cambria Math" w:hAnsi="Cambria Math" w:cstheme="minorBidi"/>
                          <w:color w:val="000000" w:themeColor="text1"/>
                          <w:kern w:val="24"/>
                        </w:rPr>
                        <m:t>b</m:t>
                      </m:r>
                    </m:sub>
                  </m:sSub>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W</m:t>
                  </m:r>
                </m:e>
                <m:sub>
                  <m:r>
                    <w:rPr>
                      <w:rFonts w:ascii="Cambria Math" w:eastAsia="Cambria Math" w:hAnsi="Cambria Math" w:cstheme="minorBidi"/>
                      <w:color w:val="000000" w:themeColor="text1"/>
                      <w:kern w:val="24"/>
                    </w:rPr>
                    <m:t>b</m:t>
                  </m:r>
                </m:sub>
              </m:sSub>
            </m:oMath>
            <w:r w:rsidR="00504067">
              <w:rPr>
                <w:color w:val="000000" w:themeColor="text1"/>
              </w:rPr>
              <w:t xml:space="preserve">; </w:t>
            </w:r>
            <m:oMath>
              <m:r>
                <w:rPr>
                  <w:rFonts w:ascii="Cambria Math" w:eastAsia="Cambria Math" w:hAnsi="Cambria Math" w:cstheme="minorBidi"/>
                  <w:color w:val="000000" w:themeColor="text1"/>
                  <w:kern w:val="24"/>
                </w:rPr>
                <m:t>α ~ N</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0 , 1</m:t>
                  </m:r>
                </m:e>
              </m:d>
            </m:oMath>
            <w:r w:rsidR="00504067">
              <w:rPr>
                <w:color w:val="000000" w:themeColor="text1"/>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sSub>
                    <m:sSubPr>
                      <m:ctrlPr>
                        <w:rPr>
                          <w:rFonts w:ascii="Cambria Math" w:eastAsia="Cambria Math" w:hAnsi="Cambria Math" w:cstheme="minorBidi"/>
                          <w:i/>
                          <w:color w:val="000000" w:themeColor="text1"/>
                          <w:kern w:val="24"/>
                        </w:rPr>
                      </m:ctrlPr>
                    </m:sSubPr>
                    <m:e>
                      <m:r>
                        <w:rPr>
                          <w:rFonts w:ascii="Cambria Math" w:eastAsia="Cambria Math" w:hAnsi="Cambria Math" w:cstheme="minorBidi"/>
                          <w:color w:val="000000" w:themeColor="text1"/>
                          <w:kern w:val="24"/>
                        </w:rPr>
                        <m:t>D</m:t>
                      </m:r>
                    </m:e>
                    <m:sub>
                      <m:r>
                        <w:rPr>
                          <w:rFonts w:ascii="Cambria Math" w:eastAsia="Cambria Math" w:hAnsi="Cambria Math" w:cstheme="minorBidi"/>
                          <w:color w:val="000000" w:themeColor="text1"/>
                          <w:kern w:val="24"/>
                        </w:rPr>
                        <m:t>d</m:t>
                      </m:r>
                    </m:sub>
                  </m:sSub>
                  <m:r>
                    <w:rPr>
                      <w:rFonts w:ascii="Cambria Math" w:eastAsia="Cambria Math" w:hAnsi="Cambria Math" w:cstheme="minorBidi"/>
                      <w:color w:val="000000" w:themeColor="text1"/>
                      <w:kern w:val="24"/>
                    </w:rPr>
                    <m:t> </m:t>
                  </m:r>
                </m:sub>
              </m:sSub>
              <m:r>
                <w:rPr>
                  <w:rFonts w:ascii="Cambria Math" w:eastAsia="Cambria Math" w:hAnsi="Cambria Math" w:cstheme="minorBidi"/>
                  <w:color w:val="000000" w:themeColor="text1"/>
                  <w:kern w:val="24"/>
                </w:rPr>
                <m:t> ~ N</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0 , 1</m:t>
                  </m:r>
                </m:e>
              </m:d>
            </m:oMath>
            <w:r w:rsidR="00504067">
              <w:rPr>
                <w:color w:val="000000" w:themeColor="text1"/>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C</m:t>
                  </m:r>
                </m:sub>
              </m:sSub>
              <m:r>
                <w:rPr>
                  <w:rFonts w:ascii="Cambria Math" w:eastAsia="Cambria Math" w:hAnsi="Cambria Math" w:cstheme="minorBidi"/>
                  <w:color w:val="000000" w:themeColor="text1"/>
                  <w:kern w:val="24"/>
                </w:rPr>
                <m:t>~ N</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0 , 1</m:t>
                  </m:r>
                </m:e>
              </m:d>
            </m:oMath>
            <w:r w:rsidR="00504067">
              <w:rPr>
                <w:color w:val="000000" w:themeColor="text1"/>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λ</m:t>
                  </m:r>
                </m:sub>
              </m:sSub>
              <m:r>
                <w:rPr>
                  <w:rFonts w:ascii="Cambria Math" w:eastAsia="Cambria Math" w:hAnsi="Cambria Math" w:cstheme="minorBidi"/>
                  <w:color w:val="000000" w:themeColor="text1"/>
                  <w:kern w:val="24"/>
                </w:rPr>
                <m:t>~ N</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0 , 1</m:t>
                  </m:r>
                </m:e>
              </m:d>
            </m:oMath>
            <w:r w:rsidR="00504067">
              <w:rPr>
                <w:color w:val="000000" w:themeColor="text1"/>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sSub>
                    <m:sSubPr>
                      <m:ctrlPr>
                        <w:rPr>
                          <w:rFonts w:ascii="Cambria Math" w:eastAsia="Cambria Math" w:hAnsi="Cambria Math" w:cstheme="minorBidi"/>
                          <w:i/>
                          <w:color w:val="000000" w:themeColor="text1"/>
                          <w:kern w:val="24"/>
                        </w:rPr>
                      </m:ctrlPr>
                    </m:sSubPr>
                    <m:e>
                      <m:r>
                        <w:rPr>
                          <w:rFonts w:ascii="Cambria Math" w:eastAsia="Cambria Math" w:hAnsi="Cambria Math" w:cstheme="minorBidi"/>
                          <w:color w:val="000000" w:themeColor="text1"/>
                          <w:kern w:val="24"/>
                        </w:rPr>
                        <m:t>W</m:t>
                      </m:r>
                    </m:e>
                    <m:sub>
                      <m:r>
                        <w:rPr>
                          <w:rFonts w:ascii="Cambria Math" w:eastAsia="Cambria Math" w:hAnsi="Cambria Math" w:cstheme="minorBidi"/>
                          <w:color w:val="000000" w:themeColor="text1"/>
                          <w:kern w:val="24"/>
                        </w:rPr>
                        <m:t>b</m:t>
                      </m:r>
                    </m:sub>
                  </m:sSub>
                </m:sub>
              </m:sSub>
              <m:r>
                <w:rPr>
                  <w:rFonts w:ascii="Cambria Math" w:eastAsia="Cambria Math" w:hAnsi="Cambria Math" w:cstheme="minorBidi"/>
                  <w:color w:val="000000" w:themeColor="text1"/>
                  <w:kern w:val="24"/>
                </w:rPr>
                <m:t>~ N</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0 , 1</m:t>
                  </m:r>
                </m:e>
              </m:d>
            </m:oMath>
            <w:r w:rsidR="00504067">
              <w:rPr>
                <w:iCs/>
                <w:color w:val="000000" w:themeColor="text1"/>
                <w:kern w:val="24"/>
              </w:rPr>
              <w:t>;</w:t>
            </w:r>
            <w:r w:rsidR="00504067">
              <w:rPr>
                <w:color w:val="000000" w:themeColor="text1"/>
              </w:rPr>
              <w:t xml:space="preserve"> </w:t>
            </w:r>
            <m:oMath>
              <m:r>
                <w:rPr>
                  <w:rFonts w:ascii="Cambria Math" w:eastAsia="Cambria Math" w:hAnsi="Cambria Math" w:cstheme="minorBidi"/>
                  <w:color w:val="000000" w:themeColor="text1"/>
                  <w:kern w:val="24"/>
                </w:rPr>
                <m:t>σ ~ U</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0 , 10</m:t>
                  </m:r>
                </m:e>
              </m:d>
            </m:oMath>
          </w:p>
        </w:tc>
        <w:tc>
          <w:tcPr>
            <w:tcW w:w="890" w:type="dxa"/>
            <w:vAlign w:val="center"/>
          </w:tcPr>
          <w:p w14:paraId="1267C400" w14:textId="77777777" w:rsidR="00504067" w:rsidRDefault="00504067" w:rsidP="00504067">
            <w:pPr>
              <w:spacing w:line="480" w:lineRule="auto"/>
              <w:contextualSpacing/>
              <w:jc w:val="center"/>
              <w:rPr>
                <w:rFonts w:eastAsiaTheme="minorEastAsia" w:cs="Times New Roman"/>
                <w:color w:val="000000" w:themeColor="text1"/>
                <w:kern w:val="24"/>
                <w:szCs w:val="24"/>
              </w:rPr>
            </w:pPr>
            <w:r>
              <w:rPr>
                <w:rFonts w:eastAsiaTheme="minorEastAsia" w:cs="Times New Roman"/>
                <w:color w:val="000000" w:themeColor="text1"/>
                <w:kern w:val="24"/>
                <w:szCs w:val="24"/>
              </w:rPr>
              <w:t>Eq. 1</w:t>
            </w:r>
          </w:p>
        </w:tc>
      </w:tr>
    </w:tbl>
    <w:p w14:paraId="1F9A210B" w14:textId="11B6801F" w:rsidR="00504067" w:rsidRDefault="00504067" w:rsidP="00504067">
      <w:pPr>
        <w:spacing w:line="480" w:lineRule="auto"/>
        <w:contextualSpacing/>
        <w:rPr>
          <w:rFonts w:eastAsiaTheme="minorEastAsia" w:cs="Times New Roman"/>
          <w:iCs/>
          <w:color w:val="000000" w:themeColor="text1"/>
          <w:kern w:val="24"/>
          <w:szCs w:val="24"/>
        </w:rPr>
      </w:pPr>
      <m:oMath>
        <m:r>
          <w:rPr>
            <w:rFonts w:ascii="Cambria Math" w:eastAsia="Cambria Math" w:hAnsi="Cambria Math"/>
            <w:color w:val="000000" w:themeColor="text1"/>
            <w:kern w:val="24"/>
          </w:rPr>
          <m:t>i</m:t>
        </m:r>
      </m:oMath>
      <w:r w:rsidRPr="00360433">
        <w:rPr>
          <w:rFonts w:eastAsiaTheme="minorEastAsia" w:cs="Times New Roman"/>
          <w:iCs/>
          <w:color w:val="000000" w:themeColor="text1"/>
          <w:kern w:val="24"/>
          <w:szCs w:val="24"/>
        </w:rPr>
        <w:t xml:space="preserve"> </w:t>
      </w:r>
      <w:r>
        <w:rPr>
          <w:rFonts w:eastAsiaTheme="minorEastAsia" w:cs="Times New Roman"/>
          <w:iCs/>
          <w:color w:val="000000" w:themeColor="text1"/>
          <w:kern w:val="24"/>
          <w:szCs w:val="24"/>
        </w:rPr>
        <w:t>indexes the stream signature class (i.e.</w:t>
      </w:r>
      <w:r w:rsidRPr="00FF7271">
        <w:rPr>
          <w:rFonts w:cs="Times New Roman"/>
          <w:szCs w:val="24"/>
        </w:rPr>
        <w:t xml:space="preserve"> </w:t>
      </w:r>
      <w:r>
        <w:rPr>
          <w:rFonts w:cs="Times New Roman"/>
          <w:szCs w:val="24"/>
        </w:rPr>
        <w:t>31%, 21%, 13% and 8%</w:t>
      </w:r>
      <w:r>
        <w:rPr>
          <w:rFonts w:eastAsiaTheme="minorEastAsia" w:cs="Times New Roman"/>
          <w:iCs/>
          <w:color w:val="000000" w:themeColor="text1"/>
          <w:kern w:val="24"/>
          <w:szCs w:val="24"/>
        </w:rPr>
        <w:t xml:space="preserve">) and </w:t>
      </w:r>
      <m:oMath>
        <m:r>
          <w:rPr>
            <w:rFonts w:ascii="Cambria Math" w:eastAsia="Cambria Math" w:hAnsi="Cambria Math"/>
            <w:color w:val="000000" w:themeColor="text1"/>
            <w:kern w:val="24"/>
          </w:rPr>
          <m:t>α</m:t>
        </m:r>
      </m:oMath>
      <w:r>
        <w:rPr>
          <w:rFonts w:eastAsiaTheme="minorEastAsia" w:cs="Times New Roman"/>
          <w:iCs/>
          <w:color w:val="000000" w:themeColor="text1"/>
          <w:kern w:val="24"/>
          <w:szCs w:val="24"/>
        </w:rPr>
        <w:t xml:space="preserve"> and </w:t>
      </w:r>
      <m:oMath>
        <m:r>
          <w:rPr>
            <w:rFonts w:ascii="Cambria Math" w:eastAsiaTheme="minorEastAsia" w:hAnsi="Cambria Math" w:cs="Times New Roman"/>
            <w:color w:val="000000" w:themeColor="text1"/>
            <w:kern w:val="24"/>
            <w:szCs w:val="24"/>
          </w:rPr>
          <m:t>β</m:t>
        </m:r>
      </m:oMath>
      <w:r>
        <w:rPr>
          <w:rFonts w:eastAsiaTheme="minorEastAsia" w:cs="Times New Roman"/>
          <w:iCs/>
          <w:color w:val="000000" w:themeColor="text1"/>
          <w:kern w:val="24"/>
          <w:szCs w:val="24"/>
        </w:rPr>
        <w:t xml:space="preserve"> are intercept and regression coefficients. The network characteristics were </w:t>
      </w:r>
      <w:r>
        <w:rPr>
          <w:rFonts w:cs="Times New Roman"/>
          <w:szCs w:val="24"/>
        </w:rPr>
        <w:t xml:space="preserve">drainage density </w:t>
      </w:r>
      <w:r w:rsidRPr="00360433">
        <w:rPr>
          <w:rFonts w:eastAsiaTheme="minorEastAsia" w:cs="Times New Roman"/>
          <w:iCs/>
          <w:color w:val="000000" w:themeColor="text1"/>
          <w:kern w:val="24"/>
          <w:szCs w:val="24"/>
        </w:rPr>
        <w:t>(</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w:r w:rsidRPr="00360433">
        <w:rPr>
          <w:rFonts w:eastAsiaTheme="minorEastAsia" w:cs="Times New Roman"/>
          <w:iCs/>
          <w:color w:val="000000" w:themeColor="text1"/>
          <w:kern w:val="24"/>
          <w:szCs w:val="24"/>
        </w:rPr>
        <w:t>), confluence</w:t>
      </w:r>
      <w:r>
        <w:rPr>
          <w:rFonts w:eastAsiaTheme="minorEastAsia" w:cs="Times New Roman"/>
          <w:iCs/>
          <w:color w:val="000000" w:themeColor="text1"/>
          <w:kern w:val="24"/>
          <w:szCs w:val="24"/>
        </w:rPr>
        <w:t xml:space="preserve"> number</w:t>
      </w:r>
      <w:r w:rsidRPr="00360433">
        <w:rPr>
          <w:rFonts w:eastAsiaTheme="minorEastAsia" w:cs="Times New Roman"/>
          <w:iCs/>
          <w:color w:val="000000" w:themeColor="text1"/>
          <w:kern w:val="24"/>
          <w:szCs w:val="24"/>
        </w:rPr>
        <w:t xml:space="preserve"> (</w:t>
      </w:r>
      <m:oMath>
        <m:r>
          <w:rPr>
            <w:rFonts w:ascii="Cambria Math" w:eastAsia="Cambria Math" w:hAnsi="Cambria Math" w:cs="Times New Roman"/>
            <w:color w:val="000000" w:themeColor="text1"/>
            <w:kern w:val="24"/>
            <w:szCs w:val="24"/>
          </w:rPr>
          <m:t>C</m:t>
        </m:r>
      </m:oMath>
      <w:r>
        <w:rPr>
          <w:rFonts w:eastAsiaTheme="minorEastAsia" w:cs="Times New Roman"/>
          <w:iCs/>
          <w:color w:val="000000" w:themeColor="text1"/>
          <w:kern w:val="24"/>
          <w:szCs w:val="24"/>
        </w:rPr>
        <w:t xml:space="preserve">), </w:t>
      </w:r>
      <w:r w:rsidRPr="00360433">
        <w:rPr>
          <w:rFonts w:eastAsiaTheme="minorEastAsia" w:cs="Times New Roman"/>
          <w:iCs/>
          <w:color w:val="000000" w:themeColor="text1"/>
          <w:kern w:val="24"/>
          <w:szCs w:val="24"/>
        </w:rPr>
        <w:t>sinuosity (</w:t>
      </w:r>
      <m:oMath>
        <m:r>
          <w:rPr>
            <w:rFonts w:ascii="Cambria Math" w:eastAsia="Cambria Math" w:hAnsi="Cambria Math" w:cs="Times New Roman"/>
            <w:color w:val="000000" w:themeColor="text1"/>
            <w:kern w:val="24"/>
            <w:szCs w:val="24"/>
          </w:rPr>
          <m:t>λ</m:t>
        </m:r>
      </m:oMath>
      <w:r>
        <w:rPr>
          <w:rFonts w:eastAsiaTheme="minorEastAsia" w:cs="Times New Roman"/>
          <w:color w:val="000000" w:themeColor="text1"/>
          <w:kern w:val="24"/>
          <w:szCs w:val="24"/>
        </w:rPr>
        <w:t xml:space="preserve">) and median effective sub-basin width </w:t>
      </w:r>
      <m:oMath>
        <m:r>
          <w:rPr>
            <w:rFonts w:ascii="Cambria Math" w:eastAsiaTheme="minorEastAsia" w:hAnsi="Cambria Math" w:cs="Times New Roman"/>
            <w:color w:val="000000" w:themeColor="text1"/>
            <w:kern w:val="24"/>
            <w:szCs w:val="24"/>
          </w:rPr>
          <m:t>(</m:t>
        </m:r>
        <m:sSub>
          <m:sSubPr>
            <m:ctrlPr>
              <w:rPr>
                <w:rFonts w:ascii="Cambria Math" w:eastAsiaTheme="minorEastAsia" w:hAnsi="Cambria Math" w:cs="Times New Roman"/>
                <w:i/>
                <w:color w:val="000000" w:themeColor="text1"/>
                <w:kern w:val="24"/>
                <w:szCs w:val="24"/>
              </w:rPr>
            </m:ctrlPr>
          </m:sSubPr>
          <m:e>
            <m:r>
              <w:rPr>
                <w:rFonts w:ascii="Cambria Math" w:eastAsiaTheme="minorEastAsia" w:hAnsi="Cambria Math" w:cs="Times New Roman"/>
                <w:color w:val="000000" w:themeColor="text1"/>
                <w:kern w:val="24"/>
                <w:szCs w:val="24"/>
              </w:rPr>
              <m:t>W</m:t>
            </m:r>
          </m:e>
          <m:sub>
            <m:r>
              <w:rPr>
                <w:rFonts w:ascii="Cambria Math" w:eastAsiaTheme="minorEastAsia" w:hAnsi="Cambria Math" w:cs="Times New Roman"/>
                <w:color w:val="000000" w:themeColor="text1"/>
                <w:kern w:val="24"/>
                <w:szCs w:val="24"/>
              </w:rPr>
              <m:t>b</m:t>
            </m:r>
          </m:sub>
        </m:sSub>
        <m:r>
          <w:rPr>
            <w:rFonts w:ascii="Cambria Math" w:eastAsiaTheme="minorEastAsia" w:hAnsi="Cambria Math" w:cs="Times New Roman"/>
            <w:color w:val="000000" w:themeColor="text1"/>
            <w:kern w:val="24"/>
            <w:szCs w:val="24"/>
          </w:rPr>
          <m:t>)</m:t>
        </m:r>
      </m:oMath>
      <w:r>
        <w:rPr>
          <w:rFonts w:eastAsiaTheme="minorEastAsia" w:cs="Times New Roman"/>
          <w:color w:val="000000" w:themeColor="text1"/>
          <w:kern w:val="24"/>
          <w:szCs w:val="24"/>
        </w:rPr>
        <w:t xml:space="preserve">. </w:t>
      </w:r>
      <w:r>
        <w:rPr>
          <w:rFonts w:eastAsiaTheme="minorEastAsia" w:cs="Times New Roman"/>
          <w:iCs/>
          <w:color w:val="000000" w:themeColor="text1"/>
          <w:kern w:val="24"/>
          <w:szCs w:val="24"/>
        </w:rPr>
        <w:t xml:space="preserve">Prior to fitting each model, we log transformed </w:t>
      </w:r>
      <m:oMath>
        <m:r>
          <w:rPr>
            <w:rFonts w:ascii="Cambria Math" w:eastAsia="Cambria Math" w:hAnsi="Cambria Math" w:cs="Times New Roman"/>
            <w:color w:val="000000" w:themeColor="text1"/>
            <w:kern w:val="24"/>
            <w:szCs w:val="24"/>
          </w:rPr>
          <m:t>C</m:t>
        </m:r>
      </m:oMath>
      <w:r>
        <w:rPr>
          <w:rFonts w:eastAsiaTheme="minorEastAsia" w:cs="Times New Roman"/>
          <w:color w:val="000000" w:themeColor="text1"/>
          <w:kern w:val="24"/>
          <w:szCs w:val="24"/>
        </w:rPr>
        <w:t xml:space="preserve"> and</w:t>
      </w:r>
      <w:r>
        <w:rPr>
          <w:rFonts w:eastAsiaTheme="minorEastAsia" w:cs="Times New Roman"/>
          <w:iCs/>
          <w:color w:val="000000" w:themeColor="text1"/>
          <w:kern w:val="24"/>
          <w:szCs w:val="24"/>
        </w:rPr>
        <w:t xml:space="preserve"> </w:t>
      </w:r>
      <m:oMath>
        <m:r>
          <w:rPr>
            <w:rFonts w:ascii="Cambria Math" w:eastAsia="Cambria Math" w:hAnsi="Cambria Math" w:cs="Times New Roman"/>
            <w:color w:val="000000" w:themeColor="text1"/>
            <w:kern w:val="24"/>
            <w:szCs w:val="24"/>
          </w:rPr>
          <m:t>S</m:t>
        </m:r>
      </m:oMath>
      <w:r>
        <w:rPr>
          <w:rFonts w:eastAsiaTheme="minorEastAsia" w:cs="Times New Roman"/>
          <w:color w:val="000000" w:themeColor="text1"/>
          <w:kern w:val="24"/>
          <w:szCs w:val="24"/>
        </w:rPr>
        <w:t xml:space="preserve">. </w:t>
      </w:r>
      <w:r>
        <w:rPr>
          <w:rFonts w:eastAsiaTheme="minorEastAsia" w:cs="Times New Roman"/>
          <w:iCs/>
          <w:color w:val="000000" w:themeColor="text1"/>
          <w:kern w:val="24"/>
          <w:szCs w:val="24"/>
        </w:rPr>
        <w:t>The priors for the regression coefficients are minimally informative and normally distributed. Sigma (</w:t>
      </w:r>
      <m:oMath>
        <m:r>
          <w:rPr>
            <w:rFonts w:ascii="Cambria Math" w:eastAsia="Cambria Math" w:hAnsi="Cambria Math"/>
            <w:color w:val="000000" w:themeColor="text1"/>
            <w:kern w:val="24"/>
          </w:rPr>
          <m:t>σ</m:t>
        </m:r>
      </m:oMath>
      <w:r>
        <w:rPr>
          <w:rFonts w:eastAsiaTheme="minorEastAsia" w:cs="Times New Roman"/>
          <w:color w:val="000000" w:themeColor="text1"/>
          <w:kern w:val="24"/>
        </w:rPr>
        <w:t>)</w:t>
      </w:r>
      <w:r>
        <w:rPr>
          <w:rFonts w:eastAsiaTheme="minorEastAsia" w:cs="Times New Roman"/>
          <w:iCs/>
          <w:color w:val="000000" w:themeColor="text1"/>
          <w:kern w:val="24"/>
          <w:szCs w:val="24"/>
        </w:rPr>
        <w:t xml:space="preserve"> is the standard deviation for each observation and was assigned a minimally informative prior from a uniform distribution. All predictor and the response variables were mean-centered and standardized to permit direct comparisons among regression coefficients </w:t>
      </w:r>
      <w:r>
        <w:rPr>
          <w:rStyle w:val="FootnoteReference"/>
          <w:rFonts w:eastAsiaTheme="minorEastAsia" w:cs="Times New Roman"/>
          <w:iCs/>
          <w:color w:val="000000" w:themeColor="text1"/>
          <w:kern w:val="24"/>
          <w:szCs w:val="24"/>
        </w:rPr>
        <w:fldChar w:fldCharType="begin" w:fldLock="1"/>
      </w:r>
      <w:r>
        <w:rPr>
          <w:rFonts w:eastAsiaTheme="minorEastAsia" w:cs="Times New Roman"/>
          <w:iCs/>
          <w:color w:val="000000" w:themeColor="text1"/>
          <w:kern w:val="24"/>
          <w:szCs w:val="24"/>
        </w:rPr>
        <w:instrText>ADDIN CSL_CITATION {"citationItems":[{"id":"ITEM-1","itemData":{"author":[{"dropping-particle":"","family":"McElreath","given":"R.","non-dropping-particle":"","parse-names":false,"suffix":""}],"id":"ITEM-1","issued":{"date-parts":[["2016"]]},"number-of-pages":"469","publisher":"CRC Press","publisher-place":"New York","title":"Statistical Rethinking: A Bayesian Course with Examples in R and Stan","type":"book"},"uris":["http://www.mendeley.com/documents/?uuid=23f1ea93-b9cd-4d37-97a6-4bc0dfdde239"]}],"mendeley":{"formattedCitation":"(McElreath 2016)","plainTextFormattedCitation":"(McElreath 2016)","previouslyFormattedCitation":"(McElreath 2016)"},"properties":{"noteIndex":0},"schema":"https://github.com/citation-style-language/schema/raw/master/csl-citation.json"}</w:instrText>
      </w:r>
      <w:r>
        <w:rPr>
          <w:rStyle w:val="FootnoteReference"/>
          <w:rFonts w:eastAsiaTheme="minorEastAsia" w:cs="Times New Roman"/>
          <w:iCs/>
          <w:color w:val="000000" w:themeColor="text1"/>
          <w:kern w:val="24"/>
          <w:szCs w:val="24"/>
        </w:rPr>
        <w:fldChar w:fldCharType="separate"/>
      </w:r>
      <w:r w:rsidRPr="00B96D5E">
        <w:rPr>
          <w:rFonts w:eastAsiaTheme="minorEastAsia" w:cs="Times New Roman"/>
          <w:iCs/>
          <w:noProof/>
          <w:color w:val="000000" w:themeColor="text1"/>
          <w:kern w:val="24"/>
          <w:szCs w:val="24"/>
        </w:rPr>
        <w:t>(McElreath 2016)</w:t>
      </w:r>
      <w:r>
        <w:rPr>
          <w:rStyle w:val="FootnoteReference"/>
          <w:rFonts w:eastAsiaTheme="minorEastAsia" w:cs="Times New Roman"/>
          <w:iCs/>
          <w:color w:val="000000" w:themeColor="text1"/>
          <w:kern w:val="24"/>
          <w:szCs w:val="24"/>
        </w:rPr>
        <w:fldChar w:fldCharType="end"/>
      </w:r>
      <w:r>
        <w:rPr>
          <w:rFonts w:eastAsiaTheme="minorEastAsia" w:cs="Times New Roman"/>
          <w:iCs/>
          <w:color w:val="000000" w:themeColor="text1"/>
          <w:kern w:val="24"/>
          <w:szCs w:val="24"/>
        </w:rPr>
        <w:t xml:space="preserve">. </w:t>
      </w:r>
    </w:p>
    <w:p w14:paraId="76F25B44" w14:textId="6896732B" w:rsidR="00504067" w:rsidRDefault="00504067" w:rsidP="00504067">
      <w:pPr>
        <w:spacing w:line="480" w:lineRule="auto"/>
        <w:ind w:firstLine="720"/>
        <w:contextualSpacing/>
        <w:rPr>
          <w:rFonts w:cs="Times New Roman"/>
          <w:szCs w:val="24"/>
        </w:rPr>
      </w:pPr>
      <w:r>
        <w:rPr>
          <w:rFonts w:cs="Times New Roman"/>
          <w:szCs w:val="24"/>
        </w:rPr>
        <w:t>To assess the relationship between basin features and network geometry characteristics we used a backwards step-wise procedure</w:t>
      </w:r>
      <w:r w:rsidR="00CB6346">
        <w:rPr>
          <w:rFonts w:cs="Times New Roman"/>
          <w:szCs w:val="24"/>
        </w:rPr>
        <w:t xml:space="preserve"> to</w:t>
      </w:r>
      <w:r>
        <w:rPr>
          <w:rFonts w:cs="Times New Roman"/>
          <w:szCs w:val="24"/>
        </w:rPr>
        <w:t xml:space="preserve"> remove the parameter with the lowest absolute value</w:t>
      </w:r>
      <w:r w:rsidR="00CB6346">
        <w:rPr>
          <w:rFonts w:cs="Times New Roman"/>
          <w:szCs w:val="24"/>
        </w:rPr>
        <w:t xml:space="preserve">. </w:t>
      </w:r>
      <w:r>
        <w:rPr>
          <w:rFonts w:cs="Times New Roman"/>
          <w:szCs w:val="24"/>
        </w:rPr>
        <w:t xml:space="preserve"> We then compared all candidate models and retained the one with the lowest WAIC. For each response variable (i.e.</w:t>
      </w:r>
      <w:r w:rsidRPr="00FF7271">
        <w:rPr>
          <w:rFonts w:cs="Times New Roman"/>
          <w:szCs w:val="24"/>
        </w:rPr>
        <w:t xml:space="preserve"> </w:t>
      </w:r>
      <w:r w:rsidRPr="00D51E08">
        <w:rPr>
          <w:rFonts w:cs="Times New Roman"/>
          <w:szCs w:val="24"/>
        </w:rPr>
        <w:t>drainage density, sinuosity, confluences and median effective basin width</w:t>
      </w:r>
      <w:r>
        <w:rPr>
          <w:rFonts w:cs="Times New Roman"/>
          <w:szCs w:val="24"/>
        </w:rPr>
        <w:t xml:space="preserve">) our global model </w:t>
      </w:r>
      <w:r w:rsidR="00CB6346">
        <w:rPr>
          <w:rFonts w:cs="Times New Roman"/>
          <w:szCs w:val="24"/>
        </w:rPr>
        <w:t>was</w:t>
      </w:r>
      <w:r>
        <w:rPr>
          <w:rFonts w:cs="Times New Roman"/>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980"/>
      </w:tblGrid>
      <w:tr w:rsidR="00504067" w14:paraId="414C40AF" w14:textId="77777777" w:rsidTr="00504067">
        <w:trPr>
          <w:trHeight w:val="1931"/>
        </w:trPr>
        <w:tc>
          <w:tcPr>
            <w:tcW w:w="8370" w:type="dxa"/>
            <w:vAlign w:val="center"/>
          </w:tcPr>
          <w:p w14:paraId="4AA4295A" w14:textId="77777777" w:rsidR="00504067" w:rsidRPr="00454DA1" w:rsidRDefault="00B5442B" w:rsidP="00504067">
            <w:pPr>
              <w:spacing w:line="480" w:lineRule="auto"/>
              <w:contextualSpacing/>
              <w:rPr>
                <w:rFonts w:eastAsiaTheme="minorEastAsia" w:cs="Times New Roman"/>
                <w:iCs/>
                <w:szCs w:val="24"/>
              </w:rPr>
            </w:pPr>
            <m:oMath>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 xml:space="preserve"> ~ N</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μ</m:t>
                      </m:r>
                    </m:e>
                    <m:sub>
                      <m:r>
                        <w:rPr>
                          <w:rFonts w:ascii="Cambria Math" w:hAnsi="Cambria Math" w:cs="Times New Roman"/>
                          <w:szCs w:val="24"/>
                        </w:rPr>
                        <m:t>i</m:t>
                      </m:r>
                    </m:sub>
                  </m:sSub>
                  <m:r>
                    <w:rPr>
                      <w:rFonts w:ascii="Cambria Math" w:hAnsi="Cambria Math" w:cs="Times New Roman"/>
                      <w:szCs w:val="24"/>
                    </w:rPr>
                    <m:t> , σ</m:t>
                  </m:r>
                </m:e>
              </m:d>
            </m:oMath>
            <w:r w:rsidR="00504067">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μ</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α</m:t>
                  </m:r>
                </m:e>
                <m:sub>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sub>
              </m:sSub>
              <m:d>
                <m:dPr>
                  <m:begChr m:val="["/>
                  <m:endChr m:val="]"/>
                  <m:ctrlPr>
                    <w:rPr>
                      <w:rFonts w:ascii="Cambria Math" w:hAnsi="Cambria Math" w:cs="Times New Roman"/>
                      <w:i/>
                      <w:iCs/>
                      <w:szCs w:val="24"/>
                    </w:rPr>
                  </m:ctrlPr>
                </m:dPr>
                <m:e>
                  <m:r>
                    <w:rPr>
                      <w:rFonts w:ascii="Cambria Math" w:hAnsi="Cambria Math" w:cs="Times New Roman"/>
                      <w:szCs w:val="24"/>
                    </w:rPr>
                    <m:t>vpu</m:t>
                  </m:r>
                </m:e>
              </m:d>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r>
                <w:rPr>
                  <w:rFonts w:ascii="Cambria Math" w:hAnsi="Cambria Math" w:cs="Times New Roman"/>
                  <w:szCs w:val="24"/>
                </w:rPr>
                <m:t>*</m:t>
              </m:r>
              <m:func>
                <m:funcPr>
                  <m:ctrlPr>
                    <w:rPr>
                      <w:rFonts w:ascii="Cambria Math" w:hAnsi="Cambria Math" w:cs="Times New Roman"/>
                      <w:i/>
                      <w:szCs w:val="24"/>
                    </w:rPr>
                  </m:ctrlPr>
                </m:funcPr>
                <m:fName>
                  <m:r>
                    <m:rPr>
                      <m:sty m:val="p"/>
                    </m:rPr>
                    <w:rPr>
                      <w:rFonts w:ascii="Cambria Math" w:hAnsi="Cambria Math" w:cs="Times New Roman"/>
                      <w:szCs w:val="24"/>
                    </w:rPr>
                    <m:t>log</m:t>
                  </m:r>
                </m:fName>
                <m:e>
                  <m:r>
                    <w:rPr>
                      <w:rFonts w:ascii="Cambria Math" w:hAnsi="Cambria Math" w:cs="Times New Roman"/>
                      <w:szCs w:val="24"/>
                    </w:rPr>
                    <m:t>R</m:t>
                  </m:r>
                </m:e>
              </m:func>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S</m:t>
                  </m:r>
                </m:sub>
              </m:sSub>
              <m:func>
                <m:funcPr>
                  <m:ctrlPr>
                    <w:rPr>
                      <w:rFonts w:ascii="Cambria Math" w:hAnsi="Cambria Math" w:cs="Times New Roman"/>
                      <w:i/>
                      <w:szCs w:val="24"/>
                    </w:rPr>
                  </m:ctrlPr>
                </m:funcPr>
                <m:fName>
                  <m:r>
                    <m:rPr>
                      <m:sty m:val="p"/>
                    </m:rPr>
                    <w:rPr>
                      <w:rFonts w:ascii="Cambria Math" w:hAnsi="Cambria Math" w:cs="Times New Roman"/>
                      <w:szCs w:val="24"/>
                    </w:rPr>
                    <m:t>*log</m:t>
                  </m:r>
                </m:fName>
                <m:e>
                  <m:r>
                    <w:rPr>
                      <w:rFonts w:ascii="Cambria Math" w:hAnsi="Cambria Math" w:cs="Times New Roman"/>
                      <w:szCs w:val="24"/>
                    </w:rPr>
                    <m:t>S</m:t>
                  </m:r>
                </m:e>
              </m:func>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β</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r>
                    <w:rPr>
                      <w:rFonts w:ascii="Cambria Math" w:hAnsi="Cambria Math" w:cs="Times New Roman"/>
                      <w:szCs w:val="24"/>
                    </w:rPr>
                    <m:t> </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w:r w:rsidR="00504067" w:rsidRPr="005F6589">
              <w:rPr>
                <w:rFonts w:cs="Times New Roman"/>
                <w:i/>
                <w:iCs/>
                <w:szCs w:val="24"/>
              </w:rPr>
              <w:t xml:space="preserve"> +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V</m:t>
                  </m:r>
                </m:sub>
              </m:sSub>
              <m:r>
                <w:rPr>
                  <w:rFonts w:ascii="Cambria Math" w:hAnsi="Cambria Math" w:cs="Times New Roman"/>
                  <w:szCs w:val="24"/>
                </w:rPr>
                <m:t>*V</m:t>
              </m:r>
            </m:oMath>
            <w:r w:rsidR="00504067">
              <w:rPr>
                <w:rFonts w:cs="Times New Roman"/>
                <w:szCs w:val="24"/>
              </w:rPr>
              <w:t xml:space="preserve">; </w:t>
            </w:r>
            <m:oMath>
              <m:r>
                <w:rPr>
                  <w:rFonts w:ascii="Cambria Math" w:hAnsi="Cambria Math" w:cs="Times New Roman"/>
                  <w:szCs w:val="24"/>
                </w:rPr>
                <m:t>α</m:t>
              </m:r>
              <m:d>
                <m:dPr>
                  <m:begChr m:val="["/>
                  <m:endChr m:val="]"/>
                  <m:ctrlPr>
                    <w:rPr>
                      <w:rFonts w:ascii="Cambria Math" w:hAnsi="Cambria Math" w:cs="Times New Roman"/>
                      <w:i/>
                      <w:iCs/>
                      <w:szCs w:val="24"/>
                    </w:rPr>
                  </m:ctrlPr>
                </m:dPr>
                <m:e>
                  <m:r>
                    <w:rPr>
                      <w:rFonts w:ascii="Cambria Math" w:hAnsi="Cambria Math" w:cs="Times New Roman"/>
                      <w:szCs w:val="24"/>
                    </w:rPr>
                    <m:t>vpu</m:t>
                  </m:r>
                </m:e>
              </m:d>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r>
                <w:rPr>
                  <w:rFonts w:ascii="Cambria Math" w:hAnsi="Cambria Math" w:cs="Times New Roman"/>
                  <w:szCs w:val="24"/>
                </w:rPr>
                <m:t> ~ N</m:t>
              </m:r>
              <m:d>
                <m:dPr>
                  <m:ctrlPr>
                    <w:rPr>
                      <w:rFonts w:ascii="Cambria Math" w:hAnsi="Cambria Math" w:cs="Times New Roman"/>
                      <w:i/>
                      <w:iCs/>
                      <w:szCs w:val="24"/>
                    </w:rPr>
                  </m:ctrlPr>
                </m:dPr>
                <m:e>
                  <m:r>
                    <w:rPr>
                      <w:rFonts w:ascii="Cambria Math" w:hAnsi="Cambria Math" w:cs="Times New Roman"/>
                      <w:szCs w:val="24"/>
                    </w:rPr>
                    <m:t>0 , 1</m:t>
                  </m:r>
                </m:e>
              </m:d>
            </m:oMath>
            <w:r w:rsidR="00504067">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S </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r>
                    <w:rPr>
                      <w:rFonts w:ascii="Cambria Math" w:hAnsi="Cambria Math" w:cs="Times New Roman"/>
                      <w:szCs w:val="24"/>
                    </w:rPr>
                    <m:t> </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Pr>
                <w:rFonts w:cs="Times New Roman"/>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V </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Pr>
                <w:rFonts w:cs="Times New Roman"/>
                <w:szCs w:val="24"/>
              </w:rPr>
              <w:t xml:space="preserve">; </w:t>
            </w:r>
            <m:oMath>
              <m:r>
                <w:rPr>
                  <w:rFonts w:ascii="Cambria Math" w:hAnsi="Cambria Math" w:cs="Times New Roman"/>
                  <w:szCs w:val="24"/>
                </w:rPr>
                <m:t>σ ~ U</m:t>
              </m:r>
              <m:d>
                <m:dPr>
                  <m:ctrlPr>
                    <w:rPr>
                      <w:rFonts w:ascii="Cambria Math" w:hAnsi="Cambria Math" w:cs="Times New Roman"/>
                      <w:i/>
                      <w:iCs/>
                      <w:szCs w:val="24"/>
                    </w:rPr>
                  </m:ctrlPr>
                </m:dPr>
                <m:e>
                  <m:r>
                    <w:rPr>
                      <w:rFonts w:ascii="Cambria Math" w:hAnsi="Cambria Math" w:cs="Times New Roman"/>
                      <w:szCs w:val="24"/>
                    </w:rPr>
                    <m:t>0 , 1</m:t>
                  </m:r>
                </m:e>
              </m:d>
            </m:oMath>
          </w:p>
        </w:tc>
        <w:tc>
          <w:tcPr>
            <w:tcW w:w="980" w:type="dxa"/>
            <w:vAlign w:val="center"/>
          </w:tcPr>
          <w:p w14:paraId="16D34008" w14:textId="77777777" w:rsidR="00504067" w:rsidRDefault="00504067" w:rsidP="00504067">
            <w:pPr>
              <w:spacing w:line="480" w:lineRule="auto"/>
              <w:contextualSpacing/>
              <w:jc w:val="center"/>
              <w:rPr>
                <w:rFonts w:eastAsiaTheme="minorEastAsia" w:cs="Times New Roman"/>
                <w:color w:val="000000" w:themeColor="text1"/>
                <w:kern w:val="24"/>
                <w:szCs w:val="24"/>
              </w:rPr>
            </w:pPr>
            <w:r>
              <w:rPr>
                <w:rFonts w:eastAsiaTheme="minorEastAsia" w:cs="Times New Roman"/>
                <w:color w:val="000000" w:themeColor="text1"/>
                <w:kern w:val="24"/>
                <w:szCs w:val="24"/>
              </w:rPr>
              <w:t>Eq. 2</w:t>
            </w:r>
          </w:p>
        </w:tc>
      </w:tr>
    </w:tbl>
    <w:p w14:paraId="255A41E2" w14:textId="510702C3" w:rsidR="00504067" w:rsidRDefault="00CB6346" w:rsidP="00504067">
      <w:pPr>
        <w:spacing w:line="480" w:lineRule="auto"/>
        <w:contextualSpacing/>
        <w:rPr>
          <w:rFonts w:cs="Times New Roman"/>
          <w:szCs w:val="24"/>
        </w:rPr>
      </w:pPr>
      <w:r>
        <w:rPr>
          <w:rFonts w:eastAsiaTheme="minorEastAsia" w:cs="Times New Roman"/>
          <w:iCs/>
          <w:color w:val="000000" w:themeColor="text1"/>
          <w:kern w:val="24"/>
          <w:szCs w:val="24"/>
        </w:rPr>
        <w:t>w</w:t>
      </w:r>
      <w:r w:rsidR="00504067">
        <w:rPr>
          <w:rFonts w:eastAsiaTheme="minorEastAsia" w:cs="Times New Roman"/>
          <w:iCs/>
          <w:color w:val="000000" w:themeColor="text1"/>
          <w:kern w:val="24"/>
          <w:szCs w:val="24"/>
        </w:rPr>
        <w:t xml:space="preserve">here, </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Y</m:t>
            </m:r>
          </m:e>
          <m:sub>
            <m:r>
              <w:rPr>
                <w:rFonts w:ascii="Cambria Math" w:eastAsia="Cambria Math" w:hAnsi="Cambria Math" w:cs="Times New Roman"/>
                <w:color w:val="000000" w:themeColor="text1"/>
                <w:kern w:val="24"/>
                <w:szCs w:val="24"/>
              </w:rPr>
              <m:t>i</m:t>
            </m:r>
          </m:sub>
        </m:sSub>
      </m:oMath>
      <w:r w:rsidR="00504067">
        <w:rPr>
          <w:rFonts w:eastAsiaTheme="minorEastAsia" w:cs="Times New Roman"/>
          <w:iCs/>
          <w:color w:val="000000" w:themeColor="text1"/>
          <w:kern w:val="24"/>
          <w:szCs w:val="24"/>
        </w:rPr>
        <w:t xml:space="preserve"> is a component of network geometry </w:t>
      </w:r>
      <w:r w:rsidR="00504067" w:rsidRPr="00360433">
        <w:rPr>
          <w:rFonts w:eastAsiaTheme="minorEastAsia" w:cs="Times New Roman"/>
          <w:iCs/>
          <w:color w:val="000000" w:themeColor="text1"/>
          <w:kern w:val="24"/>
          <w:szCs w:val="24"/>
        </w:rPr>
        <w:t>(</w:t>
      </w:r>
      <w:r w:rsidR="00504067">
        <w:rPr>
          <w:rFonts w:eastAsiaTheme="minorEastAsia" w:cs="Times New Roman"/>
          <w:iCs/>
          <w:color w:val="000000" w:themeColor="text1"/>
          <w:kern w:val="24"/>
          <w:szCs w:val="24"/>
        </w:rPr>
        <w:t xml:space="preserve">i.e. </w:t>
      </w:r>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r>
          <w:rPr>
            <w:rFonts w:ascii="Cambria Math" w:eastAsia="Cambria Math" w:hAnsi="Cambria Math" w:cs="Times New Roman"/>
            <w:color w:val="000000" w:themeColor="text1"/>
            <w:kern w:val="24"/>
            <w:szCs w:val="24"/>
          </w:rPr>
          <m:t xml:space="preserve">, </m:t>
        </m:r>
        <m:func>
          <m:funcPr>
            <m:ctrlPr>
              <w:rPr>
                <w:rFonts w:ascii="Cambria Math" w:eastAsia="Cambria Math" w:hAnsi="Cambria Math"/>
                <w:i/>
                <w:color w:val="000000" w:themeColor="text1"/>
                <w:kern w:val="24"/>
                <w:szCs w:val="24"/>
              </w:rPr>
            </m:ctrlPr>
          </m:funcPr>
          <m:fName>
            <m:r>
              <m:rPr>
                <m:sty m:val="p"/>
              </m:rPr>
              <w:rPr>
                <w:rFonts w:ascii="Cambria Math" w:eastAsia="Cambria Math" w:hAnsi="Cambria Math"/>
                <w:color w:val="000000" w:themeColor="text1"/>
                <w:kern w:val="24"/>
                <w:szCs w:val="24"/>
              </w:rPr>
              <m:t xml:space="preserve"> log</m:t>
            </m:r>
          </m:fName>
          <m:e>
            <m:r>
              <w:rPr>
                <w:rFonts w:ascii="Cambria Math" w:eastAsia="Cambria Math" w:hAnsi="Cambria Math"/>
                <w:color w:val="000000" w:themeColor="text1"/>
                <w:kern w:val="24"/>
              </w:rPr>
              <m:t>C</m:t>
            </m:r>
          </m:e>
        </m:func>
        <m:r>
          <m:rPr>
            <m:sty m:val="p"/>
          </m:rPr>
          <w:rPr>
            <w:rFonts w:ascii="Cambria Math" w:eastAsia="Cambria Math" w:hAnsi="Cambria Math" w:cs="Times New Roman"/>
            <w:color w:val="000000" w:themeColor="text1"/>
            <w:kern w:val="24"/>
            <w:szCs w:val="24"/>
          </w:rPr>
          <m:t xml:space="preserve">, </m:t>
        </m:r>
        <m:func>
          <m:funcPr>
            <m:ctrlPr>
              <w:rPr>
                <w:rFonts w:ascii="Cambria Math" w:eastAsia="Cambria Math" w:hAnsi="Cambria Math"/>
                <w:i/>
                <w:color w:val="000000" w:themeColor="text1"/>
                <w:kern w:val="24"/>
                <w:szCs w:val="24"/>
              </w:rPr>
            </m:ctrlPr>
          </m:funcPr>
          <m:fName>
            <m:r>
              <m:rPr>
                <m:sty m:val="p"/>
              </m:rPr>
              <w:rPr>
                <w:rFonts w:ascii="Cambria Math" w:eastAsia="Cambria Math" w:hAnsi="Cambria Math"/>
                <w:color w:val="000000" w:themeColor="text1"/>
                <w:kern w:val="24"/>
                <w:szCs w:val="24"/>
              </w:rPr>
              <m:t>log</m:t>
            </m:r>
          </m:fName>
          <m:e>
            <m:r>
              <w:rPr>
                <w:rFonts w:ascii="Cambria Math" w:eastAsia="Cambria Math" w:hAnsi="Cambria Math"/>
                <w:color w:val="000000" w:themeColor="text1"/>
                <w:kern w:val="24"/>
              </w:rPr>
              <m:t>λ</m:t>
            </m:r>
          </m:e>
        </m:func>
        <m:r>
          <w:rPr>
            <w:rFonts w:ascii="Cambria Math" w:eastAsiaTheme="minorEastAsia" w:hAnsi="Cambria Math" w:cs="Times New Roman"/>
            <w:color w:val="000000" w:themeColor="text1"/>
            <w:kern w:val="24"/>
            <w:szCs w:val="24"/>
          </w:rPr>
          <m:t>, or</m:t>
        </m:r>
        <m:func>
          <m:funcPr>
            <m:ctrlPr>
              <w:rPr>
                <w:rFonts w:ascii="Cambria Math" w:eastAsiaTheme="minorEastAsia" w:hAnsi="Cambria Math" w:cs="Times New Roman"/>
                <w:i/>
                <w:color w:val="000000" w:themeColor="text1"/>
                <w:kern w:val="24"/>
                <w:szCs w:val="24"/>
              </w:rPr>
            </m:ctrlPr>
          </m:funcPr>
          <m:fName>
            <m:r>
              <m:rPr>
                <m:sty m:val="p"/>
              </m:rPr>
              <w:rPr>
                <w:rFonts w:ascii="Cambria Math" w:hAnsi="Cambria Math" w:cs="Times New Roman"/>
                <w:color w:val="000000" w:themeColor="text1"/>
                <w:kern w:val="24"/>
                <w:szCs w:val="24"/>
              </w:rPr>
              <m:t>log</m:t>
            </m:r>
          </m:fName>
          <m:e>
            <m:sSub>
              <m:sSubPr>
                <m:ctrlPr>
                  <w:rPr>
                    <w:rFonts w:ascii="Cambria Math" w:eastAsiaTheme="minorEastAsia" w:hAnsi="Cambria Math" w:cs="Times New Roman"/>
                    <w:i/>
                    <w:color w:val="000000" w:themeColor="text1"/>
                    <w:kern w:val="24"/>
                    <w:szCs w:val="24"/>
                  </w:rPr>
                </m:ctrlPr>
              </m:sSubPr>
              <m:e>
                <m:r>
                  <w:rPr>
                    <w:rFonts w:ascii="Cambria Math" w:eastAsiaTheme="minorEastAsia" w:hAnsi="Cambria Math" w:cs="Times New Roman"/>
                    <w:color w:val="000000" w:themeColor="text1"/>
                    <w:kern w:val="24"/>
                    <w:szCs w:val="24"/>
                  </w:rPr>
                  <m:t>W</m:t>
                </m:r>
              </m:e>
              <m:sub>
                <m:r>
                  <w:rPr>
                    <w:rFonts w:ascii="Cambria Math" w:eastAsiaTheme="minorEastAsia" w:hAnsi="Cambria Math" w:cs="Times New Roman"/>
                    <w:color w:val="000000" w:themeColor="text1"/>
                    <w:kern w:val="24"/>
                    <w:szCs w:val="24"/>
                  </w:rPr>
                  <m:t>b</m:t>
                </m:r>
              </m:sub>
            </m:sSub>
          </m:e>
        </m:func>
      </m:oMath>
      <w:r w:rsidR="00504067">
        <w:rPr>
          <w:rFonts w:eastAsiaTheme="minorEastAsia" w:cs="Times New Roman"/>
          <w:iCs/>
          <w:color w:val="000000" w:themeColor="text1"/>
          <w:kern w:val="24"/>
          <w:szCs w:val="24"/>
        </w:rPr>
        <w:t>) drawn from a normal distribution with mean (</w:t>
      </w:r>
      <m:oMath>
        <m:sSub>
          <m:sSubPr>
            <m:ctrlPr>
              <w:rPr>
                <w:rFonts w:ascii="Cambria Math" w:hAnsi="Cambria Math" w:cs="Times New Roman"/>
                <w:i/>
                <w:iCs/>
                <w:szCs w:val="24"/>
              </w:rPr>
            </m:ctrlPr>
          </m:sSubPr>
          <m:e>
            <m:r>
              <w:rPr>
                <w:rFonts w:ascii="Cambria Math" w:hAnsi="Cambria Math" w:cs="Times New Roman"/>
                <w:szCs w:val="24"/>
              </w:rPr>
              <m:t>μ</m:t>
            </m:r>
          </m:e>
          <m:sub>
            <m:r>
              <w:rPr>
                <w:rFonts w:ascii="Cambria Math" w:hAnsi="Cambria Math" w:cs="Times New Roman"/>
                <w:szCs w:val="24"/>
              </w:rPr>
              <m:t>i</m:t>
            </m:r>
          </m:sub>
        </m:sSub>
        <m:r>
          <w:rPr>
            <w:rFonts w:ascii="Cambria Math" w:hAnsi="Cambria Math" w:cs="Times New Roman"/>
            <w:szCs w:val="24"/>
          </w:rPr>
          <m:t>)</m:t>
        </m:r>
      </m:oMath>
      <w:r w:rsidR="00504067">
        <w:rPr>
          <w:rFonts w:eastAsiaTheme="minorEastAsia" w:cs="Times New Roman"/>
          <w:iCs/>
          <w:szCs w:val="24"/>
        </w:rPr>
        <w:t xml:space="preserve"> and standard deviation</w:t>
      </w:r>
      <m:oMath>
        <m:r>
          <w:rPr>
            <w:rFonts w:ascii="Cambria Math" w:hAnsi="Cambria Math" w:cs="Times New Roman"/>
            <w:szCs w:val="24"/>
          </w:rPr>
          <m:t> (σ)</m:t>
        </m:r>
      </m:oMath>
      <w:r w:rsidR="00504067">
        <w:rPr>
          <w:rFonts w:eastAsiaTheme="minorEastAsia" w:cs="Times New Roman"/>
          <w:iCs/>
          <w:color w:val="000000" w:themeColor="text1"/>
          <w:kern w:val="24"/>
          <w:szCs w:val="24"/>
        </w:rPr>
        <w:t xml:space="preserve">; </w:t>
      </w:r>
      <m:oMath>
        <m:r>
          <w:rPr>
            <w:rFonts w:ascii="Cambria Math" w:hAnsi="Cambria Math" w:cs="Times New Roman"/>
            <w:szCs w:val="24"/>
          </w:rPr>
          <m:t>α</m:t>
        </m:r>
        <m:d>
          <m:dPr>
            <m:begChr m:val="["/>
            <m:endChr m:val="]"/>
            <m:ctrlPr>
              <w:rPr>
                <w:rFonts w:ascii="Cambria Math" w:hAnsi="Cambria Math" w:cs="Times New Roman"/>
                <w:i/>
                <w:iCs/>
                <w:szCs w:val="24"/>
              </w:rPr>
            </m:ctrlPr>
          </m:dPr>
          <m:e>
            <m:r>
              <w:rPr>
                <w:rFonts w:ascii="Cambria Math" w:hAnsi="Cambria Math" w:cs="Times New Roman"/>
                <w:szCs w:val="24"/>
              </w:rPr>
              <m:t>vpu</m:t>
            </m:r>
          </m:e>
        </m:d>
      </m:oMath>
      <w:r w:rsidR="00504067">
        <w:rPr>
          <w:rFonts w:eastAsiaTheme="minorEastAsia" w:cs="Times New Roman"/>
          <w:iCs/>
          <w:szCs w:val="24"/>
        </w:rPr>
        <w:t xml:space="preserve"> is a random intercept, which varies by vector processing unit (</w:t>
      </w:r>
      <m:oMath>
        <m:r>
          <w:rPr>
            <w:rFonts w:ascii="Cambria Math" w:hAnsi="Cambria Math" w:cs="Times New Roman"/>
            <w:szCs w:val="24"/>
          </w:rPr>
          <m:t>vpu</m:t>
        </m:r>
      </m:oMath>
      <w:r w:rsidR="00504067">
        <w:rPr>
          <w:rFonts w:eastAsiaTheme="minorEastAsia" w:cs="Times New Roman"/>
          <w:iCs/>
          <w:szCs w:val="24"/>
        </w:rPr>
        <w:t xml:space="preserve">); and </w:t>
      </w:r>
      <m:oMath>
        <m:r>
          <w:rPr>
            <w:rFonts w:ascii="Cambria Math" w:hAnsi="Cambria Math" w:cs="Times New Roman"/>
            <w:szCs w:val="24"/>
          </w:rPr>
          <m:t>β</m:t>
        </m:r>
      </m:oMath>
      <w:r w:rsidR="00504067">
        <w:rPr>
          <w:rFonts w:eastAsiaTheme="minorEastAsia" w:cs="Times New Roman"/>
          <w:szCs w:val="24"/>
        </w:rPr>
        <w:t xml:space="preserve"> are regression coefficients for the linear model.</w:t>
      </w:r>
      <w:r w:rsidR="00504067">
        <w:rPr>
          <w:rFonts w:eastAsiaTheme="minorEastAsia" w:cs="Times New Roman"/>
          <w:iCs/>
          <w:szCs w:val="24"/>
        </w:rPr>
        <w:t xml:space="preserve"> </w:t>
      </w:r>
      <m:oMath>
        <m:r>
          <w:rPr>
            <w:rFonts w:ascii="Cambria Math" w:hAnsi="Cambria Math" w:cs="Times New Roman"/>
            <w:szCs w:val="24"/>
          </w:rPr>
          <m:t xml:space="preserve">R, S, </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r>
          <w:rPr>
            <w:rFonts w:ascii="Cambria Math" w:hAnsi="Cambria Math" w:cs="Times New Roman"/>
            <w:szCs w:val="24"/>
          </w:rPr>
          <m:t xml:space="preserve">, </m:t>
        </m:r>
        <m:r>
          <m:rPr>
            <m:sty m:val="p"/>
          </m:rPr>
          <w:rPr>
            <w:rFonts w:ascii="Cambria Math" w:hAnsi="Cambria Math" w:cs="Times New Roman"/>
            <w:szCs w:val="24"/>
          </w:rPr>
          <m:t>and</m:t>
        </m:r>
        <m:r>
          <w:rPr>
            <w:rFonts w:ascii="Cambria Math" w:hAnsi="Cambria Math" w:cs="Times New Roman"/>
            <w:szCs w:val="24"/>
          </w:rPr>
          <m:t xml:space="preserve"> V</m:t>
        </m:r>
      </m:oMath>
      <w:r w:rsidR="00504067">
        <w:rPr>
          <w:rFonts w:eastAsiaTheme="minorEastAsia" w:cs="Times New Roman"/>
          <w:szCs w:val="24"/>
        </w:rPr>
        <w:t xml:space="preserve"> are</w:t>
      </w:r>
      <w:r w:rsidR="00504067">
        <w:rPr>
          <w:rFonts w:eastAsiaTheme="minorEastAsia" w:cs="Times New Roman"/>
          <w:iCs/>
          <w:szCs w:val="24"/>
        </w:rPr>
        <w:t xml:space="preserve"> runoff,</w:t>
      </w:r>
      <w:r w:rsidR="00504067">
        <w:rPr>
          <w:rFonts w:eastAsiaTheme="minorEastAsia" w:cs="Times New Roman"/>
          <w:iCs/>
          <w:color w:val="000000" w:themeColor="text1"/>
          <w:kern w:val="24"/>
          <w:szCs w:val="24"/>
        </w:rPr>
        <w:t xml:space="preserve"> </w:t>
      </w:r>
      <w:r w:rsidR="00504067">
        <w:rPr>
          <w:rFonts w:eastAsiaTheme="minorEastAsia" w:cs="Times New Roman"/>
          <w:iCs/>
          <w:szCs w:val="24"/>
        </w:rPr>
        <w:t xml:space="preserve">length-weighted mean slope, </w:t>
      </w:r>
      <w:r w:rsidR="00504067">
        <w:rPr>
          <w:rFonts w:eastAsiaTheme="minorEastAsia" w:cs="Times New Roman"/>
          <w:szCs w:val="24"/>
        </w:rPr>
        <w:t xml:space="preserve">area weighted mean </w:t>
      </w:r>
      <w:proofErr w:type="spellStart"/>
      <w:r w:rsidR="00504067">
        <w:rPr>
          <w:rFonts w:eastAsiaTheme="minorEastAsia" w:cs="Times New Roman"/>
          <w:szCs w:val="24"/>
        </w:rPr>
        <w:t>erodibility</w:t>
      </w:r>
      <w:proofErr w:type="spellEnd"/>
      <w:r w:rsidR="00504067">
        <w:rPr>
          <w:rFonts w:eastAsiaTheme="minorEastAsia" w:cs="Times New Roman"/>
          <w:iCs/>
          <w:szCs w:val="24"/>
        </w:rPr>
        <w:t xml:space="preserve"> and bare ground (%), respectively. We log-transformed </w:t>
      </w:r>
      <m:oMath>
        <m:r>
          <w:rPr>
            <w:rFonts w:ascii="Cambria Math" w:hAnsi="Cambria Math" w:cs="Times New Roman"/>
            <w:szCs w:val="24"/>
          </w:rPr>
          <m:t xml:space="preserve">R </m:t>
        </m:r>
        <m:r>
          <m:rPr>
            <m:sty m:val="p"/>
          </m:rPr>
          <w:rPr>
            <w:rFonts w:ascii="Cambria Math" w:hAnsi="Cambria Math" w:cs="Times New Roman"/>
            <w:szCs w:val="24"/>
          </w:rPr>
          <m:t>and</m:t>
        </m:r>
        <m:r>
          <w:rPr>
            <w:rFonts w:ascii="Cambria Math" w:hAnsi="Cambria Math" w:cs="Times New Roman"/>
            <w:szCs w:val="24"/>
          </w:rPr>
          <m:t xml:space="preserve"> S</m:t>
        </m:r>
      </m:oMath>
      <w:r w:rsidR="00504067">
        <w:rPr>
          <w:rFonts w:eastAsiaTheme="minorEastAsia" w:cs="Times New Roman"/>
          <w:szCs w:val="24"/>
        </w:rPr>
        <w:t xml:space="preserve"> due to skewness and mean-centered and </w:t>
      </w:r>
      <w:r w:rsidR="00504067">
        <w:rPr>
          <w:rFonts w:eastAsiaTheme="minorEastAsia" w:cs="Times New Roman"/>
          <w:iCs/>
          <w:szCs w:val="24"/>
        </w:rPr>
        <w:t xml:space="preserve">standardized all predictor variables. The priors for the parameters were minimally informative and distributed normally or uniformly. Permitting intercepts to vary randomly for each VPU allowed </w:t>
      </w:r>
      <w:r w:rsidR="00504067">
        <w:rPr>
          <w:rFonts w:cs="Times New Roman"/>
          <w:szCs w:val="24"/>
        </w:rPr>
        <w:t xml:space="preserve">us to evaluate regional differences in network characteristics. </w:t>
      </w:r>
      <w:r>
        <w:rPr>
          <w:rFonts w:cs="Times New Roman"/>
          <w:szCs w:val="24"/>
        </w:rPr>
        <w:t>That is</w:t>
      </w:r>
      <w:r w:rsidR="00504067">
        <w:rPr>
          <w:rFonts w:cs="Times New Roman"/>
          <w:szCs w:val="24"/>
        </w:rPr>
        <w:t xml:space="preserve">, when all predictor variables are zero (i.e. mean value), the intercept, </w:t>
      </w:r>
      <m:oMath>
        <m:r>
          <w:rPr>
            <w:rFonts w:ascii="Cambria Math" w:hAnsi="Cambria Math" w:cs="Times New Roman"/>
            <w:szCs w:val="24"/>
          </w:rPr>
          <m:t>α</m:t>
        </m:r>
        <m:d>
          <m:dPr>
            <m:begChr m:val="["/>
            <m:endChr m:val="]"/>
            <m:ctrlPr>
              <w:rPr>
                <w:rFonts w:ascii="Cambria Math" w:hAnsi="Cambria Math" w:cs="Times New Roman"/>
                <w:i/>
                <w:iCs/>
                <w:szCs w:val="24"/>
              </w:rPr>
            </m:ctrlPr>
          </m:dPr>
          <m:e>
            <m:r>
              <w:rPr>
                <w:rFonts w:ascii="Cambria Math" w:hAnsi="Cambria Math" w:cs="Times New Roman"/>
                <w:szCs w:val="24"/>
              </w:rPr>
              <m:t>vpu</m:t>
            </m:r>
          </m:e>
        </m:d>
      </m:oMath>
      <w:r w:rsidR="00504067">
        <w:rPr>
          <w:rFonts w:eastAsiaTheme="minorEastAsia" w:cs="Times New Roman"/>
          <w:iCs/>
          <w:szCs w:val="24"/>
        </w:rPr>
        <w:t xml:space="preserve"> is the value of the response variable. Consequently, we stati</w:t>
      </w:r>
      <w:proofErr w:type="spellStart"/>
      <w:r w:rsidR="00504067">
        <w:rPr>
          <w:rFonts w:eastAsiaTheme="minorEastAsia" w:cs="Times New Roman"/>
          <w:iCs/>
          <w:szCs w:val="24"/>
        </w:rPr>
        <w:t>stically</w:t>
      </w:r>
      <w:proofErr w:type="spellEnd"/>
      <w:r w:rsidR="00504067">
        <w:rPr>
          <w:rFonts w:eastAsiaTheme="minorEastAsia" w:cs="Times New Roman"/>
          <w:iCs/>
          <w:szCs w:val="24"/>
        </w:rPr>
        <w:t xml:space="preserve"> control for basin features while assessing regional differences in network geometry.</w:t>
      </w:r>
    </w:p>
    <w:p w14:paraId="129E3972" w14:textId="785A80CC" w:rsidR="00504067" w:rsidRDefault="00504067" w:rsidP="00504067">
      <w:pPr>
        <w:spacing w:line="480" w:lineRule="auto"/>
        <w:ind w:firstLine="720"/>
        <w:contextualSpacing/>
        <w:rPr>
          <w:rFonts w:cs="Times New Roman"/>
          <w:szCs w:val="24"/>
        </w:rPr>
      </w:pPr>
      <w:r w:rsidRPr="006D6055">
        <w:rPr>
          <w:rFonts w:cs="Times New Roman"/>
          <w:szCs w:val="24"/>
        </w:rPr>
        <w:t xml:space="preserve">Lastly, we evaluated the </w:t>
      </w:r>
      <w:r>
        <w:rPr>
          <w:rFonts w:cs="Times New Roman"/>
          <w:szCs w:val="24"/>
        </w:rPr>
        <w:t>geographic dependence in the</w:t>
      </w:r>
      <w:r w:rsidRPr="006D6055">
        <w:rPr>
          <w:rFonts w:cs="Times New Roman"/>
          <w:szCs w:val="24"/>
        </w:rPr>
        <w:t xml:space="preserve"> relationship between runoff and drainage density </w:t>
      </w:r>
      <w:r>
        <w:rPr>
          <w:rFonts w:cs="Times New Roman"/>
          <w:szCs w:val="24"/>
        </w:rPr>
        <w:t>using</w:t>
      </w:r>
      <w:r w:rsidRPr="006D6055">
        <w:rPr>
          <w:rFonts w:cs="Times New Roman"/>
          <w:szCs w:val="24"/>
        </w:rPr>
        <w:t xml:space="preserve"> a hierarchical </w:t>
      </w:r>
      <w:r>
        <w:rPr>
          <w:rFonts w:cs="Times New Roman"/>
          <w:szCs w:val="24"/>
        </w:rPr>
        <w:t xml:space="preserve">varying effects </w:t>
      </w:r>
      <w:r w:rsidRPr="006D6055">
        <w:rPr>
          <w:rFonts w:cs="Times New Roman"/>
          <w:szCs w:val="24"/>
        </w:rPr>
        <w:t>Bayesian model</w:t>
      </w:r>
      <w:r>
        <w:rPr>
          <w:rFonts w:cs="Times New Roman"/>
          <w:szCs w:val="24"/>
        </w:rPr>
        <w:t xml:space="preserve">. The model is </w:t>
      </w:r>
      <w:r w:rsidR="00CB6346">
        <w:rPr>
          <w:rFonts w:cs="Times New Roman"/>
          <w:szCs w:val="24"/>
        </w:rPr>
        <w:t>similar to Eq. 2</w:t>
      </w:r>
      <w:r>
        <w:rPr>
          <w:rFonts w:cs="Times New Roman"/>
          <w:szCs w:val="24"/>
        </w:rPr>
        <w:t xml:space="preserve"> but allows </w:t>
      </w:r>
      <m:oMath>
        <m:r>
          <w:rPr>
            <w:rFonts w:ascii="Cambria Math" w:hAnsi="Cambria Math" w:cs="Times New Roman"/>
            <w:szCs w:val="24"/>
          </w:rPr>
          <m:t>α</m:t>
        </m:r>
      </m:oMath>
      <w:r>
        <w:rPr>
          <w:rFonts w:eastAsiaTheme="minorEastAsia" w:cs="Times New Roman"/>
          <w:iCs/>
          <w:szCs w:val="24"/>
        </w:rPr>
        <w:t xml:space="preserve"> and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oMath>
      <w:r>
        <w:rPr>
          <w:rFonts w:cs="Times New Roman"/>
          <w:szCs w:val="24"/>
        </w:rPr>
        <w:t>to vary by vector processing unit:</w:t>
      </w:r>
    </w:p>
    <w:p w14:paraId="430C185D" w14:textId="77777777" w:rsidR="002D7985" w:rsidRDefault="002D7985" w:rsidP="00504067">
      <w:pPr>
        <w:spacing w:line="480" w:lineRule="auto"/>
        <w:ind w:firstLine="720"/>
        <w:contextualSpacing/>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980"/>
      </w:tblGrid>
      <w:tr w:rsidR="00504067" w14:paraId="79DD31E4" w14:textId="77777777" w:rsidTr="00504067">
        <w:trPr>
          <w:trHeight w:val="1931"/>
        </w:trPr>
        <w:tc>
          <w:tcPr>
            <w:tcW w:w="8370" w:type="dxa"/>
            <w:vAlign w:val="center"/>
          </w:tcPr>
          <w:p w14:paraId="5B0E82AF" w14:textId="77777777" w:rsidR="00504067" w:rsidRPr="00454DA1" w:rsidRDefault="00B5442B" w:rsidP="002D7985">
            <w:pPr>
              <w:spacing w:line="480" w:lineRule="auto"/>
              <w:contextualSpacing/>
              <w:rPr>
                <w:rFonts w:eastAsiaTheme="minorEastAsia" w:cs="Times New Roman"/>
                <w:iCs/>
                <w:szCs w:val="24"/>
              </w:rPr>
            </w:pPr>
            <m:oMath>
              <m:sSub>
                <m:sSubPr>
                  <m:ctrlPr>
                    <w:rPr>
                      <w:rFonts w:ascii="Cambria Math" w:hAnsi="Cambria Math" w:cs="Times New Roman"/>
                      <w:i/>
                      <w:iCs/>
                      <w:szCs w:val="24"/>
                    </w:rPr>
                  </m:ctrlPr>
                </m:sSubPr>
                <m:e>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e>
                <m:sub>
                  <m:r>
                    <w:rPr>
                      <w:rFonts w:ascii="Cambria Math" w:hAnsi="Cambria Math" w:cs="Times New Roman"/>
                      <w:szCs w:val="24"/>
                    </w:rPr>
                    <m:t>i</m:t>
                  </m:r>
                </m:sub>
              </m:sSub>
              <m:r>
                <w:rPr>
                  <w:rFonts w:ascii="Cambria Math" w:hAnsi="Cambria Math" w:cs="Times New Roman"/>
                  <w:szCs w:val="24"/>
                </w:rPr>
                <m:t>~ N</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μ</m:t>
                      </m:r>
                    </m:e>
                    <m:sub>
                      <m:r>
                        <w:rPr>
                          <w:rFonts w:ascii="Cambria Math" w:hAnsi="Cambria Math" w:cs="Times New Roman"/>
                          <w:szCs w:val="24"/>
                        </w:rPr>
                        <m:t>i</m:t>
                      </m:r>
                    </m:sub>
                  </m:sSub>
                  <m:r>
                    <w:rPr>
                      <w:rFonts w:ascii="Cambria Math" w:hAnsi="Cambria Math" w:cs="Times New Roman"/>
                      <w:szCs w:val="24"/>
                    </w:rPr>
                    <m:t> , σ</m:t>
                  </m:r>
                </m:e>
              </m:d>
            </m:oMath>
            <w:r w:rsidR="00504067" w:rsidRPr="006D6055">
              <w:rPr>
                <w:rFonts w:cs="Times New Roman"/>
                <w:szCs w:val="24"/>
              </w:rPr>
              <w:t xml:space="preserve"> ; </w:t>
            </w:r>
            <m:oMath>
              <m:sSub>
                <m:sSubPr>
                  <m:ctrlPr>
                    <w:rPr>
                      <w:rFonts w:ascii="Cambria Math" w:hAnsi="Cambria Math" w:cs="Times New Roman"/>
                      <w:i/>
                      <w:iCs/>
                      <w:szCs w:val="24"/>
                    </w:rPr>
                  </m:ctrlPr>
                </m:sSubPr>
                <m:e>
                  <m:r>
                    <w:rPr>
                      <w:rFonts w:ascii="Cambria Math" w:hAnsi="Cambria Math" w:cs="Times New Roman"/>
                      <w:szCs w:val="24"/>
                    </w:rPr>
                    <m:t>μ</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α</m:t>
                  </m:r>
                </m:e>
                <m:sub>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sub>
              </m:sSub>
              <m:d>
                <m:dPr>
                  <m:begChr m:val="["/>
                  <m:endChr m:val="]"/>
                  <m:ctrlPr>
                    <w:rPr>
                      <w:rFonts w:ascii="Cambria Math" w:hAnsi="Cambria Math" w:cs="Times New Roman"/>
                      <w:i/>
                      <w:iCs/>
                      <w:szCs w:val="24"/>
                    </w:rPr>
                  </m:ctrlPr>
                </m:dPr>
                <m:e>
                  <m:r>
                    <w:rPr>
                      <w:rFonts w:ascii="Cambria Math" w:hAnsi="Cambria Math" w:cs="Times New Roman"/>
                      <w:szCs w:val="24"/>
                    </w:rPr>
                    <m:t>vpu</m:t>
                  </m:r>
                </m:e>
              </m:d>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r>
                <w:rPr>
                  <w:rFonts w:ascii="Cambria Math" w:hAnsi="Cambria Math" w:cs="Times New Roman"/>
                  <w:szCs w:val="24"/>
                </w:rPr>
                <m:t>[vpu]*</m:t>
              </m:r>
              <m:func>
                <m:funcPr>
                  <m:ctrlPr>
                    <w:rPr>
                      <w:rFonts w:ascii="Cambria Math" w:hAnsi="Cambria Math" w:cs="Times New Roman"/>
                      <w:i/>
                      <w:szCs w:val="24"/>
                    </w:rPr>
                  </m:ctrlPr>
                </m:funcPr>
                <m:fName>
                  <m:r>
                    <m:rPr>
                      <m:sty m:val="p"/>
                    </m:rPr>
                    <w:rPr>
                      <w:rFonts w:ascii="Cambria Math" w:hAnsi="Cambria Math" w:cs="Times New Roman"/>
                      <w:szCs w:val="24"/>
                    </w:rPr>
                    <m:t>log</m:t>
                  </m:r>
                </m:fName>
                <m:e>
                  <m:r>
                    <w:rPr>
                      <w:rFonts w:ascii="Cambria Math" w:hAnsi="Cambria Math" w:cs="Times New Roman"/>
                      <w:szCs w:val="24"/>
                    </w:rPr>
                    <m:t>R</m:t>
                  </m:r>
                </m:e>
              </m:func>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S</m:t>
                  </m:r>
                </m:sub>
              </m:sSub>
              <m:func>
                <m:funcPr>
                  <m:ctrlPr>
                    <w:rPr>
                      <w:rFonts w:ascii="Cambria Math" w:hAnsi="Cambria Math" w:cs="Times New Roman"/>
                      <w:i/>
                      <w:szCs w:val="24"/>
                    </w:rPr>
                  </m:ctrlPr>
                </m:funcPr>
                <m:fName>
                  <m:r>
                    <m:rPr>
                      <m:sty m:val="p"/>
                    </m:rPr>
                    <w:rPr>
                      <w:rFonts w:ascii="Cambria Math" w:hAnsi="Cambria Math" w:cs="Times New Roman"/>
                      <w:szCs w:val="24"/>
                    </w:rPr>
                    <m:t>*log</m:t>
                  </m:r>
                </m:fName>
                <m:e>
                  <m:r>
                    <w:rPr>
                      <w:rFonts w:ascii="Cambria Math" w:hAnsi="Cambria Math" w:cs="Times New Roman"/>
                      <w:szCs w:val="24"/>
                    </w:rPr>
                    <m:t>S</m:t>
                  </m:r>
                </m:e>
              </m:func>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β</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r>
                    <w:rPr>
                      <w:rFonts w:ascii="Cambria Math" w:hAnsi="Cambria Math" w:cs="Times New Roman"/>
                      <w:szCs w:val="24"/>
                    </w:rPr>
                    <m:t> </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r>
                <w:rPr>
                  <w:rFonts w:ascii="Cambria Math" w:hAnsi="Cambria Math" w:cs="Times New Roman"/>
                  <w:szCs w:val="24"/>
                </w:rPr>
                <m:t xml:space="preserve"> + </m:t>
              </m:r>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V</m:t>
                  </m:r>
                </m:sub>
              </m:sSub>
              <m:r>
                <w:rPr>
                  <w:rFonts w:ascii="Cambria Math" w:hAnsi="Cambria Math" w:cs="Times New Roman"/>
                  <w:szCs w:val="24"/>
                </w:rPr>
                <m:t>*V</m:t>
              </m:r>
              <m:r>
                <m:rPr>
                  <m:sty m:val="p"/>
                </m:rPr>
                <w:rPr>
                  <w:rFonts w:ascii="Cambria Math" w:hAnsi="Cambria Math" w:cs="Times New Roman"/>
                  <w:szCs w:val="24"/>
                </w:rPr>
                <m:t>;</m:t>
              </m:r>
              <m:r>
                <w:rPr>
                  <w:rFonts w:ascii="Cambria Math" w:hAnsi="Cambria Math" w:cs="Times New Roman"/>
                  <w:szCs w:val="24"/>
                </w:rPr>
                <m:t xml:space="preserve">; </m:t>
              </m:r>
              <m:sSub>
                <m:sSubPr>
                  <m:ctrlPr>
                    <w:rPr>
                      <w:rFonts w:ascii="Cambria Math" w:hAnsi="Cambria Math" w:cs="Times New Roman"/>
                      <w:i/>
                      <w:iCs/>
                      <w:szCs w:val="24"/>
                    </w:rPr>
                  </m:ctrlPr>
                </m:sSubPr>
                <m:e>
                  <m:d>
                    <m:dPr>
                      <m:begChr m:val="["/>
                      <m:endChr m:val="]"/>
                      <m:ctrlPr>
                        <w:rPr>
                          <w:rFonts w:ascii="Cambria Math" w:hAnsi="Cambria Math" w:cs="Times New Roman"/>
                          <w:i/>
                          <w:iCs/>
                          <w:szCs w:val="24"/>
                        </w:rPr>
                      </m:ctrlPr>
                    </m:dPr>
                    <m:e>
                      <m:m>
                        <m:mPr>
                          <m:mcs>
                            <m:mc>
                              <m:mcPr>
                                <m:count m:val="1"/>
                                <m:mcJc m:val="center"/>
                              </m:mcPr>
                            </m:mc>
                          </m:mcs>
                          <m:ctrlPr>
                            <w:rPr>
                              <w:rFonts w:ascii="Cambria Math" w:hAnsi="Cambria Math" w:cs="Times New Roman"/>
                              <w:i/>
                              <w:iCs/>
                              <w:szCs w:val="24"/>
                            </w:rPr>
                          </m:ctrlPr>
                        </m:mPr>
                        <m:mr>
                          <m:e>
                            <m:r>
                              <w:rPr>
                                <w:rFonts w:ascii="Cambria Math" w:hAnsi="Cambria Math" w:cs="Times New Roman"/>
                                <w:szCs w:val="24"/>
                              </w:rPr>
                              <m:t>α</m:t>
                            </m:r>
                            <m:d>
                              <m:dPr>
                                <m:begChr m:val="["/>
                                <m:endChr m:val="]"/>
                                <m:ctrlPr>
                                  <w:rPr>
                                    <w:rFonts w:ascii="Cambria Math" w:hAnsi="Cambria Math" w:cs="Times New Roman"/>
                                    <w:i/>
                                    <w:iCs/>
                                    <w:szCs w:val="24"/>
                                  </w:rPr>
                                </m:ctrlPr>
                              </m:dPr>
                              <m:e>
                                <m:r>
                                  <w:rPr>
                                    <w:rFonts w:ascii="Cambria Math" w:hAnsi="Cambria Math" w:cs="Times New Roman"/>
                                    <w:szCs w:val="24"/>
                                  </w:rPr>
                                  <m:t>vpu</m:t>
                                </m:r>
                              </m:e>
                            </m:d>
                          </m:e>
                        </m:mr>
                        <m:mr>
                          <m:e>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r>
                              <w:rPr>
                                <w:rFonts w:ascii="Cambria Math" w:hAnsi="Cambria Math" w:cs="Times New Roman"/>
                                <w:szCs w:val="24"/>
                              </w:rPr>
                              <m:t>[vpu]</m:t>
                            </m:r>
                          </m:e>
                        </m:mr>
                      </m:m>
                    </m:e>
                  </m:d>
                </m:e>
                <m:sub>
                  <m:r>
                    <w:rPr>
                      <w:rFonts w:ascii="Cambria Math" w:hAnsi="Cambria Math" w:cs="Times New Roman"/>
                      <w:szCs w:val="24"/>
                    </w:rPr>
                    <m:t> </m:t>
                  </m:r>
                </m:sub>
              </m:sSub>
              <m:r>
                <w:rPr>
                  <w:rFonts w:ascii="Cambria Math" w:hAnsi="Cambria Math" w:cs="Times New Roman"/>
                  <w:szCs w:val="24"/>
                </w:rPr>
                <m:t>~ MVN</m:t>
              </m:r>
              <m:d>
                <m:dPr>
                  <m:ctrlPr>
                    <w:rPr>
                      <w:rFonts w:ascii="Cambria Math" w:hAnsi="Cambria Math" w:cs="Times New Roman"/>
                      <w:i/>
                      <w:iCs/>
                      <w:szCs w:val="24"/>
                    </w:rPr>
                  </m:ctrlPr>
                </m:dPr>
                <m:e>
                  <m:d>
                    <m:dPr>
                      <m:begChr m:val="["/>
                      <m:endChr m:val="]"/>
                      <m:ctrlPr>
                        <w:rPr>
                          <w:rFonts w:ascii="Cambria Math" w:hAnsi="Cambria Math" w:cs="Times New Roman"/>
                          <w:i/>
                          <w:iCs/>
                          <w:szCs w:val="24"/>
                        </w:rPr>
                      </m:ctrlPr>
                    </m:dPr>
                    <m:e>
                      <m:m>
                        <m:mPr>
                          <m:mcs>
                            <m:mc>
                              <m:mcPr>
                                <m:count m:val="1"/>
                                <m:mcJc m:val="center"/>
                              </m:mcPr>
                            </m:mc>
                          </m:mcs>
                          <m:ctrlPr>
                            <w:rPr>
                              <w:rFonts w:ascii="Cambria Math" w:hAnsi="Cambria Math" w:cs="Times New Roman"/>
                              <w:i/>
                              <w:iCs/>
                              <w:szCs w:val="24"/>
                            </w:rPr>
                          </m:ctrlPr>
                        </m:mPr>
                        <m:mr>
                          <m:e>
                            <m:r>
                              <w:rPr>
                                <w:rFonts w:ascii="Cambria Math" w:hAnsi="Cambria Math" w:cs="Times New Roman"/>
                                <w:szCs w:val="24"/>
                              </w:rPr>
                              <m:t>α</m:t>
                            </m:r>
                          </m:e>
                        </m:mr>
                        <m:mr>
                          <m:e>
                            <m:sSub>
                              <m:sSubPr>
                                <m:ctrlPr>
                                  <w:rPr>
                                    <w:rFonts w:ascii="Cambria Math" w:hAnsi="Cambria Math" w:cs="Times New Roman"/>
                                    <w:i/>
                                    <w:iCs/>
                                    <w:szCs w:val="24"/>
                                  </w:rPr>
                                </m:ctrlPr>
                              </m:sSubPr>
                              <m:e>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e>
                              <m:sub>
                                <m:r>
                                  <w:rPr>
                                    <w:rFonts w:ascii="Cambria Math" w:hAnsi="Cambria Math" w:cs="Times New Roman"/>
                                    <w:szCs w:val="24"/>
                                  </w:rPr>
                                  <m:t> </m:t>
                                </m:r>
                              </m:sub>
                            </m:sSub>
                          </m:e>
                        </m:mr>
                      </m:m>
                    </m:e>
                  </m:d>
                  <m:r>
                    <w:rPr>
                      <w:rFonts w:ascii="Cambria Math" w:hAnsi="Cambria Math" w:cs="Times New Roman"/>
                      <w:szCs w:val="24"/>
                    </w:rPr>
                    <m:t>,</m:t>
                  </m:r>
                  <m:r>
                    <m:rPr>
                      <m:sty m:val="b"/>
                    </m:rPr>
                    <w:rPr>
                      <w:rFonts w:ascii="Cambria Math" w:hAnsi="Cambria Math" w:cs="Times New Roman"/>
                      <w:szCs w:val="24"/>
                    </w:rPr>
                    <m:t>Τ</m:t>
                  </m:r>
                </m:e>
              </m:d>
              <m:r>
                <w:rPr>
                  <w:rFonts w:ascii="Cambria Math" w:hAnsi="Cambria Math" w:cs="Times New Roman"/>
                  <w:szCs w:val="24"/>
                </w:rPr>
                <m:t xml:space="preserve">; </m:t>
              </m:r>
              <m:r>
                <m:rPr>
                  <m:sty m:val="b"/>
                </m:rPr>
                <w:rPr>
                  <w:rFonts w:ascii="Cambria Math" w:hAnsi="Cambria Math" w:cs="Times New Roman"/>
                  <w:szCs w:val="24"/>
                </w:rPr>
                <m:t>Τ</m:t>
              </m:r>
              <m:r>
                <w:rPr>
                  <w:rFonts w:ascii="Cambria Math" w:hAnsi="Cambria Math" w:cs="Times New Roman"/>
                  <w:szCs w:val="24"/>
                </w:rPr>
                <m:t>=</m:t>
              </m:r>
              <m:d>
                <m:dPr>
                  <m:begChr m:val="["/>
                  <m:endChr m:val="]"/>
                  <m:ctrlPr>
                    <w:rPr>
                      <w:rFonts w:ascii="Cambria Math" w:hAnsi="Cambria Math" w:cs="Times New Roman"/>
                      <w:i/>
                      <w:iCs/>
                      <w:szCs w:val="24"/>
                    </w:rPr>
                  </m:ctrlPr>
                </m:dPr>
                <m:e>
                  <m:m>
                    <m:mPr>
                      <m:mcs>
                        <m:mc>
                          <m:mcPr>
                            <m:count m:val="2"/>
                            <m:mcJc m:val="center"/>
                          </m:mcPr>
                        </m:mc>
                      </m:mcs>
                      <m:ctrlPr>
                        <w:rPr>
                          <w:rFonts w:ascii="Cambria Math" w:hAnsi="Cambria Math" w:cs="Times New Roman"/>
                          <w:i/>
                          <w:iCs/>
                          <w:szCs w:val="24"/>
                        </w:rPr>
                      </m:ctrlPr>
                    </m:mPr>
                    <m:mr>
                      <m:e>
                        <m:sSub>
                          <m:sSubPr>
                            <m:ctrlPr>
                              <w:rPr>
                                <w:rFonts w:ascii="Cambria Math" w:hAnsi="Cambria Math" w:cs="Times New Roman"/>
                                <w:i/>
                                <w:iCs/>
                                <w:szCs w:val="24"/>
                              </w:rPr>
                            </m:ctrlPr>
                          </m:sSubPr>
                          <m:e>
                            <m:r>
                              <w:rPr>
                                <w:rFonts w:ascii="Cambria Math" w:hAnsi="Cambria Math" w:cs="Times New Roman"/>
                                <w:szCs w:val="24"/>
                              </w:rPr>
                              <m:t>σ</m:t>
                            </m:r>
                          </m:e>
                          <m:sub>
                            <m:r>
                              <w:rPr>
                                <w:rFonts w:ascii="Cambria Math" w:hAnsi="Cambria Math" w:cs="Times New Roman"/>
                                <w:szCs w:val="24"/>
                              </w:rPr>
                              <m:t>α</m:t>
                            </m:r>
                          </m:sub>
                        </m:sSub>
                      </m:e>
                      <m:e>
                        <m:r>
                          <w:rPr>
                            <w:rFonts w:ascii="Cambria Math" w:hAnsi="Cambria Math" w:cs="Times New Roman"/>
                            <w:szCs w:val="24"/>
                          </w:rPr>
                          <m:t>0</m:t>
                        </m:r>
                      </m:e>
                    </m:mr>
                    <m:mr>
                      <m:e>
                        <m:r>
                          <w:rPr>
                            <w:rFonts w:ascii="Cambria Math" w:hAnsi="Cambria Math" w:cs="Times New Roman"/>
                            <w:szCs w:val="24"/>
                          </w:rPr>
                          <m:t>0</m:t>
                        </m:r>
                      </m:e>
                      <m:e>
                        <m:sSub>
                          <m:sSubPr>
                            <m:ctrlPr>
                              <w:rPr>
                                <w:rFonts w:ascii="Cambria Math" w:hAnsi="Cambria Math" w:cs="Times New Roman"/>
                                <w:i/>
                                <w:iCs/>
                                <w:szCs w:val="24"/>
                              </w:rPr>
                            </m:ctrlPr>
                          </m:sSubPr>
                          <m:e>
                            <m:r>
                              <w:rPr>
                                <w:rFonts w:ascii="Cambria Math" w:hAnsi="Cambria Math" w:cs="Times New Roman"/>
                                <w:szCs w:val="24"/>
                              </w:rPr>
                              <m:t>σ</m:t>
                            </m:r>
                          </m:e>
                          <m:sub>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m:t>
                                </m:r>
                              </m:sub>
                            </m:sSub>
                          </m:sub>
                        </m:sSub>
                      </m:e>
                    </m:mr>
                  </m:m>
                </m:e>
              </m:d>
              <m:r>
                <m:rPr>
                  <m:sty m:val="b"/>
                </m:rPr>
                <w:rPr>
                  <w:rFonts w:ascii="Cambria Math" w:hAnsi="Cambria Math" w:cs="Times New Roman"/>
                  <w:szCs w:val="24"/>
                </w:rPr>
                <m:t>Α</m:t>
              </m:r>
              <m:d>
                <m:dPr>
                  <m:begChr m:val="["/>
                  <m:endChr m:val="]"/>
                  <m:ctrlPr>
                    <w:rPr>
                      <w:rFonts w:ascii="Cambria Math" w:hAnsi="Cambria Math" w:cs="Times New Roman"/>
                      <w:i/>
                      <w:iCs/>
                      <w:szCs w:val="24"/>
                    </w:rPr>
                  </m:ctrlPr>
                </m:dPr>
                <m:e>
                  <m:m>
                    <m:mPr>
                      <m:mcs>
                        <m:mc>
                          <m:mcPr>
                            <m:count m:val="2"/>
                            <m:mcJc m:val="center"/>
                          </m:mcPr>
                        </m:mc>
                      </m:mcs>
                      <m:ctrlPr>
                        <w:rPr>
                          <w:rFonts w:ascii="Cambria Math" w:hAnsi="Cambria Math" w:cs="Times New Roman"/>
                          <w:i/>
                          <w:iCs/>
                          <w:szCs w:val="24"/>
                        </w:rPr>
                      </m:ctrlPr>
                    </m:mPr>
                    <m:mr>
                      <m:e>
                        <m:sSub>
                          <m:sSubPr>
                            <m:ctrlPr>
                              <w:rPr>
                                <w:rFonts w:ascii="Cambria Math" w:hAnsi="Cambria Math" w:cs="Times New Roman"/>
                                <w:i/>
                                <w:iCs/>
                                <w:szCs w:val="24"/>
                              </w:rPr>
                            </m:ctrlPr>
                          </m:sSubPr>
                          <m:e>
                            <m:r>
                              <w:rPr>
                                <w:rFonts w:ascii="Cambria Math" w:hAnsi="Cambria Math" w:cs="Times New Roman"/>
                                <w:szCs w:val="24"/>
                              </w:rPr>
                              <m:t>σ</m:t>
                            </m:r>
                          </m:e>
                          <m:sub>
                            <m:r>
                              <w:rPr>
                                <w:rFonts w:ascii="Cambria Math" w:hAnsi="Cambria Math" w:cs="Times New Roman"/>
                                <w:szCs w:val="24"/>
                              </w:rPr>
                              <m:t>α</m:t>
                            </m:r>
                          </m:sub>
                        </m:sSub>
                      </m:e>
                      <m:e>
                        <m:r>
                          <w:rPr>
                            <w:rFonts w:ascii="Cambria Math" w:hAnsi="Cambria Math" w:cs="Times New Roman"/>
                            <w:szCs w:val="24"/>
                          </w:rPr>
                          <m:t>0</m:t>
                        </m:r>
                      </m:e>
                    </m:mr>
                    <m:mr>
                      <m:e>
                        <m:r>
                          <w:rPr>
                            <w:rFonts w:ascii="Cambria Math" w:hAnsi="Cambria Math" w:cs="Times New Roman"/>
                            <w:szCs w:val="24"/>
                          </w:rPr>
                          <m:t>0</m:t>
                        </m:r>
                      </m:e>
                      <m:e>
                        <m:sSub>
                          <m:sSubPr>
                            <m:ctrlPr>
                              <w:rPr>
                                <w:rFonts w:ascii="Cambria Math" w:hAnsi="Cambria Math" w:cs="Times New Roman"/>
                                <w:i/>
                                <w:iCs/>
                                <w:szCs w:val="24"/>
                              </w:rPr>
                            </m:ctrlPr>
                          </m:sSubPr>
                          <m:e>
                            <m:r>
                              <w:rPr>
                                <w:rFonts w:ascii="Cambria Math" w:hAnsi="Cambria Math" w:cs="Times New Roman"/>
                                <w:szCs w:val="24"/>
                              </w:rPr>
                              <m:t>σ</m:t>
                            </m:r>
                          </m:e>
                          <m:sub>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m:t>
                                </m:r>
                              </m:sub>
                            </m:sSub>
                          </m:sub>
                        </m:sSub>
                      </m:e>
                    </m:mr>
                  </m:m>
                </m:e>
              </m:d>
            </m:oMath>
            <w:r w:rsidR="00504067" w:rsidRPr="006D6055">
              <w:rPr>
                <w:rFonts w:eastAsiaTheme="minorEastAsia" w:cs="Times New Roman"/>
                <w:iCs/>
                <w:szCs w:val="24"/>
              </w:rPr>
              <w:t xml:space="preserve">; </w:t>
            </w:r>
            <m:oMath>
              <m:r>
                <w:rPr>
                  <w:rFonts w:ascii="Cambria Math" w:hAnsi="Cambria Math" w:cs="Times New Roman"/>
                  <w:szCs w:val="24"/>
                </w:rPr>
                <m:t>α</m:t>
              </m:r>
              <m:d>
                <m:dPr>
                  <m:begChr m:val="["/>
                  <m:endChr m:val="]"/>
                  <m:ctrlPr>
                    <w:rPr>
                      <w:rFonts w:ascii="Cambria Math" w:hAnsi="Cambria Math" w:cs="Times New Roman"/>
                      <w:i/>
                      <w:iCs/>
                      <w:szCs w:val="24"/>
                    </w:rPr>
                  </m:ctrlPr>
                </m:dPr>
                <m:e>
                  <m:r>
                    <w:rPr>
                      <w:rFonts w:ascii="Cambria Math" w:hAnsi="Cambria Math" w:cs="Times New Roman"/>
                      <w:szCs w:val="24"/>
                    </w:rPr>
                    <m:t>vpu</m:t>
                  </m:r>
                </m:e>
              </m:d>
              <m:r>
                <w:rPr>
                  <w:rFonts w:ascii="Cambria Math" w:hAnsi="Cambria Math" w:cs="Times New Roman"/>
                  <w:szCs w:val="24"/>
                </w:rPr>
                <m:t xml:space="preserve"> ~ N</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S</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w:t>
            </w:r>
            <w:r w:rsidR="00504067">
              <w:rPr>
                <w:rFonts w:eastAsiaTheme="minorEastAsia" w:cs="Times New Roman"/>
                <w:iCs/>
                <w:szCs w:val="24"/>
              </w:rPr>
              <w:t xml:space="preserve"> </w:t>
            </w:r>
            <m:oMath>
              <m:sSub>
                <m:sSubPr>
                  <m:ctrlPr>
                    <w:rPr>
                      <w:rFonts w:ascii="Cambria Math" w:hAnsi="Cambria Math" w:cs="Times New Roman"/>
                      <w:i/>
                      <w:iCs/>
                      <w:szCs w:val="24"/>
                    </w:rPr>
                  </m:ctrlPr>
                </m:sSubPr>
                <m:e>
                  <m:sSub>
                    <m:sSubPr>
                      <m:ctrlPr>
                        <w:rPr>
                          <w:rFonts w:ascii="Cambria Math" w:hAnsi="Cambria Math" w:cs="Times New Roman"/>
                          <w:i/>
                          <w:iCs/>
                          <w:szCs w:val="24"/>
                        </w:rPr>
                      </m:ctrlPr>
                    </m:sSubPr>
                    <m:e>
                      <m:r>
                        <w:rPr>
                          <w:rFonts w:ascii="Cambria Math" w:hAnsi="Cambria Math" w:cs="Times New Roman"/>
                          <w:szCs w:val="24"/>
                        </w:rPr>
                        <m:t>β</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r>
                        <w:rPr>
                          <w:rFonts w:ascii="Cambria Math" w:hAnsi="Cambria Math" w:cs="Times New Roman"/>
                          <w:szCs w:val="24"/>
                        </w:rPr>
                        <m:t> </m:t>
                      </m:r>
                    </m:sub>
                  </m:sSub>
                </m:e>
                <m:sub>
                  <m:r>
                    <w:rPr>
                      <w:rFonts w:ascii="Cambria Math" w:hAnsi="Cambria Math" w:cs="Times New Roman"/>
                      <w:szCs w:val="24"/>
                    </w:rPr>
                    <m:t> </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w:t>
            </w:r>
            <w:r w:rsidR="00504067">
              <w:rPr>
                <w:rFonts w:eastAsiaTheme="minorEastAsia" w:cs="Times New Roman"/>
                <w:iCs/>
                <w:szCs w:val="24"/>
              </w:rPr>
              <w:t xml:space="preserve"> </w:t>
            </w:r>
            <m:oMath>
              <m:sSub>
                <m:sSubPr>
                  <m:ctrlPr>
                    <w:rPr>
                      <w:rFonts w:ascii="Cambria Math" w:hAnsi="Cambria Math" w:cs="Times New Roman"/>
                      <w:i/>
                      <w:iCs/>
                      <w:szCs w:val="24"/>
                    </w:rPr>
                  </m:ctrlPr>
                </m:sSubPr>
                <m:e>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V</m:t>
                      </m:r>
                    </m:sub>
                  </m:sSub>
                </m:e>
                <m:sub>
                  <m:r>
                    <w:rPr>
                      <w:rFonts w:ascii="Cambria Math" w:hAnsi="Cambria Math" w:cs="Times New Roman"/>
                      <w:szCs w:val="24"/>
                    </w:rPr>
                    <m:t> </m:t>
                  </m:r>
                </m:sub>
              </m:sSub>
              <m:r>
                <w:rPr>
                  <w:rFonts w:ascii="Cambria Math" w:hAnsi="Cambria Math" w:cs="Times New Roman"/>
                  <w:szCs w:val="24"/>
                </w:rPr>
                <m:t>~ N</m:t>
              </m:r>
              <m:d>
                <m:dPr>
                  <m:ctrlPr>
                    <w:rPr>
                      <w:rFonts w:ascii="Cambria Math" w:hAnsi="Cambria Math" w:cs="Times New Roman"/>
                      <w:i/>
                      <w:iCs/>
                      <w:szCs w:val="24"/>
                    </w:rPr>
                  </m:ctrlPr>
                </m:dPr>
                <m:e>
                  <m:r>
                    <w:rPr>
                      <w:rFonts w:ascii="Cambria Math" w:hAnsi="Cambria Math" w:cs="Times New Roman"/>
                      <w:szCs w:val="24"/>
                    </w:rPr>
                    <m:t>0 , 1</m:t>
                  </m:r>
                </m:e>
              </m:d>
              <m:r>
                <w:rPr>
                  <w:rFonts w:ascii="Cambria Math" w:hAnsi="Cambria Math" w:cs="Times New Roman"/>
                  <w:szCs w:val="24"/>
                </w:rPr>
                <m:t>;</m:t>
              </m:r>
            </m:oMath>
            <w:r w:rsidR="00504067" w:rsidRPr="006D6055">
              <w:rPr>
                <w:rFonts w:eastAsiaTheme="minorEastAsia" w:cs="Times New Roman"/>
                <w:iCs/>
                <w:szCs w:val="24"/>
              </w:rPr>
              <w:t xml:space="preserve"> </w:t>
            </w:r>
            <m:oMath>
              <m:r>
                <w:rPr>
                  <w:rFonts w:ascii="Cambria Math" w:hAnsi="Cambria Math" w:cs="Times New Roman"/>
                  <w:szCs w:val="24"/>
                </w:rPr>
                <w:lastRenderedPageBreak/>
                <m:t>σ ~ HalfCauchy</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σ</m:t>
                  </m:r>
                </m:e>
                <m:sub>
                  <m:r>
                    <w:rPr>
                      <w:rFonts w:ascii="Cambria Math" w:hAnsi="Cambria Math" w:cs="Times New Roman"/>
                      <w:szCs w:val="24"/>
                    </w:rPr>
                    <m:t>α</m:t>
                  </m:r>
                </m:sub>
              </m:sSub>
              <m:r>
                <w:rPr>
                  <w:rFonts w:ascii="Cambria Math" w:hAnsi="Cambria Math" w:cs="Times New Roman"/>
                  <w:szCs w:val="24"/>
                </w:rPr>
                <m:t xml:space="preserve"> ~ HalfCauchy</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 xml:space="preserve">; </w:t>
            </w:r>
            <m:oMath>
              <m:sSub>
                <m:sSubPr>
                  <m:ctrlPr>
                    <w:rPr>
                      <w:rFonts w:ascii="Cambria Math" w:hAnsi="Cambria Math" w:cs="Times New Roman"/>
                      <w:i/>
                      <w:iCs/>
                      <w:szCs w:val="24"/>
                    </w:rPr>
                  </m:ctrlPr>
                </m:sSubPr>
                <m:e>
                  <m:r>
                    <w:rPr>
                      <w:rFonts w:ascii="Cambria Math" w:hAnsi="Cambria Math" w:cs="Times New Roman"/>
                      <w:szCs w:val="24"/>
                    </w:rPr>
                    <m:t>σ</m:t>
                  </m:r>
                </m:e>
                <m:sub>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m:t>
                      </m:r>
                    </m:sub>
                  </m:sSub>
                </m:sub>
              </m:sSub>
              <m:r>
                <w:rPr>
                  <w:rFonts w:ascii="Cambria Math" w:hAnsi="Cambria Math" w:cs="Times New Roman"/>
                  <w:szCs w:val="24"/>
                </w:rPr>
                <m:t>~ HalfCauchy</m:t>
              </m:r>
              <m:d>
                <m:dPr>
                  <m:ctrlPr>
                    <w:rPr>
                      <w:rFonts w:ascii="Cambria Math" w:hAnsi="Cambria Math" w:cs="Times New Roman"/>
                      <w:i/>
                      <w:iCs/>
                      <w:szCs w:val="24"/>
                    </w:rPr>
                  </m:ctrlPr>
                </m:dPr>
                <m:e>
                  <m:r>
                    <w:rPr>
                      <w:rFonts w:ascii="Cambria Math" w:hAnsi="Cambria Math" w:cs="Times New Roman"/>
                      <w:szCs w:val="24"/>
                    </w:rPr>
                    <m:t>0 , 1</m:t>
                  </m:r>
                </m:e>
              </m:d>
            </m:oMath>
            <w:r w:rsidR="00504067" w:rsidRPr="006D6055">
              <w:rPr>
                <w:rFonts w:eastAsiaTheme="minorEastAsia" w:cs="Times New Roman"/>
                <w:iCs/>
                <w:szCs w:val="24"/>
              </w:rPr>
              <w:t xml:space="preserve">; </w:t>
            </w:r>
            <m:oMath>
              <m:r>
                <m:rPr>
                  <m:sty m:val="b"/>
                </m:rPr>
                <w:rPr>
                  <w:rFonts w:ascii="Cambria Math" w:hAnsi="Cambria Math" w:cs="Times New Roman"/>
                  <w:szCs w:val="24"/>
                </w:rPr>
                <m:t>Α</m:t>
              </m:r>
              <m:r>
                <w:rPr>
                  <w:rFonts w:ascii="Cambria Math" w:hAnsi="Cambria Math" w:cs="Times New Roman"/>
                  <w:szCs w:val="24"/>
                </w:rPr>
                <m:t xml:space="preserve"> ~ LKJcorr</m:t>
              </m:r>
              <m:d>
                <m:dPr>
                  <m:ctrlPr>
                    <w:rPr>
                      <w:rFonts w:ascii="Cambria Math" w:hAnsi="Cambria Math" w:cs="Times New Roman"/>
                      <w:i/>
                      <w:iCs/>
                      <w:szCs w:val="24"/>
                    </w:rPr>
                  </m:ctrlPr>
                </m:dPr>
                <m:e>
                  <m:r>
                    <w:rPr>
                      <w:rFonts w:ascii="Cambria Math" w:hAnsi="Cambria Math" w:cs="Times New Roman"/>
                      <w:szCs w:val="24"/>
                    </w:rPr>
                    <m:t>2</m:t>
                  </m:r>
                </m:e>
              </m:d>
            </m:oMath>
          </w:p>
        </w:tc>
        <w:tc>
          <w:tcPr>
            <w:tcW w:w="980" w:type="dxa"/>
            <w:vAlign w:val="center"/>
          </w:tcPr>
          <w:p w14:paraId="56B85D39" w14:textId="77777777" w:rsidR="00504067" w:rsidRDefault="00504067" w:rsidP="002D7985">
            <w:pPr>
              <w:spacing w:line="480" w:lineRule="auto"/>
              <w:contextualSpacing/>
              <w:jc w:val="center"/>
              <w:rPr>
                <w:rFonts w:eastAsiaTheme="minorEastAsia" w:cs="Times New Roman"/>
                <w:color w:val="000000" w:themeColor="text1"/>
                <w:kern w:val="24"/>
                <w:szCs w:val="24"/>
              </w:rPr>
            </w:pPr>
            <w:r>
              <w:rPr>
                <w:rFonts w:eastAsiaTheme="minorEastAsia" w:cs="Times New Roman"/>
                <w:color w:val="000000" w:themeColor="text1"/>
                <w:kern w:val="24"/>
                <w:szCs w:val="24"/>
              </w:rPr>
              <w:lastRenderedPageBreak/>
              <w:t>Eq. 3</w:t>
            </w:r>
          </w:p>
        </w:tc>
      </w:tr>
    </w:tbl>
    <w:p w14:paraId="35CFDE08" w14:textId="478014FC" w:rsidR="00504067" w:rsidRDefault="00504067" w:rsidP="002D7985">
      <w:pPr>
        <w:spacing w:line="480" w:lineRule="auto"/>
        <w:contextualSpacing/>
        <w:rPr>
          <w:rFonts w:eastAsiaTheme="minorEastAsia" w:cs="Times New Roman"/>
          <w:szCs w:val="24"/>
        </w:rPr>
      </w:pPr>
      <w:r>
        <w:rPr>
          <w:rFonts w:cs="Times New Roman"/>
          <w:szCs w:val="24"/>
        </w:rPr>
        <w:lastRenderedPageBreak/>
        <w:t>Varying slopes and intercepts require estimating</w:t>
      </w:r>
      <w:r w:rsidRPr="00FB0F43">
        <w:rPr>
          <w:rFonts w:cs="Times New Roman"/>
          <w:szCs w:val="24"/>
        </w:rPr>
        <w:t xml:space="preserve"> the</w:t>
      </w:r>
      <w:r>
        <w:rPr>
          <w:rFonts w:cs="Times New Roman"/>
          <w:szCs w:val="24"/>
        </w:rPr>
        <w:t>ir</w:t>
      </w:r>
      <w:r w:rsidRPr="00FB0F43">
        <w:rPr>
          <w:rFonts w:cs="Times New Roman"/>
          <w:szCs w:val="24"/>
        </w:rPr>
        <w:t xml:space="preserve"> correlation </w:t>
      </w:r>
      <w:r>
        <w:rPr>
          <w:rFonts w:cs="Times New Roman"/>
          <w:szCs w:val="24"/>
        </w:rPr>
        <w:t>f</w:t>
      </w:r>
      <w:r w:rsidRPr="00FB0F43">
        <w:rPr>
          <w:rFonts w:cs="Times New Roman"/>
          <w:szCs w:val="24"/>
        </w:rPr>
        <w:t>or each</w:t>
      </w:r>
      <w:r>
        <w:rPr>
          <w:rFonts w:cs="Times New Roman"/>
          <w:szCs w:val="24"/>
        </w:rPr>
        <w:t xml:space="preserve"> VPU. We</w:t>
      </w:r>
      <w:r w:rsidRPr="00FB0F43">
        <w:rPr>
          <w:rFonts w:cs="Times New Roman"/>
          <w:szCs w:val="24"/>
        </w:rPr>
        <w:t xml:space="preserve"> follow</w:t>
      </w:r>
      <w:r>
        <w:rPr>
          <w:rFonts w:cs="Times New Roman"/>
          <w:szCs w:val="24"/>
        </w:rPr>
        <w:t>ed</w:t>
      </w:r>
      <w:r w:rsidRPr="00FB0F43">
        <w:rPr>
          <w:rFonts w:cs="Times New Roman"/>
          <w:szCs w:val="24"/>
        </w:rPr>
        <w:t xml:space="preserve">, </w:t>
      </w:r>
      <w:r>
        <w:rPr>
          <w:rStyle w:val="FootnoteReference"/>
          <w:rFonts w:cs="Times New Roman"/>
          <w:szCs w:val="24"/>
        </w:rPr>
        <w:fldChar w:fldCharType="begin" w:fldLock="1"/>
      </w:r>
      <w:r>
        <w:rPr>
          <w:rFonts w:cs="Times New Roman"/>
          <w:szCs w:val="24"/>
        </w:rPr>
        <w:instrText>ADDIN CSL_CITATION {"citationItems":[{"id":"ITEM-1","itemData":{"author":[{"dropping-particle":"","family":"McElreath","given":"R.","non-dropping-particle":"","parse-names":false,"suffix":""}],"id":"ITEM-1","issued":{"date-parts":[["2016"]]},"number-of-pages":"469","publisher":"CRC Press","publisher-place":"New York","title":"Statistical Rethinking: A Bayesian Course with Examples in R and Stan","type":"book"},"uris":["http://www.mendeley.com/documents/?uuid=23f1ea93-b9cd-4d37-97a6-4bc0dfdde239"]}],"mendeley":{"formattedCitation":"(McElreath 2016)","manualFormatting":"McElreath (2016)","plainTextFormattedCitation":"(McElreath 2016)","previouslyFormattedCitation":"(McElreath 2016)"},"properties":{"noteIndex":0},"schema":"https://github.com/citation-style-language/schema/raw/master/csl-citation.json"}</w:instrText>
      </w:r>
      <w:r>
        <w:rPr>
          <w:rStyle w:val="FootnoteReference"/>
          <w:rFonts w:cs="Times New Roman"/>
          <w:szCs w:val="24"/>
        </w:rPr>
        <w:fldChar w:fldCharType="separate"/>
      </w:r>
      <w:r>
        <w:rPr>
          <w:rFonts w:cs="Times New Roman"/>
          <w:noProof/>
          <w:szCs w:val="24"/>
        </w:rPr>
        <w:t>McElreath (2016)</w:t>
      </w:r>
      <w:r>
        <w:rPr>
          <w:rStyle w:val="FootnoteReference"/>
          <w:rFonts w:cs="Times New Roman"/>
          <w:szCs w:val="24"/>
        </w:rPr>
        <w:fldChar w:fldCharType="end"/>
      </w:r>
      <w:r>
        <w:rPr>
          <w:rFonts w:cs="Times New Roman"/>
          <w:szCs w:val="24"/>
        </w:rPr>
        <w:t xml:space="preserve"> </w:t>
      </w:r>
      <w:r w:rsidRPr="00FB0F43">
        <w:rPr>
          <w:rFonts w:cs="Times New Roman"/>
          <w:szCs w:val="24"/>
        </w:rPr>
        <w:t xml:space="preserve">in defining the population of varying slopes </w:t>
      </w:r>
      <w:r>
        <w:rPr>
          <w:rFonts w:cs="Times New Roman"/>
          <w:szCs w:val="24"/>
        </w:rPr>
        <w:t>and intercepts, such that each VPU</w:t>
      </w:r>
      <w:r w:rsidRPr="00FB0F43">
        <w:rPr>
          <w:rFonts w:cs="Times New Roman"/>
          <w:szCs w:val="24"/>
        </w:rPr>
        <w:t xml:space="preserve"> has an intercept and slope with a prior distribution defined by a 2-dimensional Gaussian distribution with means, </w:t>
      </w:r>
      <m:oMath>
        <m:r>
          <w:rPr>
            <w:rFonts w:ascii="Cambria Math" w:hAnsi="Cambria Math" w:cs="Times New Roman"/>
            <w:szCs w:val="24"/>
          </w:rPr>
          <m:t>α</m:t>
        </m:r>
      </m:oMath>
      <w:r w:rsidRPr="00FB0F43">
        <w:rPr>
          <w:rFonts w:eastAsiaTheme="minorEastAsia" w:cs="Times New Roman"/>
          <w:iCs/>
          <w:szCs w:val="24"/>
        </w:rPr>
        <w:t xml:space="preserve"> and </w:t>
      </w:r>
      <m:oMath>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 </m:t>
            </m:r>
          </m:sub>
        </m:sSub>
      </m:oMath>
      <w:r w:rsidRPr="00FB0F43">
        <w:rPr>
          <w:rFonts w:cs="Times New Roman"/>
          <w:szCs w:val="24"/>
        </w:rPr>
        <w:t xml:space="preserve">and covariance matrix, </w:t>
      </w:r>
      <m:oMath>
        <m:r>
          <m:rPr>
            <m:sty m:val="b"/>
          </m:rPr>
          <w:rPr>
            <w:rFonts w:ascii="Cambria Math" w:hAnsi="Cambria Math" w:cs="Times New Roman"/>
            <w:szCs w:val="24"/>
          </w:rPr>
          <m:t>Τ</m:t>
        </m:r>
      </m:oMath>
      <w:r w:rsidRPr="00FB0F43">
        <w:rPr>
          <w:rFonts w:eastAsiaTheme="minorEastAsia" w:cs="Times New Roman"/>
          <w:b/>
          <w:szCs w:val="24"/>
        </w:rPr>
        <w:t>.</w:t>
      </w:r>
      <w:r>
        <w:rPr>
          <w:rFonts w:eastAsiaTheme="minorEastAsia" w:cs="Times New Roman"/>
          <w:b/>
          <w:szCs w:val="24"/>
        </w:rPr>
        <w:t xml:space="preserve"> </w:t>
      </w:r>
      <w:r w:rsidRPr="00FB0F43">
        <w:rPr>
          <w:rFonts w:eastAsiaTheme="minorEastAsia" w:cs="Times New Roman"/>
          <w:szCs w:val="24"/>
        </w:rPr>
        <w:t>We designed the covariation matrix by factoring it into separate standard deviations (</w:t>
      </w:r>
      <m:oMath>
        <m:sSub>
          <m:sSubPr>
            <m:ctrlPr>
              <w:rPr>
                <w:rFonts w:ascii="Cambria Math" w:hAnsi="Cambria Math" w:cs="Times New Roman"/>
                <w:i/>
                <w:iCs/>
                <w:szCs w:val="24"/>
              </w:rPr>
            </m:ctrlPr>
          </m:sSubPr>
          <m:e>
            <m:r>
              <w:rPr>
                <w:rFonts w:ascii="Cambria Math" w:hAnsi="Cambria Math" w:cs="Times New Roman"/>
                <w:szCs w:val="24"/>
              </w:rPr>
              <m:t>σ</m:t>
            </m:r>
          </m:e>
          <m:sub>
            <m:r>
              <w:rPr>
                <w:rFonts w:ascii="Cambria Math" w:hAnsi="Cambria Math" w:cs="Times New Roman"/>
                <w:szCs w:val="24"/>
              </w:rPr>
              <m:t>α</m:t>
            </m:r>
          </m:sub>
        </m:sSub>
        <m:r>
          <w:rPr>
            <w:rFonts w:ascii="Cambria Math" w:hAnsi="Cambria Math" w:cs="Times New Roman"/>
            <w:szCs w:val="24"/>
          </w:rPr>
          <m:t xml:space="preserve"> </m:t>
        </m:r>
        <m:r>
          <m:rPr>
            <m:sty m:val="p"/>
          </m:rPr>
          <w:rPr>
            <w:rFonts w:ascii="Cambria Math" w:hAnsi="Cambria Math" w:cs="Times New Roman"/>
            <w:szCs w:val="24"/>
          </w:rPr>
          <m:t xml:space="preserve">and </m:t>
        </m:r>
        <m:sSub>
          <m:sSubPr>
            <m:ctrlPr>
              <w:rPr>
                <w:rFonts w:ascii="Cambria Math" w:hAnsi="Cambria Math" w:cs="Times New Roman"/>
                <w:i/>
                <w:iCs/>
                <w:szCs w:val="24"/>
              </w:rPr>
            </m:ctrlPr>
          </m:sSubPr>
          <m:e>
            <m:r>
              <w:rPr>
                <w:rFonts w:ascii="Cambria Math" w:hAnsi="Cambria Math" w:cs="Times New Roman"/>
                <w:szCs w:val="24"/>
              </w:rPr>
              <m:t>σ</m:t>
            </m:r>
          </m:e>
          <m:sub>
            <m:sSub>
              <m:sSubPr>
                <m:ctrlPr>
                  <w:rPr>
                    <w:rFonts w:ascii="Cambria Math" w:hAnsi="Cambria Math" w:cs="Times New Roman"/>
                    <w:i/>
                    <w:iCs/>
                    <w:szCs w:val="24"/>
                  </w:rPr>
                </m:ctrlPr>
              </m:sSubPr>
              <m:e>
                <m:r>
                  <w:rPr>
                    <w:rFonts w:ascii="Cambria Math" w:hAnsi="Cambria Math" w:cs="Times New Roman"/>
                    <w:szCs w:val="24"/>
                  </w:rPr>
                  <m:t>β</m:t>
                </m:r>
              </m:e>
              <m:sub>
                <m:r>
                  <w:rPr>
                    <w:rFonts w:ascii="Cambria Math" w:hAnsi="Cambria Math" w:cs="Times New Roman"/>
                    <w:szCs w:val="24"/>
                  </w:rPr>
                  <m:t>R</m:t>
                </m:r>
              </m:sub>
            </m:sSub>
          </m:sub>
        </m:sSub>
      </m:oMath>
      <w:r w:rsidRPr="00FB0F43">
        <w:rPr>
          <w:rFonts w:eastAsiaTheme="minorEastAsia" w:cs="Times New Roman"/>
          <w:iCs/>
          <w:szCs w:val="24"/>
        </w:rPr>
        <w:t>)</w:t>
      </w:r>
      <w:r w:rsidRPr="00FB0F43">
        <w:rPr>
          <w:rFonts w:cs="Times New Roman"/>
          <w:szCs w:val="24"/>
        </w:rPr>
        <w:t xml:space="preserve"> and a correlation matrix, </w:t>
      </w:r>
      <m:oMath>
        <m:r>
          <m:rPr>
            <m:sty m:val="b"/>
          </m:rPr>
          <w:rPr>
            <w:rFonts w:ascii="Cambria Math" w:hAnsi="Cambria Math" w:cs="Times New Roman"/>
            <w:szCs w:val="24"/>
          </w:rPr>
          <m:t>Α.</m:t>
        </m:r>
      </m:oMath>
      <w:r w:rsidRPr="00FB0F43">
        <w:rPr>
          <w:rFonts w:cs="Times New Roman"/>
          <w:szCs w:val="24"/>
        </w:rPr>
        <w:t xml:space="preserve"> The prior for the correlation matrix, </w:t>
      </w:r>
      <m:oMath>
        <m:r>
          <m:rPr>
            <m:sty m:val="b"/>
          </m:rPr>
          <w:rPr>
            <w:rFonts w:ascii="Cambria Math" w:hAnsi="Cambria Math" w:cs="Times New Roman"/>
            <w:szCs w:val="24"/>
          </w:rPr>
          <m:t>Α</m:t>
        </m:r>
      </m:oMath>
      <w:r w:rsidRPr="00D1401B">
        <w:rPr>
          <w:rFonts w:eastAsiaTheme="minorEastAsia" w:cs="Times New Roman"/>
          <w:szCs w:val="24"/>
        </w:rPr>
        <w:t>,</w:t>
      </w:r>
      <w:r w:rsidRPr="00FB0F43">
        <w:rPr>
          <w:rFonts w:cs="Times New Roman"/>
          <w:szCs w:val="24"/>
        </w:rPr>
        <w:t xml:space="preserve"> is defined by a weakly informative, </w:t>
      </w:r>
      <w:proofErr w:type="spellStart"/>
      <w:r w:rsidRPr="00FB0F43">
        <w:rPr>
          <w:rFonts w:cs="Times New Roman"/>
          <w:szCs w:val="24"/>
        </w:rPr>
        <w:t>LKJcorr</w:t>
      </w:r>
      <w:proofErr w:type="spellEnd"/>
      <w:r w:rsidRPr="00FB0F43">
        <w:rPr>
          <w:rFonts w:cs="Times New Roman"/>
          <w:szCs w:val="24"/>
        </w:rPr>
        <w:t xml:space="preserve"> distribution </w:t>
      </w:r>
      <w:r>
        <w:rPr>
          <w:rStyle w:val="FootnoteReference"/>
          <w:rFonts w:cs="Times New Roman"/>
          <w:szCs w:val="24"/>
        </w:rPr>
        <w:fldChar w:fldCharType="begin" w:fldLock="1"/>
      </w:r>
      <w:r>
        <w:rPr>
          <w:rFonts w:cs="Times New Roman"/>
          <w:szCs w:val="24"/>
        </w:rPr>
        <w:instrText>ADDIN CSL_CITATION {"citationItems":[{"id":"ITEM-1","itemData":{"author":[{"dropping-particle":"","family":"McElreath","given":"R.","non-dropping-particle":"","parse-names":false,"suffix":""}],"id":"ITEM-1","issued":{"date-parts":[["2016"]]},"number-of-pages":"469","publisher":"CRC Press","publisher-place":"New York","title":"Statistical Rethinking: A Bayesian Course with Examples in R and Stan","type":"book"},"uris":["http://www.mendeley.com/documents/?uuid=23f1ea93-b9cd-4d37-97a6-4bc0dfdde239"]}],"mendeley":{"formattedCitation":"(McElreath 2016)","plainTextFormattedCitation":"(McElreath 2016)","previouslyFormattedCitation":"(McElreath 2016)"},"properties":{"noteIndex":0},"schema":"https://github.com/citation-style-language/schema/raw/master/csl-citation.json"}</w:instrText>
      </w:r>
      <w:r>
        <w:rPr>
          <w:rStyle w:val="FootnoteReference"/>
          <w:rFonts w:cs="Times New Roman"/>
          <w:szCs w:val="24"/>
        </w:rPr>
        <w:fldChar w:fldCharType="separate"/>
      </w:r>
      <w:r w:rsidRPr="00B96D5E">
        <w:rPr>
          <w:rFonts w:cs="Times New Roman"/>
          <w:noProof/>
          <w:szCs w:val="24"/>
        </w:rPr>
        <w:t>(McElreath 2016)</w:t>
      </w:r>
      <w:r>
        <w:rPr>
          <w:rStyle w:val="FootnoteReference"/>
          <w:rFonts w:cs="Times New Roman"/>
          <w:szCs w:val="24"/>
        </w:rPr>
        <w:fldChar w:fldCharType="end"/>
      </w:r>
      <w:r w:rsidRPr="00FB0F43">
        <w:rPr>
          <w:rFonts w:cs="Times New Roman"/>
          <w:szCs w:val="24"/>
        </w:rPr>
        <w:t xml:space="preserve">. Priors for the fixed effects regression coefficients are distributed normally and minimally informative while standard deviations </w:t>
      </w:r>
      <m:oMath>
        <m:r>
          <w:rPr>
            <w:rFonts w:ascii="Cambria Math" w:hAnsi="Cambria Math" w:cs="Times New Roman"/>
            <w:szCs w:val="24"/>
          </w:rPr>
          <m:t>(σ</m:t>
        </m:r>
        <m:r>
          <w:rPr>
            <w:rFonts w:ascii="Cambria Math" w:eastAsiaTheme="minorEastAsia" w:hAnsi="Cambria Math" w:cs="Times New Roman"/>
            <w:szCs w:val="24"/>
          </w:rPr>
          <m:t>)</m:t>
        </m:r>
      </m:oMath>
      <w:r w:rsidRPr="00FB0F43">
        <w:rPr>
          <w:rFonts w:eastAsiaTheme="minorEastAsia" w:cs="Times New Roman"/>
          <w:szCs w:val="24"/>
        </w:rPr>
        <w:t xml:space="preserve"> are from</w:t>
      </w:r>
      <w:r>
        <w:rPr>
          <w:rFonts w:eastAsiaTheme="minorEastAsia" w:cs="Times New Roman"/>
          <w:szCs w:val="24"/>
        </w:rPr>
        <w:t xml:space="preserve"> the strictly positive half-</w:t>
      </w:r>
      <w:r w:rsidRPr="00FB0F43">
        <w:rPr>
          <w:rFonts w:eastAsiaTheme="minorEastAsia" w:cs="Times New Roman"/>
          <w:szCs w:val="24"/>
        </w:rPr>
        <w:t>Cauchy</w:t>
      </w:r>
      <w:r>
        <w:rPr>
          <w:rFonts w:eastAsiaTheme="minorEastAsia" w:cs="Times New Roman"/>
          <w:szCs w:val="24"/>
        </w:rPr>
        <w:t xml:space="preserve"> distribution.</w:t>
      </w:r>
      <w:r w:rsidR="00CB6346">
        <w:rPr>
          <w:rFonts w:eastAsiaTheme="minorEastAsia" w:cs="Times New Roman"/>
          <w:szCs w:val="24"/>
        </w:rPr>
        <w:t xml:space="preserve"> We provide a schematic of the analysis in Figure S1</w:t>
      </w:r>
    </w:p>
    <w:p w14:paraId="5CC2AB18" w14:textId="36BA95D4" w:rsidR="00504067" w:rsidRPr="00CB6346" w:rsidRDefault="00CB6346" w:rsidP="000324C2">
      <w:pPr>
        <w:spacing w:line="240" w:lineRule="auto"/>
        <w:contextualSpacing/>
        <w:jc w:val="center"/>
        <w:rPr>
          <w:rFonts w:eastAsiaTheme="minorEastAsia" w:cs="Times New Roman"/>
          <w:szCs w:val="24"/>
        </w:rPr>
      </w:pPr>
      <w:r w:rsidRPr="009F297D">
        <w:rPr>
          <w:rFonts w:cs="Times New Roman"/>
          <w:noProof/>
          <w:szCs w:val="24"/>
        </w:rPr>
        <w:drawing>
          <wp:inline distT="0" distB="0" distL="0" distR="0" wp14:anchorId="08E973AA" wp14:editId="183383B2">
            <wp:extent cx="3562952" cy="351498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delingschem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1927" cy="3553437"/>
                    </a:xfrm>
                    <a:prstGeom prst="rect">
                      <a:avLst/>
                    </a:prstGeom>
                  </pic:spPr>
                </pic:pic>
              </a:graphicData>
            </a:graphic>
          </wp:inline>
        </w:drawing>
      </w:r>
    </w:p>
    <w:p w14:paraId="2013B7C8" w14:textId="744E2A02" w:rsidR="00504067" w:rsidRPr="000324C2" w:rsidRDefault="00135D1F" w:rsidP="00135D1F">
      <w:pPr>
        <w:pStyle w:val="Caption"/>
      </w:pPr>
      <w:bookmarkStart w:id="30" w:name="_Toc60239098"/>
      <w:bookmarkStart w:id="31" w:name="_Toc60480648"/>
      <w:r>
        <w:t>Figure S1</w:t>
      </w:r>
      <w:r w:rsidR="00CB6346">
        <w:rPr>
          <w:rFonts w:cs="Times New Roman"/>
          <w:szCs w:val="24"/>
        </w:rPr>
        <w:t>.</w:t>
      </w:r>
      <w:r>
        <w:rPr>
          <w:rFonts w:cs="Times New Roman"/>
          <w:szCs w:val="24"/>
        </w:rPr>
        <w:t>1</w:t>
      </w:r>
      <w:r w:rsidR="004A70A1">
        <w:rPr>
          <w:rFonts w:cs="Times New Roman"/>
          <w:szCs w:val="24"/>
        </w:rPr>
        <w:t>.</w:t>
      </w:r>
      <w:r w:rsidR="00504067">
        <w:rPr>
          <w:rFonts w:cs="Times New Roman"/>
          <w:szCs w:val="24"/>
        </w:rPr>
        <w:t xml:space="preserve"> </w:t>
      </w:r>
      <w:r w:rsidR="00CB6346">
        <w:rPr>
          <w:rFonts w:cs="Times New Roman"/>
          <w:szCs w:val="24"/>
        </w:rPr>
        <w:t>Schematic of modeling approach used in the analysis.</w:t>
      </w:r>
      <w:bookmarkEnd w:id="30"/>
      <w:bookmarkEnd w:id="31"/>
      <w:r w:rsidR="00CB6346">
        <w:rPr>
          <w:rFonts w:cs="Times New Roman"/>
          <w:szCs w:val="24"/>
        </w:rPr>
        <w:t xml:space="preserve"> </w:t>
      </w:r>
    </w:p>
    <w:p w14:paraId="2F7E39F1" w14:textId="73795C33" w:rsidR="00504067" w:rsidRPr="004A70A1" w:rsidRDefault="004A70A1" w:rsidP="004A70A1">
      <w:pPr>
        <w:pStyle w:val="Caption"/>
        <w:keepNext/>
      </w:pPr>
      <w:bookmarkStart w:id="32" w:name="_Toc60238905"/>
      <w:bookmarkStart w:id="33" w:name="_Toc60480683"/>
      <w:bookmarkStart w:id="34" w:name="_Toc61883048"/>
      <w:r>
        <w:lastRenderedPageBreak/>
        <w:t>Table</w:t>
      </w:r>
      <w:r w:rsidR="00A409BB">
        <w:t xml:space="preserve"> </w:t>
      </w:r>
      <w:r w:rsidR="00135D1F">
        <w:t>S</w:t>
      </w:r>
      <w:fldSimple w:instr=" STYLEREF 1 \s ">
        <w:r w:rsidR="000C6138">
          <w:rPr>
            <w:noProof/>
          </w:rPr>
          <w:t>1</w:t>
        </w:r>
      </w:fldSimple>
      <w:r w:rsidR="00135D1F">
        <w:t>.1</w:t>
      </w:r>
      <w:r w:rsidR="00135D1F">
        <w:rPr>
          <w:rFonts w:eastAsiaTheme="minorEastAsia" w:cs="Times New Roman"/>
          <w:szCs w:val="24"/>
        </w:rPr>
        <w:t xml:space="preserve">. </w:t>
      </w:r>
      <w:r w:rsidR="00504067">
        <w:rPr>
          <w:rFonts w:eastAsiaTheme="minorEastAsia" w:cs="Times New Roman"/>
          <w:szCs w:val="24"/>
        </w:rPr>
        <w:t xml:space="preserve">Intercept estimates (back transformed) with 90%CrI demonstrating regional variability in intercept estimates for equation 2. </w:t>
      </w:r>
      <m:oMath>
        <m:sSub>
          <m:sSubPr>
            <m:ctrlPr>
              <w:rPr>
                <w:rFonts w:ascii="Cambria Math" w:eastAsia="Cambria Math" w:hAnsi="Cambria Math" w:cs="Times New Roman"/>
                <w:i/>
                <w:iCs w:val="0"/>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w:r w:rsidR="00504067" w:rsidRPr="00640B45">
        <w:rPr>
          <w:rFonts w:eastAsiaTheme="minorEastAsia" w:cs="Times New Roman"/>
          <w:iCs w:val="0"/>
          <w:color w:val="000000" w:themeColor="text1"/>
          <w:kern w:val="24"/>
          <w:szCs w:val="24"/>
        </w:rPr>
        <w:t xml:space="preserve"> </w:t>
      </w:r>
      <w:r w:rsidR="00504067">
        <w:rPr>
          <w:rFonts w:eastAsiaTheme="minorEastAsia" w:cs="Times New Roman"/>
          <w:iCs w:val="0"/>
          <w:color w:val="000000" w:themeColor="text1"/>
          <w:kern w:val="24"/>
          <w:szCs w:val="24"/>
        </w:rPr>
        <w:t>=</w:t>
      </w:r>
      <w:r w:rsidR="00504067" w:rsidRPr="00640B45">
        <w:rPr>
          <w:rFonts w:eastAsiaTheme="minorEastAsia" w:cs="Times New Roman"/>
          <w:iCs w:val="0"/>
          <w:color w:val="000000" w:themeColor="text1"/>
          <w:kern w:val="24"/>
          <w:szCs w:val="24"/>
        </w:rPr>
        <w:t xml:space="preserve"> drainage density, </w:t>
      </w:r>
      <m:oMath>
        <m:r>
          <w:rPr>
            <w:rFonts w:ascii="Cambria Math" w:eastAsia="Cambria Math" w:hAnsi="Cambria Math" w:cs="Times New Roman"/>
            <w:color w:val="000000" w:themeColor="text1"/>
            <w:kern w:val="24"/>
            <w:szCs w:val="24"/>
          </w:rPr>
          <m:t>C</m:t>
        </m:r>
      </m:oMath>
      <w:r w:rsidR="00504067" w:rsidRPr="00640B45">
        <w:rPr>
          <w:rFonts w:cs="Times New Roman"/>
          <w:szCs w:val="24"/>
        </w:rPr>
        <w:t xml:space="preserve"> </w:t>
      </w:r>
      <w:r w:rsidR="00504067">
        <w:rPr>
          <w:rFonts w:cs="Times New Roman"/>
          <w:szCs w:val="24"/>
        </w:rPr>
        <w:t>=</w:t>
      </w:r>
      <w:r w:rsidR="00504067" w:rsidRPr="00640B45">
        <w:rPr>
          <w:rFonts w:cs="Times New Roman"/>
          <w:szCs w:val="24"/>
        </w:rPr>
        <w:t xml:space="preserve"> </w:t>
      </w:r>
      <w:r w:rsidR="00504067">
        <w:rPr>
          <w:rFonts w:cs="Times New Roman"/>
          <w:szCs w:val="24"/>
        </w:rPr>
        <w:t xml:space="preserve">number </w:t>
      </w:r>
      <w:r w:rsidR="00504067" w:rsidRPr="00640B45">
        <w:rPr>
          <w:rFonts w:cs="Times New Roman"/>
          <w:szCs w:val="24"/>
        </w:rPr>
        <w:t xml:space="preserve">of confluences, </w:t>
      </w:r>
      <m:oMath>
        <m:sSub>
          <m:sSubPr>
            <m:ctrlPr>
              <w:rPr>
                <w:rFonts w:ascii="Cambria Math" w:eastAsia="Cambria Math" w:hAnsi="Cambria Math" w:cs="Times New Roman"/>
                <w:i/>
                <w:iCs w:val="0"/>
                <w:color w:val="000000" w:themeColor="text1"/>
                <w:kern w:val="24"/>
                <w:szCs w:val="24"/>
              </w:rPr>
            </m:ctrlPr>
          </m:sSubPr>
          <m:e>
            <m:r>
              <w:rPr>
                <w:rFonts w:ascii="Cambria Math" w:eastAsia="Cambria Math" w:hAnsi="Cambria Math" w:cs="Times New Roman"/>
                <w:color w:val="000000" w:themeColor="text1"/>
                <w:kern w:val="24"/>
                <w:szCs w:val="24"/>
              </w:rPr>
              <m:t>W</m:t>
            </m:r>
          </m:e>
          <m:sub>
            <m:r>
              <w:rPr>
                <w:rFonts w:ascii="Cambria Math" w:eastAsia="Cambria Math" w:hAnsi="Cambria Math" w:cs="Times New Roman"/>
                <w:color w:val="000000" w:themeColor="text1"/>
                <w:kern w:val="24"/>
                <w:szCs w:val="24"/>
              </w:rPr>
              <m:t>b</m:t>
            </m:r>
          </m:sub>
        </m:sSub>
      </m:oMath>
      <w:r w:rsidR="00504067">
        <w:rPr>
          <w:rFonts w:eastAsiaTheme="minorEastAsia" w:cs="Times New Roman"/>
          <w:iCs w:val="0"/>
          <w:color w:val="000000" w:themeColor="text1"/>
          <w:kern w:val="24"/>
          <w:szCs w:val="24"/>
        </w:rPr>
        <w:t xml:space="preserve"> =</w:t>
      </w:r>
      <w:r w:rsidR="00504067" w:rsidRPr="00640B45">
        <w:rPr>
          <w:rFonts w:eastAsiaTheme="minorEastAsia" w:cs="Times New Roman"/>
          <w:iCs w:val="0"/>
          <w:color w:val="000000" w:themeColor="text1"/>
          <w:kern w:val="24"/>
          <w:szCs w:val="24"/>
        </w:rPr>
        <w:t xml:space="preserve"> </w:t>
      </w:r>
      <w:r w:rsidR="00504067">
        <w:rPr>
          <w:rFonts w:eastAsiaTheme="minorEastAsia" w:cs="Times New Roman"/>
          <w:iCs w:val="0"/>
          <w:color w:val="000000" w:themeColor="text1"/>
          <w:kern w:val="24"/>
          <w:szCs w:val="24"/>
        </w:rPr>
        <w:t xml:space="preserve">median </w:t>
      </w:r>
      <w:r w:rsidR="00504067" w:rsidRPr="00640B45">
        <w:rPr>
          <w:rFonts w:eastAsiaTheme="minorEastAsia" w:cs="Times New Roman"/>
          <w:iCs w:val="0"/>
          <w:color w:val="000000" w:themeColor="text1"/>
          <w:kern w:val="24"/>
          <w:szCs w:val="24"/>
        </w:rPr>
        <w:t xml:space="preserve">basin width and </w:t>
      </w:r>
      <m:oMath>
        <m:r>
          <w:rPr>
            <w:rFonts w:ascii="Cambria Math" w:eastAsia="Cambria Math" w:hAnsi="Cambria Math" w:cs="Times New Roman"/>
            <w:color w:val="000000" w:themeColor="text1"/>
            <w:kern w:val="24"/>
            <w:szCs w:val="24"/>
          </w:rPr>
          <m:t>λ</m:t>
        </m:r>
      </m:oMath>
      <w:r w:rsidR="00504067" w:rsidRPr="00640B45">
        <w:rPr>
          <w:rFonts w:eastAsiaTheme="minorEastAsia" w:cs="Times New Roman"/>
          <w:color w:val="000000" w:themeColor="text1"/>
          <w:kern w:val="24"/>
          <w:szCs w:val="24"/>
        </w:rPr>
        <w:t xml:space="preserve"> </w:t>
      </w:r>
      <w:r w:rsidR="00504067">
        <w:rPr>
          <w:rFonts w:eastAsiaTheme="minorEastAsia" w:cs="Times New Roman"/>
          <w:color w:val="000000" w:themeColor="text1"/>
          <w:kern w:val="24"/>
          <w:szCs w:val="24"/>
        </w:rPr>
        <w:t>=</w:t>
      </w:r>
      <w:r w:rsidR="00504067" w:rsidRPr="00640B45">
        <w:rPr>
          <w:rFonts w:eastAsiaTheme="minorEastAsia" w:cs="Times New Roman"/>
          <w:color w:val="000000" w:themeColor="text1"/>
          <w:kern w:val="24"/>
          <w:szCs w:val="24"/>
        </w:rPr>
        <w:t xml:space="preserve"> mean sinuosity</w:t>
      </w:r>
      <w:bookmarkEnd w:id="32"/>
      <w:bookmarkEnd w:id="33"/>
      <w:bookmarkEnd w:id="34"/>
    </w:p>
    <w:tbl>
      <w:tblPr>
        <w:tblW w:w="0" w:type="auto"/>
        <w:tblLook w:val="04A0" w:firstRow="1" w:lastRow="0" w:firstColumn="1" w:lastColumn="0" w:noHBand="0" w:noVBand="1"/>
      </w:tblPr>
      <w:tblGrid>
        <w:gridCol w:w="697"/>
        <w:gridCol w:w="1542"/>
        <w:gridCol w:w="2251"/>
        <w:gridCol w:w="1542"/>
        <w:gridCol w:w="2150"/>
      </w:tblGrid>
      <w:tr w:rsidR="00504067" w:rsidRPr="00E8064A" w14:paraId="68F2E155" w14:textId="77777777" w:rsidTr="00D0469B">
        <w:trPr>
          <w:trHeight w:val="300"/>
        </w:trPr>
        <w:tc>
          <w:tcPr>
            <w:tcW w:w="0" w:type="auto"/>
            <w:tcBorders>
              <w:top w:val="nil"/>
              <w:left w:val="nil"/>
              <w:bottom w:val="single" w:sz="4" w:space="0" w:color="auto"/>
              <w:right w:val="nil"/>
            </w:tcBorders>
            <w:shd w:val="clear" w:color="auto" w:fill="auto"/>
            <w:noWrap/>
            <w:vAlign w:val="center"/>
            <w:hideMark/>
          </w:tcPr>
          <w:p w14:paraId="18819491" w14:textId="77777777" w:rsidR="00504067" w:rsidRPr="00E8064A" w:rsidRDefault="00504067" w:rsidP="00CC0475">
            <w:pPr>
              <w:spacing w:after="0"/>
              <w:jc w:val="center"/>
              <w:rPr>
                <w:rFonts w:eastAsia="Times New Roman" w:cs="Times New Roman"/>
                <w:szCs w:val="24"/>
              </w:rPr>
            </w:pPr>
            <w:r>
              <w:rPr>
                <w:rFonts w:eastAsia="Times New Roman" w:cs="Times New Roman"/>
                <w:szCs w:val="24"/>
              </w:rPr>
              <w:t>VPU</w:t>
            </w:r>
          </w:p>
        </w:tc>
        <w:tc>
          <w:tcPr>
            <w:tcW w:w="0" w:type="auto"/>
            <w:tcBorders>
              <w:top w:val="nil"/>
              <w:left w:val="nil"/>
              <w:bottom w:val="single" w:sz="4" w:space="0" w:color="auto"/>
              <w:right w:val="nil"/>
            </w:tcBorders>
            <w:shd w:val="clear" w:color="auto" w:fill="auto"/>
            <w:noWrap/>
            <w:vAlign w:val="center"/>
            <w:hideMark/>
          </w:tcPr>
          <w:p w14:paraId="3E2D3320" w14:textId="77777777" w:rsidR="00504067" w:rsidRPr="00E8064A" w:rsidRDefault="00B5442B" w:rsidP="00CC0475">
            <w:pPr>
              <w:spacing w:after="0"/>
              <w:jc w:val="center"/>
              <w:rPr>
                <w:rFonts w:ascii="Calibri" w:eastAsia="Times New Roman" w:hAnsi="Calibri" w:cs="Calibri"/>
                <w:color w:val="000000"/>
              </w:rPr>
            </w:pPr>
            <m:oMathPara>
              <m:oMath>
                <m:sSub>
                  <m:sSubPr>
                    <m:ctrlPr>
                      <w:rPr>
                        <w:rFonts w:ascii="Cambria Math" w:eastAsia="Cambria Math" w:hAnsi="Cambria Math" w:cs="Times New Roman"/>
                        <w:i/>
                        <w:iCs/>
                        <w:color w:val="000000" w:themeColor="text1"/>
                        <w:kern w:val="24"/>
                        <w:szCs w:val="24"/>
                      </w:rPr>
                    </m:ctrlPr>
                  </m:sSubPr>
                  <m:e>
                    <m:r>
                      <w:rPr>
                        <w:rFonts w:ascii="Cambria Math" w:eastAsia="Cambria Math" w:hAnsi="Cambria Math" w:cs="Times New Roman"/>
                        <w:color w:val="000000" w:themeColor="text1"/>
                        <w:kern w:val="24"/>
                        <w:szCs w:val="24"/>
                      </w:rPr>
                      <m:t>D</m:t>
                    </m:r>
                  </m:e>
                  <m:sub>
                    <m:r>
                      <w:rPr>
                        <w:rFonts w:ascii="Cambria Math" w:eastAsia="Cambria Math" w:hAnsi="Cambria Math" w:cs="Times New Roman"/>
                        <w:color w:val="000000" w:themeColor="text1"/>
                        <w:kern w:val="24"/>
                        <w:szCs w:val="24"/>
                      </w:rPr>
                      <m:t>d</m:t>
                    </m:r>
                  </m:sub>
                </m:sSub>
              </m:oMath>
            </m:oMathPara>
          </w:p>
        </w:tc>
        <w:tc>
          <w:tcPr>
            <w:tcW w:w="0" w:type="auto"/>
            <w:tcBorders>
              <w:top w:val="nil"/>
              <w:left w:val="nil"/>
              <w:bottom w:val="single" w:sz="4" w:space="0" w:color="auto"/>
              <w:right w:val="nil"/>
            </w:tcBorders>
            <w:shd w:val="clear" w:color="auto" w:fill="auto"/>
            <w:noWrap/>
            <w:vAlign w:val="center"/>
            <w:hideMark/>
          </w:tcPr>
          <w:p w14:paraId="670F3228" w14:textId="77777777" w:rsidR="00504067" w:rsidRPr="00E8064A" w:rsidRDefault="00B5442B" w:rsidP="00CC0475">
            <w:pPr>
              <w:spacing w:after="0"/>
              <w:jc w:val="center"/>
              <w:rPr>
                <w:rFonts w:ascii="Calibri" w:eastAsia="Times New Roman" w:hAnsi="Calibri" w:cs="Calibri"/>
                <w:color w:val="000000"/>
              </w:rPr>
            </w:pPr>
            <m:oMathPara>
              <m:oMath>
                <m:sSub>
                  <m:sSubPr>
                    <m:ctrlPr>
                      <w:rPr>
                        <w:rFonts w:ascii="Cambria Math" w:eastAsiaTheme="minorEastAsia" w:hAnsi="Cambria Math" w:cs="Times New Roman"/>
                        <w:i/>
                        <w:color w:val="000000" w:themeColor="text1"/>
                        <w:kern w:val="24"/>
                        <w:szCs w:val="24"/>
                      </w:rPr>
                    </m:ctrlPr>
                  </m:sSubPr>
                  <m:e>
                    <m:r>
                      <w:rPr>
                        <w:rFonts w:ascii="Cambria Math" w:eastAsiaTheme="minorEastAsia" w:hAnsi="Cambria Math" w:cs="Times New Roman"/>
                        <w:color w:val="000000" w:themeColor="text1"/>
                        <w:kern w:val="24"/>
                        <w:szCs w:val="24"/>
                      </w:rPr>
                      <m:t>W</m:t>
                    </m:r>
                  </m:e>
                  <m:sub>
                    <m:r>
                      <w:rPr>
                        <w:rFonts w:ascii="Cambria Math" w:eastAsiaTheme="minorEastAsia" w:hAnsi="Cambria Math" w:cs="Times New Roman"/>
                        <w:color w:val="000000" w:themeColor="text1"/>
                        <w:kern w:val="24"/>
                        <w:szCs w:val="24"/>
                      </w:rPr>
                      <m:t>b</m:t>
                    </m:r>
                  </m:sub>
                </m:sSub>
              </m:oMath>
            </m:oMathPara>
          </w:p>
        </w:tc>
        <w:tc>
          <w:tcPr>
            <w:tcW w:w="0" w:type="auto"/>
            <w:tcBorders>
              <w:top w:val="nil"/>
              <w:left w:val="nil"/>
              <w:bottom w:val="single" w:sz="4" w:space="0" w:color="auto"/>
              <w:right w:val="nil"/>
            </w:tcBorders>
            <w:shd w:val="clear" w:color="auto" w:fill="auto"/>
            <w:noWrap/>
            <w:vAlign w:val="center"/>
            <w:hideMark/>
          </w:tcPr>
          <w:p w14:paraId="4D041913" w14:textId="77777777" w:rsidR="00504067" w:rsidRPr="00E8064A" w:rsidRDefault="00504067" w:rsidP="00CC0475">
            <w:pPr>
              <w:spacing w:after="0"/>
              <w:jc w:val="center"/>
              <w:rPr>
                <w:rFonts w:ascii="Calibri" w:eastAsia="Times New Roman" w:hAnsi="Calibri" w:cs="Calibri"/>
                <w:color w:val="000000"/>
              </w:rPr>
            </w:pPr>
            <m:oMathPara>
              <m:oMath>
                <m:r>
                  <w:rPr>
                    <w:rFonts w:ascii="Cambria Math" w:eastAsia="Cambria Math" w:hAnsi="Cambria Math"/>
                    <w:color w:val="000000" w:themeColor="text1"/>
                    <w:kern w:val="24"/>
                  </w:rPr>
                  <m:t>λ</m:t>
                </m:r>
              </m:oMath>
            </m:oMathPara>
          </w:p>
        </w:tc>
        <w:tc>
          <w:tcPr>
            <w:tcW w:w="0" w:type="auto"/>
            <w:tcBorders>
              <w:top w:val="nil"/>
              <w:left w:val="nil"/>
              <w:bottom w:val="single" w:sz="4" w:space="0" w:color="auto"/>
              <w:right w:val="nil"/>
            </w:tcBorders>
            <w:shd w:val="clear" w:color="auto" w:fill="auto"/>
            <w:noWrap/>
            <w:vAlign w:val="center"/>
            <w:hideMark/>
          </w:tcPr>
          <w:p w14:paraId="3142C100" w14:textId="77777777" w:rsidR="00504067" w:rsidRPr="00E8064A" w:rsidRDefault="00504067" w:rsidP="00CC0475">
            <w:pPr>
              <w:spacing w:after="0"/>
              <w:jc w:val="center"/>
              <w:rPr>
                <w:rFonts w:ascii="Calibri" w:eastAsia="Times New Roman" w:hAnsi="Calibri" w:cs="Calibri"/>
                <w:color w:val="000000"/>
              </w:rPr>
            </w:pPr>
            <m:oMathPara>
              <m:oMath>
                <m:r>
                  <w:rPr>
                    <w:rFonts w:ascii="Cambria Math" w:eastAsia="Cambria Math" w:hAnsi="Cambria Math"/>
                    <w:color w:val="000000" w:themeColor="text1"/>
                    <w:kern w:val="24"/>
                  </w:rPr>
                  <m:t>C</m:t>
                </m:r>
              </m:oMath>
            </m:oMathPara>
          </w:p>
        </w:tc>
      </w:tr>
      <w:tr w:rsidR="00504067" w:rsidRPr="00E8064A" w14:paraId="698B66E9" w14:textId="77777777" w:rsidTr="00D0469B">
        <w:trPr>
          <w:trHeight w:val="300"/>
        </w:trPr>
        <w:tc>
          <w:tcPr>
            <w:tcW w:w="0" w:type="auto"/>
            <w:tcBorders>
              <w:top w:val="nil"/>
              <w:left w:val="nil"/>
              <w:bottom w:val="nil"/>
              <w:right w:val="nil"/>
            </w:tcBorders>
            <w:shd w:val="clear" w:color="auto" w:fill="auto"/>
            <w:noWrap/>
            <w:vAlign w:val="center"/>
            <w:hideMark/>
          </w:tcPr>
          <w:p w14:paraId="48BB6CE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01</w:t>
            </w:r>
          </w:p>
        </w:tc>
        <w:tc>
          <w:tcPr>
            <w:tcW w:w="0" w:type="auto"/>
            <w:tcBorders>
              <w:top w:val="nil"/>
              <w:left w:val="nil"/>
              <w:bottom w:val="nil"/>
              <w:right w:val="nil"/>
            </w:tcBorders>
            <w:shd w:val="clear" w:color="auto" w:fill="auto"/>
            <w:noWrap/>
            <w:vAlign w:val="center"/>
            <w:hideMark/>
          </w:tcPr>
          <w:p w14:paraId="594D6010"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0.63 (0.57, 0.7)</w:t>
            </w:r>
          </w:p>
        </w:tc>
        <w:tc>
          <w:tcPr>
            <w:tcW w:w="0" w:type="auto"/>
            <w:tcBorders>
              <w:top w:val="nil"/>
              <w:left w:val="nil"/>
              <w:bottom w:val="nil"/>
              <w:right w:val="nil"/>
            </w:tcBorders>
            <w:shd w:val="clear" w:color="auto" w:fill="auto"/>
            <w:noWrap/>
            <w:vAlign w:val="center"/>
            <w:hideMark/>
          </w:tcPr>
          <w:p w14:paraId="086B1B9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620.87 (571.41, 676)</w:t>
            </w:r>
          </w:p>
        </w:tc>
        <w:tc>
          <w:tcPr>
            <w:tcW w:w="0" w:type="auto"/>
            <w:tcBorders>
              <w:top w:val="nil"/>
              <w:left w:val="nil"/>
              <w:bottom w:val="nil"/>
              <w:right w:val="nil"/>
            </w:tcBorders>
            <w:shd w:val="clear" w:color="auto" w:fill="auto"/>
            <w:noWrap/>
            <w:vAlign w:val="center"/>
            <w:hideMark/>
          </w:tcPr>
          <w:p w14:paraId="100EE254"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1.23 (1.21, 1.26)</w:t>
            </w:r>
          </w:p>
        </w:tc>
        <w:tc>
          <w:tcPr>
            <w:tcW w:w="0" w:type="auto"/>
            <w:tcBorders>
              <w:top w:val="nil"/>
              <w:left w:val="nil"/>
              <w:bottom w:val="nil"/>
              <w:right w:val="nil"/>
            </w:tcBorders>
            <w:shd w:val="clear" w:color="auto" w:fill="auto"/>
            <w:noWrap/>
            <w:vAlign w:val="center"/>
            <w:hideMark/>
          </w:tcPr>
          <w:p w14:paraId="260D5BE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78.52 (66.01, 92.94)</w:t>
            </w:r>
          </w:p>
        </w:tc>
      </w:tr>
      <w:tr w:rsidR="00504067" w:rsidRPr="00E8064A" w14:paraId="0B8E3971" w14:textId="77777777" w:rsidTr="00D0469B">
        <w:trPr>
          <w:trHeight w:val="300"/>
        </w:trPr>
        <w:tc>
          <w:tcPr>
            <w:tcW w:w="0" w:type="auto"/>
            <w:tcBorders>
              <w:top w:val="nil"/>
              <w:left w:val="nil"/>
              <w:bottom w:val="nil"/>
              <w:right w:val="nil"/>
            </w:tcBorders>
            <w:shd w:val="clear" w:color="auto" w:fill="auto"/>
            <w:noWrap/>
            <w:vAlign w:val="center"/>
            <w:hideMark/>
          </w:tcPr>
          <w:p w14:paraId="23F7E91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02</w:t>
            </w:r>
          </w:p>
        </w:tc>
        <w:tc>
          <w:tcPr>
            <w:tcW w:w="0" w:type="auto"/>
            <w:tcBorders>
              <w:top w:val="nil"/>
              <w:left w:val="nil"/>
              <w:bottom w:val="nil"/>
              <w:right w:val="nil"/>
            </w:tcBorders>
            <w:shd w:val="clear" w:color="auto" w:fill="auto"/>
            <w:noWrap/>
            <w:vAlign w:val="center"/>
            <w:hideMark/>
          </w:tcPr>
          <w:p w14:paraId="78B6C9A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0.62 (0.56, 0.68)</w:t>
            </w:r>
          </w:p>
        </w:tc>
        <w:tc>
          <w:tcPr>
            <w:tcW w:w="0" w:type="auto"/>
            <w:tcBorders>
              <w:top w:val="nil"/>
              <w:left w:val="nil"/>
              <w:bottom w:val="nil"/>
              <w:right w:val="nil"/>
            </w:tcBorders>
            <w:shd w:val="clear" w:color="auto" w:fill="auto"/>
            <w:noWrap/>
            <w:vAlign w:val="center"/>
            <w:hideMark/>
          </w:tcPr>
          <w:p w14:paraId="1763473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706.01 (653.62, 765.48)</w:t>
            </w:r>
          </w:p>
        </w:tc>
        <w:tc>
          <w:tcPr>
            <w:tcW w:w="0" w:type="auto"/>
            <w:tcBorders>
              <w:top w:val="nil"/>
              <w:left w:val="nil"/>
              <w:bottom w:val="nil"/>
              <w:right w:val="nil"/>
            </w:tcBorders>
            <w:shd w:val="clear" w:color="auto" w:fill="auto"/>
            <w:noWrap/>
            <w:vAlign w:val="center"/>
            <w:hideMark/>
          </w:tcPr>
          <w:p w14:paraId="56AFD55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1.21 (1.19, 1.24)</w:t>
            </w:r>
          </w:p>
        </w:tc>
        <w:tc>
          <w:tcPr>
            <w:tcW w:w="0" w:type="auto"/>
            <w:tcBorders>
              <w:top w:val="nil"/>
              <w:left w:val="nil"/>
              <w:bottom w:val="nil"/>
              <w:right w:val="nil"/>
            </w:tcBorders>
            <w:shd w:val="clear" w:color="auto" w:fill="auto"/>
            <w:noWrap/>
            <w:vAlign w:val="center"/>
            <w:hideMark/>
          </w:tcPr>
          <w:p w14:paraId="3297FB3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67.87 (57.85, 80.14)</w:t>
            </w:r>
          </w:p>
        </w:tc>
      </w:tr>
      <w:tr w:rsidR="00504067" w:rsidRPr="00E8064A" w14:paraId="5E46DAAA" w14:textId="77777777" w:rsidTr="00D0469B">
        <w:trPr>
          <w:trHeight w:val="300"/>
        </w:trPr>
        <w:tc>
          <w:tcPr>
            <w:tcW w:w="0" w:type="auto"/>
            <w:tcBorders>
              <w:top w:val="nil"/>
              <w:left w:val="nil"/>
              <w:bottom w:val="nil"/>
              <w:right w:val="nil"/>
            </w:tcBorders>
            <w:shd w:val="clear" w:color="auto" w:fill="auto"/>
            <w:noWrap/>
            <w:vAlign w:val="center"/>
            <w:hideMark/>
          </w:tcPr>
          <w:p w14:paraId="6A3E5534"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03N</w:t>
            </w:r>
          </w:p>
        </w:tc>
        <w:tc>
          <w:tcPr>
            <w:tcW w:w="0" w:type="auto"/>
            <w:tcBorders>
              <w:top w:val="nil"/>
              <w:left w:val="nil"/>
              <w:bottom w:val="nil"/>
              <w:right w:val="nil"/>
            </w:tcBorders>
            <w:shd w:val="clear" w:color="auto" w:fill="auto"/>
            <w:noWrap/>
            <w:vAlign w:val="center"/>
            <w:hideMark/>
          </w:tcPr>
          <w:p w14:paraId="74578BB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0.83 (0.76, 0.89)</w:t>
            </w:r>
          </w:p>
        </w:tc>
        <w:tc>
          <w:tcPr>
            <w:tcW w:w="0" w:type="auto"/>
            <w:tcBorders>
              <w:top w:val="nil"/>
              <w:left w:val="nil"/>
              <w:bottom w:val="nil"/>
              <w:right w:val="nil"/>
            </w:tcBorders>
            <w:shd w:val="clear" w:color="auto" w:fill="auto"/>
            <w:noWrap/>
            <w:vAlign w:val="center"/>
            <w:hideMark/>
          </w:tcPr>
          <w:p w14:paraId="5D981E4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570.06 (525.35, 618.04)</w:t>
            </w:r>
          </w:p>
        </w:tc>
        <w:tc>
          <w:tcPr>
            <w:tcW w:w="0" w:type="auto"/>
            <w:tcBorders>
              <w:top w:val="nil"/>
              <w:left w:val="nil"/>
              <w:bottom w:val="nil"/>
              <w:right w:val="nil"/>
            </w:tcBorders>
            <w:shd w:val="clear" w:color="auto" w:fill="auto"/>
            <w:noWrap/>
            <w:vAlign w:val="center"/>
            <w:hideMark/>
          </w:tcPr>
          <w:p w14:paraId="2FCDB31A"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1.18 (1.16, 1.21)</w:t>
            </w:r>
          </w:p>
        </w:tc>
        <w:tc>
          <w:tcPr>
            <w:tcW w:w="0" w:type="auto"/>
            <w:tcBorders>
              <w:top w:val="nil"/>
              <w:left w:val="nil"/>
              <w:bottom w:val="nil"/>
              <w:right w:val="nil"/>
            </w:tcBorders>
            <w:shd w:val="clear" w:color="auto" w:fill="auto"/>
            <w:noWrap/>
            <w:vAlign w:val="center"/>
            <w:hideMark/>
          </w:tcPr>
          <w:p w14:paraId="015CC038"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103.8 (88.22, 122.45)</w:t>
            </w:r>
          </w:p>
        </w:tc>
      </w:tr>
      <w:tr w:rsidR="00504067" w:rsidRPr="00E8064A" w14:paraId="2367F915" w14:textId="77777777" w:rsidTr="00D0469B">
        <w:trPr>
          <w:trHeight w:val="300"/>
        </w:trPr>
        <w:tc>
          <w:tcPr>
            <w:tcW w:w="0" w:type="auto"/>
            <w:tcBorders>
              <w:top w:val="nil"/>
              <w:left w:val="nil"/>
              <w:bottom w:val="nil"/>
              <w:right w:val="nil"/>
            </w:tcBorders>
            <w:shd w:val="clear" w:color="auto" w:fill="auto"/>
            <w:noWrap/>
            <w:vAlign w:val="center"/>
            <w:hideMark/>
          </w:tcPr>
          <w:p w14:paraId="5F3FA00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03S</w:t>
            </w:r>
          </w:p>
        </w:tc>
        <w:tc>
          <w:tcPr>
            <w:tcW w:w="0" w:type="auto"/>
            <w:tcBorders>
              <w:top w:val="nil"/>
              <w:left w:val="nil"/>
              <w:bottom w:val="nil"/>
              <w:right w:val="nil"/>
            </w:tcBorders>
            <w:shd w:val="clear" w:color="auto" w:fill="auto"/>
            <w:noWrap/>
            <w:vAlign w:val="center"/>
            <w:hideMark/>
          </w:tcPr>
          <w:p w14:paraId="26EBCE1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0.82 (0.74, 0.89)</w:t>
            </w:r>
          </w:p>
        </w:tc>
        <w:tc>
          <w:tcPr>
            <w:tcW w:w="0" w:type="auto"/>
            <w:tcBorders>
              <w:top w:val="nil"/>
              <w:left w:val="nil"/>
              <w:bottom w:val="nil"/>
              <w:right w:val="nil"/>
            </w:tcBorders>
            <w:shd w:val="clear" w:color="auto" w:fill="auto"/>
            <w:noWrap/>
            <w:vAlign w:val="center"/>
            <w:hideMark/>
          </w:tcPr>
          <w:p w14:paraId="3F4D369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536.01 (490.53, 587.27)</w:t>
            </w:r>
          </w:p>
        </w:tc>
        <w:tc>
          <w:tcPr>
            <w:tcW w:w="0" w:type="auto"/>
            <w:tcBorders>
              <w:top w:val="nil"/>
              <w:left w:val="nil"/>
              <w:bottom w:val="nil"/>
              <w:right w:val="nil"/>
            </w:tcBorders>
            <w:shd w:val="clear" w:color="auto" w:fill="auto"/>
            <w:noWrap/>
            <w:vAlign w:val="center"/>
            <w:hideMark/>
          </w:tcPr>
          <w:p w14:paraId="1035407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1.13 (1.1, 1.15)</w:t>
            </w:r>
          </w:p>
        </w:tc>
        <w:tc>
          <w:tcPr>
            <w:tcW w:w="0" w:type="auto"/>
            <w:tcBorders>
              <w:top w:val="nil"/>
              <w:left w:val="nil"/>
              <w:bottom w:val="nil"/>
              <w:right w:val="nil"/>
            </w:tcBorders>
            <w:shd w:val="clear" w:color="auto" w:fill="auto"/>
            <w:noWrap/>
            <w:vAlign w:val="center"/>
            <w:hideMark/>
          </w:tcPr>
          <w:p w14:paraId="65F5D7E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89.66 (75.46, 106.42)</w:t>
            </w:r>
          </w:p>
        </w:tc>
      </w:tr>
      <w:tr w:rsidR="00504067" w:rsidRPr="00E8064A" w14:paraId="57D18066" w14:textId="77777777" w:rsidTr="00D0469B">
        <w:trPr>
          <w:trHeight w:val="300"/>
        </w:trPr>
        <w:tc>
          <w:tcPr>
            <w:tcW w:w="0" w:type="auto"/>
            <w:tcBorders>
              <w:top w:val="nil"/>
              <w:left w:val="nil"/>
              <w:bottom w:val="nil"/>
              <w:right w:val="nil"/>
            </w:tcBorders>
            <w:shd w:val="clear" w:color="auto" w:fill="auto"/>
            <w:noWrap/>
            <w:vAlign w:val="center"/>
            <w:hideMark/>
          </w:tcPr>
          <w:p w14:paraId="66CB576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03W</w:t>
            </w:r>
          </w:p>
        </w:tc>
        <w:tc>
          <w:tcPr>
            <w:tcW w:w="0" w:type="auto"/>
            <w:tcBorders>
              <w:top w:val="nil"/>
              <w:left w:val="nil"/>
              <w:bottom w:val="nil"/>
              <w:right w:val="nil"/>
            </w:tcBorders>
            <w:shd w:val="clear" w:color="auto" w:fill="auto"/>
            <w:noWrap/>
            <w:vAlign w:val="center"/>
            <w:hideMark/>
          </w:tcPr>
          <w:p w14:paraId="21E4A37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0.91 (0.85, 0.98)</w:t>
            </w:r>
          </w:p>
        </w:tc>
        <w:tc>
          <w:tcPr>
            <w:tcW w:w="0" w:type="auto"/>
            <w:tcBorders>
              <w:top w:val="nil"/>
              <w:left w:val="nil"/>
              <w:bottom w:val="nil"/>
              <w:right w:val="nil"/>
            </w:tcBorders>
            <w:shd w:val="clear" w:color="auto" w:fill="auto"/>
            <w:noWrap/>
            <w:vAlign w:val="center"/>
            <w:hideMark/>
          </w:tcPr>
          <w:p w14:paraId="5B5F1984"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589.84 (541.31, 642.58)</w:t>
            </w:r>
          </w:p>
        </w:tc>
        <w:tc>
          <w:tcPr>
            <w:tcW w:w="0" w:type="auto"/>
            <w:tcBorders>
              <w:top w:val="nil"/>
              <w:left w:val="nil"/>
              <w:bottom w:val="nil"/>
              <w:right w:val="nil"/>
            </w:tcBorders>
            <w:shd w:val="clear" w:color="auto" w:fill="auto"/>
            <w:noWrap/>
            <w:vAlign w:val="center"/>
            <w:hideMark/>
          </w:tcPr>
          <w:p w14:paraId="6A62B34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 (1.17, 1.22)</w:t>
            </w:r>
          </w:p>
        </w:tc>
        <w:tc>
          <w:tcPr>
            <w:tcW w:w="0" w:type="auto"/>
            <w:tcBorders>
              <w:top w:val="nil"/>
              <w:left w:val="nil"/>
              <w:bottom w:val="nil"/>
              <w:right w:val="nil"/>
            </w:tcBorders>
            <w:shd w:val="clear" w:color="auto" w:fill="auto"/>
            <w:noWrap/>
            <w:vAlign w:val="center"/>
            <w:hideMark/>
          </w:tcPr>
          <w:p w14:paraId="6784417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133.45 (111.99, 158.14)</w:t>
            </w:r>
          </w:p>
        </w:tc>
      </w:tr>
      <w:tr w:rsidR="00504067" w:rsidRPr="00E8064A" w14:paraId="48DFD198" w14:textId="77777777" w:rsidTr="00D0469B">
        <w:trPr>
          <w:trHeight w:val="300"/>
        </w:trPr>
        <w:tc>
          <w:tcPr>
            <w:tcW w:w="0" w:type="auto"/>
            <w:tcBorders>
              <w:top w:val="nil"/>
              <w:left w:val="nil"/>
              <w:bottom w:val="nil"/>
              <w:right w:val="nil"/>
            </w:tcBorders>
            <w:shd w:val="clear" w:color="auto" w:fill="auto"/>
            <w:noWrap/>
            <w:vAlign w:val="center"/>
            <w:hideMark/>
          </w:tcPr>
          <w:p w14:paraId="1B37AC0A"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04</w:t>
            </w:r>
          </w:p>
        </w:tc>
        <w:tc>
          <w:tcPr>
            <w:tcW w:w="0" w:type="auto"/>
            <w:tcBorders>
              <w:top w:val="nil"/>
              <w:left w:val="nil"/>
              <w:bottom w:val="nil"/>
              <w:right w:val="nil"/>
            </w:tcBorders>
            <w:shd w:val="clear" w:color="auto" w:fill="auto"/>
            <w:noWrap/>
            <w:vAlign w:val="center"/>
            <w:hideMark/>
          </w:tcPr>
          <w:p w14:paraId="41CFAD16"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0.7 (0.64, 0.77)</w:t>
            </w:r>
          </w:p>
        </w:tc>
        <w:tc>
          <w:tcPr>
            <w:tcW w:w="0" w:type="auto"/>
            <w:tcBorders>
              <w:top w:val="nil"/>
              <w:left w:val="nil"/>
              <w:bottom w:val="nil"/>
              <w:right w:val="nil"/>
            </w:tcBorders>
            <w:shd w:val="clear" w:color="auto" w:fill="auto"/>
            <w:noWrap/>
            <w:vAlign w:val="center"/>
            <w:hideMark/>
          </w:tcPr>
          <w:p w14:paraId="572FFA56"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654.04 (603.72, 709.16)</w:t>
            </w:r>
          </w:p>
        </w:tc>
        <w:tc>
          <w:tcPr>
            <w:tcW w:w="0" w:type="auto"/>
            <w:tcBorders>
              <w:top w:val="nil"/>
              <w:left w:val="nil"/>
              <w:bottom w:val="nil"/>
              <w:right w:val="nil"/>
            </w:tcBorders>
            <w:shd w:val="clear" w:color="auto" w:fill="auto"/>
            <w:noWrap/>
            <w:vAlign w:val="center"/>
            <w:hideMark/>
          </w:tcPr>
          <w:p w14:paraId="66A38AC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1.26 (1.23, 1.28)</w:t>
            </w:r>
          </w:p>
        </w:tc>
        <w:tc>
          <w:tcPr>
            <w:tcW w:w="0" w:type="auto"/>
            <w:tcBorders>
              <w:top w:val="nil"/>
              <w:left w:val="nil"/>
              <w:bottom w:val="nil"/>
              <w:right w:val="nil"/>
            </w:tcBorders>
            <w:shd w:val="clear" w:color="auto" w:fill="auto"/>
            <w:noWrap/>
            <w:vAlign w:val="center"/>
            <w:hideMark/>
          </w:tcPr>
          <w:p w14:paraId="2B1111A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65.24 (55.21, 76.97)</w:t>
            </w:r>
          </w:p>
        </w:tc>
      </w:tr>
      <w:tr w:rsidR="00504067" w:rsidRPr="00E8064A" w14:paraId="583F4E27" w14:textId="77777777" w:rsidTr="00D0469B">
        <w:trPr>
          <w:trHeight w:val="300"/>
        </w:trPr>
        <w:tc>
          <w:tcPr>
            <w:tcW w:w="0" w:type="auto"/>
            <w:tcBorders>
              <w:top w:val="nil"/>
              <w:left w:val="nil"/>
              <w:bottom w:val="nil"/>
              <w:right w:val="nil"/>
            </w:tcBorders>
            <w:shd w:val="clear" w:color="auto" w:fill="auto"/>
            <w:noWrap/>
            <w:vAlign w:val="center"/>
            <w:hideMark/>
          </w:tcPr>
          <w:p w14:paraId="4D789374"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05</w:t>
            </w:r>
          </w:p>
        </w:tc>
        <w:tc>
          <w:tcPr>
            <w:tcW w:w="0" w:type="auto"/>
            <w:tcBorders>
              <w:top w:val="nil"/>
              <w:left w:val="nil"/>
              <w:bottom w:val="nil"/>
              <w:right w:val="nil"/>
            </w:tcBorders>
            <w:shd w:val="clear" w:color="auto" w:fill="auto"/>
            <w:noWrap/>
            <w:vAlign w:val="center"/>
            <w:hideMark/>
          </w:tcPr>
          <w:p w14:paraId="25BD9DD0"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0.67 (0.61, 0.74)</w:t>
            </w:r>
          </w:p>
        </w:tc>
        <w:tc>
          <w:tcPr>
            <w:tcW w:w="0" w:type="auto"/>
            <w:tcBorders>
              <w:top w:val="nil"/>
              <w:left w:val="nil"/>
              <w:bottom w:val="nil"/>
              <w:right w:val="nil"/>
            </w:tcBorders>
            <w:shd w:val="clear" w:color="auto" w:fill="auto"/>
            <w:noWrap/>
            <w:vAlign w:val="center"/>
            <w:hideMark/>
          </w:tcPr>
          <w:p w14:paraId="765BF1C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752.51 (695.28, 815.93)</w:t>
            </w:r>
          </w:p>
        </w:tc>
        <w:tc>
          <w:tcPr>
            <w:tcW w:w="0" w:type="auto"/>
            <w:tcBorders>
              <w:top w:val="nil"/>
              <w:left w:val="nil"/>
              <w:bottom w:val="nil"/>
              <w:right w:val="nil"/>
            </w:tcBorders>
            <w:shd w:val="clear" w:color="auto" w:fill="auto"/>
            <w:noWrap/>
            <w:vAlign w:val="center"/>
            <w:hideMark/>
          </w:tcPr>
          <w:p w14:paraId="4057487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1.25 (1.22, 1.27)</w:t>
            </w:r>
          </w:p>
        </w:tc>
        <w:tc>
          <w:tcPr>
            <w:tcW w:w="0" w:type="auto"/>
            <w:tcBorders>
              <w:top w:val="nil"/>
              <w:left w:val="nil"/>
              <w:bottom w:val="nil"/>
              <w:right w:val="nil"/>
            </w:tcBorders>
            <w:shd w:val="clear" w:color="auto" w:fill="auto"/>
            <w:noWrap/>
            <w:vAlign w:val="center"/>
            <w:hideMark/>
          </w:tcPr>
          <w:p w14:paraId="6F84E48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91.38 (77.93, 107.58)</w:t>
            </w:r>
          </w:p>
        </w:tc>
      </w:tr>
      <w:tr w:rsidR="00504067" w:rsidRPr="00E8064A" w14:paraId="79635710" w14:textId="77777777" w:rsidTr="00D0469B">
        <w:trPr>
          <w:trHeight w:val="300"/>
        </w:trPr>
        <w:tc>
          <w:tcPr>
            <w:tcW w:w="0" w:type="auto"/>
            <w:tcBorders>
              <w:top w:val="nil"/>
              <w:left w:val="nil"/>
              <w:bottom w:val="nil"/>
              <w:right w:val="nil"/>
            </w:tcBorders>
            <w:shd w:val="clear" w:color="auto" w:fill="auto"/>
            <w:noWrap/>
            <w:vAlign w:val="center"/>
            <w:hideMark/>
          </w:tcPr>
          <w:p w14:paraId="0FA622F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w:t>
            </w:r>
          </w:p>
        </w:tc>
        <w:tc>
          <w:tcPr>
            <w:tcW w:w="0" w:type="auto"/>
            <w:tcBorders>
              <w:top w:val="nil"/>
              <w:left w:val="nil"/>
              <w:bottom w:val="nil"/>
              <w:right w:val="nil"/>
            </w:tcBorders>
            <w:shd w:val="clear" w:color="auto" w:fill="auto"/>
            <w:noWrap/>
            <w:vAlign w:val="center"/>
            <w:hideMark/>
          </w:tcPr>
          <w:p w14:paraId="7398D7D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0.76 (0.69, 0.83)</w:t>
            </w:r>
          </w:p>
        </w:tc>
        <w:tc>
          <w:tcPr>
            <w:tcW w:w="0" w:type="auto"/>
            <w:tcBorders>
              <w:top w:val="nil"/>
              <w:left w:val="nil"/>
              <w:bottom w:val="nil"/>
              <w:right w:val="nil"/>
            </w:tcBorders>
            <w:shd w:val="clear" w:color="auto" w:fill="auto"/>
            <w:noWrap/>
            <w:vAlign w:val="center"/>
            <w:hideMark/>
          </w:tcPr>
          <w:p w14:paraId="499D391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670.09 (615.12, 732.83)</w:t>
            </w:r>
          </w:p>
        </w:tc>
        <w:tc>
          <w:tcPr>
            <w:tcW w:w="0" w:type="auto"/>
            <w:tcBorders>
              <w:top w:val="nil"/>
              <w:left w:val="nil"/>
              <w:bottom w:val="nil"/>
              <w:right w:val="nil"/>
            </w:tcBorders>
            <w:shd w:val="clear" w:color="auto" w:fill="auto"/>
            <w:noWrap/>
            <w:vAlign w:val="center"/>
            <w:hideMark/>
          </w:tcPr>
          <w:p w14:paraId="2FA3BCB6"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1.24 (1.21, 1.26)</w:t>
            </w:r>
          </w:p>
        </w:tc>
        <w:tc>
          <w:tcPr>
            <w:tcW w:w="0" w:type="auto"/>
            <w:tcBorders>
              <w:top w:val="nil"/>
              <w:left w:val="nil"/>
              <w:bottom w:val="nil"/>
              <w:right w:val="nil"/>
            </w:tcBorders>
            <w:shd w:val="clear" w:color="auto" w:fill="auto"/>
            <w:noWrap/>
            <w:vAlign w:val="center"/>
            <w:hideMark/>
          </w:tcPr>
          <w:p w14:paraId="378B630A"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109.83 (92.53, 132.3)</w:t>
            </w:r>
          </w:p>
        </w:tc>
      </w:tr>
      <w:tr w:rsidR="00504067" w:rsidRPr="00E8064A" w14:paraId="527B0069" w14:textId="77777777" w:rsidTr="00D0469B">
        <w:trPr>
          <w:trHeight w:val="300"/>
        </w:trPr>
        <w:tc>
          <w:tcPr>
            <w:tcW w:w="0" w:type="auto"/>
            <w:tcBorders>
              <w:top w:val="nil"/>
              <w:left w:val="nil"/>
              <w:bottom w:val="nil"/>
              <w:right w:val="nil"/>
            </w:tcBorders>
            <w:shd w:val="clear" w:color="auto" w:fill="auto"/>
            <w:noWrap/>
            <w:vAlign w:val="center"/>
            <w:hideMark/>
          </w:tcPr>
          <w:p w14:paraId="730FF83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07</w:t>
            </w:r>
          </w:p>
        </w:tc>
        <w:tc>
          <w:tcPr>
            <w:tcW w:w="0" w:type="auto"/>
            <w:tcBorders>
              <w:top w:val="nil"/>
              <w:left w:val="nil"/>
              <w:bottom w:val="nil"/>
              <w:right w:val="nil"/>
            </w:tcBorders>
            <w:shd w:val="clear" w:color="auto" w:fill="auto"/>
            <w:noWrap/>
            <w:vAlign w:val="center"/>
            <w:hideMark/>
          </w:tcPr>
          <w:p w14:paraId="46B37768"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0.75 (0.68, 0.81)</w:t>
            </w:r>
          </w:p>
        </w:tc>
        <w:tc>
          <w:tcPr>
            <w:tcW w:w="0" w:type="auto"/>
            <w:tcBorders>
              <w:top w:val="nil"/>
              <w:left w:val="nil"/>
              <w:bottom w:val="nil"/>
              <w:right w:val="nil"/>
            </w:tcBorders>
            <w:shd w:val="clear" w:color="auto" w:fill="auto"/>
            <w:noWrap/>
            <w:vAlign w:val="center"/>
            <w:hideMark/>
          </w:tcPr>
          <w:p w14:paraId="6DF8A79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742.02 (686.81, 802.8)</w:t>
            </w:r>
          </w:p>
        </w:tc>
        <w:tc>
          <w:tcPr>
            <w:tcW w:w="0" w:type="auto"/>
            <w:tcBorders>
              <w:top w:val="nil"/>
              <w:left w:val="nil"/>
              <w:bottom w:val="nil"/>
              <w:right w:val="nil"/>
            </w:tcBorders>
            <w:shd w:val="clear" w:color="auto" w:fill="auto"/>
            <w:noWrap/>
            <w:vAlign w:val="center"/>
            <w:hideMark/>
          </w:tcPr>
          <w:p w14:paraId="77436C9B"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1.23 (1.2, 1.25)</w:t>
            </w:r>
          </w:p>
        </w:tc>
        <w:tc>
          <w:tcPr>
            <w:tcW w:w="0" w:type="auto"/>
            <w:tcBorders>
              <w:top w:val="nil"/>
              <w:left w:val="nil"/>
              <w:bottom w:val="nil"/>
              <w:right w:val="nil"/>
            </w:tcBorders>
            <w:shd w:val="clear" w:color="auto" w:fill="auto"/>
            <w:noWrap/>
            <w:vAlign w:val="center"/>
            <w:hideMark/>
          </w:tcPr>
          <w:p w14:paraId="70AA5B3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78.62 (66.85, 92.25)</w:t>
            </w:r>
          </w:p>
        </w:tc>
      </w:tr>
      <w:tr w:rsidR="00504067" w:rsidRPr="00E8064A" w14:paraId="782F7633" w14:textId="77777777" w:rsidTr="00D0469B">
        <w:trPr>
          <w:trHeight w:val="300"/>
        </w:trPr>
        <w:tc>
          <w:tcPr>
            <w:tcW w:w="0" w:type="auto"/>
            <w:tcBorders>
              <w:top w:val="nil"/>
              <w:left w:val="nil"/>
              <w:bottom w:val="nil"/>
              <w:right w:val="nil"/>
            </w:tcBorders>
            <w:shd w:val="clear" w:color="auto" w:fill="auto"/>
            <w:noWrap/>
            <w:vAlign w:val="center"/>
            <w:hideMark/>
          </w:tcPr>
          <w:p w14:paraId="53CBA07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w:t>
            </w:r>
          </w:p>
        </w:tc>
        <w:tc>
          <w:tcPr>
            <w:tcW w:w="0" w:type="auto"/>
            <w:tcBorders>
              <w:top w:val="nil"/>
              <w:left w:val="nil"/>
              <w:bottom w:val="nil"/>
              <w:right w:val="nil"/>
            </w:tcBorders>
            <w:shd w:val="clear" w:color="auto" w:fill="auto"/>
            <w:noWrap/>
            <w:vAlign w:val="center"/>
            <w:hideMark/>
          </w:tcPr>
          <w:p w14:paraId="45D8241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0.94 (0.87, 1.02)</w:t>
            </w:r>
          </w:p>
        </w:tc>
        <w:tc>
          <w:tcPr>
            <w:tcW w:w="0" w:type="auto"/>
            <w:tcBorders>
              <w:top w:val="nil"/>
              <w:left w:val="nil"/>
              <w:bottom w:val="nil"/>
              <w:right w:val="nil"/>
            </w:tcBorders>
            <w:shd w:val="clear" w:color="auto" w:fill="auto"/>
            <w:noWrap/>
            <w:vAlign w:val="center"/>
            <w:hideMark/>
          </w:tcPr>
          <w:p w14:paraId="0FEE446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509.41 (462.8, 561.2)</w:t>
            </w:r>
          </w:p>
        </w:tc>
        <w:tc>
          <w:tcPr>
            <w:tcW w:w="0" w:type="auto"/>
            <w:tcBorders>
              <w:top w:val="nil"/>
              <w:left w:val="nil"/>
              <w:bottom w:val="nil"/>
              <w:right w:val="nil"/>
            </w:tcBorders>
            <w:shd w:val="clear" w:color="auto" w:fill="auto"/>
            <w:noWrap/>
            <w:vAlign w:val="center"/>
            <w:hideMark/>
          </w:tcPr>
          <w:p w14:paraId="42C3E5E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1.23 (1.21, 1.26)</w:t>
            </w:r>
          </w:p>
        </w:tc>
        <w:tc>
          <w:tcPr>
            <w:tcW w:w="0" w:type="auto"/>
            <w:tcBorders>
              <w:top w:val="nil"/>
              <w:left w:val="nil"/>
              <w:bottom w:val="nil"/>
              <w:right w:val="nil"/>
            </w:tcBorders>
            <w:shd w:val="clear" w:color="auto" w:fill="auto"/>
            <w:noWrap/>
            <w:vAlign w:val="center"/>
            <w:hideMark/>
          </w:tcPr>
          <w:p w14:paraId="7057ED1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164.24 (136.44, 198.52)</w:t>
            </w:r>
          </w:p>
        </w:tc>
      </w:tr>
      <w:tr w:rsidR="00504067" w:rsidRPr="00E8064A" w14:paraId="6D071E27" w14:textId="77777777" w:rsidTr="00D0469B">
        <w:trPr>
          <w:trHeight w:val="300"/>
        </w:trPr>
        <w:tc>
          <w:tcPr>
            <w:tcW w:w="0" w:type="auto"/>
            <w:tcBorders>
              <w:top w:val="nil"/>
              <w:left w:val="nil"/>
              <w:bottom w:val="nil"/>
              <w:right w:val="nil"/>
            </w:tcBorders>
            <w:shd w:val="clear" w:color="auto" w:fill="auto"/>
            <w:noWrap/>
            <w:vAlign w:val="center"/>
            <w:hideMark/>
          </w:tcPr>
          <w:p w14:paraId="4FD683A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09</w:t>
            </w:r>
          </w:p>
        </w:tc>
        <w:tc>
          <w:tcPr>
            <w:tcW w:w="0" w:type="auto"/>
            <w:tcBorders>
              <w:top w:val="nil"/>
              <w:left w:val="nil"/>
              <w:bottom w:val="nil"/>
              <w:right w:val="nil"/>
            </w:tcBorders>
            <w:shd w:val="clear" w:color="auto" w:fill="auto"/>
            <w:noWrap/>
            <w:vAlign w:val="center"/>
            <w:hideMark/>
          </w:tcPr>
          <w:p w14:paraId="73849020"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0.69 (0.63, 0.75)</w:t>
            </w:r>
          </w:p>
        </w:tc>
        <w:tc>
          <w:tcPr>
            <w:tcW w:w="0" w:type="auto"/>
            <w:tcBorders>
              <w:top w:val="nil"/>
              <w:left w:val="nil"/>
              <w:bottom w:val="nil"/>
              <w:right w:val="nil"/>
            </w:tcBorders>
            <w:shd w:val="clear" w:color="auto" w:fill="auto"/>
            <w:noWrap/>
            <w:vAlign w:val="center"/>
            <w:hideMark/>
          </w:tcPr>
          <w:p w14:paraId="3F9A174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651.53 (603.04, 704.34)</w:t>
            </w:r>
          </w:p>
        </w:tc>
        <w:tc>
          <w:tcPr>
            <w:tcW w:w="0" w:type="auto"/>
            <w:tcBorders>
              <w:top w:val="nil"/>
              <w:left w:val="nil"/>
              <w:bottom w:val="nil"/>
              <w:right w:val="nil"/>
            </w:tcBorders>
            <w:shd w:val="clear" w:color="auto" w:fill="auto"/>
            <w:noWrap/>
            <w:vAlign w:val="center"/>
            <w:hideMark/>
          </w:tcPr>
          <w:p w14:paraId="157B0DBB"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1.3 (1.27, 1.32)</w:t>
            </w:r>
          </w:p>
        </w:tc>
        <w:tc>
          <w:tcPr>
            <w:tcW w:w="0" w:type="auto"/>
            <w:tcBorders>
              <w:top w:val="nil"/>
              <w:left w:val="nil"/>
              <w:bottom w:val="nil"/>
              <w:right w:val="nil"/>
            </w:tcBorders>
            <w:shd w:val="clear" w:color="auto" w:fill="auto"/>
            <w:noWrap/>
            <w:vAlign w:val="center"/>
            <w:hideMark/>
          </w:tcPr>
          <w:p w14:paraId="2CCA6EB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41.24 (34.83, 48.18)</w:t>
            </w:r>
          </w:p>
        </w:tc>
      </w:tr>
      <w:tr w:rsidR="00504067" w:rsidRPr="00E8064A" w14:paraId="03E6B193" w14:textId="77777777" w:rsidTr="00D0469B">
        <w:trPr>
          <w:trHeight w:val="300"/>
        </w:trPr>
        <w:tc>
          <w:tcPr>
            <w:tcW w:w="0" w:type="auto"/>
            <w:tcBorders>
              <w:top w:val="nil"/>
              <w:left w:val="nil"/>
              <w:bottom w:val="nil"/>
              <w:right w:val="nil"/>
            </w:tcBorders>
            <w:shd w:val="clear" w:color="auto" w:fill="auto"/>
            <w:noWrap/>
            <w:vAlign w:val="center"/>
            <w:hideMark/>
          </w:tcPr>
          <w:p w14:paraId="451CA1A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10L</w:t>
            </w:r>
          </w:p>
        </w:tc>
        <w:tc>
          <w:tcPr>
            <w:tcW w:w="0" w:type="auto"/>
            <w:tcBorders>
              <w:top w:val="nil"/>
              <w:left w:val="nil"/>
              <w:bottom w:val="nil"/>
              <w:right w:val="nil"/>
            </w:tcBorders>
            <w:shd w:val="clear" w:color="auto" w:fill="auto"/>
            <w:noWrap/>
            <w:vAlign w:val="center"/>
            <w:hideMark/>
          </w:tcPr>
          <w:p w14:paraId="767325B6"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0.91 (0.85, 0.97)</w:t>
            </w:r>
          </w:p>
        </w:tc>
        <w:tc>
          <w:tcPr>
            <w:tcW w:w="0" w:type="auto"/>
            <w:tcBorders>
              <w:top w:val="nil"/>
              <w:left w:val="nil"/>
              <w:bottom w:val="nil"/>
              <w:right w:val="nil"/>
            </w:tcBorders>
            <w:shd w:val="clear" w:color="auto" w:fill="auto"/>
            <w:noWrap/>
            <w:vAlign w:val="center"/>
            <w:hideMark/>
          </w:tcPr>
          <w:p w14:paraId="3A7ABC5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650.3 (603.2, 701.37)</w:t>
            </w:r>
          </w:p>
        </w:tc>
        <w:tc>
          <w:tcPr>
            <w:tcW w:w="0" w:type="auto"/>
            <w:tcBorders>
              <w:top w:val="nil"/>
              <w:left w:val="nil"/>
              <w:bottom w:val="nil"/>
              <w:right w:val="nil"/>
            </w:tcBorders>
            <w:shd w:val="clear" w:color="auto" w:fill="auto"/>
            <w:noWrap/>
            <w:vAlign w:val="center"/>
            <w:hideMark/>
          </w:tcPr>
          <w:p w14:paraId="11982DF3"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1.27 (1.25, 1.29)</w:t>
            </w:r>
          </w:p>
        </w:tc>
        <w:tc>
          <w:tcPr>
            <w:tcW w:w="0" w:type="auto"/>
            <w:tcBorders>
              <w:top w:val="nil"/>
              <w:left w:val="nil"/>
              <w:bottom w:val="nil"/>
              <w:right w:val="nil"/>
            </w:tcBorders>
            <w:shd w:val="clear" w:color="auto" w:fill="auto"/>
            <w:noWrap/>
            <w:vAlign w:val="center"/>
            <w:hideMark/>
          </w:tcPr>
          <w:p w14:paraId="16277CA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56.16 (48.11, 65.57)</w:t>
            </w:r>
          </w:p>
        </w:tc>
      </w:tr>
      <w:tr w:rsidR="00504067" w:rsidRPr="00E8064A" w14:paraId="4C2BB71C" w14:textId="77777777" w:rsidTr="00D0469B">
        <w:trPr>
          <w:trHeight w:val="300"/>
        </w:trPr>
        <w:tc>
          <w:tcPr>
            <w:tcW w:w="0" w:type="auto"/>
            <w:tcBorders>
              <w:top w:val="nil"/>
              <w:left w:val="nil"/>
              <w:bottom w:val="nil"/>
              <w:right w:val="nil"/>
            </w:tcBorders>
            <w:shd w:val="clear" w:color="auto" w:fill="auto"/>
            <w:noWrap/>
            <w:vAlign w:val="center"/>
            <w:hideMark/>
          </w:tcPr>
          <w:p w14:paraId="4436F4C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10U</w:t>
            </w:r>
          </w:p>
        </w:tc>
        <w:tc>
          <w:tcPr>
            <w:tcW w:w="0" w:type="auto"/>
            <w:tcBorders>
              <w:top w:val="nil"/>
              <w:left w:val="nil"/>
              <w:bottom w:val="nil"/>
              <w:right w:val="nil"/>
            </w:tcBorders>
            <w:shd w:val="clear" w:color="auto" w:fill="auto"/>
            <w:noWrap/>
            <w:vAlign w:val="center"/>
            <w:hideMark/>
          </w:tcPr>
          <w:p w14:paraId="0B591564"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0.88 (0.82, 0.93)</w:t>
            </w:r>
          </w:p>
        </w:tc>
        <w:tc>
          <w:tcPr>
            <w:tcW w:w="0" w:type="auto"/>
            <w:tcBorders>
              <w:top w:val="nil"/>
              <w:left w:val="nil"/>
              <w:bottom w:val="nil"/>
              <w:right w:val="nil"/>
            </w:tcBorders>
            <w:shd w:val="clear" w:color="auto" w:fill="auto"/>
            <w:noWrap/>
            <w:vAlign w:val="center"/>
            <w:hideMark/>
          </w:tcPr>
          <w:p w14:paraId="73965F6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687.68 (639.53, 742.81)</w:t>
            </w:r>
          </w:p>
        </w:tc>
        <w:tc>
          <w:tcPr>
            <w:tcW w:w="0" w:type="auto"/>
            <w:tcBorders>
              <w:top w:val="nil"/>
              <w:left w:val="nil"/>
              <w:bottom w:val="nil"/>
              <w:right w:val="nil"/>
            </w:tcBorders>
            <w:shd w:val="clear" w:color="auto" w:fill="auto"/>
            <w:noWrap/>
            <w:vAlign w:val="center"/>
            <w:hideMark/>
          </w:tcPr>
          <w:p w14:paraId="6AD7474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1.33 (1.31, 1.36)</w:t>
            </w:r>
          </w:p>
        </w:tc>
        <w:tc>
          <w:tcPr>
            <w:tcW w:w="0" w:type="auto"/>
            <w:tcBorders>
              <w:top w:val="nil"/>
              <w:left w:val="nil"/>
              <w:bottom w:val="nil"/>
              <w:right w:val="nil"/>
            </w:tcBorders>
            <w:shd w:val="clear" w:color="auto" w:fill="auto"/>
            <w:noWrap/>
            <w:vAlign w:val="center"/>
            <w:hideMark/>
          </w:tcPr>
          <w:p w14:paraId="5FD6BD5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38.57 (33.27, 45.11)</w:t>
            </w:r>
          </w:p>
        </w:tc>
      </w:tr>
      <w:tr w:rsidR="00504067" w:rsidRPr="00E8064A" w14:paraId="6669470B" w14:textId="77777777" w:rsidTr="00D0469B">
        <w:trPr>
          <w:trHeight w:val="300"/>
        </w:trPr>
        <w:tc>
          <w:tcPr>
            <w:tcW w:w="0" w:type="auto"/>
            <w:tcBorders>
              <w:top w:val="nil"/>
              <w:left w:val="nil"/>
              <w:bottom w:val="nil"/>
              <w:right w:val="nil"/>
            </w:tcBorders>
            <w:shd w:val="clear" w:color="auto" w:fill="auto"/>
            <w:noWrap/>
            <w:vAlign w:val="center"/>
            <w:hideMark/>
          </w:tcPr>
          <w:p w14:paraId="441C7F98"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11</w:t>
            </w:r>
          </w:p>
        </w:tc>
        <w:tc>
          <w:tcPr>
            <w:tcW w:w="0" w:type="auto"/>
            <w:tcBorders>
              <w:top w:val="nil"/>
              <w:left w:val="nil"/>
              <w:bottom w:val="nil"/>
              <w:right w:val="nil"/>
            </w:tcBorders>
            <w:shd w:val="clear" w:color="auto" w:fill="auto"/>
            <w:noWrap/>
            <w:vAlign w:val="center"/>
            <w:hideMark/>
          </w:tcPr>
          <w:p w14:paraId="1457BC9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0.85 (0.8, 0.91)</w:t>
            </w:r>
          </w:p>
        </w:tc>
        <w:tc>
          <w:tcPr>
            <w:tcW w:w="0" w:type="auto"/>
            <w:tcBorders>
              <w:top w:val="nil"/>
              <w:left w:val="nil"/>
              <w:bottom w:val="nil"/>
              <w:right w:val="nil"/>
            </w:tcBorders>
            <w:shd w:val="clear" w:color="auto" w:fill="auto"/>
            <w:noWrap/>
            <w:vAlign w:val="center"/>
            <w:hideMark/>
          </w:tcPr>
          <w:p w14:paraId="04E9D20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609.92 (565.04, 655.94)</w:t>
            </w:r>
          </w:p>
        </w:tc>
        <w:tc>
          <w:tcPr>
            <w:tcW w:w="0" w:type="auto"/>
            <w:tcBorders>
              <w:top w:val="nil"/>
              <w:left w:val="nil"/>
              <w:bottom w:val="nil"/>
              <w:right w:val="nil"/>
            </w:tcBorders>
            <w:shd w:val="clear" w:color="auto" w:fill="auto"/>
            <w:noWrap/>
            <w:vAlign w:val="center"/>
            <w:hideMark/>
          </w:tcPr>
          <w:p w14:paraId="192C3296"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1.27 (1.25, 1.3)</w:t>
            </w:r>
          </w:p>
        </w:tc>
        <w:tc>
          <w:tcPr>
            <w:tcW w:w="0" w:type="auto"/>
            <w:tcBorders>
              <w:top w:val="nil"/>
              <w:left w:val="nil"/>
              <w:bottom w:val="nil"/>
              <w:right w:val="nil"/>
            </w:tcBorders>
            <w:shd w:val="clear" w:color="auto" w:fill="auto"/>
            <w:noWrap/>
            <w:vAlign w:val="center"/>
            <w:hideMark/>
          </w:tcPr>
          <w:p w14:paraId="4F9D739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57.34 (49.45, 67.04)</w:t>
            </w:r>
          </w:p>
        </w:tc>
      </w:tr>
      <w:tr w:rsidR="00504067" w:rsidRPr="00E8064A" w14:paraId="58E27D94" w14:textId="77777777" w:rsidTr="00D0469B">
        <w:trPr>
          <w:trHeight w:val="300"/>
        </w:trPr>
        <w:tc>
          <w:tcPr>
            <w:tcW w:w="0" w:type="auto"/>
            <w:tcBorders>
              <w:top w:val="nil"/>
              <w:left w:val="nil"/>
              <w:bottom w:val="nil"/>
              <w:right w:val="nil"/>
            </w:tcBorders>
            <w:shd w:val="clear" w:color="auto" w:fill="auto"/>
            <w:noWrap/>
            <w:vAlign w:val="center"/>
            <w:hideMark/>
          </w:tcPr>
          <w:p w14:paraId="6FD7583F"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w:t>
            </w:r>
          </w:p>
        </w:tc>
        <w:tc>
          <w:tcPr>
            <w:tcW w:w="0" w:type="auto"/>
            <w:tcBorders>
              <w:top w:val="nil"/>
              <w:left w:val="nil"/>
              <w:bottom w:val="nil"/>
              <w:right w:val="nil"/>
            </w:tcBorders>
            <w:shd w:val="clear" w:color="auto" w:fill="auto"/>
            <w:noWrap/>
            <w:vAlign w:val="center"/>
            <w:hideMark/>
          </w:tcPr>
          <w:p w14:paraId="33614E44"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0.64 (0.59, 0.7)</w:t>
            </w:r>
          </w:p>
        </w:tc>
        <w:tc>
          <w:tcPr>
            <w:tcW w:w="0" w:type="auto"/>
            <w:tcBorders>
              <w:top w:val="nil"/>
              <w:left w:val="nil"/>
              <w:bottom w:val="nil"/>
              <w:right w:val="nil"/>
            </w:tcBorders>
            <w:shd w:val="clear" w:color="auto" w:fill="auto"/>
            <w:noWrap/>
            <w:vAlign w:val="center"/>
            <w:hideMark/>
          </w:tcPr>
          <w:p w14:paraId="3704576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980.95 (907.57, 1057.27)</w:t>
            </w:r>
          </w:p>
        </w:tc>
        <w:tc>
          <w:tcPr>
            <w:tcW w:w="0" w:type="auto"/>
            <w:tcBorders>
              <w:top w:val="nil"/>
              <w:left w:val="nil"/>
              <w:bottom w:val="nil"/>
              <w:right w:val="nil"/>
            </w:tcBorders>
            <w:shd w:val="clear" w:color="auto" w:fill="auto"/>
            <w:noWrap/>
            <w:vAlign w:val="center"/>
            <w:hideMark/>
          </w:tcPr>
          <w:p w14:paraId="3C99D5F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1.3 (1.28, 1.32)</w:t>
            </w:r>
          </w:p>
        </w:tc>
        <w:tc>
          <w:tcPr>
            <w:tcW w:w="0" w:type="auto"/>
            <w:tcBorders>
              <w:top w:val="nil"/>
              <w:left w:val="nil"/>
              <w:bottom w:val="nil"/>
              <w:right w:val="nil"/>
            </w:tcBorders>
            <w:shd w:val="clear" w:color="auto" w:fill="auto"/>
            <w:noWrap/>
            <w:vAlign w:val="center"/>
            <w:hideMark/>
          </w:tcPr>
          <w:p w14:paraId="74B1825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47.55 (40.88, 55.9)</w:t>
            </w:r>
          </w:p>
        </w:tc>
      </w:tr>
      <w:tr w:rsidR="00504067" w:rsidRPr="00E8064A" w14:paraId="0E207E41" w14:textId="77777777" w:rsidTr="00D0469B">
        <w:trPr>
          <w:trHeight w:val="300"/>
        </w:trPr>
        <w:tc>
          <w:tcPr>
            <w:tcW w:w="0" w:type="auto"/>
            <w:tcBorders>
              <w:top w:val="nil"/>
              <w:left w:val="nil"/>
              <w:bottom w:val="nil"/>
              <w:right w:val="nil"/>
            </w:tcBorders>
            <w:shd w:val="clear" w:color="auto" w:fill="auto"/>
            <w:noWrap/>
            <w:vAlign w:val="center"/>
            <w:hideMark/>
          </w:tcPr>
          <w:p w14:paraId="03F86A5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13</w:t>
            </w:r>
          </w:p>
        </w:tc>
        <w:tc>
          <w:tcPr>
            <w:tcW w:w="0" w:type="auto"/>
            <w:tcBorders>
              <w:top w:val="nil"/>
              <w:left w:val="nil"/>
              <w:bottom w:val="nil"/>
              <w:right w:val="nil"/>
            </w:tcBorders>
            <w:shd w:val="clear" w:color="auto" w:fill="auto"/>
            <w:noWrap/>
            <w:vAlign w:val="center"/>
            <w:hideMark/>
          </w:tcPr>
          <w:p w14:paraId="6C1346D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0.71 (0.65, 0.77)</w:t>
            </w:r>
          </w:p>
        </w:tc>
        <w:tc>
          <w:tcPr>
            <w:tcW w:w="0" w:type="auto"/>
            <w:tcBorders>
              <w:top w:val="nil"/>
              <w:left w:val="nil"/>
              <w:bottom w:val="nil"/>
              <w:right w:val="nil"/>
            </w:tcBorders>
            <w:shd w:val="clear" w:color="auto" w:fill="auto"/>
            <w:noWrap/>
            <w:vAlign w:val="center"/>
            <w:hideMark/>
          </w:tcPr>
          <w:p w14:paraId="3A91A6C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798.35 (740.69, 862.48)</w:t>
            </w:r>
          </w:p>
        </w:tc>
        <w:tc>
          <w:tcPr>
            <w:tcW w:w="0" w:type="auto"/>
            <w:tcBorders>
              <w:top w:val="nil"/>
              <w:left w:val="nil"/>
              <w:bottom w:val="nil"/>
              <w:right w:val="nil"/>
            </w:tcBorders>
            <w:shd w:val="clear" w:color="auto" w:fill="auto"/>
            <w:noWrap/>
            <w:vAlign w:val="center"/>
            <w:hideMark/>
          </w:tcPr>
          <w:p w14:paraId="00B735A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1.18 (1.16, 1.2)</w:t>
            </w:r>
          </w:p>
        </w:tc>
        <w:tc>
          <w:tcPr>
            <w:tcW w:w="0" w:type="auto"/>
            <w:tcBorders>
              <w:top w:val="nil"/>
              <w:left w:val="nil"/>
              <w:bottom w:val="nil"/>
              <w:right w:val="nil"/>
            </w:tcBorders>
            <w:shd w:val="clear" w:color="auto" w:fill="auto"/>
            <w:noWrap/>
            <w:vAlign w:val="center"/>
            <w:hideMark/>
          </w:tcPr>
          <w:p w14:paraId="0F92CF1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26.42 (22.51, 30.87)</w:t>
            </w:r>
          </w:p>
        </w:tc>
      </w:tr>
      <w:tr w:rsidR="00504067" w:rsidRPr="00E8064A" w14:paraId="5B520B18" w14:textId="77777777" w:rsidTr="00D0469B">
        <w:trPr>
          <w:trHeight w:val="300"/>
        </w:trPr>
        <w:tc>
          <w:tcPr>
            <w:tcW w:w="0" w:type="auto"/>
            <w:tcBorders>
              <w:top w:val="nil"/>
              <w:left w:val="nil"/>
              <w:bottom w:val="nil"/>
              <w:right w:val="nil"/>
            </w:tcBorders>
            <w:shd w:val="clear" w:color="auto" w:fill="auto"/>
            <w:noWrap/>
            <w:vAlign w:val="center"/>
            <w:hideMark/>
          </w:tcPr>
          <w:p w14:paraId="0F98461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14</w:t>
            </w:r>
          </w:p>
        </w:tc>
        <w:tc>
          <w:tcPr>
            <w:tcW w:w="0" w:type="auto"/>
            <w:tcBorders>
              <w:top w:val="nil"/>
              <w:left w:val="nil"/>
              <w:bottom w:val="nil"/>
              <w:right w:val="nil"/>
            </w:tcBorders>
            <w:shd w:val="clear" w:color="auto" w:fill="auto"/>
            <w:noWrap/>
            <w:vAlign w:val="center"/>
            <w:hideMark/>
          </w:tcPr>
          <w:p w14:paraId="5FC69519"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0.85 (0.79, 0.91)</w:t>
            </w:r>
          </w:p>
        </w:tc>
        <w:tc>
          <w:tcPr>
            <w:tcW w:w="0" w:type="auto"/>
            <w:tcBorders>
              <w:top w:val="nil"/>
              <w:left w:val="nil"/>
              <w:bottom w:val="nil"/>
              <w:right w:val="nil"/>
            </w:tcBorders>
            <w:shd w:val="clear" w:color="auto" w:fill="auto"/>
            <w:noWrap/>
            <w:vAlign w:val="center"/>
            <w:hideMark/>
          </w:tcPr>
          <w:p w14:paraId="6052B802"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674.05 (622.05, 724.35)</w:t>
            </w:r>
          </w:p>
        </w:tc>
        <w:tc>
          <w:tcPr>
            <w:tcW w:w="0" w:type="auto"/>
            <w:tcBorders>
              <w:top w:val="nil"/>
              <w:left w:val="nil"/>
              <w:bottom w:val="nil"/>
              <w:right w:val="nil"/>
            </w:tcBorders>
            <w:shd w:val="clear" w:color="auto" w:fill="auto"/>
            <w:noWrap/>
            <w:vAlign w:val="center"/>
            <w:hideMark/>
          </w:tcPr>
          <w:p w14:paraId="606A17AA"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1.21 (1.19, 1.23)</w:t>
            </w:r>
          </w:p>
        </w:tc>
        <w:tc>
          <w:tcPr>
            <w:tcW w:w="0" w:type="auto"/>
            <w:tcBorders>
              <w:top w:val="nil"/>
              <w:left w:val="nil"/>
              <w:bottom w:val="nil"/>
              <w:right w:val="nil"/>
            </w:tcBorders>
            <w:shd w:val="clear" w:color="auto" w:fill="auto"/>
            <w:noWrap/>
            <w:vAlign w:val="center"/>
            <w:hideMark/>
          </w:tcPr>
          <w:p w14:paraId="611AC706"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27.64 (23.6, 32.41)</w:t>
            </w:r>
          </w:p>
        </w:tc>
      </w:tr>
      <w:tr w:rsidR="00504067" w:rsidRPr="00E8064A" w14:paraId="77108C4A" w14:textId="77777777" w:rsidTr="00D0469B">
        <w:trPr>
          <w:trHeight w:val="300"/>
        </w:trPr>
        <w:tc>
          <w:tcPr>
            <w:tcW w:w="0" w:type="auto"/>
            <w:tcBorders>
              <w:top w:val="nil"/>
              <w:left w:val="nil"/>
              <w:bottom w:val="nil"/>
              <w:right w:val="nil"/>
            </w:tcBorders>
            <w:shd w:val="clear" w:color="auto" w:fill="auto"/>
            <w:noWrap/>
            <w:vAlign w:val="center"/>
            <w:hideMark/>
          </w:tcPr>
          <w:p w14:paraId="7580705B"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15</w:t>
            </w:r>
          </w:p>
        </w:tc>
        <w:tc>
          <w:tcPr>
            <w:tcW w:w="0" w:type="auto"/>
            <w:tcBorders>
              <w:top w:val="nil"/>
              <w:left w:val="nil"/>
              <w:bottom w:val="nil"/>
              <w:right w:val="nil"/>
            </w:tcBorders>
            <w:shd w:val="clear" w:color="auto" w:fill="auto"/>
            <w:noWrap/>
            <w:vAlign w:val="center"/>
            <w:hideMark/>
          </w:tcPr>
          <w:p w14:paraId="5B634EB0"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0.96 (0.9, 1.02)</w:t>
            </w:r>
          </w:p>
        </w:tc>
        <w:tc>
          <w:tcPr>
            <w:tcW w:w="0" w:type="auto"/>
            <w:tcBorders>
              <w:top w:val="nil"/>
              <w:left w:val="nil"/>
              <w:bottom w:val="nil"/>
              <w:right w:val="nil"/>
            </w:tcBorders>
            <w:shd w:val="clear" w:color="auto" w:fill="auto"/>
            <w:noWrap/>
            <w:vAlign w:val="center"/>
            <w:hideMark/>
          </w:tcPr>
          <w:p w14:paraId="0BCEAB0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693.59 (638.56, 748.96)</w:t>
            </w:r>
          </w:p>
        </w:tc>
        <w:tc>
          <w:tcPr>
            <w:tcW w:w="0" w:type="auto"/>
            <w:tcBorders>
              <w:top w:val="nil"/>
              <w:left w:val="nil"/>
              <w:bottom w:val="nil"/>
              <w:right w:val="nil"/>
            </w:tcBorders>
            <w:shd w:val="clear" w:color="auto" w:fill="auto"/>
            <w:noWrap/>
            <w:vAlign w:val="center"/>
            <w:hideMark/>
          </w:tcPr>
          <w:p w14:paraId="1284E7E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1.22 (1.2, 1.24)</w:t>
            </w:r>
          </w:p>
        </w:tc>
        <w:tc>
          <w:tcPr>
            <w:tcW w:w="0" w:type="auto"/>
            <w:tcBorders>
              <w:top w:val="nil"/>
              <w:left w:val="nil"/>
              <w:bottom w:val="nil"/>
              <w:right w:val="nil"/>
            </w:tcBorders>
            <w:shd w:val="clear" w:color="auto" w:fill="auto"/>
            <w:noWrap/>
            <w:vAlign w:val="center"/>
            <w:hideMark/>
          </w:tcPr>
          <w:p w14:paraId="0FC0EB53"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24.27 (20.7, 28.45)</w:t>
            </w:r>
          </w:p>
        </w:tc>
      </w:tr>
      <w:tr w:rsidR="00504067" w:rsidRPr="00E8064A" w14:paraId="6C502535" w14:textId="77777777" w:rsidTr="00D0469B">
        <w:trPr>
          <w:trHeight w:val="300"/>
        </w:trPr>
        <w:tc>
          <w:tcPr>
            <w:tcW w:w="0" w:type="auto"/>
            <w:tcBorders>
              <w:top w:val="nil"/>
              <w:left w:val="nil"/>
              <w:bottom w:val="nil"/>
              <w:right w:val="nil"/>
            </w:tcBorders>
            <w:shd w:val="clear" w:color="auto" w:fill="auto"/>
            <w:noWrap/>
            <w:vAlign w:val="center"/>
            <w:hideMark/>
          </w:tcPr>
          <w:p w14:paraId="50E2FB7A"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16</w:t>
            </w:r>
          </w:p>
        </w:tc>
        <w:tc>
          <w:tcPr>
            <w:tcW w:w="0" w:type="auto"/>
            <w:tcBorders>
              <w:top w:val="nil"/>
              <w:left w:val="nil"/>
              <w:bottom w:val="nil"/>
              <w:right w:val="nil"/>
            </w:tcBorders>
            <w:shd w:val="clear" w:color="auto" w:fill="auto"/>
            <w:noWrap/>
            <w:vAlign w:val="center"/>
            <w:hideMark/>
          </w:tcPr>
          <w:p w14:paraId="2ED6564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0.83 (0.76, 0.89)</w:t>
            </w:r>
          </w:p>
        </w:tc>
        <w:tc>
          <w:tcPr>
            <w:tcW w:w="0" w:type="auto"/>
            <w:tcBorders>
              <w:top w:val="nil"/>
              <w:left w:val="nil"/>
              <w:bottom w:val="nil"/>
              <w:right w:val="nil"/>
            </w:tcBorders>
            <w:shd w:val="clear" w:color="auto" w:fill="auto"/>
            <w:noWrap/>
            <w:vAlign w:val="center"/>
            <w:hideMark/>
          </w:tcPr>
          <w:p w14:paraId="6FB7DAC5"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600.77 (555.27, 653.19)</w:t>
            </w:r>
          </w:p>
        </w:tc>
        <w:tc>
          <w:tcPr>
            <w:tcW w:w="0" w:type="auto"/>
            <w:tcBorders>
              <w:top w:val="nil"/>
              <w:left w:val="nil"/>
              <w:bottom w:val="nil"/>
              <w:right w:val="nil"/>
            </w:tcBorders>
            <w:shd w:val="clear" w:color="auto" w:fill="auto"/>
            <w:noWrap/>
            <w:vAlign w:val="center"/>
            <w:hideMark/>
          </w:tcPr>
          <w:p w14:paraId="7B50ABA1"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1.18 (1.15, 1.2)</w:t>
            </w:r>
          </w:p>
        </w:tc>
        <w:tc>
          <w:tcPr>
            <w:tcW w:w="0" w:type="auto"/>
            <w:tcBorders>
              <w:top w:val="nil"/>
              <w:left w:val="nil"/>
              <w:bottom w:val="nil"/>
              <w:right w:val="nil"/>
            </w:tcBorders>
            <w:shd w:val="clear" w:color="auto" w:fill="auto"/>
            <w:noWrap/>
            <w:vAlign w:val="center"/>
            <w:hideMark/>
          </w:tcPr>
          <w:p w14:paraId="60D52743"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21.59 (18.26, 25.37)</w:t>
            </w:r>
          </w:p>
        </w:tc>
      </w:tr>
      <w:tr w:rsidR="00504067" w:rsidRPr="00E8064A" w14:paraId="30B77105" w14:textId="77777777" w:rsidTr="00D0469B">
        <w:trPr>
          <w:trHeight w:val="300"/>
        </w:trPr>
        <w:tc>
          <w:tcPr>
            <w:tcW w:w="0" w:type="auto"/>
            <w:tcBorders>
              <w:top w:val="nil"/>
              <w:left w:val="nil"/>
              <w:bottom w:val="nil"/>
              <w:right w:val="nil"/>
            </w:tcBorders>
            <w:shd w:val="clear" w:color="auto" w:fill="auto"/>
            <w:noWrap/>
            <w:vAlign w:val="center"/>
            <w:hideMark/>
          </w:tcPr>
          <w:p w14:paraId="59B0435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17</w:t>
            </w:r>
          </w:p>
        </w:tc>
        <w:tc>
          <w:tcPr>
            <w:tcW w:w="0" w:type="auto"/>
            <w:tcBorders>
              <w:top w:val="nil"/>
              <w:left w:val="nil"/>
              <w:bottom w:val="nil"/>
              <w:right w:val="nil"/>
            </w:tcBorders>
            <w:shd w:val="clear" w:color="auto" w:fill="auto"/>
            <w:noWrap/>
            <w:vAlign w:val="center"/>
            <w:hideMark/>
          </w:tcPr>
          <w:p w14:paraId="5A1509D8"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0.63 (0.57, 0.7)</w:t>
            </w:r>
          </w:p>
        </w:tc>
        <w:tc>
          <w:tcPr>
            <w:tcW w:w="0" w:type="auto"/>
            <w:tcBorders>
              <w:top w:val="nil"/>
              <w:left w:val="nil"/>
              <w:bottom w:val="nil"/>
              <w:right w:val="nil"/>
            </w:tcBorders>
            <w:shd w:val="clear" w:color="auto" w:fill="auto"/>
            <w:noWrap/>
            <w:vAlign w:val="center"/>
            <w:hideMark/>
          </w:tcPr>
          <w:p w14:paraId="7427931C"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776.06 (717.48, 843.83)</w:t>
            </w:r>
          </w:p>
        </w:tc>
        <w:tc>
          <w:tcPr>
            <w:tcW w:w="0" w:type="auto"/>
            <w:tcBorders>
              <w:top w:val="nil"/>
              <w:left w:val="nil"/>
              <w:bottom w:val="nil"/>
              <w:right w:val="nil"/>
            </w:tcBorders>
            <w:shd w:val="clear" w:color="auto" w:fill="auto"/>
            <w:noWrap/>
            <w:vAlign w:val="center"/>
            <w:hideMark/>
          </w:tcPr>
          <w:p w14:paraId="2D438BB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 (1.18, 1.23)</w:t>
            </w:r>
          </w:p>
        </w:tc>
        <w:tc>
          <w:tcPr>
            <w:tcW w:w="0" w:type="auto"/>
            <w:tcBorders>
              <w:top w:val="nil"/>
              <w:left w:val="nil"/>
              <w:bottom w:val="nil"/>
              <w:right w:val="nil"/>
            </w:tcBorders>
            <w:shd w:val="clear" w:color="auto" w:fill="auto"/>
            <w:noWrap/>
            <w:vAlign w:val="center"/>
            <w:hideMark/>
          </w:tcPr>
          <w:p w14:paraId="1354A12A"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44.54 (37.22, 52.35)</w:t>
            </w:r>
          </w:p>
        </w:tc>
      </w:tr>
      <w:tr w:rsidR="00504067" w:rsidRPr="00E8064A" w14:paraId="48A1F168" w14:textId="77777777" w:rsidTr="00D0469B">
        <w:trPr>
          <w:trHeight w:val="300"/>
        </w:trPr>
        <w:tc>
          <w:tcPr>
            <w:tcW w:w="0" w:type="auto"/>
            <w:tcBorders>
              <w:top w:val="nil"/>
              <w:left w:val="nil"/>
              <w:bottom w:val="nil"/>
              <w:right w:val="nil"/>
            </w:tcBorders>
            <w:shd w:val="clear" w:color="auto" w:fill="auto"/>
            <w:noWrap/>
            <w:vAlign w:val="center"/>
            <w:hideMark/>
          </w:tcPr>
          <w:p w14:paraId="08779F7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18</w:t>
            </w:r>
          </w:p>
        </w:tc>
        <w:tc>
          <w:tcPr>
            <w:tcW w:w="0" w:type="auto"/>
            <w:tcBorders>
              <w:top w:val="nil"/>
              <w:left w:val="nil"/>
              <w:bottom w:val="nil"/>
              <w:right w:val="nil"/>
            </w:tcBorders>
            <w:shd w:val="clear" w:color="auto" w:fill="auto"/>
            <w:noWrap/>
            <w:vAlign w:val="center"/>
            <w:hideMark/>
          </w:tcPr>
          <w:p w14:paraId="702D591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0.82 (0.75, 0.88)</w:t>
            </w:r>
          </w:p>
        </w:tc>
        <w:tc>
          <w:tcPr>
            <w:tcW w:w="0" w:type="auto"/>
            <w:tcBorders>
              <w:top w:val="nil"/>
              <w:left w:val="nil"/>
              <w:bottom w:val="nil"/>
              <w:right w:val="nil"/>
            </w:tcBorders>
            <w:shd w:val="clear" w:color="auto" w:fill="auto"/>
            <w:noWrap/>
            <w:vAlign w:val="center"/>
            <w:hideMark/>
          </w:tcPr>
          <w:p w14:paraId="16C0B947"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649.14 (597.52, 703.64)</w:t>
            </w:r>
          </w:p>
        </w:tc>
        <w:tc>
          <w:tcPr>
            <w:tcW w:w="0" w:type="auto"/>
            <w:tcBorders>
              <w:top w:val="nil"/>
              <w:left w:val="nil"/>
              <w:bottom w:val="nil"/>
              <w:right w:val="nil"/>
            </w:tcBorders>
            <w:shd w:val="clear" w:color="auto" w:fill="auto"/>
            <w:noWrap/>
            <w:vAlign w:val="center"/>
            <w:hideMark/>
          </w:tcPr>
          <w:p w14:paraId="7A90A97D"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1.23 (1.2, 1.25)</w:t>
            </w:r>
          </w:p>
        </w:tc>
        <w:tc>
          <w:tcPr>
            <w:tcW w:w="0" w:type="auto"/>
            <w:tcBorders>
              <w:top w:val="nil"/>
              <w:left w:val="nil"/>
              <w:bottom w:val="nil"/>
              <w:right w:val="nil"/>
            </w:tcBorders>
            <w:shd w:val="clear" w:color="auto" w:fill="auto"/>
            <w:noWrap/>
            <w:vAlign w:val="center"/>
            <w:hideMark/>
          </w:tcPr>
          <w:p w14:paraId="1AC3124E" w14:textId="77777777" w:rsidR="00504067" w:rsidRPr="00CC0475" w:rsidRDefault="00504067" w:rsidP="00CC0475">
            <w:pPr>
              <w:spacing w:after="0"/>
              <w:jc w:val="center"/>
              <w:rPr>
                <w:rFonts w:ascii="Calibri" w:eastAsia="Times New Roman" w:hAnsi="Calibri" w:cs="Calibri"/>
                <w:color w:val="000000"/>
                <w:sz w:val="20"/>
                <w:szCs w:val="20"/>
              </w:rPr>
            </w:pPr>
            <w:r w:rsidRPr="00CC0475">
              <w:rPr>
                <w:rFonts w:ascii="Calibri" w:eastAsia="Times New Roman" w:hAnsi="Calibri" w:cs="Calibri"/>
                <w:color w:val="000000"/>
                <w:sz w:val="20"/>
                <w:szCs w:val="20"/>
              </w:rPr>
              <w:t>39.56 (33.39, 46.85)</w:t>
            </w:r>
          </w:p>
        </w:tc>
      </w:tr>
    </w:tbl>
    <w:p w14:paraId="74484C7B" w14:textId="77777777" w:rsidR="002D7985" w:rsidRDefault="002D7985" w:rsidP="00504067">
      <w:pPr>
        <w:spacing w:line="480" w:lineRule="auto"/>
        <w:contextualSpacing/>
        <w:rPr>
          <w:rFonts w:eastAsiaTheme="minorEastAsia" w:cs="Times New Roman"/>
          <w:iCs/>
          <w:szCs w:val="24"/>
        </w:rPr>
      </w:pPr>
    </w:p>
    <w:p w14:paraId="05560525" w14:textId="77777777" w:rsidR="00CC0475" w:rsidRDefault="00CC0475" w:rsidP="004A70A1">
      <w:pPr>
        <w:pStyle w:val="Caption"/>
        <w:keepNext/>
      </w:pPr>
      <w:bookmarkStart w:id="35" w:name="_Toc60238906"/>
      <w:bookmarkStart w:id="36" w:name="_Toc60480684"/>
    </w:p>
    <w:p w14:paraId="158CC189" w14:textId="77777777" w:rsidR="00CC0475" w:rsidRDefault="00CC0475" w:rsidP="004A70A1">
      <w:pPr>
        <w:pStyle w:val="Caption"/>
        <w:keepNext/>
      </w:pPr>
    </w:p>
    <w:p w14:paraId="39BA5CC2" w14:textId="77777777" w:rsidR="00CC0475" w:rsidRDefault="00CC0475" w:rsidP="004A70A1">
      <w:pPr>
        <w:pStyle w:val="Caption"/>
        <w:keepNext/>
      </w:pPr>
    </w:p>
    <w:p w14:paraId="3E88D962" w14:textId="77777777" w:rsidR="00CC0475" w:rsidRDefault="00CC0475" w:rsidP="004A70A1">
      <w:pPr>
        <w:pStyle w:val="Caption"/>
        <w:keepNext/>
      </w:pPr>
    </w:p>
    <w:p w14:paraId="143879EC" w14:textId="77777777" w:rsidR="00CC0475" w:rsidRDefault="00CC0475" w:rsidP="004A70A1">
      <w:pPr>
        <w:pStyle w:val="Caption"/>
        <w:keepNext/>
      </w:pPr>
    </w:p>
    <w:p w14:paraId="78C55FE1" w14:textId="77777777" w:rsidR="00CC0475" w:rsidRDefault="00CC0475" w:rsidP="004A70A1">
      <w:pPr>
        <w:pStyle w:val="Caption"/>
        <w:keepNext/>
      </w:pPr>
    </w:p>
    <w:p w14:paraId="52D03F81" w14:textId="77777777" w:rsidR="00CC0475" w:rsidRDefault="00CC0475" w:rsidP="004A70A1">
      <w:pPr>
        <w:pStyle w:val="Caption"/>
        <w:keepNext/>
      </w:pPr>
    </w:p>
    <w:p w14:paraId="115A3562" w14:textId="4CBEA893" w:rsidR="00CC0475" w:rsidRDefault="00CC0475" w:rsidP="00CC0475"/>
    <w:p w14:paraId="4955DD2D" w14:textId="77777777" w:rsidR="00CC0475" w:rsidRPr="00CC0475" w:rsidRDefault="00CC0475" w:rsidP="00CC0475"/>
    <w:p w14:paraId="6E21EA76" w14:textId="767151F4" w:rsidR="00504067" w:rsidRPr="000324C2" w:rsidRDefault="004A70A1" w:rsidP="004A70A1">
      <w:pPr>
        <w:pStyle w:val="Caption"/>
        <w:keepNext/>
      </w:pPr>
      <w:bookmarkStart w:id="37" w:name="_Toc61883049"/>
      <w:r>
        <w:lastRenderedPageBreak/>
        <w:t>Table</w:t>
      </w:r>
      <w:r w:rsidR="00A409BB">
        <w:t xml:space="preserve"> </w:t>
      </w:r>
      <w:r w:rsidR="00135D1F">
        <w:t>S</w:t>
      </w:r>
      <w:fldSimple w:instr=" STYLEREF 1 \s ">
        <w:r w:rsidR="000C6138">
          <w:rPr>
            <w:noProof/>
          </w:rPr>
          <w:t>1</w:t>
        </w:r>
      </w:fldSimple>
      <w:r w:rsidR="00135D1F">
        <w:t>.2</w:t>
      </w:r>
      <w:r w:rsidR="000324C2">
        <w:t xml:space="preserve">. </w:t>
      </w:r>
      <w:r w:rsidR="000324C2">
        <w:rPr>
          <w:rFonts w:eastAsiaTheme="minorEastAsia" w:cs="Times New Roman"/>
          <w:iCs w:val="0"/>
          <w:szCs w:val="24"/>
        </w:rPr>
        <w:t>M</w:t>
      </w:r>
      <w:r w:rsidR="00504067" w:rsidRPr="00E87D2B">
        <w:rPr>
          <w:rFonts w:eastAsiaTheme="minorEastAsia" w:cs="Times New Roman"/>
          <w:iCs w:val="0"/>
          <w:szCs w:val="24"/>
        </w:rPr>
        <w:t>odel selection results</w:t>
      </w:r>
      <w:r w:rsidR="00504067">
        <w:rPr>
          <w:rFonts w:eastAsiaTheme="minorEastAsia" w:cs="Times New Roman"/>
          <w:iCs w:val="0"/>
          <w:szCs w:val="24"/>
        </w:rPr>
        <w:t xml:space="preserve"> for </w:t>
      </w:r>
      <w:r w:rsidR="002D7985">
        <w:rPr>
          <w:rFonts w:eastAsiaTheme="minorEastAsia" w:cs="Times New Roman"/>
          <w:iCs w:val="0"/>
          <w:szCs w:val="24"/>
        </w:rPr>
        <w:t>E</w:t>
      </w:r>
      <w:r w:rsidR="00504067">
        <w:rPr>
          <w:rFonts w:eastAsiaTheme="minorEastAsia" w:cs="Times New Roman"/>
          <w:iCs w:val="0"/>
          <w:szCs w:val="24"/>
        </w:rPr>
        <w:t>q2. S = Slope</w:t>
      </w:r>
      <w:r w:rsidR="00504067" w:rsidRPr="00E87D2B">
        <w:rPr>
          <w:rFonts w:eastAsiaTheme="minorEastAsia" w:cs="Times New Roman"/>
          <w:iCs w:val="0"/>
          <w:szCs w:val="24"/>
        </w:rPr>
        <w:t xml:space="preserve">, R = Runoff, </w:t>
      </w: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w:r w:rsidR="00504067" w:rsidRPr="00E87D2B">
        <w:rPr>
          <w:rFonts w:eastAsiaTheme="minorEastAsia" w:cs="Times New Roman"/>
          <w:szCs w:val="24"/>
        </w:rPr>
        <w:t xml:space="preserve">= Erodibility and V = Percent Bare Ground. Full indicates the model included all variables. WAIC = Watanabe – Akaike information criterion; </w:t>
      </w:r>
      <w:proofErr w:type="spellStart"/>
      <w:r w:rsidR="00504067" w:rsidRPr="00E87D2B">
        <w:rPr>
          <w:rFonts w:eastAsia="Times New Roman" w:cs="Times New Roman"/>
          <w:color w:val="000000"/>
          <w:szCs w:val="24"/>
        </w:rPr>
        <w:t>pWAIC</w:t>
      </w:r>
      <w:proofErr w:type="spellEnd"/>
      <w:r w:rsidR="00504067" w:rsidRPr="00E87D2B">
        <w:rPr>
          <w:rFonts w:eastAsia="Times New Roman" w:cs="Times New Roman"/>
          <w:color w:val="000000"/>
          <w:szCs w:val="24"/>
        </w:rPr>
        <w:t xml:space="preserve"> = effective numbers of parameters;</w:t>
      </w:r>
      <w:r w:rsidR="00504067" w:rsidRPr="00E87D2B">
        <w:rPr>
          <w:rFonts w:eastAsiaTheme="minorEastAsia" w:cs="Times New Roman"/>
          <w:szCs w:val="24"/>
        </w:rPr>
        <w:t xml:space="preserve"> </w:t>
      </w:r>
      <w:proofErr w:type="spellStart"/>
      <w:r w:rsidR="00504067" w:rsidRPr="00E87D2B">
        <w:rPr>
          <w:rFonts w:eastAsia="Times New Roman" w:cs="Times New Roman"/>
          <w:color w:val="000000"/>
          <w:szCs w:val="24"/>
        </w:rPr>
        <w:t>dWAIC</w:t>
      </w:r>
      <w:proofErr w:type="spellEnd"/>
      <w:r w:rsidR="00504067" w:rsidRPr="00E87D2B">
        <w:rPr>
          <w:rFonts w:eastAsia="Times New Roman" w:cs="Times New Roman"/>
          <w:color w:val="000000"/>
          <w:szCs w:val="24"/>
        </w:rPr>
        <w:t xml:space="preserve"> = delta WAIC; SE = Standard error and </w:t>
      </w:r>
      <w:proofErr w:type="spellStart"/>
      <w:r w:rsidR="00504067" w:rsidRPr="00E87D2B">
        <w:rPr>
          <w:rFonts w:eastAsia="Times New Roman" w:cs="Times New Roman"/>
          <w:color w:val="000000"/>
          <w:szCs w:val="24"/>
        </w:rPr>
        <w:t>dSE</w:t>
      </w:r>
      <w:proofErr w:type="spellEnd"/>
      <w:r w:rsidR="00504067" w:rsidRPr="00E87D2B">
        <w:rPr>
          <w:rFonts w:eastAsia="Times New Roman" w:cs="Times New Roman"/>
          <w:color w:val="000000"/>
          <w:szCs w:val="24"/>
        </w:rPr>
        <w:t xml:space="preserve"> is the standard error of the delta WAIC</w:t>
      </w:r>
      <w:bookmarkEnd w:id="35"/>
      <w:bookmarkEnd w:id="36"/>
      <w:bookmarkEnd w:id="37"/>
    </w:p>
    <w:tbl>
      <w:tblPr>
        <w:tblW w:w="0" w:type="auto"/>
        <w:tblLook w:val="04A0" w:firstRow="1" w:lastRow="0" w:firstColumn="1" w:lastColumn="0" w:noHBand="0" w:noVBand="1"/>
      </w:tblPr>
      <w:tblGrid>
        <w:gridCol w:w="1903"/>
        <w:gridCol w:w="1136"/>
        <w:gridCol w:w="1080"/>
        <w:gridCol w:w="883"/>
        <w:gridCol w:w="885"/>
        <w:gridCol w:w="882"/>
        <w:gridCol w:w="764"/>
        <w:gridCol w:w="764"/>
      </w:tblGrid>
      <w:tr w:rsidR="00504067" w:rsidRPr="00B72FCC" w14:paraId="04440374" w14:textId="77777777" w:rsidTr="00D0469B">
        <w:trPr>
          <w:trHeight w:val="300"/>
        </w:trPr>
        <w:tc>
          <w:tcPr>
            <w:tcW w:w="0" w:type="auto"/>
            <w:tcBorders>
              <w:bottom w:val="single" w:sz="4" w:space="0" w:color="auto"/>
            </w:tcBorders>
          </w:tcPr>
          <w:p w14:paraId="262CA42F" w14:textId="77777777" w:rsidR="00504067" w:rsidRDefault="00504067" w:rsidP="00504067">
            <w:pPr>
              <w:spacing w:after="0"/>
              <w:rPr>
                <w:rFonts w:eastAsia="Times New Roman" w:cs="Times New Roman"/>
                <w:szCs w:val="24"/>
              </w:rPr>
            </w:pPr>
            <w:r>
              <w:rPr>
                <w:rFonts w:eastAsia="Times New Roman" w:cs="Times New Roman"/>
                <w:szCs w:val="24"/>
              </w:rPr>
              <w:t>Model</w:t>
            </w:r>
          </w:p>
        </w:tc>
        <w:tc>
          <w:tcPr>
            <w:tcW w:w="0" w:type="auto"/>
            <w:tcBorders>
              <w:bottom w:val="single" w:sz="4" w:space="0" w:color="auto"/>
            </w:tcBorders>
            <w:shd w:val="clear" w:color="auto" w:fill="auto"/>
            <w:noWrap/>
            <w:vAlign w:val="bottom"/>
            <w:hideMark/>
          </w:tcPr>
          <w:p w14:paraId="19A36788" w14:textId="77777777" w:rsidR="00504067" w:rsidRPr="00B72FCC" w:rsidRDefault="00504067" w:rsidP="00504067">
            <w:pPr>
              <w:spacing w:after="0"/>
              <w:rPr>
                <w:rFonts w:eastAsia="Times New Roman" w:cs="Times New Roman"/>
                <w:szCs w:val="24"/>
              </w:rPr>
            </w:pPr>
            <w:r>
              <w:rPr>
                <w:rFonts w:eastAsia="Times New Roman" w:cs="Times New Roman"/>
                <w:szCs w:val="24"/>
              </w:rPr>
              <w:t>Variables</w:t>
            </w:r>
          </w:p>
        </w:tc>
        <w:tc>
          <w:tcPr>
            <w:tcW w:w="0" w:type="auto"/>
            <w:tcBorders>
              <w:bottom w:val="single" w:sz="4" w:space="0" w:color="auto"/>
            </w:tcBorders>
            <w:shd w:val="clear" w:color="auto" w:fill="auto"/>
            <w:noWrap/>
            <w:vAlign w:val="bottom"/>
            <w:hideMark/>
          </w:tcPr>
          <w:p w14:paraId="2CC798A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WAIC</w:t>
            </w:r>
          </w:p>
        </w:tc>
        <w:tc>
          <w:tcPr>
            <w:tcW w:w="0" w:type="auto"/>
            <w:tcBorders>
              <w:bottom w:val="single" w:sz="4" w:space="0" w:color="auto"/>
            </w:tcBorders>
            <w:shd w:val="clear" w:color="auto" w:fill="auto"/>
            <w:noWrap/>
            <w:vAlign w:val="bottom"/>
            <w:hideMark/>
          </w:tcPr>
          <w:p w14:paraId="003947F9" w14:textId="77777777" w:rsidR="00504067" w:rsidRPr="00B72FCC" w:rsidRDefault="00504067" w:rsidP="00504067">
            <w:pPr>
              <w:spacing w:after="0"/>
              <w:rPr>
                <w:rFonts w:ascii="Calibri" w:eastAsia="Times New Roman" w:hAnsi="Calibri" w:cs="Calibri"/>
                <w:color w:val="000000"/>
              </w:rPr>
            </w:pPr>
            <w:proofErr w:type="spellStart"/>
            <w:r w:rsidRPr="00B72FCC">
              <w:rPr>
                <w:rFonts w:ascii="Calibri" w:eastAsia="Times New Roman" w:hAnsi="Calibri" w:cs="Calibri"/>
                <w:color w:val="000000"/>
              </w:rPr>
              <w:t>pWAIC</w:t>
            </w:r>
            <w:proofErr w:type="spellEnd"/>
          </w:p>
        </w:tc>
        <w:tc>
          <w:tcPr>
            <w:tcW w:w="0" w:type="auto"/>
            <w:tcBorders>
              <w:bottom w:val="single" w:sz="4" w:space="0" w:color="auto"/>
            </w:tcBorders>
            <w:shd w:val="clear" w:color="auto" w:fill="auto"/>
            <w:noWrap/>
            <w:vAlign w:val="bottom"/>
            <w:hideMark/>
          </w:tcPr>
          <w:p w14:paraId="308AB921" w14:textId="77777777" w:rsidR="00504067" w:rsidRPr="00B72FCC" w:rsidRDefault="00504067" w:rsidP="00504067">
            <w:pPr>
              <w:spacing w:after="0"/>
              <w:rPr>
                <w:rFonts w:ascii="Calibri" w:eastAsia="Times New Roman" w:hAnsi="Calibri" w:cs="Calibri"/>
                <w:color w:val="000000"/>
              </w:rPr>
            </w:pPr>
            <w:proofErr w:type="spellStart"/>
            <w:r w:rsidRPr="00B72FCC">
              <w:rPr>
                <w:rFonts w:ascii="Calibri" w:eastAsia="Times New Roman" w:hAnsi="Calibri" w:cs="Calibri"/>
                <w:color w:val="000000"/>
              </w:rPr>
              <w:t>dWAIC</w:t>
            </w:r>
            <w:proofErr w:type="spellEnd"/>
          </w:p>
        </w:tc>
        <w:tc>
          <w:tcPr>
            <w:tcW w:w="0" w:type="auto"/>
            <w:tcBorders>
              <w:bottom w:val="single" w:sz="4" w:space="0" w:color="auto"/>
            </w:tcBorders>
            <w:shd w:val="clear" w:color="auto" w:fill="auto"/>
            <w:noWrap/>
            <w:vAlign w:val="bottom"/>
            <w:hideMark/>
          </w:tcPr>
          <w:p w14:paraId="54ECFE21"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weight</w:t>
            </w:r>
          </w:p>
        </w:tc>
        <w:tc>
          <w:tcPr>
            <w:tcW w:w="0" w:type="auto"/>
            <w:tcBorders>
              <w:bottom w:val="single" w:sz="4" w:space="0" w:color="auto"/>
            </w:tcBorders>
            <w:shd w:val="clear" w:color="auto" w:fill="auto"/>
            <w:noWrap/>
            <w:vAlign w:val="bottom"/>
            <w:hideMark/>
          </w:tcPr>
          <w:p w14:paraId="22DE29B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SE</w:t>
            </w:r>
          </w:p>
        </w:tc>
        <w:tc>
          <w:tcPr>
            <w:tcW w:w="0" w:type="auto"/>
            <w:tcBorders>
              <w:bottom w:val="single" w:sz="4" w:space="0" w:color="auto"/>
            </w:tcBorders>
            <w:shd w:val="clear" w:color="auto" w:fill="auto"/>
            <w:noWrap/>
            <w:vAlign w:val="bottom"/>
            <w:hideMark/>
          </w:tcPr>
          <w:p w14:paraId="3FF3BA6F" w14:textId="77777777" w:rsidR="00504067" w:rsidRPr="00B72FCC" w:rsidRDefault="00504067" w:rsidP="00504067">
            <w:pPr>
              <w:spacing w:after="0"/>
              <w:rPr>
                <w:rFonts w:ascii="Calibri" w:eastAsia="Times New Roman" w:hAnsi="Calibri" w:cs="Calibri"/>
                <w:color w:val="000000"/>
              </w:rPr>
            </w:pPr>
            <w:proofErr w:type="spellStart"/>
            <w:r w:rsidRPr="00B72FCC">
              <w:rPr>
                <w:rFonts w:ascii="Calibri" w:eastAsia="Times New Roman" w:hAnsi="Calibri" w:cs="Calibri"/>
                <w:color w:val="000000"/>
              </w:rPr>
              <w:t>dSE</w:t>
            </w:r>
            <w:proofErr w:type="spellEnd"/>
          </w:p>
        </w:tc>
      </w:tr>
      <w:tr w:rsidR="00504067" w:rsidRPr="00B72FCC" w14:paraId="394BD712" w14:textId="77777777" w:rsidTr="00D0469B">
        <w:trPr>
          <w:trHeight w:val="300"/>
        </w:trPr>
        <w:tc>
          <w:tcPr>
            <w:tcW w:w="0" w:type="auto"/>
            <w:vMerge w:val="restart"/>
            <w:tcBorders>
              <w:top w:val="single" w:sz="4" w:space="0" w:color="auto"/>
            </w:tcBorders>
            <w:vAlign w:val="center"/>
          </w:tcPr>
          <w:p w14:paraId="4045256C" w14:textId="77777777" w:rsidR="00504067" w:rsidRPr="00B72FCC" w:rsidRDefault="00504067" w:rsidP="00504067">
            <w:pPr>
              <w:spacing w:after="0"/>
              <w:jc w:val="center"/>
              <w:rPr>
                <w:rFonts w:eastAsia="Times New Roman" w:cs="Times New Roman"/>
                <w:color w:val="000000"/>
                <w:szCs w:val="24"/>
              </w:rPr>
            </w:pPr>
            <w:r w:rsidRPr="00B72FCC">
              <w:rPr>
                <w:rFonts w:eastAsia="Times New Roman" w:cs="Times New Roman"/>
                <w:szCs w:val="24"/>
              </w:rPr>
              <w:t>Drainage Density</w:t>
            </w:r>
          </w:p>
        </w:tc>
        <w:tc>
          <w:tcPr>
            <w:tcW w:w="0" w:type="auto"/>
            <w:tcBorders>
              <w:top w:val="single" w:sz="4" w:space="0" w:color="auto"/>
            </w:tcBorders>
            <w:shd w:val="clear" w:color="auto" w:fill="auto"/>
            <w:noWrap/>
            <w:vAlign w:val="bottom"/>
            <w:hideMark/>
          </w:tcPr>
          <w:p w14:paraId="37B9877D" w14:textId="77777777" w:rsidR="00504067" w:rsidRPr="00B72FCC" w:rsidRDefault="00504067" w:rsidP="00504067">
            <w:pPr>
              <w:spacing w:after="0"/>
              <w:rPr>
                <w:rFonts w:ascii="Calibri" w:eastAsia="Times New Roman" w:hAnsi="Calibri" w:cs="Calibri"/>
                <w:color w:val="000000"/>
              </w:rPr>
            </w:pPr>
            <w:r>
              <w:rPr>
                <w:rFonts w:ascii="Calibri" w:eastAsia="Times New Roman" w:hAnsi="Calibri" w:cs="Calibri"/>
                <w:color w:val="000000"/>
              </w:rPr>
              <w:t>F</w:t>
            </w:r>
            <w:r w:rsidRPr="00B72FCC">
              <w:rPr>
                <w:rFonts w:ascii="Calibri" w:eastAsia="Times New Roman" w:hAnsi="Calibri" w:cs="Calibri"/>
                <w:color w:val="000000"/>
              </w:rPr>
              <w:t>ull</w:t>
            </w:r>
          </w:p>
        </w:tc>
        <w:tc>
          <w:tcPr>
            <w:tcW w:w="0" w:type="auto"/>
            <w:tcBorders>
              <w:top w:val="single" w:sz="4" w:space="0" w:color="auto"/>
            </w:tcBorders>
            <w:shd w:val="clear" w:color="auto" w:fill="auto"/>
            <w:noWrap/>
            <w:vAlign w:val="bottom"/>
            <w:hideMark/>
          </w:tcPr>
          <w:p w14:paraId="638F856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-187.91</w:t>
            </w:r>
          </w:p>
        </w:tc>
        <w:tc>
          <w:tcPr>
            <w:tcW w:w="0" w:type="auto"/>
            <w:tcBorders>
              <w:top w:val="single" w:sz="4" w:space="0" w:color="auto"/>
            </w:tcBorders>
            <w:shd w:val="clear" w:color="auto" w:fill="auto"/>
            <w:noWrap/>
            <w:vAlign w:val="bottom"/>
            <w:hideMark/>
          </w:tcPr>
          <w:p w14:paraId="13FE773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27.78</w:t>
            </w:r>
          </w:p>
        </w:tc>
        <w:tc>
          <w:tcPr>
            <w:tcW w:w="0" w:type="auto"/>
            <w:tcBorders>
              <w:top w:val="single" w:sz="4" w:space="0" w:color="auto"/>
            </w:tcBorders>
            <w:shd w:val="clear" w:color="auto" w:fill="auto"/>
            <w:noWrap/>
            <w:vAlign w:val="bottom"/>
            <w:hideMark/>
          </w:tcPr>
          <w:p w14:paraId="24308A45"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tcBorders>
              <w:top w:val="single" w:sz="4" w:space="0" w:color="auto"/>
            </w:tcBorders>
            <w:shd w:val="clear" w:color="auto" w:fill="auto"/>
            <w:noWrap/>
            <w:vAlign w:val="bottom"/>
            <w:hideMark/>
          </w:tcPr>
          <w:p w14:paraId="75353442"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0.55</w:t>
            </w:r>
          </w:p>
        </w:tc>
        <w:tc>
          <w:tcPr>
            <w:tcW w:w="0" w:type="auto"/>
            <w:tcBorders>
              <w:top w:val="single" w:sz="4" w:space="0" w:color="auto"/>
            </w:tcBorders>
            <w:shd w:val="clear" w:color="auto" w:fill="auto"/>
            <w:noWrap/>
            <w:vAlign w:val="bottom"/>
            <w:hideMark/>
          </w:tcPr>
          <w:p w14:paraId="1522B4D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51.32</w:t>
            </w:r>
          </w:p>
        </w:tc>
        <w:tc>
          <w:tcPr>
            <w:tcW w:w="0" w:type="auto"/>
            <w:tcBorders>
              <w:top w:val="single" w:sz="4" w:space="0" w:color="auto"/>
            </w:tcBorders>
            <w:shd w:val="clear" w:color="auto" w:fill="auto"/>
            <w:noWrap/>
            <w:vAlign w:val="bottom"/>
            <w:hideMark/>
          </w:tcPr>
          <w:p w14:paraId="6F80BFD2"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NA</w:t>
            </w:r>
          </w:p>
        </w:tc>
      </w:tr>
      <w:tr w:rsidR="00504067" w:rsidRPr="00B72FCC" w14:paraId="09C01106" w14:textId="77777777" w:rsidTr="00D0469B">
        <w:trPr>
          <w:trHeight w:val="56"/>
        </w:trPr>
        <w:tc>
          <w:tcPr>
            <w:tcW w:w="0" w:type="auto"/>
            <w:vMerge/>
            <w:vAlign w:val="center"/>
          </w:tcPr>
          <w:p w14:paraId="2D86AA14" w14:textId="77777777" w:rsidR="00504067" w:rsidRPr="00B72FCC" w:rsidRDefault="00504067" w:rsidP="00504067">
            <w:pPr>
              <w:spacing w:after="0"/>
              <w:jc w:val="center"/>
              <w:rPr>
                <w:rFonts w:eastAsia="Calibri" w:cs="Times New Roman"/>
                <w:szCs w:val="24"/>
              </w:rPr>
            </w:pPr>
          </w:p>
        </w:tc>
        <w:tc>
          <w:tcPr>
            <w:tcW w:w="0" w:type="auto"/>
            <w:shd w:val="clear" w:color="auto" w:fill="auto"/>
            <w:noWrap/>
            <w:vAlign w:val="bottom"/>
            <w:hideMark/>
          </w:tcPr>
          <w:p w14:paraId="22378142"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 xml:space="preserve">S, R, </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m:oMathPara>
          </w:p>
        </w:tc>
        <w:tc>
          <w:tcPr>
            <w:tcW w:w="0" w:type="auto"/>
            <w:shd w:val="clear" w:color="auto" w:fill="auto"/>
            <w:noWrap/>
            <w:vAlign w:val="bottom"/>
            <w:hideMark/>
          </w:tcPr>
          <w:p w14:paraId="4666791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-187.52</w:t>
            </w:r>
          </w:p>
        </w:tc>
        <w:tc>
          <w:tcPr>
            <w:tcW w:w="0" w:type="auto"/>
            <w:shd w:val="clear" w:color="auto" w:fill="auto"/>
            <w:noWrap/>
            <w:vAlign w:val="bottom"/>
            <w:hideMark/>
          </w:tcPr>
          <w:p w14:paraId="64408FC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25.66</w:t>
            </w:r>
          </w:p>
        </w:tc>
        <w:tc>
          <w:tcPr>
            <w:tcW w:w="0" w:type="auto"/>
            <w:shd w:val="clear" w:color="auto" w:fill="auto"/>
            <w:noWrap/>
            <w:vAlign w:val="bottom"/>
            <w:hideMark/>
          </w:tcPr>
          <w:p w14:paraId="1BD9452D"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0.39</w:t>
            </w:r>
          </w:p>
        </w:tc>
        <w:tc>
          <w:tcPr>
            <w:tcW w:w="0" w:type="auto"/>
            <w:shd w:val="clear" w:color="auto" w:fill="auto"/>
            <w:noWrap/>
            <w:vAlign w:val="bottom"/>
            <w:hideMark/>
          </w:tcPr>
          <w:p w14:paraId="793F8E6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0.45</w:t>
            </w:r>
          </w:p>
        </w:tc>
        <w:tc>
          <w:tcPr>
            <w:tcW w:w="0" w:type="auto"/>
            <w:shd w:val="clear" w:color="auto" w:fill="auto"/>
            <w:noWrap/>
            <w:vAlign w:val="bottom"/>
            <w:hideMark/>
          </w:tcPr>
          <w:p w14:paraId="1648364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50.82</w:t>
            </w:r>
          </w:p>
        </w:tc>
        <w:tc>
          <w:tcPr>
            <w:tcW w:w="0" w:type="auto"/>
            <w:shd w:val="clear" w:color="auto" w:fill="auto"/>
            <w:noWrap/>
            <w:vAlign w:val="bottom"/>
            <w:hideMark/>
          </w:tcPr>
          <w:p w14:paraId="6B5728A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7.02</w:t>
            </w:r>
          </w:p>
        </w:tc>
      </w:tr>
      <w:tr w:rsidR="00504067" w:rsidRPr="00B72FCC" w14:paraId="6DAEE559" w14:textId="77777777" w:rsidTr="00D0469B">
        <w:trPr>
          <w:trHeight w:val="300"/>
        </w:trPr>
        <w:tc>
          <w:tcPr>
            <w:tcW w:w="0" w:type="auto"/>
            <w:vMerge/>
            <w:vAlign w:val="center"/>
          </w:tcPr>
          <w:p w14:paraId="2859D20C" w14:textId="77777777" w:rsidR="00504067" w:rsidRPr="00B72FCC" w:rsidRDefault="00504067" w:rsidP="00504067">
            <w:pPr>
              <w:spacing w:after="0"/>
              <w:jc w:val="center"/>
              <w:rPr>
                <w:rFonts w:eastAsia="Calibri" w:cs="Times New Roman"/>
                <w:szCs w:val="24"/>
              </w:rPr>
            </w:pPr>
          </w:p>
        </w:tc>
        <w:tc>
          <w:tcPr>
            <w:tcW w:w="0" w:type="auto"/>
            <w:shd w:val="clear" w:color="auto" w:fill="auto"/>
            <w:noWrap/>
            <w:vAlign w:val="bottom"/>
            <w:hideMark/>
          </w:tcPr>
          <w:p w14:paraId="18DBD90C"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S, R</m:t>
                </m:r>
              </m:oMath>
            </m:oMathPara>
          </w:p>
        </w:tc>
        <w:tc>
          <w:tcPr>
            <w:tcW w:w="0" w:type="auto"/>
            <w:shd w:val="clear" w:color="auto" w:fill="auto"/>
            <w:noWrap/>
            <w:vAlign w:val="bottom"/>
            <w:hideMark/>
          </w:tcPr>
          <w:p w14:paraId="45226E2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-127.23</w:t>
            </w:r>
          </w:p>
        </w:tc>
        <w:tc>
          <w:tcPr>
            <w:tcW w:w="0" w:type="auto"/>
            <w:shd w:val="clear" w:color="auto" w:fill="auto"/>
            <w:noWrap/>
            <w:vAlign w:val="bottom"/>
            <w:hideMark/>
          </w:tcPr>
          <w:p w14:paraId="54E8FBB3"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24.52</w:t>
            </w:r>
          </w:p>
        </w:tc>
        <w:tc>
          <w:tcPr>
            <w:tcW w:w="0" w:type="auto"/>
            <w:shd w:val="clear" w:color="auto" w:fill="auto"/>
            <w:noWrap/>
            <w:vAlign w:val="bottom"/>
            <w:hideMark/>
          </w:tcPr>
          <w:p w14:paraId="090CF5F2"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60.67</w:t>
            </w:r>
          </w:p>
        </w:tc>
        <w:tc>
          <w:tcPr>
            <w:tcW w:w="0" w:type="auto"/>
            <w:shd w:val="clear" w:color="auto" w:fill="auto"/>
            <w:noWrap/>
            <w:vAlign w:val="bottom"/>
            <w:hideMark/>
          </w:tcPr>
          <w:p w14:paraId="5143F85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379A0621"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49.81</w:t>
            </w:r>
          </w:p>
        </w:tc>
        <w:tc>
          <w:tcPr>
            <w:tcW w:w="0" w:type="auto"/>
            <w:shd w:val="clear" w:color="auto" w:fill="auto"/>
            <w:noWrap/>
            <w:vAlign w:val="bottom"/>
            <w:hideMark/>
          </w:tcPr>
          <w:p w14:paraId="2AE9FD8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17.84</w:t>
            </w:r>
          </w:p>
        </w:tc>
      </w:tr>
      <w:tr w:rsidR="00504067" w:rsidRPr="00B72FCC" w14:paraId="185EE7C1" w14:textId="77777777" w:rsidTr="00D0469B">
        <w:trPr>
          <w:trHeight w:val="300"/>
        </w:trPr>
        <w:tc>
          <w:tcPr>
            <w:tcW w:w="0" w:type="auto"/>
            <w:vMerge/>
            <w:vAlign w:val="center"/>
          </w:tcPr>
          <w:p w14:paraId="69A17CF8" w14:textId="77777777" w:rsidR="00504067" w:rsidRPr="00B72FCC" w:rsidRDefault="00504067" w:rsidP="00504067">
            <w:pPr>
              <w:spacing w:after="0"/>
              <w:jc w:val="center"/>
              <w:rPr>
                <w:rFonts w:eastAsia="Calibri" w:cs="Times New Roman"/>
                <w:szCs w:val="24"/>
              </w:rPr>
            </w:pPr>
          </w:p>
        </w:tc>
        <w:tc>
          <w:tcPr>
            <w:tcW w:w="0" w:type="auto"/>
            <w:shd w:val="clear" w:color="auto" w:fill="auto"/>
            <w:noWrap/>
            <w:vAlign w:val="bottom"/>
            <w:hideMark/>
          </w:tcPr>
          <w:p w14:paraId="734416D3"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R</m:t>
                </m:r>
              </m:oMath>
            </m:oMathPara>
          </w:p>
        </w:tc>
        <w:tc>
          <w:tcPr>
            <w:tcW w:w="0" w:type="auto"/>
            <w:shd w:val="clear" w:color="auto" w:fill="auto"/>
            <w:noWrap/>
            <w:vAlign w:val="bottom"/>
            <w:hideMark/>
          </w:tcPr>
          <w:p w14:paraId="162C899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-105.58</w:t>
            </w:r>
          </w:p>
        </w:tc>
        <w:tc>
          <w:tcPr>
            <w:tcW w:w="0" w:type="auto"/>
            <w:shd w:val="clear" w:color="auto" w:fill="auto"/>
            <w:noWrap/>
            <w:vAlign w:val="bottom"/>
            <w:hideMark/>
          </w:tcPr>
          <w:p w14:paraId="45A7909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23.35</w:t>
            </w:r>
          </w:p>
        </w:tc>
        <w:tc>
          <w:tcPr>
            <w:tcW w:w="0" w:type="auto"/>
            <w:shd w:val="clear" w:color="auto" w:fill="auto"/>
            <w:noWrap/>
            <w:vAlign w:val="bottom"/>
            <w:hideMark/>
          </w:tcPr>
          <w:p w14:paraId="4863D5A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82.32</w:t>
            </w:r>
          </w:p>
        </w:tc>
        <w:tc>
          <w:tcPr>
            <w:tcW w:w="0" w:type="auto"/>
            <w:shd w:val="clear" w:color="auto" w:fill="auto"/>
            <w:noWrap/>
            <w:vAlign w:val="bottom"/>
            <w:hideMark/>
          </w:tcPr>
          <w:p w14:paraId="3908B38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1DDCE511"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47.85</w:t>
            </w:r>
          </w:p>
        </w:tc>
        <w:tc>
          <w:tcPr>
            <w:tcW w:w="0" w:type="auto"/>
            <w:shd w:val="clear" w:color="auto" w:fill="auto"/>
            <w:noWrap/>
            <w:vAlign w:val="bottom"/>
            <w:hideMark/>
          </w:tcPr>
          <w:p w14:paraId="3E4C838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19.76</w:t>
            </w:r>
          </w:p>
        </w:tc>
      </w:tr>
      <w:tr w:rsidR="00504067" w:rsidRPr="00B72FCC" w14:paraId="539FB8F5" w14:textId="77777777" w:rsidTr="00D0469B">
        <w:trPr>
          <w:trHeight w:val="300"/>
        </w:trPr>
        <w:tc>
          <w:tcPr>
            <w:tcW w:w="0" w:type="auto"/>
            <w:vMerge/>
            <w:vAlign w:val="center"/>
          </w:tcPr>
          <w:p w14:paraId="0BED8772"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3271D9F6" w14:textId="77777777" w:rsidR="00504067" w:rsidRPr="00B72FCC" w:rsidRDefault="00504067" w:rsidP="00504067">
            <w:pPr>
              <w:spacing w:after="0"/>
              <w:rPr>
                <w:rFonts w:ascii="Calibri" w:eastAsia="Times New Roman" w:hAnsi="Calibri" w:cs="Calibri"/>
                <w:color w:val="000000"/>
              </w:rPr>
            </w:pPr>
            <w:r>
              <w:rPr>
                <w:rFonts w:ascii="Calibri" w:eastAsia="Times New Roman" w:hAnsi="Calibri" w:cs="Calibri"/>
                <w:color w:val="000000"/>
              </w:rPr>
              <w:t>Intercept</w:t>
            </w:r>
          </w:p>
        </w:tc>
        <w:tc>
          <w:tcPr>
            <w:tcW w:w="0" w:type="auto"/>
            <w:shd w:val="clear" w:color="auto" w:fill="auto"/>
            <w:noWrap/>
            <w:vAlign w:val="bottom"/>
            <w:hideMark/>
          </w:tcPr>
          <w:p w14:paraId="54C37906"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-24.42</w:t>
            </w:r>
          </w:p>
        </w:tc>
        <w:tc>
          <w:tcPr>
            <w:tcW w:w="0" w:type="auto"/>
            <w:shd w:val="clear" w:color="auto" w:fill="auto"/>
            <w:noWrap/>
            <w:vAlign w:val="bottom"/>
            <w:hideMark/>
          </w:tcPr>
          <w:p w14:paraId="6A06C00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22.13</w:t>
            </w:r>
          </w:p>
        </w:tc>
        <w:tc>
          <w:tcPr>
            <w:tcW w:w="0" w:type="auto"/>
            <w:shd w:val="clear" w:color="auto" w:fill="auto"/>
            <w:noWrap/>
            <w:vAlign w:val="bottom"/>
            <w:hideMark/>
          </w:tcPr>
          <w:p w14:paraId="2001DF7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163.49</w:t>
            </w:r>
          </w:p>
        </w:tc>
        <w:tc>
          <w:tcPr>
            <w:tcW w:w="0" w:type="auto"/>
            <w:shd w:val="clear" w:color="auto" w:fill="auto"/>
            <w:noWrap/>
            <w:vAlign w:val="bottom"/>
            <w:hideMark/>
          </w:tcPr>
          <w:p w14:paraId="02E72CB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79ABBA8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47.38</w:t>
            </w:r>
          </w:p>
        </w:tc>
        <w:tc>
          <w:tcPr>
            <w:tcW w:w="0" w:type="auto"/>
            <w:shd w:val="clear" w:color="auto" w:fill="auto"/>
            <w:noWrap/>
            <w:vAlign w:val="bottom"/>
            <w:hideMark/>
          </w:tcPr>
          <w:p w14:paraId="4C1EC606"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26.35</w:t>
            </w:r>
          </w:p>
        </w:tc>
      </w:tr>
      <w:tr w:rsidR="00504067" w:rsidRPr="00B72FCC" w14:paraId="60BAE287" w14:textId="77777777" w:rsidTr="00D0469B">
        <w:trPr>
          <w:trHeight w:val="300"/>
        </w:trPr>
        <w:tc>
          <w:tcPr>
            <w:tcW w:w="0" w:type="auto"/>
            <w:vMerge w:val="restart"/>
            <w:vAlign w:val="center"/>
          </w:tcPr>
          <w:p w14:paraId="3187749C" w14:textId="77777777" w:rsidR="00504067" w:rsidRPr="00B72FCC" w:rsidRDefault="00504067" w:rsidP="00504067">
            <w:pPr>
              <w:spacing w:after="0"/>
              <w:jc w:val="center"/>
              <w:rPr>
                <w:rFonts w:eastAsia="Times New Roman" w:cs="Times New Roman"/>
                <w:color w:val="000000"/>
                <w:szCs w:val="24"/>
              </w:rPr>
            </w:pPr>
            <w:r w:rsidRPr="00B72FCC">
              <w:rPr>
                <w:rFonts w:eastAsia="Times New Roman" w:cs="Times New Roman"/>
                <w:color w:val="000000"/>
                <w:szCs w:val="24"/>
              </w:rPr>
              <w:t>Basin Width</w:t>
            </w:r>
          </w:p>
        </w:tc>
        <w:tc>
          <w:tcPr>
            <w:tcW w:w="0" w:type="auto"/>
            <w:shd w:val="clear" w:color="auto" w:fill="auto"/>
            <w:noWrap/>
            <w:vAlign w:val="bottom"/>
            <w:hideMark/>
          </w:tcPr>
          <w:p w14:paraId="349143D6"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 xml:space="preserve">S, R, </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m:oMathPara>
          </w:p>
        </w:tc>
        <w:tc>
          <w:tcPr>
            <w:tcW w:w="0" w:type="auto"/>
            <w:shd w:val="clear" w:color="auto" w:fill="auto"/>
            <w:noWrap/>
            <w:vAlign w:val="bottom"/>
            <w:hideMark/>
          </w:tcPr>
          <w:p w14:paraId="43E4474D"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158.67</w:t>
            </w:r>
          </w:p>
        </w:tc>
        <w:tc>
          <w:tcPr>
            <w:tcW w:w="0" w:type="auto"/>
            <w:shd w:val="clear" w:color="auto" w:fill="auto"/>
            <w:noWrap/>
            <w:vAlign w:val="bottom"/>
            <w:hideMark/>
          </w:tcPr>
          <w:p w14:paraId="279037A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25.06</w:t>
            </w:r>
          </w:p>
        </w:tc>
        <w:tc>
          <w:tcPr>
            <w:tcW w:w="0" w:type="auto"/>
            <w:shd w:val="clear" w:color="auto" w:fill="auto"/>
            <w:noWrap/>
            <w:vAlign w:val="bottom"/>
            <w:hideMark/>
          </w:tcPr>
          <w:p w14:paraId="62B3E3F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2A3DAD4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0.35</w:t>
            </w:r>
          </w:p>
        </w:tc>
        <w:tc>
          <w:tcPr>
            <w:tcW w:w="0" w:type="auto"/>
            <w:shd w:val="clear" w:color="auto" w:fill="auto"/>
            <w:noWrap/>
            <w:vAlign w:val="bottom"/>
            <w:hideMark/>
          </w:tcPr>
          <w:p w14:paraId="1B2D9D97"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57.5</w:t>
            </w:r>
          </w:p>
        </w:tc>
        <w:tc>
          <w:tcPr>
            <w:tcW w:w="0" w:type="auto"/>
            <w:shd w:val="clear" w:color="auto" w:fill="auto"/>
            <w:noWrap/>
            <w:vAlign w:val="bottom"/>
            <w:hideMark/>
          </w:tcPr>
          <w:p w14:paraId="40037C0D"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NA</w:t>
            </w:r>
          </w:p>
        </w:tc>
      </w:tr>
      <w:tr w:rsidR="00504067" w:rsidRPr="00B72FCC" w14:paraId="3B7A4E87" w14:textId="77777777" w:rsidTr="00D0469B">
        <w:trPr>
          <w:trHeight w:val="300"/>
        </w:trPr>
        <w:tc>
          <w:tcPr>
            <w:tcW w:w="0" w:type="auto"/>
            <w:vMerge/>
            <w:vAlign w:val="center"/>
          </w:tcPr>
          <w:p w14:paraId="7C912CC8"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686FE964"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 xml:space="preserve">S, R </m:t>
                </m:r>
              </m:oMath>
            </m:oMathPara>
          </w:p>
        </w:tc>
        <w:tc>
          <w:tcPr>
            <w:tcW w:w="0" w:type="auto"/>
            <w:shd w:val="clear" w:color="auto" w:fill="auto"/>
            <w:noWrap/>
            <w:vAlign w:val="bottom"/>
            <w:hideMark/>
          </w:tcPr>
          <w:p w14:paraId="2859A18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158.71</w:t>
            </w:r>
          </w:p>
        </w:tc>
        <w:tc>
          <w:tcPr>
            <w:tcW w:w="0" w:type="auto"/>
            <w:shd w:val="clear" w:color="auto" w:fill="auto"/>
            <w:noWrap/>
            <w:vAlign w:val="bottom"/>
            <w:hideMark/>
          </w:tcPr>
          <w:p w14:paraId="1196B015"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26.12</w:t>
            </w:r>
          </w:p>
        </w:tc>
        <w:tc>
          <w:tcPr>
            <w:tcW w:w="0" w:type="auto"/>
            <w:shd w:val="clear" w:color="auto" w:fill="auto"/>
            <w:noWrap/>
            <w:vAlign w:val="bottom"/>
            <w:hideMark/>
          </w:tcPr>
          <w:p w14:paraId="5CEDC8A7"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0.04</w:t>
            </w:r>
          </w:p>
        </w:tc>
        <w:tc>
          <w:tcPr>
            <w:tcW w:w="0" w:type="auto"/>
            <w:shd w:val="clear" w:color="auto" w:fill="auto"/>
            <w:noWrap/>
            <w:vAlign w:val="bottom"/>
            <w:hideMark/>
          </w:tcPr>
          <w:p w14:paraId="2937A342"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0.35</w:t>
            </w:r>
          </w:p>
        </w:tc>
        <w:tc>
          <w:tcPr>
            <w:tcW w:w="0" w:type="auto"/>
            <w:shd w:val="clear" w:color="auto" w:fill="auto"/>
            <w:noWrap/>
            <w:vAlign w:val="bottom"/>
            <w:hideMark/>
          </w:tcPr>
          <w:p w14:paraId="567EE6B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58.28</w:t>
            </w:r>
          </w:p>
        </w:tc>
        <w:tc>
          <w:tcPr>
            <w:tcW w:w="0" w:type="auto"/>
            <w:shd w:val="clear" w:color="auto" w:fill="auto"/>
            <w:noWrap/>
            <w:vAlign w:val="bottom"/>
            <w:hideMark/>
          </w:tcPr>
          <w:p w14:paraId="5D665FE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3.03</w:t>
            </w:r>
          </w:p>
        </w:tc>
      </w:tr>
      <w:tr w:rsidR="00504067" w:rsidRPr="00B72FCC" w14:paraId="4FF1A826" w14:textId="77777777" w:rsidTr="00D0469B">
        <w:trPr>
          <w:trHeight w:val="300"/>
        </w:trPr>
        <w:tc>
          <w:tcPr>
            <w:tcW w:w="0" w:type="auto"/>
            <w:vMerge/>
            <w:vAlign w:val="center"/>
          </w:tcPr>
          <w:p w14:paraId="5E236590"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0EFC1AF5"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Full</w:t>
            </w:r>
          </w:p>
        </w:tc>
        <w:tc>
          <w:tcPr>
            <w:tcW w:w="0" w:type="auto"/>
            <w:shd w:val="clear" w:color="auto" w:fill="auto"/>
            <w:noWrap/>
            <w:vAlign w:val="bottom"/>
            <w:hideMark/>
          </w:tcPr>
          <w:p w14:paraId="78A2F41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159.29</w:t>
            </w:r>
          </w:p>
        </w:tc>
        <w:tc>
          <w:tcPr>
            <w:tcW w:w="0" w:type="auto"/>
            <w:shd w:val="clear" w:color="auto" w:fill="auto"/>
            <w:noWrap/>
            <w:vAlign w:val="bottom"/>
            <w:hideMark/>
          </w:tcPr>
          <w:p w14:paraId="1E7AA39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26.61</w:t>
            </w:r>
          </w:p>
        </w:tc>
        <w:tc>
          <w:tcPr>
            <w:tcW w:w="0" w:type="auto"/>
            <w:shd w:val="clear" w:color="auto" w:fill="auto"/>
            <w:noWrap/>
            <w:vAlign w:val="bottom"/>
            <w:hideMark/>
          </w:tcPr>
          <w:p w14:paraId="61E3C415"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0.62</w:t>
            </w:r>
          </w:p>
        </w:tc>
        <w:tc>
          <w:tcPr>
            <w:tcW w:w="0" w:type="auto"/>
            <w:shd w:val="clear" w:color="auto" w:fill="auto"/>
            <w:noWrap/>
            <w:vAlign w:val="bottom"/>
            <w:hideMark/>
          </w:tcPr>
          <w:p w14:paraId="79E631B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0.26</w:t>
            </w:r>
          </w:p>
        </w:tc>
        <w:tc>
          <w:tcPr>
            <w:tcW w:w="0" w:type="auto"/>
            <w:shd w:val="clear" w:color="auto" w:fill="auto"/>
            <w:noWrap/>
            <w:vAlign w:val="bottom"/>
            <w:hideMark/>
          </w:tcPr>
          <w:p w14:paraId="0F0F373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58.3</w:t>
            </w:r>
          </w:p>
        </w:tc>
        <w:tc>
          <w:tcPr>
            <w:tcW w:w="0" w:type="auto"/>
            <w:shd w:val="clear" w:color="auto" w:fill="auto"/>
            <w:noWrap/>
            <w:vAlign w:val="bottom"/>
            <w:hideMark/>
          </w:tcPr>
          <w:p w14:paraId="55C70AA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3.11</w:t>
            </w:r>
          </w:p>
        </w:tc>
      </w:tr>
      <w:tr w:rsidR="00504067" w:rsidRPr="00B72FCC" w14:paraId="723507E4" w14:textId="77777777" w:rsidTr="00D0469B">
        <w:trPr>
          <w:trHeight w:val="300"/>
        </w:trPr>
        <w:tc>
          <w:tcPr>
            <w:tcW w:w="0" w:type="auto"/>
            <w:vMerge/>
            <w:vAlign w:val="center"/>
          </w:tcPr>
          <w:p w14:paraId="04CCAC13"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3AF20874"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S</m:t>
                </m:r>
              </m:oMath>
            </m:oMathPara>
          </w:p>
        </w:tc>
        <w:tc>
          <w:tcPr>
            <w:tcW w:w="0" w:type="auto"/>
            <w:shd w:val="clear" w:color="auto" w:fill="auto"/>
            <w:noWrap/>
            <w:vAlign w:val="bottom"/>
            <w:hideMark/>
          </w:tcPr>
          <w:p w14:paraId="723B22C7"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163</w:t>
            </w:r>
          </w:p>
        </w:tc>
        <w:tc>
          <w:tcPr>
            <w:tcW w:w="0" w:type="auto"/>
            <w:shd w:val="clear" w:color="auto" w:fill="auto"/>
            <w:noWrap/>
            <w:vAlign w:val="bottom"/>
            <w:hideMark/>
          </w:tcPr>
          <w:p w14:paraId="61B227E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23.88</w:t>
            </w:r>
          </w:p>
        </w:tc>
        <w:tc>
          <w:tcPr>
            <w:tcW w:w="0" w:type="auto"/>
            <w:shd w:val="clear" w:color="auto" w:fill="auto"/>
            <w:noWrap/>
            <w:vAlign w:val="bottom"/>
            <w:hideMark/>
          </w:tcPr>
          <w:p w14:paraId="0AB27DD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4.33</w:t>
            </w:r>
          </w:p>
        </w:tc>
        <w:tc>
          <w:tcPr>
            <w:tcW w:w="0" w:type="auto"/>
            <w:shd w:val="clear" w:color="auto" w:fill="auto"/>
            <w:noWrap/>
            <w:vAlign w:val="bottom"/>
            <w:hideMark/>
          </w:tcPr>
          <w:p w14:paraId="7C92C3F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0.04</w:t>
            </w:r>
          </w:p>
        </w:tc>
        <w:tc>
          <w:tcPr>
            <w:tcW w:w="0" w:type="auto"/>
            <w:shd w:val="clear" w:color="auto" w:fill="auto"/>
            <w:noWrap/>
            <w:vAlign w:val="bottom"/>
            <w:hideMark/>
          </w:tcPr>
          <w:p w14:paraId="2576097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57.01</w:t>
            </w:r>
          </w:p>
        </w:tc>
        <w:tc>
          <w:tcPr>
            <w:tcW w:w="0" w:type="auto"/>
            <w:shd w:val="clear" w:color="auto" w:fill="auto"/>
            <w:noWrap/>
            <w:vAlign w:val="bottom"/>
            <w:hideMark/>
          </w:tcPr>
          <w:p w14:paraId="3C570A5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3.59</w:t>
            </w:r>
          </w:p>
        </w:tc>
      </w:tr>
      <w:tr w:rsidR="00504067" w:rsidRPr="00B72FCC" w14:paraId="7857321B" w14:textId="77777777" w:rsidTr="00D0469B">
        <w:trPr>
          <w:trHeight w:val="300"/>
        </w:trPr>
        <w:tc>
          <w:tcPr>
            <w:tcW w:w="0" w:type="auto"/>
            <w:vMerge/>
            <w:vAlign w:val="center"/>
          </w:tcPr>
          <w:p w14:paraId="777CB6ED"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0682A11B" w14:textId="77777777" w:rsidR="00504067" w:rsidRPr="00B72FCC" w:rsidRDefault="00504067" w:rsidP="00504067">
            <w:pPr>
              <w:spacing w:after="0"/>
              <w:rPr>
                <w:rFonts w:ascii="Calibri" w:eastAsia="Times New Roman" w:hAnsi="Calibri" w:cs="Calibri"/>
                <w:color w:val="000000"/>
              </w:rPr>
            </w:pPr>
            <w:r>
              <w:rPr>
                <w:rFonts w:ascii="Calibri" w:eastAsia="Times New Roman" w:hAnsi="Calibri" w:cs="Calibri"/>
                <w:color w:val="000000"/>
              </w:rPr>
              <w:t>Intercept</w:t>
            </w:r>
          </w:p>
        </w:tc>
        <w:tc>
          <w:tcPr>
            <w:tcW w:w="0" w:type="auto"/>
            <w:shd w:val="clear" w:color="auto" w:fill="auto"/>
            <w:noWrap/>
            <w:vAlign w:val="bottom"/>
            <w:hideMark/>
          </w:tcPr>
          <w:p w14:paraId="5C6B37C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176.92</w:t>
            </w:r>
          </w:p>
        </w:tc>
        <w:tc>
          <w:tcPr>
            <w:tcW w:w="0" w:type="auto"/>
            <w:shd w:val="clear" w:color="auto" w:fill="auto"/>
            <w:noWrap/>
            <w:vAlign w:val="bottom"/>
            <w:hideMark/>
          </w:tcPr>
          <w:p w14:paraId="184815F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22.83</w:t>
            </w:r>
          </w:p>
        </w:tc>
        <w:tc>
          <w:tcPr>
            <w:tcW w:w="0" w:type="auto"/>
            <w:shd w:val="clear" w:color="auto" w:fill="auto"/>
            <w:noWrap/>
            <w:vAlign w:val="bottom"/>
            <w:hideMark/>
          </w:tcPr>
          <w:p w14:paraId="207EF5C1"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18.25</w:t>
            </w:r>
          </w:p>
        </w:tc>
        <w:tc>
          <w:tcPr>
            <w:tcW w:w="0" w:type="auto"/>
            <w:shd w:val="clear" w:color="auto" w:fill="auto"/>
            <w:noWrap/>
            <w:vAlign w:val="bottom"/>
            <w:hideMark/>
          </w:tcPr>
          <w:p w14:paraId="41A6A4D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310F6B2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56.93</w:t>
            </w:r>
          </w:p>
        </w:tc>
        <w:tc>
          <w:tcPr>
            <w:tcW w:w="0" w:type="auto"/>
            <w:shd w:val="clear" w:color="auto" w:fill="auto"/>
            <w:noWrap/>
            <w:vAlign w:val="bottom"/>
            <w:hideMark/>
          </w:tcPr>
          <w:p w14:paraId="378EB233"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8.89</w:t>
            </w:r>
          </w:p>
        </w:tc>
      </w:tr>
      <w:tr w:rsidR="00504067" w:rsidRPr="00B72FCC" w14:paraId="56CCB074" w14:textId="77777777" w:rsidTr="00D0469B">
        <w:trPr>
          <w:trHeight w:val="300"/>
        </w:trPr>
        <w:tc>
          <w:tcPr>
            <w:tcW w:w="0" w:type="auto"/>
            <w:vMerge w:val="restart"/>
            <w:vAlign w:val="center"/>
          </w:tcPr>
          <w:p w14:paraId="442A1F02" w14:textId="77777777" w:rsidR="00504067" w:rsidRPr="00B72FCC" w:rsidRDefault="00504067" w:rsidP="00504067">
            <w:pPr>
              <w:spacing w:after="0"/>
              <w:jc w:val="center"/>
              <w:rPr>
                <w:rFonts w:eastAsia="Times New Roman" w:cs="Times New Roman"/>
                <w:color w:val="000000"/>
                <w:szCs w:val="24"/>
              </w:rPr>
            </w:pPr>
            <w:r>
              <w:rPr>
                <w:rFonts w:eastAsia="Times New Roman" w:cs="Times New Roman"/>
                <w:color w:val="000000"/>
                <w:szCs w:val="24"/>
              </w:rPr>
              <w:t>Confluences</w:t>
            </w:r>
          </w:p>
        </w:tc>
        <w:tc>
          <w:tcPr>
            <w:tcW w:w="0" w:type="auto"/>
            <w:shd w:val="clear" w:color="auto" w:fill="auto"/>
            <w:noWrap/>
            <w:vAlign w:val="bottom"/>
          </w:tcPr>
          <w:p w14:paraId="1EF46A78"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S, R</m:t>
                </m:r>
              </m:oMath>
            </m:oMathPara>
          </w:p>
        </w:tc>
        <w:tc>
          <w:tcPr>
            <w:tcW w:w="0" w:type="auto"/>
            <w:shd w:val="clear" w:color="auto" w:fill="auto"/>
            <w:noWrap/>
            <w:vAlign w:val="bottom"/>
          </w:tcPr>
          <w:p w14:paraId="21A52FCC"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1197.98</w:t>
            </w:r>
          </w:p>
        </w:tc>
        <w:tc>
          <w:tcPr>
            <w:tcW w:w="0" w:type="auto"/>
            <w:shd w:val="clear" w:color="auto" w:fill="auto"/>
            <w:noWrap/>
            <w:vAlign w:val="bottom"/>
          </w:tcPr>
          <w:p w14:paraId="59277369"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23.44</w:t>
            </w:r>
          </w:p>
        </w:tc>
        <w:tc>
          <w:tcPr>
            <w:tcW w:w="0" w:type="auto"/>
            <w:shd w:val="clear" w:color="auto" w:fill="auto"/>
            <w:noWrap/>
            <w:vAlign w:val="bottom"/>
          </w:tcPr>
          <w:p w14:paraId="598355DD"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0</w:t>
            </w:r>
          </w:p>
        </w:tc>
        <w:tc>
          <w:tcPr>
            <w:tcW w:w="0" w:type="auto"/>
            <w:shd w:val="clear" w:color="auto" w:fill="auto"/>
            <w:noWrap/>
            <w:vAlign w:val="bottom"/>
          </w:tcPr>
          <w:p w14:paraId="1E81ED82"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0.7</w:t>
            </w:r>
          </w:p>
        </w:tc>
        <w:tc>
          <w:tcPr>
            <w:tcW w:w="0" w:type="auto"/>
            <w:shd w:val="clear" w:color="auto" w:fill="auto"/>
            <w:noWrap/>
            <w:vAlign w:val="bottom"/>
          </w:tcPr>
          <w:p w14:paraId="79814F1E"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42.78</w:t>
            </w:r>
          </w:p>
        </w:tc>
        <w:tc>
          <w:tcPr>
            <w:tcW w:w="0" w:type="auto"/>
            <w:shd w:val="clear" w:color="auto" w:fill="auto"/>
            <w:noWrap/>
            <w:vAlign w:val="bottom"/>
          </w:tcPr>
          <w:p w14:paraId="70C52942"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NA</w:t>
            </w:r>
          </w:p>
        </w:tc>
      </w:tr>
      <w:tr w:rsidR="00504067" w:rsidRPr="00B72FCC" w14:paraId="4C11310C" w14:textId="77777777" w:rsidTr="00D0469B">
        <w:trPr>
          <w:trHeight w:val="300"/>
        </w:trPr>
        <w:tc>
          <w:tcPr>
            <w:tcW w:w="0" w:type="auto"/>
            <w:vMerge/>
            <w:vAlign w:val="center"/>
          </w:tcPr>
          <w:p w14:paraId="059A2624"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05B5D7F2"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S, R, V</m:t>
                </m:r>
              </m:oMath>
            </m:oMathPara>
          </w:p>
        </w:tc>
        <w:tc>
          <w:tcPr>
            <w:tcW w:w="0" w:type="auto"/>
            <w:shd w:val="clear" w:color="auto" w:fill="auto"/>
            <w:noWrap/>
            <w:vAlign w:val="bottom"/>
            <w:hideMark/>
          </w:tcPr>
          <w:p w14:paraId="2C2A207A"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1200.37</w:t>
            </w:r>
          </w:p>
        </w:tc>
        <w:tc>
          <w:tcPr>
            <w:tcW w:w="0" w:type="auto"/>
            <w:shd w:val="clear" w:color="auto" w:fill="auto"/>
            <w:noWrap/>
            <w:vAlign w:val="bottom"/>
            <w:hideMark/>
          </w:tcPr>
          <w:p w14:paraId="672CBFAF"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25.12</w:t>
            </w:r>
          </w:p>
        </w:tc>
        <w:tc>
          <w:tcPr>
            <w:tcW w:w="0" w:type="auto"/>
            <w:shd w:val="clear" w:color="auto" w:fill="auto"/>
            <w:noWrap/>
            <w:vAlign w:val="bottom"/>
            <w:hideMark/>
          </w:tcPr>
          <w:p w14:paraId="3AC294D6"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2.4</w:t>
            </w:r>
          </w:p>
        </w:tc>
        <w:tc>
          <w:tcPr>
            <w:tcW w:w="0" w:type="auto"/>
            <w:shd w:val="clear" w:color="auto" w:fill="auto"/>
            <w:noWrap/>
            <w:vAlign w:val="bottom"/>
            <w:hideMark/>
          </w:tcPr>
          <w:p w14:paraId="55D49DAC"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0.21</w:t>
            </w:r>
          </w:p>
        </w:tc>
        <w:tc>
          <w:tcPr>
            <w:tcW w:w="0" w:type="auto"/>
            <w:shd w:val="clear" w:color="auto" w:fill="auto"/>
            <w:noWrap/>
            <w:vAlign w:val="bottom"/>
            <w:hideMark/>
          </w:tcPr>
          <w:p w14:paraId="58B1B7B5" w14:textId="77777777" w:rsidR="00504067" w:rsidRPr="00B72FCC" w:rsidRDefault="00504067" w:rsidP="00504067">
            <w:pPr>
              <w:spacing w:after="0"/>
              <w:rPr>
                <w:rFonts w:eastAsia="Times New Roman" w:cs="Times New Roman"/>
                <w:sz w:val="20"/>
                <w:szCs w:val="20"/>
              </w:rPr>
            </w:pPr>
            <w:r w:rsidRPr="00B72FCC">
              <w:rPr>
                <w:rFonts w:ascii="Calibri" w:eastAsia="Times New Roman" w:hAnsi="Calibri" w:cs="Calibri"/>
                <w:color w:val="000000"/>
              </w:rPr>
              <w:t>42.86</w:t>
            </w:r>
          </w:p>
        </w:tc>
        <w:tc>
          <w:tcPr>
            <w:tcW w:w="0" w:type="auto"/>
            <w:shd w:val="clear" w:color="auto" w:fill="auto"/>
            <w:noWrap/>
            <w:vAlign w:val="bottom"/>
          </w:tcPr>
          <w:p w14:paraId="34E18DF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3.04</w:t>
            </w:r>
          </w:p>
        </w:tc>
      </w:tr>
      <w:tr w:rsidR="00504067" w:rsidRPr="00B72FCC" w14:paraId="5A074243" w14:textId="77777777" w:rsidTr="00D0469B">
        <w:trPr>
          <w:trHeight w:val="300"/>
        </w:trPr>
        <w:tc>
          <w:tcPr>
            <w:tcW w:w="0" w:type="auto"/>
            <w:vMerge/>
            <w:vAlign w:val="center"/>
          </w:tcPr>
          <w:p w14:paraId="4A938927"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1901774F" w14:textId="005D1758"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F</w:t>
            </w:r>
            <w:r w:rsidR="002D7985">
              <w:rPr>
                <w:rFonts w:ascii="Calibri" w:eastAsia="Times New Roman" w:hAnsi="Calibri" w:cs="Calibri"/>
                <w:color w:val="000000"/>
              </w:rPr>
              <w:t>ull</w:t>
            </w:r>
          </w:p>
        </w:tc>
        <w:tc>
          <w:tcPr>
            <w:tcW w:w="0" w:type="auto"/>
            <w:shd w:val="clear" w:color="auto" w:fill="auto"/>
            <w:noWrap/>
            <w:vAlign w:val="bottom"/>
            <w:hideMark/>
          </w:tcPr>
          <w:p w14:paraId="684AD8E1"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1202.06</w:t>
            </w:r>
          </w:p>
        </w:tc>
        <w:tc>
          <w:tcPr>
            <w:tcW w:w="0" w:type="auto"/>
            <w:shd w:val="clear" w:color="auto" w:fill="auto"/>
            <w:noWrap/>
            <w:vAlign w:val="bottom"/>
            <w:hideMark/>
          </w:tcPr>
          <w:p w14:paraId="1A6F1F02"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25.92</w:t>
            </w:r>
          </w:p>
        </w:tc>
        <w:tc>
          <w:tcPr>
            <w:tcW w:w="0" w:type="auto"/>
            <w:shd w:val="clear" w:color="auto" w:fill="auto"/>
            <w:noWrap/>
            <w:vAlign w:val="bottom"/>
            <w:hideMark/>
          </w:tcPr>
          <w:p w14:paraId="34055F7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4.08</w:t>
            </w:r>
          </w:p>
        </w:tc>
        <w:tc>
          <w:tcPr>
            <w:tcW w:w="0" w:type="auto"/>
            <w:shd w:val="clear" w:color="auto" w:fill="auto"/>
            <w:noWrap/>
            <w:vAlign w:val="bottom"/>
            <w:hideMark/>
          </w:tcPr>
          <w:p w14:paraId="4D2BA2C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0.09</w:t>
            </w:r>
          </w:p>
        </w:tc>
        <w:tc>
          <w:tcPr>
            <w:tcW w:w="0" w:type="auto"/>
            <w:shd w:val="clear" w:color="auto" w:fill="auto"/>
            <w:noWrap/>
            <w:vAlign w:val="bottom"/>
            <w:hideMark/>
          </w:tcPr>
          <w:p w14:paraId="1E11A57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42.93</w:t>
            </w:r>
          </w:p>
        </w:tc>
        <w:tc>
          <w:tcPr>
            <w:tcW w:w="0" w:type="auto"/>
            <w:shd w:val="clear" w:color="auto" w:fill="auto"/>
            <w:noWrap/>
            <w:vAlign w:val="bottom"/>
            <w:hideMark/>
          </w:tcPr>
          <w:p w14:paraId="2606481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3.3</w:t>
            </w:r>
          </w:p>
        </w:tc>
      </w:tr>
      <w:tr w:rsidR="00504067" w:rsidRPr="00B72FCC" w14:paraId="044767DD" w14:textId="77777777" w:rsidTr="00D0469B">
        <w:trPr>
          <w:trHeight w:val="300"/>
        </w:trPr>
        <w:tc>
          <w:tcPr>
            <w:tcW w:w="0" w:type="auto"/>
            <w:vMerge/>
            <w:vAlign w:val="center"/>
          </w:tcPr>
          <w:p w14:paraId="6385E3DF"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2283D28E"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R</m:t>
                </m:r>
              </m:oMath>
            </m:oMathPara>
          </w:p>
        </w:tc>
        <w:tc>
          <w:tcPr>
            <w:tcW w:w="0" w:type="auto"/>
            <w:shd w:val="clear" w:color="auto" w:fill="auto"/>
            <w:noWrap/>
            <w:vAlign w:val="bottom"/>
            <w:hideMark/>
          </w:tcPr>
          <w:p w14:paraId="363164A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1270.37</w:t>
            </w:r>
          </w:p>
        </w:tc>
        <w:tc>
          <w:tcPr>
            <w:tcW w:w="0" w:type="auto"/>
            <w:shd w:val="clear" w:color="auto" w:fill="auto"/>
            <w:noWrap/>
            <w:vAlign w:val="bottom"/>
            <w:hideMark/>
          </w:tcPr>
          <w:p w14:paraId="1FF051E9"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22.53</w:t>
            </w:r>
          </w:p>
        </w:tc>
        <w:tc>
          <w:tcPr>
            <w:tcW w:w="0" w:type="auto"/>
            <w:shd w:val="clear" w:color="auto" w:fill="auto"/>
            <w:noWrap/>
            <w:vAlign w:val="bottom"/>
            <w:hideMark/>
          </w:tcPr>
          <w:p w14:paraId="6183244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72.39</w:t>
            </w:r>
          </w:p>
        </w:tc>
        <w:tc>
          <w:tcPr>
            <w:tcW w:w="0" w:type="auto"/>
            <w:shd w:val="clear" w:color="auto" w:fill="auto"/>
            <w:noWrap/>
            <w:vAlign w:val="bottom"/>
            <w:hideMark/>
          </w:tcPr>
          <w:p w14:paraId="7F144A7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487A267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41.66</w:t>
            </w:r>
          </w:p>
        </w:tc>
        <w:tc>
          <w:tcPr>
            <w:tcW w:w="0" w:type="auto"/>
            <w:shd w:val="clear" w:color="auto" w:fill="auto"/>
            <w:noWrap/>
            <w:vAlign w:val="bottom"/>
            <w:hideMark/>
          </w:tcPr>
          <w:p w14:paraId="1122EF6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15.38</w:t>
            </w:r>
          </w:p>
        </w:tc>
      </w:tr>
      <w:tr w:rsidR="00504067" w:rsidRPr="00B72FCC" w14:paraId="6D453C97" w14:textId="77777777" w:rsidTr="00D0469B">
        <w:trPr>
          <w:trHeight w:val="300"/>
        </w:trPr>
        <w:tc>
          <w:tcPr>
            <w:tcW w:w="0" w:type="auto"/>
            <w:vMerge/>
            <w:vAlign w:val="center"/>
          </w:tcPr>
          <w:p w14:paraId="42683F29" w14:textId="77777777" w:rsidR="00504067" w:rsidRPr="00B72FCC" w:rsidRDefault="00504067" w:rsidP="00504067">
            <w:pPr>
              <w:spacing w:after="0"/>
              <w:jc w:val="center"/>
              <w:rPr>
                <w:rFonts w:eastAsia="Times New Roman" w:cs="Times New Roman"/>
                <w:color w:val="000000"/>
                <w:szCs w:val="24"/>
              </w:rPr>
            </w:pPr>
          </w:p>
        </w:tc>
        <w:tc>
          <w:tcPr>
            <w:tcW w:w="0" w:type="auto"/>
            <w:shd w:val="clear" w:color="auto" w:fill="auto"/>
            <w:noWrap/>
            <w:vAlign w:val="bottom"/>
            <w:hideMark/>
          </w:tcPr>
          <w:p w14:paraId="344BD260" w14:textId="77777777" w:rsidR="00504067" w:rsidRPr="00B72FCC" w:rsidRDefault="00504067" w:rsidP="00504067">
            <w:pPr>
              <w:spacing w:after="0"/>
              <w:rPr>
                <w:rFonts w:ascii="Calibri" w:eastAsia="Times New Roman" w:hAnsi="Calibri" w:cs="Calibri"/>
                <w:color w:val="000000"/>
              </w:rPr>
            </w:pPr>
            <w:r>
              <w:rPr>
                <w:rFonts w:ascii="Calibri" w:eastAsia="Times New Roman" w:hAnsi="Calibri" w:cs="Calibri"/>
                <w:color w:val="000000"/>
              </w:rPr>
              <w:t>Intercept</w:t>
            </w:r>
          </w:p>
        </w:tc>
        <w:tc>
          <w:tcPr>
            <w:tcW w:w="0" w:type="auto"/>
            <w:shd w:val="clear" w:color="auto" w:fill="auto"/>
            <w:noWrap/>
            <w:vAlign w:val="bottom"/>
            <w:hideMark/>
          </w:tcPr>
          <w:p w14:paraId="5BD2757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1518.79</w:t>
            </w:r>
          </w:p>
        </w:tc>
        <w:tc>
          <w:tcPr>
            <w:tcW w:w="0" w:type="auto"/>
            <w:shd w:val="clear" w:color="auto" w:fill="auto"/>
            <w:noWrap/>
            <w:vAlign w:val="bottom"/>
            <w:hideMark/>
          </w:tcPr>
          <w:p w14:paraId="33F1C9E6"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21.45</w:t>
            </w:r>
          </w:p>
        </w:tc>
        <w:tc>
          <w:tcPr>
            <w:tcW w:w="0" w:type="auto"/>
            <w:shd w:val="clear" w:color="auto" w:fill="auto"/>
            <w:noWrap/>
            <w:vAlign w:val="bottom"/>
            <w:hideMark/>
          </w:tcPr>
          <w:p w14:paraId="5DDB4AB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320.82</w:t>
            </w:r>
          </w:p>
        </w:tc>
        <w:tc>
          <w:tcPr>
            <w:tcW w:w="0" w:type="auto"/>
            <w:shd w:val="clear" w:color="auto" w:fill="auto"/>
            <w:noWrap/>
            <w:vAlign w:val="bottom"/>
            <w:hideMark/>
          </w:tcPr>
          <w:p w14:paraId="40CDC68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31466C3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37.39</w:t>
            </w:r>
          </w:p>
        </w:tc>
        <w:tc>
          <w:tcPr>
            <w:tcW w:w="0" w:type="auto"/>
            <w:shd w:val="clear" w:color="auto" w:fill="auto"/>
            <w:noWrap/>
            <w:vAlign w:val="bottom"/>
            <w:hideMark/>
          </w:tcPr>
          <w:p w14:paraId="75B2F3F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32.46</w:t>
            </w:r>
          </w:p>
        </w:tc>
      </w:tr>
      <w:tr w:rsidR="00504067" w:rsidRPr="00B72FCC" w14:paraId="585FDC93" w14:textId="77777777" w:rsidTr="00D0469B">
        <w:trPr>
          <w:trHeight w:val="300"/>
        </w:trPr>
        <w:tc>
          <w:tcPr>
            <w:tcW w:w="0" w:type="auto"/>
            <w:vMerge w:val="restart"/>
            <w:vAlign w:val="center"/>
          </w:tcPr>
          <w:p w14:paraId="1432572F" w14:textId="77777777" w:rsidR="00504067" w:rsidRPr="00B72FCC" w:rsidRDefault="00504067" w:rsidP="00504067">
            <w:pPr>
              <w:spacing w:after="0"/>
              <w:jc w:val="center"/>
              <w:rPr>
                <w:rFonts w:eastAsia="Times New Roman" w:cs="Times New Roman"/>
                <w:color w:val="000000"/>
                <w:szCs w:val="24"/>
              </w:rPr>
            </w:pPr>
            <w:r w:rsidRPr="00B72FCC">
              <w:rPr>
                <w:rFonts w:eastAsia="Times New Roman" w:cs="Times New Roman"/>
                <w:color w:val="000000"/>
                <w:szCs w:val="24"/>
              </w:rPr>
              <w:t>Sinuosity</w:t>
            </w:r>
          </w:p>
        </w:tc>
        <w:tc>
          <w:tcPr>
            <w:tcW w:w="0" w:type="auto"/>
            <w:shd w:val="clear" w:color="auto" w:fill="auto"/>
            <w:noWrap/>
            <w:vAlign w:val="bottom"/>
            <w:hideMark/>
          </w:tcPr>
          <w:p w14:paraId="6A474FF5"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S, R</m:t>
                </m:r>
              </m:oMath>
            </m:oMathPara>
          </w:p>
        </w:tc>
        <w:tc>
          <w:tcPr>
            <w:tcW w:w="0" w:type="auto"/>
            <w:shd w:val="clear" w:color="auto" w:fill="auto"/>
            <w:noWrap/>
            <w:vAlign w:val="bottom"/>
            <w:hideMark/>
          </w:tcPr>
          <w:p w14:paraId="4CD35873"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-2018.21</w:t>
            </w:r>
          </w:p>
        </w:tc>
        <w:tc>
          <w:tcPr>
            <w:tcW w:w="0" w:type="auto"/>
            <w:shd w:val="clear" w:color="auto" w:fill="auto"/>
            <w:noWrap/>
            <w:vAlign w:val="bottom"/>
            <w:hideMark/>
          </w:tcPr>
          <w:p w14:paraId="62F50393"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25.4</w:t>
            </w:r>
          </w:p>
        </w:tc>
        <w:tc>
          <w:tcPr>
            <w:tcW w:w="0" w:type="auto"/>
            <w:shd w:val="clear" w:color="auto" w:fill="auto"/>
            <w:noWrap/>
            <w:vAlign w:val="bottom"/>
            <w:hideMark/>
          </w:tcPr>
          <w:p w14:paraId="6C970966"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7950769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0.4</w:t>
            </w:r>
          </w:p>
        </w:tc>
        <w:tc>
          <w:tcPr>
            <w:tcW w:w="0" w:type="auto"/>
            <w:shd w:val="clear" w:color="auto" w:fill="auto"/>
            <w:noWrap/>
            <w:vAlign w:val="bottom"/>
            <w:hideMark/>
          </w:tcPr>
          <w:p w14:paraId="1EE1F49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60.5</w:t>
            </w:r>
          </w:p>
        </w:tc>
        <w:tc>
          <w:tcPr>
            <w:tcW w:w="0" w:type="auto"/>
            <w:shd w:val="clear" w:color="auto" w:fill="auto"/>
            <w:noWrap/>
            <w:vAlign w:val="bottom"/>
            <w:hideMark/>
          </w:tcPr>
          <w:p w14:paraId="5D71233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NA</w:t>
            </w:r>
          </w:p>
        </w:tc>
      </w:tr>
      <w:tr w:rsidR="00504067" w:rsidRPr="00B72FCC" w14:paraId="06E39787" w14:textId="77777777" w:rsidTr="00D0469B">
        <w:trPr>
          <w:trHeight w:val="300"/>
        </w:trPr>
        <w:tc>
          <w:tcPr>
            <w:tcW w:w="0" w:type="auto"/>
            <w:vMerge/>
          </w:tcPr>
          <w:p w14:paraId="709DE212" w14:textId="77777777" w:rsidR="00504067" w:rsidRPr="00B72FCC" w:rsidRDefault="00504067" w:rsidP="00504067">
            <w:pPr>
              <w:spacing w:after="0"/>
              <w:rPr>
                <w:rFonts w:ascii="Calibri" w:eastAsia="Times New Roman" w:hAnsi="Calibri" w:cs="Calibri"/>
                <w:color w:val="000000"/>
              </w:rPr>
            </w:pPr>
          </w:p>
        </w:tc>
        <w:tc>
          <w:tcPr>
            <w:tcW w:w="0" w:type="auto"/>
            <w:shd w:val="clear" w:color="auto" w:fill="auto"/>
            <w:noWrap/>
            <w:vAlign w:val="bottom"/>
            <w:hideMark/>
          </w:tcPr>
          <w:p w14:paraId="73F6B13D"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Full</w:t>
            </w:r>
          </w:p>
        </w:tc>
        <w:tc>
          <w:tcPr>
            <w:tcW w:w="0" w:type="auto"/>
            <w:shd w:val="clear" w:color="auto" w:fill="auto"/>
            <w:noWrap/>
            <w:vAlign w:val="bottom"/>
            <w:hideMark/>
          </w:tcPr>
          <w:p w14:paraId="59FA7628"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-2018.12</w:t>
            </w:r>
          </w:p>
        </w:tc>
        <w:tc>
          <w:tcPr>
            <w:tcW w:w="0" w:type="auto"/>
            <w:shd w:val="clear" w:color="auto" w:fill="auto"/>
            <w:noWrap/>
            <w:vAlign w:val="bottom"/>
            <w:hideMark/>
          </w:tcPr>
          <w:p w14:paraId="7893C64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27.34</w:t>
            </w:r>
          </w:p>
        </w:tc>
        <w:tc>
          <w:tcPr>
            <w:tcW w:w="0" w:type="auto"/>
            <w:shd w:val="clear" w:color="auto" w:fill="auto"/>
            <w:noWrap/>
            <w:vAlign w:val="bottom"/>
            <w:hideMark/>
          </w:tcPr>
          <w:p w14:paraId="582990C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0.09</w:t>
            </w:r>
          </w:p>
        </w:tc>
        <w:tc>
          <w:tcPr>
            <w:tcW w:w="0" w:type="auto"/>
            <w:shd w:val="clear" w:color="auto" w:fill="auto"/>
            <w:noWrap/>
            <w:vAlign w:val="bottom"/>
            <w:hideMark/>
          </w:tcPr>
          <w:p w14:paraId="4DA3916F"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0.39</w:t>
            </w:r>
          </w:p>
        </w:tc>
        <w:tc>
          <w:tcPr>
            <w:tcW w:w="0" w:type="auto"/>
            <w:shd w:val="clear" w:color="auto" w:fill="auto"/>
            <w:noWrap/>
            <w:vAlign w:val="bottom"/>
            <w:hideMark/>
          </w:tcPr>
          <w:p w14:paraId="170F2E30"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60.55</w:t>
            </w:r>
          </w:p>
        </w:tc>
        <w:tc>
          <w:tcPr>
            <w:tcW w:w="0" w:type="auto"/>
            <w:shd w:val="clear" w:color="auto" w:fill="auto"/>
            <w:noWrap/>
            <w:vAlign w:val="bottom"/>
            <w:hideMark/>
          </w:tcPr>
          <w:p w14:paraId="3C6B9944"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3.83</w:t>
            </w:r>
          </w:p>
        </w:tc>
      </w:tr>
      <w:tr w:rsidR="00504067" w:rsidRPr="00B72FCC" w14:paraId="7A6246D2" w14:textId="77777777" w:rsidTr="00D0469B">
        <w:trPr>
          <w:trHeight w:val="300"/>
        </w:trPr>
        <w:tc>
          <w:tcPr>
            <w:tcW w:w="0" w:type="auto"/>
            <w:vMerge/>
          </w:tcPr>
          <w:p w14:paraId="6438D701" w14:textId="77777777" w:rsidR="00504067" w:rsidRPr="00B72FCC" w:rsidRDefault="00504067" w:rsidP="00504067">
            <w:pPr>
              <w:spacing w:after="0"/>
              <w:rPr>
                <w:rFonts w:ascii="Calibri" w:eastAsia="Times New Roman" w:hAnsi="Calibri" w:cs="Calibri"/>
                <w:color w:val="000000"/>
              </w:rPr>
            </w:pPr>
          </w:p>
        </w:tc>
        <w:tc>
          <w:tcPr>
            <w:tcW w:w="0" w:type="auto"/>
            <w:shd w:val="clear" w:color="auto" w:fill="auto"/>
            <w:noWrap/>
            <w:vAlign w:val="bottom"/>
            <w:hideMark/>
          </w:tcPr>
          <w:p w14:paraId="739D2DB5"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 xml:space="preserve">S, R, </m:t>
                </m:r>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w</m:t>
                    </m:r>
                  </m:sub>
                </m:sSub>
              </m:oMath>
            </m:oMathPara>
          </w:p>
        </w:tc>
        <w:tc>
          <w:tcPr>
            <w:tcW w:w="0" w:type="auto"/>
            <w:shd w:val="clear" w:color="auto" w:fill="auto"/>
            <w:noWrap/>
            <w:vAlign w:val="bottom"/>
            <w:hideMark/>
          </w:tcPr>
          <w:p w14:paraId="6FEF6B9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-2016.92</w:t>
            </w:r>
          </w:p>
        </w:tc>
        <w:tc>
          <w:tcPr>
            <w:tcW w:w="0" w:type="auto"/>
            <w:shd w:val="clear" w:color="auto" w:fill="auto"/>
            <w:noWrap/>
            <w:vAlign w:val="bottom"/>
            <w:hideMark/>
          </w:tcPr>
          <w:p w14:paraId="4F0077C5"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26.08</w:t>
            </w:r>
          </w:p>
        </w:tc>
        <w:tc>
          <w:tcPr>
            <w:tcW w:w="0" w:type="auto"/>
            <w:shd w:val="clear" w:color="auto" w:fill="auto"/>
            <w:noWrap/>
            <w:vAlign w:val="bottom"/>
            <w:hideMark/>
          </w:tcPr>
          <w:p w14:paraId="5FFFA5A5"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1.29</w:t>
            </w:r>
          </w:p>
        </w:tc>
        <w:tc>
          <w:tcPr>
            <w:tcW w:w="0" w:type="auto"/>
            <w:shd w:val="clear" w:color="auto" w:fill="auto"/>
            <w:noWrap/>
            <w:vAlign w:val="bottom"/>
            <w:hideMark/>
          </w:tcPr>
          <w:p w14:paraId="6D82860D"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0.21</w:t>
            </w:r>
          </w:p>
        </w:tc>
        <w:tc>
          <w:tcPr>
            <w:tcW w:w="0" w:type="auto"/>
            <w:shd w:val="clear" w:color="auto" w:fill="auto"/>
            <w:noWrap/>
            <w:vAlign w:val="bottom"/>
            <w:hideMark/>
          </w:tcPr>
          <w:p w14:paraId="435D9C21"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60.48</w:t>
            </w:r>
          </w:p>
        </w:tc>
        <w:tc>
          <w:tcPr>
            <w:tcW w:w="0" w:type="auto"/>
            <w:shd w:val="clear" w:color="auto" w:fill="auto"/>
            <w:noWrap/>
            <w:vAlign w:val="bottom"/>
            <w:hideMark/>
          </w:tcPr>
          <w:p w14:paraId="793B7E1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0.89</w:t>
            </w:r>
          </w:p>
        </w:tc>
      </w:tr>
      <w:tr w:rsidR="00504067" w:rsidRPr="00B72FCC" w14:paraId="125B4988" w14:textId="77777777" w:rsidTr="00D0469B">
        <w:trPr>
          <w:trHeight w:val="300"/>
        </w:trPr>
        <w:tc>
          <w:tcPr>
            <w:tcW w:w="0" w:type="auto"/>
            <w:vMerge/>
          </w:tcPr>
          <w:p w14:paraId="2743E54B" w14:textId="77777777" w:rsidR="00504067" w:rsidRPr="00B72FCC" w:rsidRDefault="00504067" w:rsidP="00504067">
            <w:pPr>
              <w:spacing w:after="0"/>
              <w:jc w:val="right"/>
              <w:rPr>
                <w:rFonts w:ascii="Calibri" w:eastAsia="Times New Roman" w:hAnsi="Calibri" w:cs="Calibri"/>
                <w:color w:val="000000"/>
              </w:rPr>
            </w:pPr>
          </w:p>
        </w:tc>
        <w:tc>
          <w:tcPr>
            <w:tcW w:w="0" w:type="auto"/>
            <w:shd w:val="clear" w:color="auto" w:fill="auto"/>
            <w:noWrap/>
            <w:vAlign w:val="bottom"/>
            <w:hideMark/>
          </w:tcPr>
          <w:p w14:paraId="72C04396" w14:textId="77777777" w:rsidR="00504067" w:rsidRPr="00B72FCC" w:rsidRDefault="00504067" w:rsidP="00504067">
            <w:pPr>
              <w:spacing w:after="0"/>
              <w:rPr>
                <w:rFonts w:ascii="Calibri" w:eastAsia="Times New Roman" w:hAnsi="Calibri" w:cs="Calibri"/>
                <w:color w:val="000000"/>
              </w:rPr>
            </w:pPr>
            <m:oMathPara>
              <m:oMathParaPr>
                <m:jc m:val="left"/>
              </m:oMathParaPr>
              <m:oMath>
                <m:r>
                  <w:rPr>
                    <w:rFonts w:ascii="Cambria Math" w:hAnsi="Cambria Math" w:cs="Times New Roman"/>
                    <w:szCs w:val="24"/>
                  </w:rPr>
                  <m:t>R</m:t>
                </m:r>
              </m:oMath>
            </m:oMathPara>
          </w:p>
        </w:tc>
        <w:tc>
          <w:tcPr>
            <w:tcW w:w="0" w:type="auto"/>
            <w:shd w:val="clear" w:color="auto" w:fill="auto"/>
            <w:noWrap/>
            <w:vAlign w:val="bottom"/>
            <w:hideMark/>
          </w:tcPr>
          <w:p w14:paraId="54EDCD6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-1994.55</w:t>
            </w:r>
          </w:p>
        </w:tc>
        <w:tc>
          <w:tcPr>
            <w:tcW w:w="0" w:type="auto"/>
            <w:shd w:val="clear" w:color="auto" w:fill="auto"/>
            <w:noWrap/>
            <w:vAlign w:val="bottom"/>
            <w:hideMark/>
          </w:tcPr>
          <w:p w14:paraId="41EE92D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24.29</w:t>
            </w:r>
          </w:p>
        </w:tc>
        <w:tc>
          <w:tcPr>
            <w:tcW w:w="0" w:type="auto"/>
            <w:shd w:val="clear" w:color="auto" w:fill="auto"/>
            <w:noWrap/>
            <w:vAlign w:val="bottom"/>
            <w:hideMark/>
          </w:tcPr>
          <w:p w14:paraId="7884C79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23.65</w:t>
            </w:r>
          </w:p>
        </w:tc>
        <w:tc>
          <w:tcPr>
            <w:tcW w:w="0" w:type="auto"/>
            <w:shd w:val="clear" w:color="auto" w:fill="auto"/>
            <w:noWrap/>
            <w:vAlign w:val="bottom"/>
            <w:hideMark/>
          </w:tcPr>
          <w:p w14:paraId="18EA5C4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71E3CB77"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60.92</w:t>
            </w:r>
          </w:p>
        </w:tc>
        <w:tc>
          <w:tcPr>
            <w:tcW w:w="0" w:type="auto"/>
            <w:shd w:val="clear" w:color="auto" w:fill="auto"/>
            <w:noWrap/>
            <w:vAlign w:val="bottom"/>
            <w:hideMark/>
          </w:tcPr>
          <w:p w14:paraId="4B0177B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10.89</w:t>
            </w:r>
          </w:p>
        </w:tc>
      </w:tr>
      <w:tr w:rsidR="00504067" w:rsidRPr="00B72FCC" w14:paraId="75446002" w14:textId="77777777" w:rsidTr="00D0469B">
        <w:trPr>
          <w:trHeight w:val="300"/>
        </w:trPr>
        <w:tc>
          <w:tcPr>
            <w:tcW w:w="0" w:type="auto"/>
            <w:vMerge/>
          </w:tcPr>
          <w:p w14:paraId="53209EE7" w14:textId="77777777" w:rsidR="00504067" w:rsidRPr="00B72FCC" w:rsidRDefault="00504067" w:rsidP="00504067">
            <w:pPr>
              <w:spacing w:after="0"/>
              <w:rPr>
                <w:rFonts w:ascii="Calibri" w:eastAsia="Times New Roman" w:hAnsi="Calibri" w:cs="Calibri"/>
                <w:color w:val="000000"/>
              </w:rPr>
            </w:pPr>
          </w:p>
        </w:tc>
        <w:tc>
          <w:tcPr>
            <w:tcW w:w="0" w:type="auto"/>
            <w:shd w:val="clear" w:color="auto" w:fill="auto"/>
            <w:noWrap/>
            <w:vAlign w:val="bottom"/>
            <w:hideMark/>
          </w:tcPr>
          <w:p w14:paraId="257CDC1C" w14:textId="77777777" w:rsidR="00504067" w:rsidRPr="00B72FCC" w:rsidRDefault="00504067" w:rsidP="00504067">
            <w:pPr>
              <w:spacing w:after="0"/>
              <w:rPr>
                <w:rFonts w:ascii="Calibri" w:eastAsia="Times New Roman" w:hAnsi="Calibri" w:cs="Calibri"/>
                <w:color w:val="000000"/>
              </w:rPr>
            </w:pPr>
            <w:r>
              <w:rPr>
                <w:rFonts w:ascii="Calibri" w:eastAsia="Times New Roman" w:hAnsi="Calibri" w:cs="Calibri"/>
                <w:color w:val="000000"/>
              </w:rPr>
              <w:t>Intercept</w:t>
            </w:r>
          </w:p>
        </w:tc>
        <w:tc>
          <w:tcPr>
            <w:tcW w:w="0" w:type="auto"/>
            <w:shd w:val="clear" w:color="auto" w:fill="auto"/>
            <w:noWrap/>
            <w:vAlign w:val="bottom"/>
            <w:hideMark/>
          </w:tcPr>
          <w:p w14:paraId="4214EFF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-1960.09</w:t>
            </w:r>
          </w:p>
        </w:tc>
        <w:tc>
          <w:tcPr>
            <w:tcW w:w="0" w:type="auto"/>
            <w:shd w:val="clear" w:color="auto" w:fill="auto"/>
            <w:noWrap/>
            <w:vAlign w:val="bottom"/>
            <w:hideMark/>
          </w:tcPr>
          <w:p w14:paraId="3847CA9A"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23.03</w:t>
            </w:r>
          </w:p>
        </w:tc>
        <w:tc>
          <w:tcPr>
            <w:tcW w:w="0" w:type="auto"/>
            <w:shd w:val="clear" w:color="auto" w:fill="auto"/>
            <w:noWrap/>
            <w:vAlign w:val="bottom"/>
            <w:hideMark/>
          </w:tcPr>
          <w:p w14:paraId="35343BEE"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58.12</w:t>
            </w:r>
          </w:p>
        </w:tc>
        <w:tc>
          <w:tcPr>
            <w:tcW w:w="0" w:type="auto"/>
            <w:shd w:val="clear" w:color="auto" w:fill="auto"/>
            <w:noWrap/>
            <w:vAlign w:val="bottom"/>
            <w:hideMark/>
          </w:tcPr>
          <w:p w14:paraId="2FEBE5F7"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0</w:t>
            </w:r>
          </w:p>
        </w:tc>
        <w:tc>
          <w:tcPr>
            <w:tcW w:w="0" w:type="auto"/>
            <w:shd w:val="clear" w:color="auto" w:fill="auto"/>
            <w:noWrap/>
            <w:vAlign w:val="bottom"/>
            <w:hideMark/>
          </w:tcPr>
          <w:p w14:paraId="07E1F9AB"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60.51</w:t>
            </w:r>
          </w:p>
        </w:tc>
        <w:tc>
          <w:tcPr>
            <w:tcW w:w="0" w:type="auto"/>
            <w:shd w:val="clear" w:color="auto" w:fill="auto"/>
            <w:noWrap/>
            <w:vAlign w:val="bottom"/>
            <w:hideMark/>
          </w:tcPr>
          <w:p w14:paraId="0333CCCC" w14:textId="77777777" w:rsidR="00504067" w:rsidRPr="00B72FCC" w:rsidRDefault="00504067" w:rsidP="00504067">
            <w:pPr>
              <w:spacing w:after="0"/>
              <w:rPr>
                <w:rFonts w:ascii="Calibri" w:eastAsia="Times New Roman" w:hAnsi="Calibri" w:cs="Calibri"/>
                <w:color w:val="000000"/>
              </w:rPr>
            </w:pPr>
            <w:r w:rsidRPr="00B72FCC">
              <w:rPr>
                <w:rFonts w:ascii="Calibri" w:eastAsia="Times New Roman" w:hAnsi="Calibri" w:cs="Calibri"/>
                <w:color w:val="000000"/>
              </w:rPr>
              <w:t>16.54</w:t>
            </w:r>
          </w:p>
        </w:tc>
      </w:tr>
    </w:tbl>
    <w:p w14:paraId="4A317767" w14:textId="77777777" w:rsidR="00054207" w:rsidRDefault="00054207" w:rsidP="00725791">
      <w:pPr>
        <w:jc w:val="center"/>
        <w:rPr>
          <w:rFonts w:cs="Times New Roman"/>
          <w:b/>
          <w:bCs/>
          <w:sz w:val="36"/>
          <w:szCs w:val="36"/>
        </w:rPr>
      </w:pPr>
    </w:p>
    <w:p w14:paraId="145396AF" w14:textId="77777777" w:rsidR="004A70A1" w:rsidRDefault="004A70A1" w:rsidP="00725791">
      <w:pPr>
        <w:jc w:val="center"/>
        <w:rPr>
          <w:rFonts w:cs="Times New Roman"/>
          <w:b/>
          <w:bCs/>
          <w:sz w:val="36"/>
          <w:szCs w:val="36"/>
        </w:rPr>
      </w:pPr>
    </w:p>
    <w:p w14:paraId="58013DE4" w14:textId="77777777" w:rsidR="004A70A1" w:rsidRDefault="004A70A1" w:rsidP="00725791">
      <w:pPr>
        <w:jc w:val="center"/>
        <w:rPr>
          <w:rFonts w:cs="Times New Roman"/>
          <w:b/>
          <w:bCs/>
          <w:sz w:val="36"/>
          <w:szCs w:val="36"/>
        </w:rPr>
      </w:pPr>
    </w:p>
    <w:p w14:paraId="7AE355A7" w14:textId="7E12F603" w:rsidR="004A70A1" w:rsidRDefault="004A70A1" w:rsidP="00725791">
      <w:pPr>
        <w:jc w:val="center"/>
        <w:rPr>
          <w:rFonts w:cs="Times New Roman"/>
          <w:b/>
          <w:bCs/>
          <w:sz w:val="36"/>
          <w:szCs w:val="36"/>
        </w:rPr>
      </w:pPr>
    </w:p>
    <w:p w14:paraId="3874DC28" w14:textId="762EC92A" w:rsidR="00CC0475" w:rsidRDefault="00CC0475" w:rsidP="00725791">
      <w:pPr>
        <w:jc w:val="center"/>
        <w:rPr>
          <w:rFonts w:cs="Times New Roman"/>
          <w:b/>
          <w:bCs/>
          <w:sz w:val="36"/>
          <w:szCs w:val="36"/>
        </w:rPr>
      </w:pPr>
    </w:p>
    <w:p w14:paraId="7BE839E7" w14:textId="15AA6487" w:rsidR="00CC0475" w:rsidRDefault="00CC0475" w:rsidP="00725791">
      <w:pPr>
        <w:jc w:val="center"/>
        <w:rPr>
          <w:rFonts w:cs="Times New Roman"/>
          <w:b/>
          <w:bCs/>
          <w:sz w:val="36"/>
          <w:szCs w:val="36"/>
        </w:rPr>
      </w:pPr>
    </w:p>
    <w:p w14:paraId="44DF4943" w14:textId="7DF66A10" w:rsidR="00CC0475" w:rsidRDefault="00CC0475" w:rsidP="00725791">
      <w:pPr>
        <w:jc w:val="center"/>
        <w:rPr>
          <w:rFonts w:cs="Times New Roman"/>
          <w:b/>
          <w:bCs/>
          <w:sz w:val="36"/>
          <w:szCs w:val="36"/>
        </w:rPr>
      </w:pPr>
    </w:p>
    <w:p w14:paraId="714FD5F4" w14:textId="3D128D04" w:rsidR="00462144" w:rsidRDefault="00462144" w:rsidP="00725791">
      <w:pPr>
        <w:jc w:val="center"/>
        <w:rPr>
          <w:rFonts w:cs="Times New Roman"/>
          <w:b/>
          <w:bCs/>
          <w:sz w:val="36"/>
          <w:szCs w:val="36"/>
        </w:rPr>
      </w:pPr>
    </w:p>
    <w:p w14:paraId="0BB8B609" w14:textId="77777777" w:rsidR="00462144" w:rsidRDefault="00462144" w:rsidP="00725791">
      <w:pPr>
        <w:jc w:val="center"/>
        <w:rPr>
          <w:rFonts w:cs="Times New Roman"/>
          <w:b/>
          <w:bCs/>
          <w:sz w:val="36"/>
          <w:szCs w:val="36"/>
        </w:rPr>
      </w:pPr>
    </w:p>
    <w:p w14:paraId="4E00F15D" w14:textId="0D5A11BD" w:rsidR="00333AA3" w:rsidRDefault="00333AA3" w:rsidP="00935B80">
      <w:pPr>
        <w:pStyle w:val="Heading1"/>
        <w:jc w:val="center"/>
      </w:pPr>
      <w:bookmarkStart w:id="38" w:name="_Toc60841217"/>
      <w:r>
        <w:t xml:space="preserve">Trait-environment relationships could alter the spatial and temporal characteristics of aquatic insect subsidies at the </w:t>
      </w:r>
      <w:proofErr w:type="spellStart"/>
      <w:r>
        <w:t>macrospatial</w:t>
      </w:r>
      <w:proofErr w:type="spellEnd"/>
      <w:r>
        <w:t xml:space="preserve"> scale</w:t>
      </w:r>
      <w:bookmarkEnd w:id="38"/>
    </w:p>
    <w:p w14:paraId="53672B7E" w14:textId="56F253A2" w:rsidR="00725791" w:rsidRDefault="00725791" w:rsidP="00725791"/>
    <w:p w14:paraId="297F57F4" w14:textId="78A35BC3" w:rsidR="00725791" w:rsidRDefault="00725791" w:rsidP="00725791"/>
    <w:p w14:paraId="2E04408D" w14:textId="742D2CAC" w:rsidR="004A70A1" w:rsidRDefault="004A70A1" w:rsidP="00725791"/>
    <w:p w14:paraId="55633C05" w14:textId="77777777" w:rsidR="002507FE" w:rsidRDefault="002507FE" w:rsidP="002507FE">
      <w:pPr>
        <w:jc w:val="center"/>
        <w:rPr>
          <w:rFonts w:cs="Times New Roman"/>
          <w:szCs w:val="24"/>
        </w:rPr>
      </w:pPr>
      <w:r w:rsidRPr="008D4BF7">
        <w:rPr>
          <w:rFonts w:cs="Times New Roman"/>
          <w:szCs w:val="24"/>
        </w:rPr>
        <w:t>Published in 20</w:t>
      </w:r>
      <w:r>
        <w:rPr>
          <w:rFonts w:cs="Times New Roman"/>
          <w:szCs w:val="24"/>
        </w:rPr>
        <w:t>20</w:t>
      </w:r>
      <w:r w:rsidRPr="008D4BF7">
        <w:rPr>
          <w:rFonts w:cs="Times New Roman"/>
          <w:szCs w:val="24"/>
        </w:rPr>
        <w:t xml:space="preserve"> at </w:t>
      </w:r>
      <w:proofErr w:type="spellStart"/>
      <w:r w:rsidRPr="00725791">
        <w:rPr>
          <w:rFonts w:cs="Times New Roman"/>
          <w:i/>
          <w:iCs/>
          <w:szCs w:val="24"/>
        </w:rPr>
        <w:t>Ecography</w:t>
      </w:r>
      <w:proofErr w:type="spellEnd"/>
      <w:r>
        <w:rPr>
          <w:rFonts w:cs="Times New Roman"/>
          <w:szCs w:val="24"/>
        </w:rPr>
        <w:t>:</w:t>
      </w:r>
      <w:r w:rsidRPr="00725791">
        <w:rPr>
          <w:rFonts w:cs="Times New Roman"/>
          <w:szCs w:val="24"/>
        </w:rPr>
        <w:t xml:space="preserve"> </w:t>
      </w:r>
      <w:hyperlink r:id="rId17" w:tgtFrame="_blank" w:history="1">
        <w:r w:rsidRPr="00725791">
          <w:rPr>
            <w:rStyle w:val="Hyperlink"/>
            <w:rFonts w:cs="Times New Roman"/>
            <w:color w:val="auto"/>
            <w:szCs w:val="24"/>
            <w:u w:val="none"/>
            <w:shd w:val="clear" w:color="auto" w:fill="FFFFFF"/>
          </w:rPr>
          <w:t>https://doi.org/10.1111/ecog.05298</w:t>
        </w:r>
      </w:hyperlink>
    </w:p>
    <w:p w14:paraId="5B02674D" w14:textId="77777777" w:rsidR="002507FE" w:rsidRDefault="002507FE" w:rsidP="002507FE">
      <w:pPr>
        <w:jc w:val="center"/>
        <w:rPr>
          <w:rFonts w:cs="Times New Roman"/>
          <w:szCs w:val="24"/>
        </w:rPr>
      </w:pPr>
      <w:r w:rsidRPr="008D4BF7">
        <w:rPr>
          <w:rFonts w:cs="Times New Roman"/>
          <w:szCs w:val="24"/>
        </w:rPr>
        <w:t>Darin A. Kopp and Daniel C. Allen</w:t>
      </w:r>
    </w:p>
    <w:p w14:paraId="0641ECDD" w14:textId="77777777" w:rsidR="002507FE" w:rsidRDefault="002507FE" w:rsidP="002507FE">
      <w:pPr>
        <w:jc w:val="center"/>
        <w:rPr>
          <w:rFonts w:cs="Times New Roman"/>
          <w:szCs w:val="24"/>
        </w:rPr>
      </w:pPr>
    </w:p>
    <w:p w14:paraId="2A287F60" w14:textId="77777777" w:rsidR="002507FE" w:rsidRPr="008D4BF7" w:rsidRDefault="002507FE" w:rsidP="002507FE">
      <w:pPr>
        <w:jc w:val="center"/>
        <w:rPr>
          <w:rFonts w:cs="Times New Roman"/>
          <w:szCs w:val="24"/>
        </w:rPr>
      </w:pPr>
    </w:p>
    <w:p w14:paraId="6EAB5C57" w14:textId="77777777" w:rsidR="002507FE" w:rsidRPr="008D4BF7" w:rsidRDefault="002507FE" w:rsidP="002507FE">
      <w:pPr>
        <w:spacing w:line="480" w:lineRule="auto"/>
        <w:contextualSpacing/>
        <w:jc w:val="center"/>
        <w:rPr>
          <w:rFonts w:cs="Times New Roman"/>
          <w:szCs w:val="24"/>
        </w:rPr>
      </w:pPr>
    </w:p>
    <w:p w14:paraId="3F0266F9" w14:textId="77777777" w:rsidR="002507FE" w:rsidRPr="008D4BF7" w:rsidRDefault="002507FE" w:rsidP="002507FE">
      <w:pPr>
        <w:spacing w:line="480" w:lineRule="auto"/>
        <w:contextualSpacing/>
        <w:jc w:val="center"/>
        <w:rPr>
          <w:rFonts w:cs="Times New Roman"/>
          <w:szCs w:val="24"/>
        </w:rPr>
      </w:pPr>
      <w:r w:rsidRPr="008D4BF7">
        <w:rPr>
          <w:rFonts w:cs="Times New Roman"/>
          <w:szCs w:val="24"/>
        </w:rPr>
        <w:t>Ecology and Evolutionary Biology Program, Department of Biology, University of Oklahoma, Norman, Oklahoma 73071</w:t>
      </w:r>
    </w:p>
    <w:p w14:paraId="0417BF52" w14:textId="1E135195" w:rsidR="004A70A1" w:rsidRDefault="004A70A1" w:rsidP="00725791"/>
    <w:p w14:paraId="662D7BB9" w14:textId="79F043B1" w:rsidR="004A70A1" w:rsidRDefault="004A70A1" w:rsidP="00725791"/>
    <w:p w14:paraId="1161D530" w14:textId="713C5DE3" w:rsidR="004A70A1" w:rsidRDefault="004A70A1" w:rsidP="00725791"/>
    <w:p w14:paraId="33EACA4C" w14:textId="515F90C3" w:rsidR="004A70A1" w:rsidRDefault="004A70A1" w:rsidP="00725791"/>
    <w:p w14:paraId="5A4169CC" w14:textId="1A849299" w:rsidR="004A70A1" w:rsidRDefault="004A70A1" w:rsidP="00725791"/>
    <w:p w14:paraId="6AF8C91A" w14:textId="6547DC42" w:rsidR="004A70A1" w:rsidRDefault="004A70A1" w:rsidP="00725791"/>
    <w:p w14:paraId="10D9CCE3" w14:textId="4C75F691" w:rsidR="004A70A1" w:rsidRDefault="004A70A1" w:rsidP="00725791"/>
    <w:p w14:paraId="648100E6" w14:textId="440C6ACB" w:rsidR="004241E2" w:rsidRDefault="004241E2" w:rsidP="00725791"/>
    <w:p w14:paraId="2B69D586" w14:textId="16313F1D" w:rsidR="004241E2" w:rsidRDefault="004241E2" w:rsidP="00725791"/>
    <w:p w14:paraId="7A4EEF4F" w14:textId="413F973F" w:rsidR="004241E2" w:rsidRDefault="004241E2" w:rsidP="00725791"/>
    <w:p w14:paraId="3F9A14F1" w14:textId="77777777" w:rsidR="004241E2" w:rsidRDefault="004241E2" w:rsidP="00725791"/>
    <w:p w14:paraId="23C2C3CE" w14:textId="01DE7395" w:rsidR="004A70A1" w:rsidRDefault="004A70A1" w:rsidP="00725791"/>
    <w:p w14:paraId="4E04C204" w14:textId="77777777" w:rsidR="004A70A1" w:rsidRDefault="004A70A1" w:rsidP="00725791"/>
    <w:p w14:paraId="15386DB4" w14:textId="77777777" w:rsidR="00333AA3" w:rsidRPr="00006E3C" w:rsidRDefault="00333AA3" w:rsidP="00333AA3">
      <w:pPr>
        <w:rPr>
          <w:rFonts w:cs="Times New Roman"/>
          <w:szCs w:val="24"/>
        </w:rPr>
      </w:pPr>
    </w:p>
    <w:p w14:paraId="30D561F7" w14:textId="77777777" w:rsidR="00333AA3" w:rsidRDefault="00333AA3" w:rsidP="00FD42FE">
      <w:pPr>
        <w:pStyle w:val="Heading2"/>
        <w:spacing w:line="480" w:lineRule="auto"/>
        <w:contextualSpacing/>
      </w:pPr>
      <w:bookmarkStart w:id="39" w:name="_Toc60841218"/>
      <w:r w:rsidRPr="00EB4E71">
        <w:lastRenderedPageBreak/>
        <w:t>Abstract</w:t>
      </w:r>
      <w:bookmarkEnd w:id="39"/>
    </w:p>
    <w:p w14:paraId="051C16D4" w14:textId="59938E24" w:rsidR="00333AA3" w:rsidRDefault="00333AA3" w:rsidP="00FD42FE">
      <w:pPr>
        <w:spacing w:line="480" w:lineRule="auto"/>
        <w:ind w:firstLine="720"/>
        <w:contextualSpacing/>
        <w:rPr>
          <w:rFonts w:eastAsia="Times New Roman" w:cs="Times New Roman"/>
          <w:szCs w:val="24"/>
        </w:rPr>
      </w:pPr>
      <w:r>
        <w:rPr>
          <w:rFonts w:eastAsia="Times New Roman" w:cs="Times New Roman"/>
          <w:szCs w:val="24"/>
        </w:rPr>
        <w:t xml:space="preserve">Ecological flows across ecosystem boundaries are typically studied at spatial scales that limit our understanding of broad geographical patterns in ecosystem linkages. Aquatic insects that metamorphose into terrestrial adults are important resource subsidies for terrestrial ecosystems. Traits related to their development and dispersal should determine their availability to terrestrial consumers. Here, we synthesize geospatial, aquatic biomonitoring and biological traits data to quantify the relative importance of several environmental gradients on the potential spatial and temporal characteristics </w:t>
      </w:r>
      <w:r w:rsidRPr="003F3F38">
        <w:rPr>
          <w:rFonts w:eastAsia="Times New Roman" w:cs="Times New Roman"/>
          <w:szCs w:val="24"/>
        </w:rPr>
        <w:t xml:space="preserve">of </w:t>
      </w:r>
      <w:r>
        <w:rPr>
          <w:rFonts w:eastAsia="Times New Roman" w:cs="Times New Roman"/>
          <w:szCs w:val="24"/>
        </w:rPr>
        <w:t>aquatic insect subsidies across the contiguous United States</w:t>
      </w:r>
      <w:r w:rsidR="00FD42FE">
        <w:rPr>
          <w:rFonts w:eastAsia="Times New Roman" w:cs="Times New Roman"/>
          <w:szCs w:val="24"/>
        </w:rPr>
        <w:t xml:space="preserve"> (CONUS)</w:t>
      </w:r>
      <w:r>
        <w:rPr>
          <w:rFonts w:eastAsia="Times New Roman" w:cs="Times New Roman"/>
          <w:szCs w:val="24"/>
        </w:rPr>
        <w:t>. We found the trait composition of benthic macroinvertebrate communities varies among hydrologic regions and could affect how aquatic insects transport subsidies as adults</w:t>
      </w:r>
      <w:r w:rsidRPr="00DE70D6">
        <w:rPr>
          <w:rFonts w:eastAsia="Times New Roman" w:cs="Times New Roman"/>
          <w:szCs w:val="24"/>
        </w:rPr>
        <w:t>.</w:t>
      </w:r>
      <w:r>
        <w:rPr>
          <w:rFonts w:eastAsia="Times New Roman" w:cs="Times New Roman"/>
          <w:szCs w:val="24"/>
        </w:rPr>
        <w:t xml:space="preserve"> Further,</w:t>
      </w:r>
      <w:r w:rsidRPr="00DE70D6">
        <w:rPr>
          <w:rFonts w:eastAsia="Times New Roman" w:cs="Times New Roman"/>
          <w:szCs w:val="24"/>
        </w:rPr>
        <w:t xml:space="preserve"> </w:t>
      </w:r>
      <w:r>
        <w:rPr>
          <w:rFonts w:eastAsia="Times New Roman" w:cs="Times New Roman"/>
          <w:szCs w:val="24"/>
        </w:rPr>
        <w:t>s</w:t>
      </w:r>
      <w:r w:rsidRPr="00DE70D6">
        <w:rPr>
          <w:rFonts w:eastAsia="Times New Roman" w:cs="Times New Roman"/>
          <w:szCs w:val="24"/>
        </w:rPr>
        <w:t>everal trait-environment relationships were underpinned by hydrolog</w:t>
      </w:r>
      <w:r>
        <w:rPr>
          <w:rFonts w:eastAsia="Times New Roman" w:cs="Times New Roman"/>
          <w:szCs w:val="24"/>
        </w:rPr>
        <w:t>y</w:t>
      </w:r>
      <w:r w:rsidRPr="00DE70D6">
        <w:rPr>
          <w:rFonts w:eastAsia="Times New Roman" w:cs="Times New Roman"/>
          <w:szCs w:val="24"/>
        </w:rPr>
        <w:t>. Large</w:t>
      </w:r>
      <w:r w:rsidR="00FD42FE">
        <w:rPr>
          <w:rFonts w:eastAsia="Times New Roman" w:cs="Times New Roman"/>
          <w:szCs w:val="24"/>
        </w:rPr>
        <w:t>-</w:t>
      </w:r>
      <w:r w:rsidRPr="00DE70D6">
        <w:rPr>
          <w:rFonts w:eastAsia="Times New Roman" w:cs="Times New Roman"/>
          <w:szCs w:val="24"/>
        </w:rPr>
        <w:t xml:space="preserve">bodied taxa that could disperse further from the stream were associated with hydrologically stable conditions. Alternatively, hydrologically variable conditions were associated with </w:t>
      </w:r>
      <w:proofErr w:type="spellStart"/>
      <w:r w:rsidRPr="00DE70D6">
        <w:rPr>
          <w:rFonts w:eastAsia="Times New Roman" w:cs="Times New Roman"/>
          <w:szCs w:val="24"/>
        </w:rPr>
        <w:t>multivoltine</w:t>
      </w:r>
      <w:proofErr w:type="spellEnd"/>
      <w:r w:rsidRPr="00DE70D6">
        <w:rPr>
          <w:rFonts w:eastAsia="Times New Roman" w:cs="Times New Roman"/>
          <w:szCs w:val="24"/>
        </w:rPr>
        <w:t xml:space="preserve"> taxa that could extend the duration of subsidies with periodic emergence events </w:t>
      </w:r>
      <w:r>
        <w:rPr>
          <w:rFonts w:eastAsia="Times New Roman" w:cs="Times New Roman"/>
          <w:szCs w:val="24"/>
        </w:rPr>
        <w:t xml:space="preserve">throughout </w:t>
      </w:r>
      <w:r w:rsidRPr="00DE70D6">
        <w:rPr>
          <w:rFonts w:eastAsia="Times New Roman" w:cs="Times New Roman"/>
          <w:szCs w:val="24"/>
        </w:rPr>
        <w:t xml:space="preserve">the year. </w:t>
      </w:r>
      <w:r w:rsidRPr="00DE70D6">
        <w:rPr>
          <w:rFonts w:cs="Times New Roman"/>
          <w:szCs w:val="24"/>
        </w:rPr>
        <w:t>We also found that anthropogenic impacts</w:t>
      </w:r>
      <w:r w:rsidRPr="00DE70D6">
        <w:rPr>
          <w:rFonts w:eastAsia="Times New Roman" w:cs="Times New Roman"/>
          <w:szCs w:val="24"/>
        </w:rPr>
        <w:t xml:space="preserve"> decrease the frequency of individuals with adult flight but potentially extend the distance subsidies travel into the terrestrial ecosystem. Co</w:t>
      </w:r>
      <w:r>
        <w:rPr>
          <w:rFonts w:eastAsia="Times New Roman" w:cs="Times New Roman"/>
          <w:szCs w:val="24"/>
        </w:rPr>
        <w:t xml:space="preserve">llectively, these results suggest that natural and anthropogenic gradients could affect aquatic insect subsidies by changing the trait composition of benthic macroinvertebrate communities. </w:t>
      </w:r>
      <w:r>
        <w:rPr>
          <w:rFonts w:cs="Times New Roman"/>
          <w:szCs w:val="24"/>
        </w:rPr>
        <w:t xml:space="preserve">The conceptual framework and trait-environment relationships we present </w:t>
      </w:r>
      <w:r>
        <w:rPr>
          <w:rFonts w:eastAsia="Times New Roman" w:cs="Times New Roman"/>
          <w:szCs w:val="24"/>
        </w:rPr>
        <w:t xml:space="preserve">shows promise for understanding broad geographical patterns in linkages between </w:t>
      </w:r>
      <w:r w:rsidRPr="00581B4D">
        <w:rPr>
          <w:rFonts w:eastAsia="Times New Roman" w:cs="Times New Roman"/>
          <w:szCs w:val="24"/>
        </w:rPr>
        <w:t>ecosystem</w:t>
      </w:r>
      <w:r>
        <w:rPr>
          <w:rFonts w:eastAsia="Times New Roman" w:cs="Times New Roman"/>
          <w:szCs w:val="24"/>
        </w:rPr>
        <w:t xml:space="preserve">s. </w:t>
      </w:r>
    </w:p>
    <w:p w14:paraId="21A46B2E" w14:textId="77777777" w:rsidR="00333AA3" w:rsidRDefault="00333AA3" w:rsidP="00333AA3">
      <w:pPr>
        <w:spacing w:line="480" w:lineRule="auto"/>
        <w:contextualSpacing/>
        <w:rPr>
          <w:rFonts w:eastAsia="Times New Roman" w:cs="Times New Roman"/>
          <w:b/>
          <w:szCs w:val="24"/>
        </w:rPr>
      </w:pPr>
    </w:p>
    <w:p w14:paraId="3BB084F9" w14:textId="77777777" w:rsidR="00333AA3" w:rsidRDefault="00333AA3" w:rsidP="00333AA3">
      <w:pPr>
        <w:spacing w:line="480" w:lineRule="auto"/>
        <w:contextualSpacing/>
        <w:rPr>
          <w:rFonts w:eastAsia="Times New Roman" w:cs="Times New Roman"/>
          <w:szCs w:val="24"/>
        </w:rPr>
      </w:pPr>
      <w:r w:rsidRPr="00B47278">
        <w:rPr>
          <w:rFonts w:eastAsia="Times New Roman" w:cs="Times New Roman"/>
          <w:b/>
          <w:szCs w:val="24"/>
        </w:rPr>
        <w:lastRenderedPageBreak/>
        <w:t>Keywords</w:t>
      </w:r>
      <w:r>
        <w:rPr>
          <w:rFonts w:eastAsia="Times New Roman" w:cs="Times New Roman"/>
          <w:szCs w:val="24"/>
        </w:rPr>
        <w:t xml:space="preserve">: resource subsidies, aquatic insects, trait-environment relationships, </w:t>
      </w:r>
      <w:proofErr w:type="spellStart"/>
      <w:r>
        <w:rPr>
          <w:rFonts w:cs="Times New Roman"/>
          <w:szCs w:val="24"/>
        </w:rPr>
        <w:t>Ephemeroptera</w:t>
      </w:r>
      <w:proofErr w:type="spellEnd"/>
      <w:r>
        <w:rPr>
          <w:rFonts w:cs="Times New Roman"/>
          <w:szCs w:val="24"/>
        </w:rPr>
        <w:t xml:space="preserve">, </w:t>
      </w:r>
      <w:proofErr w:type="spellStart"/>
      <w:r>
        <w:rPr>
          <w:rFonts w:cs="Times New Roman"/>
          <w:szCs w:val="24"/>
        </w:rPr>
        <w:t>Plecoptera</w:t>
      </w:r>
      <w:proofErr w:type="spellEnd"/>
      <w:r>
        <w:rPr>
          <w:rFonts w:cs="Times New Roman"/>
          <w:szCs w:val="24"/>
        </w:rPr>
        <w:t xml:space="preserve">, </w:t>
      </w:r>
      <w:proofErr w:type="spellStart"/>
      <w:r>
        <w:rPr>
          <w:rFonts w:cs="Times New Roman"/>
          <w:szCs w:val="24"/>
        </w:rPr>
        <w:t>Trichoptera</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 xml:space="preserve">, </w:t>
      </w:r>
      <w:proofErr w:type="spellStart"/>
      <w:r>
        <w:rPr>
          <w:rFonts w:cs="Times New Roman"/>
          <w:szCs w:val="24"/>
        </w:rPr>
        <w:t>Odonata</w:t>
      </w:r>
      <w:proofErr w:type="spellEnd"/>
      <w:r>
        <w:rPr>
          <w:rFonts w:cs="Times New Roman"/>
          <w:szCs w:val="24"/>
        </w:rPr>
        <w:t xml:space="preserve">, National Rivers and Streams Assessment, streams, </w:t>
      </w:r>
      <w:proofErr w:type="spellStart"/>
      <w:r>
        <w:rPr>
          <w:rFonts w:cs="Times New Roman"/>
          <w:szCs w:val="24"/>
        </w:rPr>
        <w:t>bioassessment</w:t>
      </w:r>
      <w:proofErr w:type="spellEnd"/>
      <w:r>
        <w:rPr>
          <w:rFonts w:cs="Times New Roman"/>
          <w:szCs w:val="24"/>
        </w:rPr>
        <w:t xml:space="preserve">, Stream Signature </w:t>
      </w:r>
      <w:r>
        <w:rPr>
          <w:rFonts w:eastAsia="Times New Roman" w:cs="Times New Roman"/>
          <w:szCs w:val="24"/>
        </w:rPr>
        <w:t xml:space="preserve"> </w:t>
      </w:r>
    </w:p>
    <w:p w14:paraId="7DEA264F" w14:textId="77777777" w:rsidR="00333AA3" w:rsidRDefault="00333AA3" w:rsidP="00725791">
      <w:pPr>
        <w:spacing w:line="480" w:lineRule="auto"/>
        <w:contextualSpacing/>
        <w:rPr>
          <w:rFonts w:cs="Times New Roman"/>
          <w:b/>
          <w:szCs w:val="24"/>
        </w:rPr>
      </w:pPr>
    </w:p>
    <w:p w14:paraId="1ACCAD72" w14:textId="77777777" w:rsidR="00333AA3" w:rsidRPr="002E4A53" w:rsidRDefault="00333AA3" w:rsidP="00725791">
      <w:pPr>
        <w:pStyle w:val="Heading2"/>
        <w:spacing w:line="480" w:lineRule="auto"/>
        <w:contextualSpacing/>
      </w:pPr>
      <w:bookmarkStart w:id="40" w:name="_Toc60841219"/>
      <w:r w:rsidRPr="002E4A53">
        <w:t>Introduction</w:t>
      </w:r>
      <w:bookmarkEnd w:id="40"/>
      <w:r w:rsidRPr="002E4A53">
        <w:t xml:space="preserve">  </w:t>
      </w:r>
    </w:p>
    <w:p w14:paraId="3926B4EC" w14:textId="72419078" w:rsidR="00333AA3" w:rsidRDefault="00333AA3" w:rsidP="00725791">
      <w:pPr>
        <w:spacing w:line="480" w:lineRule="auto"/>
        <w:ind w:firstLine="720"/>
        <w:contextualSpacing/>
        <w:rPr>
          <w:rFonts w:eastAsia="Times New Roman" w:cs="Times New Roman"/>
          <w:szCs w:val="24"/>
        </w:rPr>
      </w:pPr>
      <w:r>
        <w:rPr>
          <w:rFonts w:eastAsia="Times New Roman" w:cs="Times New Roman"/>
          <w:szCs w:val="24"/>
        </w:rPr>
        <w:t xml:space="preserve">Material and energy fluxes across ecosystem boundaries, termed “resource subsidies”, couple adjacent ecosystems </w:t>
      </w:r>
      <w:r>
        <w:rPr>
          <w:rFonts w:eastAsia="Times New Roman" w:cs="Times New Roman"/>
          <w:szCs w:val="24"/>
        </w:rPr>
        <w:fldChar w:fldCharType="begin" w:fldLock="1"/>
      </w:r>
      <w:r w:rsidR="00306019">
        <w:rPr>
          <w:rFonts w:eastAsia="Times New Roman" w:cs="Times New Roman"/>
          <w:szCs w:val="24"/>
        </w:rPr>
        <w:instrText>ADDIN CSL_CITATION {"citationItems":[{"id":"ITEM-1","itemData":{"author":[{"dropping-particle":"","family":"Holt","given":"Robert D.","non-dropping-particle":"","parse-names":false,"suffix":""}],"container-title":"Foodwebs at the Landscape Level","id":"ITEM-1","issued":{"date-parts":[["2004"]]},"page":"96-114","title":"Implications of System Openness for Local Community Structure and Ecosystem Function","type":"chapter"},"uris":["http://www.mendeley.com/documents/?uuid=b71f7031-a941-4c8b-aad9-a39ed87750f2"]},{"id":"ITEM-2","itemData":{"DOI":"10.1046/j.1461-0248.2003.00483.x","ISSN":"1461-023X","author":[{"dropping-particle":"","family":"Loreau","given":"Michel","non-dropping-particle":"","parse-names":false,"suffix":""},{"dropping-particle":"","family":"Mouquet","given":"Nicolas","non-dropping-particle":"","parse-names":false,"suffix":""},{"dropping-particle":"","family":"Holt","given":"Robert D.","non-dropping-particle":"","parse-names":false,"suffix":""}],"container-title":"Ecology Letters","id":"ITEM-2","issue":"8","issued":{"date-parts":[["2003","8"]]},"page":"673-679","title":"Meta-ecosystems: a theoretical framework for a spatial ecosystem ecology","type":"article-journal","volume":"6"},"uris":["http://www.mendeley.com/documents/?uuid=d40acc60-0beb-4a28-a0d6-470e5da099b4"]},{"id":"ITEM-3","itemData":{"DOI":"10.1146/annurev.ecolsys.28.1.289","ISBN":"0066-4162","ISSN":"0066-4162","PMID":"4606","abstract":"We focus on the implications of movement, landscape variables, and spatial heterogeneity for food web dynamics. Movements of nutrients, detritus, prey, and consumers among habitats are ubiquitous in diverse biomes and can strongly influence population, consumer-resource, food web, and community dynamics. Nutrient and detrital subsidies usually increase primary and secondary productivity, both directly and indirectly. Prey subsidies, by movement of either prey or predators, usually enhance predator abundance beyond what local resources can support. Top-down effects occur when spatially subsidized consumers affect local resources by suppressing key resources and occasionally by initiating trophic cascades. Effects on community dynamics vary with the relative amount of input, the trophic roles of the mobile and recipient entities, and the local food web structure. Landscape variables such as the perimeter/area ratio of the focal habitat, permeability of habitat boundaries, and relative productivity of trophically connected habitats affect the degree and importance of spatial subsidization.","author":[{"dropping-particle":"","family":"Polis","given":"Gary A.","non-dropping-particle":"","parse-names":false,"suffix":""},{"dropping-particle":"","family":"Anderson","given":"Wendy B.","non-dropping-particle":"","parse-names":false,"suffix":""},{"dropping-particle":"","family":"Holt","given":"Robert D.","non-dropping-particle":"","parse-names":false,"suffix":""}],"container-title":"Annual Review of Ecology and Systematics","id":"ITEM-3","issue":"1","issued":{"date-parts":[["1997"]]},"note":"1. Introduction\n2. Landscape Considerations\n3. Flow and matial subsidies: direct effects \n3A. Movement of nutrients and detritus \n3aa. water to water\n3ab. land to water\n3ac. water to land\n3ad. land to land \n3B. Movement of Prey\n3ba. water to water\n3bb. land to water\n3bc. water to land\n3bd. land to land \n3C. Movement of Consumers\n3ca. water to water\n3cb. between land and water\n3bc. land to land\n4. Flow and spatial subsidies: indirect effects on trophic dynamics \n4A. Donor control\n4B. Movement of Nutrients\n4C. Movement of Detritus\n4D. Movement of Prey\n4E. Movement of Consumers\n5. Case Study: Isalnds and the ocean-land interface\n6. Direct and indirect efffects of saptial subsidies: theory \n6A. Prey Flow, Specialist Predator \n6B. Flow of Alternative Prey, Generalist Predator \n6C. Predator Flow, Resident Prey \n6D. Landscape Variables Influencing Immigration and Input Rates \n7. Overview","page":"289-316","title":"Toward an integration of landscape and food web ecology: the dynamics of spatially subsidized food webs","type":"article-journal","volume":"28"},"uris":["http://www.mendeley.com/documents/?uuid=f3f09f25-5139-450d-b5ea-5cd1938f60b3"]}],"mendeley":{"formattedCitation":"(Polis et al. 1997, Loreau et al. 2003, Holt 2004)","plainTextFormattedCitation":"(Polis et al. 1997, Loreau et al. 2003, Holt 2004)","previouslyFormattedCitation":"(Polis et al. 1997, Loreau et al. 2003, Holt 2004)"},"properties":{"noteIndex":0},"schema":"https://github.com/citation-style-language/schema/raw/master/csl-citation.json"}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(Polis et al. 1997, Loreau et al. 2003, Holt 2004)</w:t>
      </w:r>
      <w:r>
        <w:rPr>
          <w:rFonts w:eastAsia="Times New Roman" w:cs="Times New Roman"/>
          <w:szCs w:val="24"/>
        </w:rPr>
        <w:fldChar w:fldCharType="end"/>
      </w:r>
      <w:r>
        <w:rPr>
          <w:rFonts w:eastAsia="Times New Roman" w:cs="Times New Roman"/>
          <w:szCs w:val="24"/>
        </w:rPr>
        <w:t xml:space="preserve">. Resource subsidies are globally common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{"citationItems":[{"id":"ITEM-1","itemData":{"DOI":"10.1146/annurev.ecolsys.28.1.289","ISBN":"0066-4162","ISSN":"0066-4162","PMID":"4606","abstract":"We focus on the implications of movement, landscape variables, and spatial heterogeneity for food web dynamics. Movements of nutrients, detritus, prey, and consumers among habitats are ubiquitous in diverse biomes and can strongly influence population, consumer-resource, food web, and community dynamics. Nutrient and detrital subsidies usually increase primary and secondary productivity, both directly and indirectly. Prey subsidies, by movement of either prey or predators, usually enhance predator abundance beyond what local resources can support. Top-down effects occur when spatially subsidized consumers affect local resources by suppressing key resources and occasionally by initiating trophic cascades. Effects on community dynamics vary with the relative amount of input, the trophic roles of the mobile and recipient entities, and the local food web structure. Landscape variables such as the perimeter/area ratio of the focal habitat, permeability of habitat boundaries, and relative productivity of trophically connected habitats affect the degree and importance of spatial subsidization.","author":[{"dropping-particle":"","family":"Polis","given":"Gary A.","non-dropping-particle":"","parse-names":false,"suffix":""},{"dropping-particle":"","family":"Anderson","given":"Wendy B.","non-dropping-particle":"","parse-names":false,"suffix":""},{"dropping-particle":"","family":"Holt","given":"Robert D.","non-dropping-particle":"","parse-names":false,"suffix":""}],"container-title":"Annual Review of Ecology and Systematics","id":"ITEM-1","issue":"1","issued":{"date-parts":[["1997"]]},"note":"1. Introduction\n2. Landscape Considerations\n3. Flow and matial subsidies: direct effects \n3A. Movement of nutrients and detritus \n3aa. water to water\n3ab. land to water\n3ac. water to land\n3ad. land to land \n3B. Movement of Prey\n3ba. water to water\n3bb. land to water\n3bc. water to land\n3bd. land to land \n3C. Movement of Consumers\n3ca. water to water\n3cb. between land and water\n3bc. land to land\n4. Flow and spatial subsidies: indirect effects on trophic dynamics \n4A. Donor control\n4B. Movement of Nutrients\n4C. Movement of Detritus\n4D. Movement of Prey\n4E. Movement of Consumers\n5. Case Study: Isalnds and the ocean-land interface\n6. Direct and indirect efffects of saptial subsidies: theory \n6A. Prey Flow, Specialist Predator \n6B. Flow of Alternative Prey, Generalist Predator \n6C. Predator Flow, Resident Prey \n6D. Landscape Variables Influencing Immigration and Input Rates \n7. Overview","page":"289-316","title":"Toward an integration of landscape and food web ecology: the dynamics of spatially subsidized food webs","type":"article-journal","volume":"28"},"uris":["http://www.mendeley.com/documents/?uuid=f3f09f25-5139-450d-b5ea-5cd1938f60b3"]},{"id":"ITEM-2","itemData":{"DOI":"10.1890/07-1861.1","ISBN":"0012-9658","ISSN":"00129658","PMID":"7189","abstract":"Synthesis: comparing effects of resource and consumer fluxes into recipient food webs using meta- analysis","author":[{"dropping-particle":"","family":"Allen","given":"Daniel C.","non-dropping-particle":"","parse-names":false,"suffix":""},{"dropping-particle":"","family":"Wesner","given":"Jeff","non-dropping-particle":"","parse-names":false,"suffix":""}],"container-title":"Ecology","id":"ITEM-2","issue":"3","issued":{"date-parts":[["2016"]]},"page":"594-604","title":"Synthesis: comparing effects of resource and consumer fluxes into recipient food webs using meta-analysis","type":"article-journal","volume":"97"},"uris":["http://www.mendeley.com/documents/?uuid=e2ab06ba-dc78-4187-be1e-20752122502a"]},{"id":"ITEM-3","itemData":{"DOI":"10.1038/s41467-018-07238-2","ISSN":"2041-1723","author":[{"dropping-particle":"","family":"Gounand","given":"Isabelle","non-dropping-particle":"","parse-names":false,"suffix":""},{"dropping-particle":"","family":"Little","given":"Chelsea J.","non-dropping-particle":"","parse-names":false,"suffix":""},{"dropping-particle":"","family":"Harvey","given":"Eric","non-dropping-particle":"","parse-names":false,"suffix":""},{"dropping-particle":"","family":"Altermatt","given":"Florian","non-dropping-particle":"","parse-names":false,"suffix":""}],"container-title":"Nature Communications","id":"ITEM-3","issued":{"date-parts":[["2018"]]},"page":"4825","publisher":"Springer US","title":"Cross-ecosystem carbon flows connecting ecosystems worldwide","type":"article-journal","volume":"9"},"uris":["http://www.mendeley.com/documents/?uuid=1366fa3b-8264-4ebe-aad0-b7cca298ac3d"]}],"mendeley":{"formattedCitation":"(Polis et al. 1997, Allen and Wesner 2016, Gounand et al. 2018)","plainTextFormattedCitation":"(Polis et al. 1997, Allen and Wesner 2016, Gounand et al. 2018)","previouslyFormattedCitation":"(Polis et al. 1997, Allen and Wesner 2016, Gounand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(Polis et al. 1997, Allen and Wesner 2016, Gounand et al. 2018)</w:t>
      </w:r>
      <w:r>
        <w:rPr>
          <w:rFonts w:eastAsia="Times New Roman" w:cs="Times New Roman"/>
          <w:szCs w:val="24"/>
        </w:rPr>
        <w:fldChar w:fldCharType="end"/>
      </w:r>
      <w:r>
        <w:rPr>
          <w:rFonts w:eastAsia="Times New Roman" w:cs="Times New Roman"/>
          <w:szCs w:val="24"/>
        </w:rPr>
        <w:t xml:space="preserve"> and play critical roles in controlling food webs and ecosystem production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{"citationItems":[{"id":"ITEM-1","itemData":{"DOI":"10.1002/2015GL063040","ISSN":"19448007","abstract":"The productivity of the Amazon rainforest is constrained by the availability of nutrients, in particular phosphorus (P). Deposition of long-range transported African dust is recognized as a potentially important but poorly quantified source of phosphorus. This study provides a first multiyear satellite-based estimate of dust deposition into the Amazon Basin using three-dimensional (3-D) aerosol measurements over 2007-2013 from the Cloud-Aerosol Lidar with Orthogonal Polarization (CALIOP). The 7year average of dust deposition into the Amazon Basin is estimated to be 28 (8-48)Tga-1 or 29 (8-50)kgha-1a-1. The dust deposition shows significant interannual variation that is negatively correlated with the prior-year rainfall in the Sahel. The CALIOP-based multiyear mean estimate of dust deposition matches better with estimates from in situ measurements and model simulations than a previous satellite-based estimate does. The closer agreement benefits from a more realistic geographic definition of the Amazon Basin and inclusion of meridional dust transport calculation in addition to the 3-D nature of CALIOP aerosol measurements. The imported dust could provide about 0.022(0.006-0.037)TgP of phosphorus per year, equivalent to 23 (7-39)gPha-1a-1 to fertilize the Amazon rainforest. This out-of-basin phosphorus input is comparable to the hydrological loss of phosphorus from the basin, suggesting an important role of African dust in preventing phosphorus depletion on timescales of decades to centuries. Key Points About 28 Tg of Saharan dust is deposited into the Amazon yearly African dust plays an important role in preventing phosphorus depletion Ambiguity and inconsistency in model-observation comparison is clarified","author":[{"dropping-particle":"","family":"Yu","given":"Hongbin","non-dropping-particle":"","parse-names":false,"suffix":""},{"dropping-particle":"","family":"Chin","given":"Mian","non-dropping-particle":"","parse-names":false,"suffix":""},{"dropping-particle":"","family":"Yuan","given":"Tianle","non-dropping-particle":"","parse-names":false,"suffix":""},{"dropping-particle":"","family":"Bian","given":"Huisheng","non-dropping-particle":"","parse-names":false,"suffix":""},{"dropping-particle":"","family":"Remer","given":"Lorraine A.","non-dropping-particle":"","parse-names":false,"suffix":""},{"dropping-particle":"","family":"Prospero","given":"Joseph M.","non-dropping-particle":"","parse-names":false,"suffix":""},{"dropping-particle":"","family":"Omar","given":"Ali","non-dropping-particle":"","parse-names":false,"suffix":""},{"dropping-particle":"","family":"Winker","given":"David","non-dropping-particle":"","parse-names":false,"suffix":""},{"dropping-particle":"","family":"Yang","given":"Yuekui","non-dropping-particle":"","parse-names":false,"suffix":""},{"dropping-particle":"","family":"Zhang","given":"Yan","non-dropping-particle":"","parse-names":false,"suffix":""},{"dropping-particle":"","family":"Zhang","given":"Zhibo","non-dropping-particle":"","parse-names":false,"suffix":""},{"dropping-particle":"","family":"Zhao","given":"Chun","non-dropping-particle":"","parse-names":false,"suffix":""}],"container-title":"Geophysical Research Letters","id":"ITEM-1","issue":"6","issued":{"date-parts":[["2015"]]},"page":"1984-1991","title":"The fertilizing role of African dust in the Amazon rainforest: A first multiyear assessment based on data from Cloud-Aerosol Lidar and Infrared Pathfinder Satellite Observations","type":"article-journal","volume":"42"},"uris":["http://www.mendeley.com/documents/?uuid=c79f4ddb-0de3-4ff1-9ec1-5b3d2e57495f"]},{"id":"ITEM-2","itemData":{"DOI":"10.1002/ecy.1977","ISBN":"0000000154871","ISSN":"00129658","PMID":"27935037","abstract":"© 2017 by the Ecological Society of America Allochthonous resource movement across ecosystem boundaries creates episodic linkages between ecosystems. The sensitivity of the community to external resources of varying duration can alter the baseline upon which future pulses of allochthony can act. We explored the terrestrial ecosystem response to pulsed inputs of lake-derived resources with a manipulative experiment in a subarctic heathland where we assessed plant community and nutrient availability responses to additions of midge carcasses (Diptera: Chironomidae). Insect carcasses were added as either a one-time pulse or a 4-yr press to simulate differing durations of allochthony, which is common in the area. We found that midge pulses significantly elevated soil inorganic [N] in the first year (7× over background levels) but were significantly diminished (1.5×) by the second year after the initial pulse. The press treatment continued to elevate total soil inorganic [N]  to 13× over background levels by the fourth year of midge additions, but then declined to 3.6× background in year 5 when experimental midge additions had ceased. In contrast to the soil inorganic N response, plant biomass was similar in pulse-addition and control plots over the course of the experiment. However, by the second year of the study plant biomass in press-addition plots were significantly higher than controls ( &gt; 50%), and continued to increase over the 4 yr of the press treatment. Midge addition stimulated dominance of graminoids and thatch litter in plots that had previously been primarily heathland vegetation, a response that persisted 4 yr post-midge addition. Our findings suggest that soil and plant community responses to persistent insect carcass deposition (e.g., press) into heathland vegetation has the potential to carry forward in a way that modifies the baseline ecosystem conditions upon which additional allochthony may act.","author":[{"dropping-particle":"","family":"Gratton","given":"Claudio","non-dropping-particle":"","parse-names":false,"suffix":""},{"dropping-particle":"","family":"Hoekman","given":"David","non-dropping-particle":"","parse-names":false,"suffix":""},{"dropping-particle":"","family":"Dreyer","given":"Jamin","non-dropping-particle":"","parse-names":false,"suffix":""},{"dropping-particle":"","family":"Jackson","given":"Randall D.","non-dropping-particle":"","parse-names":false,"suffix":""}],"container-title":"Ecology","id":"ITEM-2","issue":"11","issued":{"date-parts":[["2017"]]},"page":"2860-2872","title":"Increased duration of aquatic resource pulse alters community and ecosystem responses in a subarctic plant community","type":"article-journal","volume":"98"},"uris":["http://www.mendeley.com/documents/?uuid=17a9c4a9-f644-41da-b011-8a9a5f123b78"]},{"id":"ITEM-3","itemData":{"DOI":"10.1111/j.1461-0248.2008.01235.x","ISBN":"1461-0248","ISSN":"1461023X","PMID":"18713270","abstract":"Ecosystems are differentially open to subsidies of energy, material and organisms. This fundamental ecosystem attribute has long been recognized but the influence of this property on community regulation has not been investigated. We propose that this environmental attribute may explain variation in the strength of trophic cascades among ecosystems. Simply because of gravity, we should predict that systems with convex profiles receive low amounts of subsidies whereas systems with concave profiles act as spatial attractors, and receive high amounts of subsidies. The subsidy hypothesis states that ecosystems with high amounts of allochthonous inputs will experience the strongest trophic cascades. To test this hypothesis, we derive ecosystem models and investigate the effect of location and magnitude of subsidies on the strength of trophic cascades. Predictions from our models support the subsidy hypothesis and highlight the need to consider ecosystems as open to allochthonous flows.","author":[{"dropping-particle":"","family":"Leroux","given":"Shawn J.","non-dropping-particle":"","parse-names":false,"suffix":""},{"dropping-particle":"","family":"Loreau","given":"Michel","non-dropping-particle":"","parse-names":false,"suffix":""}],"container-title":"Ecology Letters","id":"ITEM-3","issue":"11","issued":{"date-parts":[["2008"]]},"note":"Subsidies may provide an expaination of increased trophic cascades in aquatic systems relative to terrestrial","page":"1147-1156","title":"Subsidy hypothesis and strength of trophic cascades across ecosystems","type":"article-journal","volume":"11"},"uris":["http://www.mendeley.com/documents/?uuid=e6e0e495-949a-46cd-b923-59473743a8bf"]}],"mendeley":{"formattedCitation":"(Leroux and Loreau 2008, Yu et al. 2015, Gratton et al. 2017)","plainTextFormattedCitation":"(Leroux and Loreau 2008, Yu et al. 2015, Gratton et al. 2017)","previouslyFormattedCitation":"(Leroux and Loreau 2008, Yu et al. 2015, Gratton et al. 2017)"},"properties":{"noteIndex":0},"schema":"https://github.com/citation-style-language/schema/raw/master/csl-citation.json"}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(Leroux and Loreau 2008, Yu et al. 2015, Gratton et al. 2017)</w:t>
      </w:r>
      <w:r>
        <w:rPr>
          <w:rFonts w:eastAsia="Times New Roman" w:cs="Times New Roman"/>
          <w:szCs w:val="24"/>
        </w:rPr>
        <w:fldChar w:fldCharType="end"/>
      </w:r>
      <w:r>
        <w:rPr>
          <w:rFonts w:eastAsia="Times New Roman" w:cs="Times New Roman"/>
          <w:szCs w:val="24"/>
        </w:rPr>
        <w:t xml:space="preserve">. The effect of resource subsidies is typically studied at local scales, which limits our understanding of large scale geographical variation in ecosystem linkages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{"citationItems":[{"id":"ITEM-1","itemData":{"DOI":"10.1002/ecs2.2697","ISSN":"21508925","abstract":"Cross‐boundary fluxes of organisms and matter, termed \"subsidies,\" are now recognized to be reciprocal and of roughly equal importance for both aquatic and terrestrial systems, even if terrestrial input to aquatic ecosystems has received most attention. The magnitude of aquatic‐to‐terrestrial subsidies is well documented, but the drivers behind these subsidies and their utilization by terrestrial consumers are characteristically local‐scale studies, limiting the inferences that can be drawn for broader geographic scales. We therefore built and analyzed a database of stable isotope data extracted from 21 studies worldwide, to identify both landscape‐scale (catchment) and local‐scale (100‐m riparian zone) variables that may affect the diet of terrestrial predators in riparian ecosystems. Our meta‐analysis revealed a greater magnitude of aquatic‐to‐terrestrial subsidies (&amp;gt;50%) than previously reported, albeit with large geographic and inter‐annual variations. Moreover, we demonstrated a large effect of landscape‐scale factors on aquatic‐to‐terrestrial subsidies, particularly anthropogenic land use and tree cover. Local human population was the only relevant factor at the local scale. We also found that studies on landscape‐scale and anthropogenic land use effects on aquatic‐to‐terrestrial subsidies are strongly under‐represented in the ecological literature, which limits the general inferences that can currently be drawn about landscape effects. We suggest that landscape‐scale studies could improve our understanding of how land use and environmental change might influence future patterns of biodiversity and ecosystem function.","author":[{"dropping-particle":"","family":"Lafage","given":"D.","non-dropping-particle":"","parse-names":false,"suffix":""},{"dropping-particle":"","family":"Bergman","given":"E.","non-dropping-particle":"","parse-names":false,"suffix":""},{"dropping-particle":"","family":"Eckstein","given":"R. L.","non-dropping-particle":"","parse-names":false,"suffix":""},{"dropping-particle":"","family":"Österling","given":"E. M.","non-dropping-particle":"","parse-names":false,"suffix":""},{"dropping-particle":"","family":"Sadler","given":"J. P.","non-dropping-particle":"","parse-names":false,"suffix":""},{"dropping-particle":"","family":"Piccolo","given":"J. J.","non-dropping-particle":"","parse-names":false,"suffix":""}],"container-title":"Ecosphere","id":"ITEM-1","issue":"4","issued":{"date-parts":[["2019"]]},"page":"e02697","title":"Local and landscape drivers of aquatic-to-terrestrial subsidies in riparian ecosystems: a worldwide meta-analysis","type":"article-journal","volume":"10"},"uris":["http://www.mendeley.com/documents/?uuid=1837073f-118f-45da-901a-c392a6983ab2"]},{"id":"ITEM-2","itemData":{"DOI":"10.1111/brv.12465","ISSN":"1469185X","abstract":"The transport of resource subsidies by animals has been documented across a range of species and ecosystems. Although many of these studies have shown that animal resource subsidies can have significant effects on nutrient cycling, ecosystem productivity, and food-web structure, there is a great deal of variability in the occurrence and strength ofthese effects. Here we propose a conceptual framework for understanding the context dependency ofanimal resource subsidies, and for developing and testing predictions about the effects ofanimal subsidies over space and time. We propose a general framework, in which abiotic characteristics and animal vector characteristics from the donor ecosystem interact to determine the quantity, quality, timing, and duration (QQTD) of an animal input. The animal input is translated through the lens of recipient ecosystem characteristics, which include both abiotic and consumer characteristics, to yield the QQTD of the subsidy. The translated subsidy influences recipient ecosystem dynamics through effects on both trophic structure and ecosystem function, which may both influence the recipient ecosystem’s response to further inputs and feed back to influence the donor ecosystem. We present a review of research on animal resource subsidies across ecosystem boundaries, placed within the context of this framework, and we discuss how the QQTD ofresource subsidies can influence trophic structure and ecosystem function in recipient ecosystems.We explore the importance ofunderstanding context dependency ofanimal resource subsidies in increasingly altered ecosystems, in which the characteristics of both animal vectors and donor and recipient ecosystems may be changing rapidly. Finally, we make recommendations for future research on animal resource subsidies, and resource subsidies in general, that will increase our understanding and predictive capacity about their ecosystem effects.","author":[{"dropping-particle":"","family":"Subalusky","given":"Amanda L.","non-dropping-particle":"","parse-names":false,"suffix":""},{"dropping-particle":"","family":"Post","given":"David M.","non-dropping-particle":"","parse-names":false,"suffix":""}],"container-title":"Biological Reviews","id":"ITEM-2","issued":{"date-parts":[["2018"]]},"note":"1) Intro\n2) Subsidy Definition and Characteristics\n3) Animal Vector Characteristics \n3a) input form\n3b) Animal mass and physiology\n3c) population size\n3d) Life history and Behavior \n4) Donor Ecosystem Characteristics \n4a) Size, productivity and Resource availability \n4b) Seasonal and large-scale climate shifts\n5) Recipient Ecosystem - Physical/Chemical Charactersitics \n5a) size and location\n5b) boundary characteristics \n5c) Productivity and resource availability\n6) Recipient Ecosystem - Consumer charateristics \n6a) Taxonomic identity and trophic guild\n6b) Life History and modility \n7) The effects of subsidty characteristics on trophic dynamics and ecosystem functioning\n7a) Trophic structure\n7b) Ecosystem functioning\n7c) Feedbacks\n8) Implications for altered Ecosystems\n9) Recommendations for future research ","page":"517-538","title":"Context dependency of animal resource subsidies","type":"article-journal","volume":"94"},"uris":["http://www.mendeley.com/documents/?uuid=59c68b98-17c6-4d64-adb7-a6bd6dc005c9"]},{"id":"ITEM-3","itemData":{"DOI":"10.1890/11-1136.1","ISBN":"0012-9658","ISSN":"00129615","PMID":"7189","abstract":"Abstract. Although the study of resource subsidies has emerged as a key topic in both ecosystem and food web ecology, the dialogue over their role has been limited by separate approaches that emphasize either subsidy quantity or quality. Considering quantity and quality together may provide a simple, but previously unexplored, framework for identifying the mechanisms that govern the importance of subsidies for recipient food webs and ecosystems. Using a literature review of .90 studies of open-water metabolism in lakes and streams, we show that high-flux, low-quality subsidies can drive freshwater ecosystem dynamics. Because most of these ecosystems are net heterotrophic, allochthonous inputs must subsidize respiration. Second, using a literature review of subsidy quality and use, we demonstrate that animals select for high-quality food resources in proportions greater than would be predicted based on food quantity, and regardless of allochthonous or autochthonous origin. This finding suggests that low-flux, high-quality subsidies may be selected for by animals, and in turn may disproportionately affect food web and ecosystem processes (e.g., animal production, trophic energy or organic matter flow, trophic cascades). We then synthesize and review approaches that evaluate the role of subsidies and explicitly merge ecosystem and food web perspectives by placing food web measurements in the context of ecosystem budgets, by comparing trophic and ecosystem production and fluxes, and by constructing flow food webs. These tools can and should be used to address future questions about subsidies, such as the relative importance of subsidies to different trophic levels and how subsidies may maintain or disrupt ecosystem stability and food web interactions.","author":[{"dropping-particle":"","family":"Marcarelli","given":"Amy M.","non-dropping-particle":"","parse-names":false,"suffix":""},{"dropping-particle":"V.","family":"Baxter","given":"Colden","non-dropping-particle":"","parse-names":false,"suffix":""},{"dropping-particle":"","family":"Mineau","given":"Madeline M.","non-dropping-particle":"","parse-names":false,"suffix":""},{"dropping-particle":"","family":"Hall","given":"Robert O. JR","non-dropping-particle":"","parse-names":false,"suffix":""}],"container-title":"Ecology","id":"ITEM-3","issue":"6","issued":{"date-parts":[["2011"]]},"note":"Intro\nSubsidy Quantity and Ecosystem Metabolism\nSubstrate Quality and Food web pathways \nMerging appraoches to understand subsidies\nInvestigating food web sibsidies in the context of ecosystem \nUsing ecosystem &amp;amp; trophic production &amp;amp; fluxes to quantify subsidy impacts \nConclusions","page":"1215-1225","title":"Quantity and quality: unifying food web and ecosystem perspectives on the role of resource subsidies in freshwaters","type":"article-journal","volume":"92"},"uris":["http://www.mendeley.com/documents/?uuid=3220460c-5129-4036-8a7f-d8519cd81029"]}],"mendeley":{"formattedCitation":"(Marcarelli et al. 2011, Subalusky and Post 2018, Lafage et al. 2019)","plainTextFormattedCitation":"(Marcarelli et al. 2011, Subalusky and Post 2018, Lafage et al. 2019)","previouslyFormattedCitation":"(Marcarelli et al. 2011, Subalusky and Post 2018, Lafage et al. 2019)"},"properties":{"noteIndex":0},"schema":"https://github.com/citation-style-language/schema/raw/master/csl-citation.json"}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(Marcarelli et al. 2011, Subalusky and Post 2018, Lafage et al. 2019)</w:t>
      </w:r>
      <w:r>
        <w:rPr>
          <w:rFonts w:eastAsia="Times New Roman" w:cs="Times New Roman"/>
          <w:szCs w:val="24"/>
        </w:rPr>
        <w:fldChar w:fldCharType="end"/>
      </w:r>
      <w:r>
        <w:rPr>
          <w:rFonts w:eastAsia="Times New Roman" w:cs="Times New Roman"/>
          <w:szCs w:val="24"/>
        </w:rPr>
        <w:t xml:space="preserve">. When subsidies are transported by animals, their dispersal and development traits should influence the recipient ecosystem, determining the spatial extent of resource subsidies (i.e. the distance they travel form the donor ecosystem) and the period of time they are available to consumers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{"citationItems":[{"id":"ITEM-1","itemData":{"DOI":"10.1111/brv.12465","ISSN":"1469185X","abstract":"The transport of resource subsidies by animals has been documented across a range of species and ecosystems. Although many of these studies have shown that animal resource subsidies can have significant effects on nutrient cycling, ecosystem productivity, and food-web structure, there is a great deal of variability in the occurrence and strength ofthese effects. Here we propose a conceptual framework for understanding the context dependency ofanimal resource subsidies, and for developing and testing predictions about the effects ofanimal subsidies over space and time. We propose a general framework, in which abiotic characteristics and animal vector characteristics from the donor ecosystem interact to determine the quantity, quality, timing, and duration (QQTD) of an animal input. The animal input is translated through the lens of recipient ecosystem characteristics, which include both abiotic and consumer characteristics, to yield the QQTD of the subsidy. The translated subsidy influences recipient ecosystem dynamics through effects on both trophic structure and ecosystem function, which may both influence the recipient ecosystem’s response to further inputs and feed back to influence the donor ecosystem. We present a review of research on animal resource subsidies across ecosystem boundaries, placed within the context of this framework, and we discuss how the QQTD ofresource subsidies can influence trophic structure and ecosystem function in recipient ecosystems.We explore the importance ofunderstanding context dependency ofanimal resource subsidies in increasingly altered ecosystems, in which the characteristics of both animal vectors and donor and recipient ecosystems may be changing rapidly. Finally, we make recommendations for future research on animal resource subsidies, and resource subsidies in general, that will increase our understanding and predictive capacity about their ecosystem effects.","author":[{"dropping-particle":"","family":"Subalusky","given":"Amanda L.","non-dropping-particle":"","parse-names":false,"suffix":""},{"dropping-particle":"","family":"Post","given":"David M.","non-dropping-particle":"","parse-names":false,"suffix":""}],"container-title":"Biological Reviews","id":"ITEM-1","issued":{"date-parts":[["2018"]]},"note":"1) Intro\n2) Subsidy Definition and Characteristics\n3) Animal Vector Characteristics \n3a) input form\n3b) Animal mass and physiology\n3c) population size\n3d) Life history and Behavior \n4) Donor Ecosystem Characteristics \n4a) Size, productivity and Resource availability \n4b) Seasonal and large-scale climate shifts\n5) Recipient Ecosystem - Physical/Chemical Charactersitics \n5a) size and location\n5b) boundary characteristics \n5c) Productivity and resource availability\n6) Recipient Ecosystem - Consumer charateristics \n6a) Taxonomic identity and trophic guild\n6b) Life History and modility \n7) The effects of subsidty characteristics on trophic dynamics and ecosystem functioning\n7a) Trophic structure\n7b) Ecosystem functioning\n7c) Feedbacks\n8) Implications for altered Ecosystems\n9) Recommendations for future research ","page":"517-538","title":"Context dependency of animal resource subsidies","type":"article-journal","volume":"94"},"uris":["http://www.mendeley.com/documents/?uuid=59c68b98-17c6-4d64-adb7-a6bd6dc005c9"]},{"id":"ITEM-2","itemData":{"DOI":"10.1890/08-1996.1","ISBN":"0012-9615","ISSN":"0012-9615","author":[{"dropping-particle":"","family":"Yang","given":"Louie H.","non-dropping-particle":"","parse-names":false,"suffix":""},{"dropping-particle":"","family":"Edwards","given":"Kyle F.","non-dropping-particle":"","parse-names":false,"suffix":""},{"dropping-particle":"","family":"Byrnes","given":"Jarrett E.","non-dropping-particle":"","parse-names":false,"suffix":""},{"dropping-particle":"","family":"Bastow","given":"Justin L.","non-dropping-particle":"","parse-names":false,"suffix":""},{"dropping-particle":"","family":"Wright","given":"Amber N.","non-dropping-particle":"","parse-names":false,"suffix":""},{"dropping-particle":"","family":"Spence","given":"Kenneth O.","non-dropping-particle":"","parse-names":false,"suffix":""}],"container-title":"Ecological Monographs","id":"ITEM-2","issue":"1","issued":{"date-parts":[["2010"]]},"page":"125-151","title":"A meta-analysis of resource pulse–consumer interactions","type":"article-journal","volume":"80"},"uris":["http://www.mendeley.com/documents/?uuid=7dcb78c2-ad33-4449-a6a3-d3db91966dc7"]},{"id":"ITEM-3","itemData":{"DOI":"10.1890/12-1628.1","ISBN":"0012-9658","ISSN":"00129658","PMID":"24649645","abstract":"The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-3","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meta-analysis","type":"article-journal","volume":"95"},"uris":["http://www.mendeley.com/documents/?uuid=ca868f7a-38ff-4674-9c64-6c678940ee58"]},{"id":"ITEM-4","itemData":{"DOI":"10.1002/ecy.1977","ISBN":"0000000154871","ISSN":"00129658","PMID":"27935037","abstract":"© 2017 by the Ecological Society of America Allochthonous resource movement across ecosystem boundaries creates episodic linkages between ecosystems. The sensitivity of the community to external resources of varying duration can alter the baseline upon which future pulses of allochthony can act. We explored the terrestrial ecosystem response to pulsed inputs of lake-derived resources with a manipulative experiment in a subarctic heathland where we assessed plant community and nutrient availability responses to additions of midge carcasses (Diptera: Chironomidae). Insect carcasses were added as either a one-time pulse or a 4-yr press to simulate differing durations of allochthony, which is common in the area. We found that midge pulses significantly elevated soil inorganic [N] in the first year (7× over background levels) but were significantly diminished (1.5×) by the second year after the initial pulse. The press treatment continued to elevate total soil inorganic [N]  to 13× over background levels by the fourth year of midge additions, but then declined to 3.6× background in year 5 when experimental midge additions had ceased. In contrast to the soil inorganic N response, plant biomass was similar in pulse-addition and control plots over the course of the experiment. However, by the second year of the study plant biomass in press-addition plots were significantly higher than controls ( &gt; 50%), and continued to increase over the 4 yr of the press treatment. Midge addition stimulated dominance of graminoids and thatch litter in plots that had previously been primarily heathland vegetation, a response that persisted 4 yr post-midge addition. Our findings suggest that soil and plant community responses to persistent insect carcass deposition (e.g., press) into heathland vegetation has the potential to carry forward in a way that modifies the baseline ecosystem conditions upon which additional allochthony may act.","author":[{"dropping-particle":"","family":"Gratton","given":"Claudio","non-dropping-particle":"","parse-names":false,"suffix":""},{"dropping-particle":"","family":"Hoekman","given":"David","non-dropping-particle":"","parse-names":false,"suffix":""},{"dropping-particle":"","family":"Dreyer","given":"Jamin","non-dropping-particle":"","parse-names":false,"suffix":""},{"dropping-particle":"","family":"Jackson","given":"Randall D.","non-dropping-particle":"","parse-names":false,"suffix":""}],"container-title":"Ecology","id":"ITEM-4","issue":"11","issued":{"date-parts":[["2017"]]},"page":"2860-2872","title":"Increased duration of aquatic resource pulse alters community and ecosystem responses in a subarctic plant community","type":"article-journal","volume":"98"},"uris":["http://www.mendeley.com/documents/?uuid=17a9c4a9-f644-41da-b011-8a9a5f123b78"]}],"mendeley":{"formattedCitation":"(Yang et al. 2010, Muehlbauer et al. 2014, Gratton et al. 2017, Subalusky and Post 2018)","plainTextFormattedCitation":"(Yang et al. 2010, Muehlbauer et al. 2014, Gratton et al. 2017, Subalusky and Post 2018)","previouslyFormattedCitation":"(Yang et al. 2010, Muehlbauer et al. 2014, Gratton et al. 2017, Subalusky and Post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(Yang et al. 2010, Muehlbauer et al. 2014, Gratton et al. 2017, Subalusky and Post 2018)</w:t>
      </w:r>
      <w:r>
        <w:rPr>
          <w:rFonts w:eastAsia="Times New Roman" w:cs="Times New Roman"/>
          <w:szCs w:val="24"/>
        </w:rPr>
        <w:fldChar w:fldCharType="end"/>
      </w:r>
      <w:r>
        <w:rPr>
          <w:rFonts w:eastAsia="Times New Roman" w:cs="Times New Roman"/>
          <w:szCs w:val="24"/>
        </w:rPr>
        <w:t xml:space="preserve">. If the presence of traits varies predictably with environmental conditions, trait distributions could underpin macroscale patterns in ecosystem linkages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{"citationItems":[{"id":"ITEM-1","itemData":{"DOI":"10.1002/ecs2.2697","ISSN":"21508925","abstract":"Cross‐boundary fluxes of organisms and matter, termed \"subsidies,\" are now recognized to be reciprocal and of roughly equal importance for both aquatic and terrestrial systems, even if terrestrial input to aquatic ecosystems has received most attention. The magnitude of aquatic‐to‐terrestrial subsidies is well documented, but the drivers behind these subsidies and their utilization by terrestrial consumers are characteristically local‐scale studies, limiting the inferences that can be drawn for broader geographic scales. We therefore built and analyzed a database of stable isotope data extracted from 21 studies worldwide, to identify both landscape‐scale (catchment) and local‐scale (100‐m riparian zone) variables that may affect the diet of terrestrial predators in riparian ecosystems. Our meta‐analysis revealed a greater magnitude of aquatic‐to‐terrestrial subsidies (&amp;gt;50%) than previously reported, albeit with large geographic and inter‐annual variations. Moreover, we demonstrated a large effect of landscape‐scale factors on aquatic‐to‐terrestrial subsidies, particularly anthropogenic land use and tree cover. Local human population was the only relevant factor at the local scale. We also found that studies on landscape‐scale and anthropogenic land use effects on aquatic‐to‐terrestrial subsidies are strongly under‐represented in the ecological literature, which limits the general inferences that can currently be drawn about landscape effects. We suggest that landscape‐scale studies could improve our understanding of how land use and environmental change might influence future patterns of biodiversity and ecosystem function.","author":[{"dropping-particle":"","family":"Lafage","given":"D.","non-dropping-particle":"","parse-names":false,"suffix":""},{"dropping-particle":"","family":"Bergman","given":"E.","non-dropping-particle":"","parse-names":false,"suffix":""},{"dropping-particle":"","family":"Eckstein","given":"R. L.","non-dropping-particle":"","parse-names":false,"suffix":""},{"dropping-particle":"","family":"Österling","given":"E. M.","non-dropping-particle":"","parse-names":false,"suffix":""},{"dropping-particle":"","family":"Sadler","given":"J. P.","non-dropping-particle":"","parse-names":false,"suffix":""},{"dropping-particle":"","family":"Piccolo","given":"J. J.","non-dropping-particle":"","parse-names":false,"suffix":""}],"container-title":"Ecosphere","id":"ITEM-1","issue":"4","issued":{"date-parts":[["2019"]]},"page":"e02697","title":"Local and landscape drivers of aquatic-to-terrestrial subsidies in riparian ecosystems: a worldwide meta-analysis","type":"article-journal","volume":"10"},"uris":["http://www.mendeley.com/documents/?uuid=1837073f-118f-45da-901a-c392a6983ab2"]},{"id":"ITEM-2","itemData":{"DOI":"10.1111/ele.13185","ISSN":"1461-023X","PMID":"30548746","author":[{"dropping-particle":"","family":"Montagano","given":"Laurent","non-dropping-particle":"","parse-names":false,"suffix":""},{"dropping-particle":"","family":"Leroux","given":"Shawn J.","non-dropping-particle":"","parse-names":false,"suffix":""},{"dropping-particle":"","family":"Giroux","given":"Marie‐Andrée","non-dropping-particle":"","parse-names":false,"suffix":""},{"dropping-particle":"","family":"Lecomte","given":"Nicolas","non-dropping-particle":"","parse-names":false,"suffix":""}],"container-title":"Ecology Letters","id":"ITEM-2","issued":{"date-parts":[["2018"]]},"page":"265-274","title":"The strength of ecological subsidies across ecosystems: a latitudinal gradient of direct and indirect impacts on food webs","type":"article-journal","volume":"22"},"uris":["http://www.mendeley.com/documents/?uuid=15f3fed3-7880-4af2-ba39-677ed893c48d"]}],"mendeley":{"formattedCitation":"(Montagano et al. 2018, Lafage et al. 2019)","plainTextFormattedCitation":"(Montagano et al. 2018, Lafage et al. 2019)","previouslyFormattedCitation":"(Montagano et al. 2018, Lafage et al. 2019)"},"properties":{"noteIndex":0},"schema":"https://github.com/citation-style-language/schema/raw/master/csl-citation.json"}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(Montagano et al. 2018, Lafage et al. 2019)</w:t>
      </w:r>
      <w:r>
        <w:rPr>
          <w:rFonts w:eastAsia="Times New Roman" w:cs="Times New Roman"/>
          <w:szCs w:val="24"/>
        </w:rPr>
        <w:fldChar w:fldCharType="end"/>
      </w:r>
      <w:r>
        <w:rPr>
          <w:rFonts w:eastAsia="Times New Roman" w:cs="Times New Roman"/>
          <w:szCs w:val="24"/>
        </w:rPr>
        <w:t xml:space="preserve">. </w:t>
      </w:r>
    </w:p>
    <w:p w14:paraId="1CF798A7" w14:textId="0DCFE04B"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A</w:t>
      </w:r>
      <w:r w:rsidRPr="002E4A53">
        <w:rPr>
          <w:rFonts w:eastAsia="Times New Roman" w:cs="Times New Roman"/>
          <w:szCs w:val="24"/>
        </w:rPr>
        <w:t>quatic insects</w:t>
      </w:r>
      <w:r>
        <w:rPr>
          <w:rFonts w:eastAsia="Times New Roman" w:cs="Times New Roman"/>
          <w:szCs w:val="24"/>
        </w:rPr>
        <w:t xml:space="preserve"> that metamorphose</w:t>
      </w:r>
      <w:r w:rsidRPr="002E4A53">
        <w:rPr>
          <w:rFonts w:eastAsia="Times New Roman" w:cs="Times New Roman"/>
          <w:szCs w:val="24"/>
        </w:rPr>
        <w:t xml:space="preserve"> </w:t>
      </w:r>
      <w:r>
        <w:rPr>
          <w:rFonts w:eastAsia="Times New Roman" w:cs="Times New Roman"/>
          <w:szCs w:val="24"/>
        </w:rPr>
        <w:t>in</w:t>
      </w:r>
      <w:r w:rsidRPr="002E4A53">
        <w:rPr>
          <w:rFonts w:eastAsia="Times New Roman" w:cs="Times New Roman"/>
          <w:szCs w:val="24"/>
        </w:rPr>
        <w:t>to</w:t>
      </w:r>
      <w:r>
        <w:rPr>
          <w:rFonts w:eastAsia="Times New Roman" w:cs="Times New Roman"/>
          <w:szCs w:val="24"/>
        </w:rPr>
        <w:t xml:space="preserve"> winged,</w:t>
      </w:r>
      <w:r w:rsidRPr="002E4A53">
        <w:rPr>
          <w:rFonts w:eastAsia="Times New Roman" w:cs="Times New Roman"/>
          <w:szCs w:val="24"/>
        </w:rPr>
        <w:t xml:space="preserve"> terrestrial adults</w:t>
      </w:r>
      <w:r>
        <w:rPr>
          <w:rFonts w:eastAsia="Times New Roman" w:cs="Times New Roman"/>
          <w:szCs w:val="24"/>
        </w:rPr>
        <w:t xml:space="preserve"> are important resources in terrestrial ecosystems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{"citationItems":[{"id":"ITEM-1","itemData":{"DOI":"10.1002/rra","ISBN":"1535-1459","ISSN":"&lt;null&gt;","abstract":"The upstream migration of adult anadromous salmonids in the Columbia River Basin (CRB) has been dramatically altered and fish may be experiencing energetically costly delays at dams. To explore this notion, we estimated the energetic costs of migration and reproduction of Yakima River-bound spring Chinook salmon Oncorhynchus tshawytscha using a sequential analysis of their proximate composition (i.e., percent water, fat, protein, and ash). Tissues (muscle, viscera, and gonad) were sampled from fish near the start of their migration (Bonneville Dam), at a mid point (Roza Dam, 510km upstream from Bonneville Dam) and from fresh carcasses on the spawning grounds (about 100km above Roza Dam). At Bonneville Dam, the energy reserves of these fish were remarkably high, primarily due to the high percentage of fat in the muscle (18–20%; energy content over 11 kJ g?1). The median travel time for fish from Bonneville to Roza Dam was 27 d and ranged from 18 to 42 d. Fish lost from 6 to 17% of their energy density in muscle, depending on travel time. On average, fish taking a relatively long time for migration between dams used from 5 to 8%more energy from the muscle than faster fish. From the time they passed Bonneville Damto death, these fish, depending on gender, used 95–99% of their muscle and 73–86% of their visceral lipid stores. Also, both sexes used about 32% of their muscular and very little of their visceral protein stores. However, we were unable to relate energy use and reproductive success to migration history. Our results suggest a possible influence of the CRB hydroelectric system on adult salmonid energetics","author":[{"dropping-particle":"","family":"Richardson","given":"John. S.","non-dropping-particle":"","parse-names":false,"suffix":""},{"dropping-particle":"","family":"Zhang","given":"Yixin","non-dropping-particle":"","parse-names":false,"suffix":""},{"dropping-particle":"","family":"Marczak","given":"Laurie B","non-dropping-particle":"","parse-names":false,"suffix":""}],"container-title":"River Research and Applications","id":"ITEM-1","issued":{"date-parts":[["2010"]]},"note":"Introduction\nHow aquatic science contributed to concepts\nLeaf litter &amp;amp; other Terrestrial inputs \nTerrestrial inveertebrate inputs to treams\nFlows from streams to terrestrial areas\nFlows from upstream/downstream\nLake outlets\nBenthic-plegic coupling iin lentic systems\nLinkages at the community level\nBoundaries","page":"55-66","title":"Resource subsidies across the land-freshwater interface and responses in recipient communities","type":"article-journal","volume":"26"},"uris":["http://www.mendeley.com/documents/?uuid=64df4d31-a9bf-4360-9709-3bd877104402"]},{"id":"ITEM-2","itemData":{"DOI":"10.1007/s10021-016-0050-7","ISBN":"1435-0629","ISSN":"14350629","abstract":"Floods, spatially complex water flows, and organism movements all generate important fluxes of aquatic-derived materials into terrestrial habitats, counteracting the gravity-driven downhill transport of matter from terrestrial-to-aquatic ecosystems. The magnitude of these aquatic subsidies is often smaller than terrestrial subsidies to aquatic ecosystems but higher in nutritional quality, energy density, and nutrient concentration. The lateral extent of biological aquatic subsidies is typically small, extending only a few meters into riparian habitat; however, terrestrial consumers often aggregate on shorelines to capitalize on these high-quality resources. Although the ecological effects of aquatic subsidies remain partially understood, it is clear that ongoing human modification to aquatic ecosystems, riparian habitats and river floodplains affect the magnitude, quality, and spatial and temporal patterning of aquatic subsidies in terrestrial landscapes. These changes will alter the character of aquatic–terrestrial coupling and have consequences for terrestrial organisms that rely on these high-quality and temporally dependable resource subsidies. Homogenization of landscapes and flow regimes, eutrophication, exotic species, and contaminants all represent threats to the vital flows of aquatic-derived resources into terrestrial ecosystems. Research emphasizing that landscapes are integrated terrestrial–aquatic systems, characterized by both biological and hydrological flows among habitats, is needed for understanding the consequences of aquatic subsidies and managing ecological risks of ongoing human development.","author":[{"dropping-particle":"","family":"Schindler","given":"Daniel E.","non-dropping-particle":"","parse-names":false,"suffix":""},{"dropping-particle":"","family":"Smits","given":"Adrianne P.","non-dropping-particle":"","parse-names":false,"suffix":""}],"container-title":"Ecosystems","id":"ITEM-2","issued":{"date-parts":[["2017"]]},"page":"78-93","publisher":"Springer US","title":"Subsidies of Aquatic Resources in Terrestrial Ecosystems","type":"article-journal","volume":"20"},"uris":["http://www.mendeley.com/documents/?uuid=befe7691-520e-4605-a56a-8f676565a217"]},{"id":"ITEM-3","itemData":{"DOI":"10.1111/j.1365-2427.2004.01328.x","ISBN":"0046-5070","ISSN":"00465070","abstract":"1.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Biology","id":"ITEM-3","issue":"2","issued":{"date-parts":[["2005"]]},"note":"1.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zones","type":"article-journal","volume":"50"},"uris":["http://www.mendeley.com/documents/?uuid=02c84270-0e51-41d1-a8fa-ddbed6efb2f2"]}],"mendeley":{"formattedCitation":"(Baxter et al. 2005, Richardson et al. 2010, Schindler and Smits 2017)","plainTextFormattedCitation":"(Baxter et al. 2005, Richardson et al. 2010, Schindler and Smits 2017)","previouslyFormattedCitation":"(Baxter et al. 2005, Richardson et al. 2010, Schindler and Smits 2017)"},"properties":{"noteIndex":0},"schema":"https://github.com/citation-style-language/schema/raw/master/csl-citation.json"}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(Baxter et al. 2005, Richardson et al. 2010, Schindler and Smits 2017)</w:t>
      </w:r>
      <w:r>
        <w:rPr>
          <w:rFonts w:eastAsia="Times New Roman" w:cs="Times New Roman"/>
          <w:szCs w:val="24"/>
        </w:rPr>
        <w:fldChar w:fldCharType="end"/>
      </w:r>
      <w:r>
        <w:rPr>
          <w:rFonts w:eastAsia="Times New Roman" w:cs="Times New Roman"/>
          <w:szCs w:val="24"/>
        </w:rPr>
        <w:t xml:space="preserve">. Traits related to their emergence and potential dispersal as adults should influence the duration and magnitude of their effect on terrestrial ecosystems. Terrestrial consumers respond to the quantity of aquatic insect subsidies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{"citationItems":[{"id":"ITEM-1","itemData":{"DOI":"10.1016/j.mbs.2018.05.006","ISSN":"18793134","abstract":"The exchange of resources across ecosystem boundaries can have large impacts on ecosystem structures and functions at local and regional scales. In this article, we develop a simple model to investigate dynamical implications of bi-directional resource exchanges between two local ecosystems in a meta-ecosystem framework. In our model, we assume that (1) Each local ecosystem acts as both a resource donor and recipient, such that one ecosystem donating resources to another results in a cost to the donating system and a benefit to the recipient; and (2) The costs and benefits of the bi-directional resource exchange between two ecosystems are correlated in a nonlinear fashion. Our model could apply to the resource interactions between terrestrial and aquatic ecosystems that are supported by the literature. Our theoretical results show that bi-directional resource exchange between two ecosystems can indeed generate complicated dynamical outcomes, including the coupled ecosystems having amensalistic, antagonistic, competitive, or mutualistic interactions, with multiple alternative stable states depending on the relative costs and benefits. In addition, if the relative cost for resource exchange for an ecosystem is decreased or the relative benefit for resource exchange for an ecosystem is increased, the production of that ecosystem would increase; however, depending on the local environment, the production of the other ecosystem may increase or decrease. We expect that our work, by evaluating the potential outcomes of resource exchange theoretically, can facilitate empirical evaluations and advance the understanding of spatial ecosystem ecology where resource exchanges occur in varied ecosystems through a complicated network.","author":[{"dropping-particle":"","family":"Messan","given":"Marisabel Rodriguez","non-dropping-particle":"","parse-names":false,"suffix":""},{"dropping-particle":"","family":"Kopp","given":"Darin","non-dropping-particle":"","parse-names":false,"suffix":""},{"dropping-particle":"","family":"Allen","given":"Daniel C.","non-dropping-particle":"","parse-names":false,"suffix":""},{"dropping-particle":"","family":"Kang","given":"Yun","non-dropping-particle":"","parse-names":false,"suffix":""}],"container-title":"Mathematical Biosciences","id":"ITEM-1","issue":"May","issued":{"date-parts":[["2018"]]},"page":"167-184","publisher":"Elsevier","title":"Dynamical implications of bi-directional resource exchange within a meta-ecosystem","type":"article-journal","volume":"301"},"uris":["http://www.mendeley.com/documents/?uuid=397146b1-3b89-45fb-9c9f-654b5f8e246b"]},{"id":"ITEM-2","itemData":{"DOI":"10.1073/pnas.98.1.166","ISBN":"0027-8424","ISSN":"0027-8424","PMID":"11136253","abstract":"Mutual trophic interactions between contiguous habitats have remained poorly understood despite their potential significance for community maintenance in ecological landscapes. In a deciduous forest and stream ecotone. aquatic insect emergence peaked around spring, when terrestrial invertebrate biomass was low. In contrast, terrestrial invertebrate input to the stream occurred primarily during summer, when aquatic invertebrate biomass was nearly at its lowest. Such reciprocal, across-habitat prey flux alternately subsidized both forest birds and stream fishes, accounting for 25.6% and 44.0% of the annual total energy budget of the bird and fish assemblages, respectively. Seasonal contrasts between allochthonous prey supply and in situ prey biomass determine the importance of reciprocal subsidies","author":[{"dropping-particle":"","family":"Nakano","given":"Shigeru","non-dropping-particle":"","parse-names":false,"suffix":""},{"dropping-particle":"","family":"Murakami","given":"Masashi","non-dropping-particle":"","parse-names":false,"suffix":""}],"container-title":"Proceedings of the National Academy of Sciences of the United States of America","id":"ITEM-2","issue":"1","issued":{"date-parts":[["2001"]]},"note":"production gradient explains subsidy flow; asynchronies in production explain reciprocal subsidies; the latter seems like the first to propose a hypothesis about reciprocal linkages\n\nDonor flux - production of donor system \nRecipient flux - low production of recipient system &amp;quot;subsidy efficiency of aquatic prey flux&amp;quot; (i.e. terrestrial birds) or relative availability (i.e. aquatic fish). Basically whether subsidy is high relative to recipient production or \n\nwhether flux to receipient is proportional to donor biomass will indicate passive versus active transport. Production gradient hypothesis would probably be limited to subsidy transported by passive vector... \n\nResponse - no documentation of a response (i.e. how community responds numerically, compositionally or interactively to subsdy loss or gain). Fish and birds do consume allochthonous prey but i dont know if this can be classified as a response... what would be the consequences? you can only speculate","page":"166-170","title":"Reciprocal subsidies: Dynamic interdependence between terrestrial and aquatic food webs","type":"article-journal","volume":"98"},"uris":["http://www.mendeley.com/documents/?uuid=9a2cd57d-3354-4493-b332-73473e8a0d76"]},{"id":"ITEM-3","itemData":{"DOI":"10.1002/ecy.3074","ISSN":"0012-9658","abstract":"Abstract The input of external energy and matter in recipient ecosystems can act as a bottom-up force that subsidizes consumers, with subsequent cascading effects throughout the food web. Depending on the amount of input, dietary preference and the strength of trophic links, allochthonous resources generally play a stabilizing role on food webs. In this study, we investigated the stabilizing role of allochthonous aquatic resources on intraguild predation (IGP) and their consequences on shared prey in a terrestrial ecosystem. To this end, we manipulated the input of emergent aquatic insects (the allochthonous resources) from streams to land, and predation pressure by bats and birds (the top predators), in a multi-trophic food web using an orthogonal exclusion experiment. Using stable isotope metrics, we found that bats, birds, and spiders (the mesopredators), were highly subsidized by emergent aquatic insects. Moreover, among terrestrial prey, top predators fed more on spiders than insects. As predicted, spiders were strongly affected by the presence of top predators when allochthonous resources were excluded. Consequently, in this scenario terrestrial insects were two times more abundant. Since spiders showed a higher preference for consuming aquatic resources, we suggest that non-consumptive effects of spiders upon terrestrial insects could be mediating the strong response of those shared prey. We demonstrate that the input of allochthonous aquatic resources can play a fundamental role in stabilizing terrestrial trophic interactions and trophic cascades in riparian zones via decreasing predation pressure.","author":[{"dropping-particle":"","family":"Recalde","given":"Fátima C.","non-dropping-particle":"","parse-names":false,"suffix":""},{"dropping-particle":"","family":"Breviglieri","given":"Crasso P.B.","non-dropping-particle":"","parse-names":false,"suffix":""},{"dropping-particle":"","family":"Romero","given":"Gustavo Q.","non-dropping-particle":"","parse-names":false,"suffix":""}],"container-title":"Ecology","id":"ITEM-3","issue":"8","issued":{"date-parts":[["2020"]]},"page":"e03074","title":"Allochthonous aquatic subsidies alleviate predation pressure in terrestrial ecosystems","type":"article-journal","volume":"101"},"uris":["http://www.mendeley.com/documents/?uuid=69cef1bc-733b-4c14-b4a0-2c2f22ab8442"]}],"mendeley":{"formattedCitation":"(Nakano and Murakami 2001, Messan et al. 2018, Recalde et al. 2020)","plainTextFormattedCitation":"(Nakano and Murakami 2001, Messan et al. 2018, Recalde et al. 2020)","previouslyFormattedCitation":"(Nakano and Murakami 2001, Messan et al. 2018, Recalde et al. 2020)"},"properties":{"noteIndex":0},"schema":"https://github.com/citation-style-language/schema/raw/master/csl-citation.json"}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 xml:space="preserve">(Nakano and Murakami 2001, Messan et al. 2018, Recalde et </w:t>
      </w:r>
      <w:r w:rsidR="0034241C" w:rsidRPr="0034241C">
        <w:rPr>
          <w:rFonts w:eastAsia="Times New Roman" w:cs="Times New Roman"/>
          <w:noProof/>
          <w:szCs w:val="24"/>
        </w:rPr>
        <w:lastRenderedPageBreak/>
        <w:t>al. 2020)</w:t>
      </w:r>
      <w:r>
        <w:rPr>
          <w:rFonts w:eastAsia="Times New Roman" w:cs="Times New Roman"/>
          <w:szCs w:val="24"/>
        </w:rPr>
        <w:fldChar w:fldCharType="end"/>
      </w:r>
      <w:r>
        <w:rPr>
          <w:rFonts w:eastAsia="Times New Roman" w:cs="Times New Roman"/>
          <w:szCs w:val="24"/>
        </w:rPr>
        <w:t xml:space="preserve"> which, in turn, should be related to the proportion of individuals with adult flight stages in aquatic invertebrate communities </w:t>
      </w:r>
      <w:r>
        <w:rPr>
          <w:rFonts w:cs="Times New Roman"/>
          <w:szCs w:val="24"/>
        </w:rPr>
        <w:fldChar w:fldCharType="begin" w:fldLock="1"/>
      </w:r>
      <w:r w:rsidR="00306019">
        <w:rPr>
          <w:rFonts w:cs="Times New Roman"/>
          <w:szCs w:val="24"/>
        </w:rPr>
        <w:instrText>ADDIN CSL_CITATION {"citationItems":[{"id":"ITEM-1","itemData":{"DOI":"10.1007/s00442-015-3462-8","ISBN":"1010933404324","ISSN":"00298549","PMID":"26453520","abstract":"Despite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J.","non-dropping-particle":"","parse-names":false,"suffix":""}],"container-title":"Oecologia","id":"ITEM-1","issue":"2","issued":{"date-parts":[["2016"]]},"page":"551-566","publisher":"Springer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channels","type":"article-journal","volume":"180"},"uris":["http://www.mendeley.com/documents/?uuid=3540b554-d538-4eb9-a30e-6f5a1dd61f13"]},{"id":"ITEM-2","itemData":{"DOI":"10.1007/s00027-018-0565-4","ISBN":"0123456789","ISSN":"14209055","abstract":"Adult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Sciences","id":"ITEM-2","issue":"2","issued":{"date-parts":[["2018"]]},"page":"1-12","publisher":"Springer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id":"ITEM-3","itemData":{"author":[{"dropping-particle":"","family":"Gratton","given":"C.","non-dropping-particle":"","parse-names":false,"suffix":""},{"dropping-particle":"","family":"Zanden","given":"M.J","non-dropping-particle":"Vander","parse-names":false,"suffix":""}],"container-title":"Ecology","id":"ITEM-3","issue":"10","issued":{"date-parts":[["2009"]]},"page":"2689–2699","title":"Flux of aquatic insect productivity to land: comparison of lentic and lotic ecosystems","type":"article-journal","volume":"90"},"uris":["http://www.mendeley.com/documents/?uuid=1919de5e-bc71-4cdb-ad66-d96c78ff5294"]}],"mendeley":{"formattedCitation":"(Gratton and Vander Zanden 2009, Greenwood and Booker 2016, McKie et al. 2018)","plainTextFormattedCitation":"(Gratton and Vander Zanden 2009, Greenwood and Booker 2016, McKie et al. 2018)","previouslyFormattedCitation":"(Gratton and Vander Zanden 2009, Greenwood and Booker 2016, McKie et al. 2018)"},"properties":{"noteIndex":0},"schema":"https://github.com/citation-style-language/schema/raw/master/csl-citation.json"}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(Gratton and Vander Zanden 2009, Greenwood and Booker 2016, McKie et al. 2018)</w:t>
      </w:r>
      <w:r>
        <w:rPr>
          <w:rFonts w:cs="Times New Roman"/>
          <w:szCs w:val="24"/>
        </w:rPr>
        <w:fldChar w:fldCharType="end"/>
      </w:r>
      <w:r>
        <w:rPr>
          <w:rFonts w:cs="Times New Roman"/>
          <w:szCs w:val="24"/>
        </w:rPr>
        <w:t xml:space="preserve">. </w:t>
      </w:r>
      <w:r>
        <w:rPr>
          <w:rFonts w:eastAsia="Times New Roman" w:cs="Times New Roman"/>
          <w:szCs w:val="24"/>
        </w:rPr>
        <w:t xml:space="preserve">Juvenile development speed and adult emergence patterns should determine when, and for how long, aquatic insects are present in terrestrial ecosystems. More frequent emergence events associated with faster development or shorter generation times should prolong the duration of aquatic insect subsidies in terrestrial ecosystems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{"citationItems":[{"id":"ITEM-1","itemData":{"DOI":"10.1890/07-0234.1","abstract":"Abstract. As the theoretical bases for the dynamics of spatially subsidized communities emerge, ecologists question whether spatially subsidized communities exhibit similar structure or dynamics to communities that receive strongly pulsed resources. In both cases, communities may be structured by responses to resources that are potentially absent at any given point in time (pulsed communities) or space (subsidized communities), even if pulsed resources are part of the in situ productivity of the system or the subsidies arrive as a relatively constant input from a nearby system. The potential for significant spatial or temporal resource limitation, therefore, may be a key factor influencing in similar ways the persistence of populations, the structure and dynamics of communities, and the evolution of specific life history traits. In most complex systems, however, multiple resources may arrive for various trophic entities at various points in time and from various points in space, and thus it may be difficult to separate or compare the dynamics of spatially subsidized and pulsed systems. In this paper, we explore the effects of interactions between pulses and subsidies in plant and animal populations and communities on highly pulsed and variably subsidized islands in the Gulf of California. While many of the plant and animal communities on the unsubsidized islands in this system respond to pulses of rain in classic ways, responses to these rain pulses on islands subsidized by seabird guano or other marine resources are quite different and variable, and depend on a combination of life history characteristics, physiology, competitive interactions, and trophic relationships. These variable responses to rain pulses then translate into large differences in dynamics and community structure of subsidized vs. unsubsidized islands. Indeed, most systems experience both temporal pulses and spatial subsidies. When considered in tandem, complementary or synergistic effects of the multiple, temporally and spatially variable resources may emerge that help explain complex food web structure and dynamics","author":[{"dropping-particle":"","family":"Anderson","given":"Wendy B.","non-dropping-particle":"","parse-names":false,"suffix":""},{"dropping-particle":"","family":"Wait","given":"Alexander D.","non-dropping-particle":"","parse-names":false,"suffix":""},{"dropping-particle":"","family":"Stapp","given":"Paul","non-dropping-particle":"","parse-names":false,"suffix":""}],"container-title":"Ecology","id":"ITEM-1","issue":"3","issued":{"date-parts":[["2008"]]},"page":"660-670","title":"Resources From Another Place and Time: Responses To Pulses in a Spatially Subsidized System","type":"article-journal","volume":"89"},"uris":["http://www.mendeley.com/documents/?uuid=2b64d5b6-c6aa-415f-b808-71269ed44b4e"]},{"id":"ITEM-2","itemData":{"DOI":"10.1002/ecy.1977","ISBN":"0000000154871","ISSN":"00129658","PMID":"27935037","abstract":"© 2017 by the Ecological Society of America Allochthonous resource movement across ecosystem boundaries creates episodic linkages between ecosystems. The sensitivity of the community to external resources of varying duration can alter the baseline upon which future pulses of allochthony can act. We explored the terrestrial ecosystem response to pulsed inputs of lake-derived resources with a manipulative experiment in a subarctic heathland where we assessed plant community and nutrient availability responses to additions of midge carcasses (Diptera: Chironomidae). Insect carcasses were added as either a one-time pulse or a 4-yr press to simulate differing durations of allochthony, which is common in the area. We found that midge pulses significantly elevated soil inorganic [N] in the first year (7× over background levels) but were significantly diminished (1.5×) by the second year after the initial pulse. The press treatment continued to elevate total soil inorganic [N]  to 13× over background levels by the fourth year of midge additions, but then declined to 3.6× background in year 5 when experimental midge additions had ceased. In contrast to the soil inorganic N response, plant biomass was similar in pulse-addition and control plots over the course of the experiment. However, by the second year of the study plant biomass in press-addition plots were significantly higher than controls ( &gt; 50%), and continued to increase over the 4 yr of the press treatment. Midge addition stimulated dominance of graminoids and thatch litter in plots that had previously been primarily heathland vegetation, a response that persisted 4 yr post-midge addition. Our findings suggest that soil and plant community responses to persistent insect carcass deposition (e.g., press) into heathland vegetation has the potential to carry forward in a way that modifies the baseline ecosystem conditions upon which additional allochthony may act.","author":[{"dropping-particle":"","family":"Gratton","given":"Claudio","non-dropping-particle":"","parse-names":false,"suffix":""},{"dropping-particle":"","family":"Hoekman","given":"David","non-dropping-particle":"","parse-names":false,"suffix":""},{"dropping-particle":"","family":"Dreyer","given":"Jamin","non-dropping-particle":"","parse-names":false,"suffix":""},{"dropping-particle":"","family":"Jackson","given":"Randall D.","non-dropping-particle":"","parse-names":false,"suffix":""}],"container-title":"Ecology","id":"ITEM-2","issue":"11","issued":{"date-parts":[["2017"]]},"page":"2860-2872","title":"Increased duration of aquatic resource pulse alters community and ecosystem responses in a subarctic plant community","type":"article-journal","volume":"98"},"uris":["http://www.mendeley.com/documents/?uuid=17a9c4a9-f644-41da-b011-8a9a5f123b78"]},{"id":"ITEM-3","itemData":{"DOI":"10.1007/s00027-018-0565-4","ISBN":"0123456789","ISSN":"14209055","abstract":"Adult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Sciences","id":"ITEM-3","issue":"2","issued":{"date-parts":[["2018"]]},"page":"1-12","publisher":"Springer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webs","type":"article-journal","volume":"80"},"uris":["http://www.mendeley.com/documents/?uuid=67fc583f-51d9-4b7d-a1a6-7d317ba3725d"]}],"mendeley":{"formattedCitation":"(Anderson et al. 2008, Gratton et al. 2017, McKie et al. 2018)","plainTextFormattedCitation":"(Anderson et al. 2008, Gratton et al. 2017, McKie et al. 2018)","previouslyFormattedCitation":"(Anderson et al. 2008, Gratton et al. 2017, McKie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(Anderson et al. 2008, Gratton et al. 2017, McKie et al. 2018)</w:t>
      </w:r>
      <w:r>
        <w:rPr>
          <w:rFonts w:eastAsia="Times New Roman" w:cs="Times New Roman"/>
          <w:szCs w:val="24"/>
        </w:rPr>
        <w:fldChar w:fldCharType="end"/>
      </w:r>
      <w:r>
        <w:rPr>
          <w:rFonts w:eastAsia="Times New Roman" w:cs="Times New Roman"/>
          <w:szCs w:val="24"/>
        </w:rPr>
        <w:t xml:space="preserve">. </w:t>
      </w:r>
      <w:r>
        <w:rPr>
          <w:rFonts w:cs="Times New Roman"/>
          <w:szCs w:val="24"/>
        </w:rPr>
        <w:t xml:space="preserve">The distance adult aquatic insects travel from the stream determines whether they are accessible to terrestrial consumers living further from the water’s edge </w:t>
      </w:r>
      <w:r>
        <w:rPr>
          <w:rFonts w:cs="Times New Roman"/>
          <w:szCs w:val="24"/>
        </w:rPr>
        <w:fldChar w:fldCharType="begin" w:fldLock="1"/>
      </w:r>
      <w:r w:rsidR="00306019">
        <w:rPr>
          <w:rFonts w:cs="Times New Roman"/>
          <w:szCs w:val="24"/>
        </w:rPr>
        <w:instrText>ADDIN CSL_CITATION {"citationItems":[{"id":"ITEM-1","itemData":{"DOI":"10.1111/fwb.12745","abstract":"SUMMARY 1. The dispersal of terrestrial adults of freshwater insects is a key process regulating the transfer resources from aquatic habitats to terrestrial consumers, including high-quality lipids synthesised in the aquatic environment. However, the efficiency of these transfers depends strongly on both subsidy production in the aquatic source habitat and permeability of the aquatic–terrestrial boundary. 2. We assessed how land use (agriculture versus forest) affects stream riparian habitats and the dispersal of adult aquatic insects. Flying insects were sampled alongside eight streams (four agricultural, four forested) in central Sweden using sticky traps, placed from 1 up to 100 m from the stream edge. Environmental variables including temperature, wind, vegetation structure and canopy cover were also quantified. 3. Abundances of adult aquatic insects were greater at agricultural than at forested sites, but most (64%) were caught close to the stream edge. In contrast, catches of adult aquatic insects declined relatively little with increasing distance from the forest streams. 4. Overall, dispersal of the dominant aquatic insect order (Diptera) was positively associated with greater tree density and canopy shading and negatively associated with higher wind speeds and soil temperatures, more open habitats and steeper topographies. Taxonomic differences among assemblages, reflecting differing dispersal capacities, were also important, but less so than environmental factors. 5. Our results indicate that adult aquatic insects in our forested landscapes are more likely to subsidise near-ground food webs at a greater distance from stream channels, whereas the abundant subsidy emerging from the agricultural sites is likely to be most influential near the stream channel. A key question for future research is whether the deposition of large quantities of aquatic subsidy in agricultural riparian habitats exceeds the resource requirements and processing capacities of terrestrial consumers.","author":[{"dropping-particle":"","family":"Carlson","given":"Peter E.","non-dropping-particle":"","parse-names":false,"suffix":""},{"dropping-particle":"","family":"Mckie","given":"Brenden G.","non-dropping-particle":"","parse-names":false,"suffix":""},{"dropping-particle":"","family":"Sandin","given":"Leonard","non-dropping-particle":"","parse-names":false,"suffix":""},{"dropping-particle":"","family":"Johnson","given":"Richard K.","non-dropping-particle":"","parse-names":false,"suffix":""}],"container-title":"Freshwater Biology","id":"ITEM-1","issue":"6","issued":{"date-parts":[["2016"]]},"page":"848-861","title":"Strong land-use effects on the dispersal patterns of adult stream insects: implications for transfers of aquatic subsidies to terrestrial consumers","type":"article-journal","volume":"61"},"uris":["http://www.mendeley.com/documents/?uuid=f1cd1aa2-daf1-451a-8a96-902c8b496f71"]}],"mendeley":{"formattedCitation":"(Carlson et al. 2016)","plainTextFormattedCitation":"(Carlson et al. 2016)","previouslyFormattedCitation":"(Carlson et al. 2016)"},"properties":{"noteIndex":0},"schema":"https://github.com/citation-style-language/schema/raw/master/csl-citation.json"}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(Carlson et al. 2016)</w:t>
      </w:r>
      <w:r>
        <w:rPr>
          <w:rFonts w:cs="Times New Roman"/>
          <w:szCs w:val="24"/>
        </w:rPr>
        <w:fldChar w:fldCharType="end"/>
      </w:r>
      <w:r>
        <w:rPr>
          <w:rFonts w:cs="Times New Roman"/>
          <w:szCs w:val="24"/>
        </w:rPr>
        <w:t xml:space="preserve">. Dispersal distance should be related to an individual’s flight strength, adult life span, and/or body size </w:t>
      </w:r>
      <w:r>
        <w:rPr>
          <w:rFonts w:cs="Times New Roman"/>
          <w:szCs w:val="24"/>
        </w:rPr>
        <w:fldChar w:fldCharType="begin" w:fldLock="1"/>
      </w:r>
      <w:r w:rsidR="00306019">
        <w:rPr>
          <w:rFonts w:cs="Times New Roman"/>
          <w:szCs w:val="24"/>
        </w:rPr>
        <w:instrText>ADDIN CSL_CITATION {"citationItems":[{"id":"ITEM-1","itemData":{"DOI":"10.1111/fwb.13472","ISSN":"13652427","abstract":"Movement behaviours of adult aquatic insects can produce distinct spatial distribution patterns. Studies of adult abundance with distance away from water bodies are common and may invoke flight capability to explain species differences. In contrast, distribution patterns along river channels are poorly described, but are no less important for understanding population dynamics. Longitudinal patterns in adult abundance along short river lengths may differ between sexes and at different life stage transitions between aquatic and terrestrial environments, i.e. at emergence and oviposition. Flight capability is unlikely to influence longitudinal patterns created at emergence, but may influence local abundances of mature females seeking to lay eggs. We tested hypotheses about how local abundances of mature females might differ according to oviposition habits and flight capability. We surveyed abundances of mature female caddisflies at adjacent riffle–pool pairs along short river lengths with homogeneous riparian cover. Our survey included nine species in three families (Hydrobiosidae, Leptoceridae, Hydropsychidae), which encompassed multiple different oviposition habits and a range of wing sizes and shapes. Several of the species oviposit preferentially in riffles. Accordingly, we tested for differences in female abundance between channel units (adjacent riffle–pool pairs). We also tested whether females attained higher abundances in some places along channels than others (i.e. over larger spatial scales and regardless of channel unit) which imply movements along the channel and aggregation in some locations. Wing morphology was used as a proxy measure of flight capability and included measures of wing span, area, aspect ratio and the second moment of wing area. Three distinctly different distribution patterns of mature female caddisflies were identified. The abundance of three species varied over larger scales only (multiple channel units). Six species that oviposit preferentially in riffles had higher female abundances at riffles than pools, but for only one did abundances also vary over larger scales. There was no association between these different patterns and measures of wing morphology, after removing metrics that were correlated and that differed systematically between taxonomic families. However, we could not reject the hypothesis that some aspect of flight behaviour may have contributed to observed patterns. The diverse but distinct distributions of…","author":[{"dropping-particle":"","family":"Lancaster","given":"Jill","non-dropping-particle":"","parse-names":false,"suffix":""},{"dropping-particle":"","family":"Downes","given":"Barbara J.","non-dropping-particle":"","parse-names":false,"suffix":""},{"dropping-particle":"","family":"Dwyer","given":"Georgia K.","non-dropping-particle":"","parse-names":false,"suffix":""}],"container-title":"Freshwater Biology","id":"ITEM-1","issued":{"date-parts":[["2020"]]},"page":"908-919","title":"Terrestrial–aquatic transitions: Local abundances and movements of mature female caddisflies are related to oviposition habits but not flight capability","type":"article-journal","volume":"65"},"uris":["http://www.mendeley.com/documents/?uuid=6c1db968-8191-4f3b-b3c2-b73c28ad3bd0"]},{"id":"ITEM-2","itemData":{"DOI":"10.1890/12-1628.1","ISBN":"0012-9658","ISSN":"00129658","PMID":"24649645","abstract":"The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-2","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meta-analysis","type":"article-journal","volume":"95"},"uris":["http://www.mendeley.com/documents/?uuid=ca868f7a-38ff-4674-9c64-6c678940ee58"]},{"id":"ITEM-3","itemData":{"DOI":"10.1007/s00027-018-0565-4","ISBN":"0123456789","ISSN":"14209055","abstract":"Adult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Sciences","id":"ITEM-3","issue":"2","issued":{"date-parts":[["2018"]]},"page":"1-12","publisher":"Springer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webs","type":"article-journal","volume":"80"},"uris":["http://www.mendeley.com/documents/?uuid=67fc583f-51d9-4b7d-a1a6-7d317ba3725d"]}],"mendeley":{"formattedCitation":"(Muehlbauer et al. 2014, McKie et al. 2018, Lancaster et al. 2020)","plainTextFormattedCitation":"(Muehlbauer et al. 2014, McKie et al. 2018, Lancaster et al. 2020)","previouslyFormattedCitation":"(Muehlbauer et al. 2014, McKie et al. 2018, Lancaster et al. 2020)"},"properties":{"noteIndex":0},"schema":"https://github.com/citation-style-language/schema/raw/master/csl-citation.json"}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(Muehlbauer et al. 2014, McKie et al. 2018, Lancaster et al. 2020)</w:t>
      </w:r>
      <w:r>
        <w:rPr>
          <w:rFonts w:cs="Times New Roman"/>
          <w:szCs w:val="24"/>
        </w:rPr>
        <w:fldChar w:fldCharType="end"/>
      </w:r>
      <w:r>
        <w:rPr>
          <w:rFonts w:cs="Times New Roman"/>
          <w:szCs w:val="24"/>
        </w:rPr>
        <w:t xml:space="preserve">. </w:t>
      </w:r>
    </w:p>
    <w:p w14:paraId="61A80D1E" w14:textId="57AAC80D"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Environmental gradients should constrain the spatial and temporal characteristics of aquatic insect subsidies by altering trait composition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{"citationItems":[{"id":"ITEM-1","itemData":{"DOI":"10.1086/679756","ISBN":"2161-9549","ISSN":"2161-9549","PMID":"24335434","abstract":"Abstract We propose the Stream Biome Gradient Concept as a way to predict macroscale biological patterns in streams. This concept is based on the hypothesis that many abiotic and biotic features of streams change predictably along climate (temperature and precipitation) gradients because of direct influences of climate on hydrology, geomorphology, and interactions mediated by terrestrial vegetation. The Stream Biome Gradient Concept generates testable hypotheses related to continental variation among streams worldwide and allows aquatic scientists to understand how results from one biome might apply to a less-studied biome. Some predicted factors change monotonically across the biome/climate gradients, whereas others have maxima or minima in the central portion of the gradient. For example, predictions across the gradient from drier deserts through grasslands to wetter forests include more permanent flow, less bare ground, lower erosion and sediment transport rates, decreased importance of autochthonous C inputs to food webs, and greater stream animal species richness. In contrast, effects of large ungulate grazers on streams are expected to be greater in grasslands than in forests or deserts, and fire is expected to have weaker effects in grassland streams than in desert and forest streams along biome gradients with changing precipitation and constant latitude or elevation. Understanding historic patterns among biomes can help describe the evolutionary template at relevant biogeographic scales, can be used to broaden other conceptual models of stream ecology, and could lead to better management and conservation across the broadest scales. CR  - Copyright &amp;#169; 2015 Society for Freshwater Science","author":[{"dropping-particle":"","family":"Dodds","given":"Walter K.","non-dropping-particle":"","parse-names":false,"suffix":""},{"dropping-particle":"","family":"Gido","given":"Keith","non-dropping-particle":"","parse-names":false,"suffix":""},{"dropping-particle":"","family":"Whiles","given":"Matt R.","non-dropping-particle":"","parse-names":false,"suffix":""},{"dropping-particle":"","family":"Daniels","given":"Melinda D.","non-dropping-particle":"","parse-names":false,"suffix":""},{"dropping-particle":"","family":"Grudzinski","given":"Bartosz P.","non-dropping-particle":"","parse-names":false,"suffix":""}],"container-title":"Freshwater Science","id":"ITEM-1","issue":"1","issued":{"date-parts":[["2015"]]},"note":"1) Introduction:\n2) Climate Gradients and Links between biomes and hydrology \n2a) Climate and biome gradients \n2b) Hydrology and biome gradients \n3) Geomorphology acros biome gradients \n3a) Geomorphology and Biomes\n3b) Interactions with other factors influencing geomorphology\n4) Ecosystem Properties \n4a) Nutrients\n4b) Trophic state\n5) Stream Animal Communities Across biome gradients \n5a) Vertebrate Diversity \n5b) Invertebrate Diversity \n5c) How ecological resonses of animals change across biome gradients \n5d) Anthropogenic influences on stream animals across gradients\n6) The stream biome gradient concept and other integrative ideas in lotic ecology\n7) Overview","page":"1-19","title":"The Stream Biome Gradient Concept: factors controlling lotic systems across broad biogeographic scales","type":"article-journal","volume":"34"},"uris":["http://www.mendeley.com/documents/?uuid=ee50a9d6-fd34-4250-b8ca-b1fe22f288a8"]},{"id":"ITEM-2","itemData":{"DOI":"10.1111/fwb.12164","ISBN":"1365-2427","ISSN":"00465070","PMID":"2339","abstract":"Other than some classical ideas, large-scale approaches to understand variation in organismal traits (or the trait composition of an ecological community) across stream ecosystems are rather recent. Recent case studies and review papers show clear evidence for the usefulness of trait-based analyses in bioassessment, but how community traits vary along natural gradients at large scales has not yet been synthesised. Here, we attempt to fill this gap by providing a synthesis of trait patterns of stream communities from a macroecological perspective. We argue that although both natural and anthropogenic filters shape community traits, examination of poorly understood natural filters, including those acting at large scales, should receive increasing attention. Such knowledge is vital for reliably inferring anthropogenic impacts on stream communities and ecosystems. We synthesise knowledge of two large-scale spatial patterns of stream communities: among drainage basins (i.e. geographical variation) and within drainage basins (i.e. longitudinal variation). We also examine the temporal dimension of organismal traits. Our review highlights clear evidence for large-scale influences on the trait composition in stream systems. For example, despite previous contentions that organismal traits should vary negligibly across large geographical gradients, there is actually clear geographical variation across near-pristine systems. Furthermore, in accordance with theory, organismal traits in actual data sets vary along the longitudinal gradient of stream systems. We provide an overview of empirical and statistical approaches to understanding the trait composition of stream communities in macroecological studies and conclude that the methodology should be carefully considered in comparisons among studies, because contrasting results may reflect not only ecological differences but also differences in methodology (e.g. choice of species traits, trait quantification and analytical methods). We conclude that the question of how the trait composition of stream communities varies along geographical and environmental gradients is far from settled. A challenge for large-scale stream ecology is to provide a more specific view of trait variation in multiple taxonomic groups (e.g. do traits vary similarly in different organisms groups?), along major environmental gradients (e.g. is trait variation similar along the same environmental gradients in different regions?) and among differe…","author":[{"dropping-particle":"","family":"Heino","given":"Jani","non-dropping-particle":"","parse-names":false,"suffix":""},{"dropping-particle":"","family":"Schmera","given":"Dénes","non-dropping-particle":"","parse-names":false,"suffix":""},{"dropping-particle":"","family":"Eros","given":"Tibor","non-dropping-particle":"","parse-names":false,"suffix":""}],"container-title":"Freshwater Biology","id":"ITEM-2","issue":"8","issued":{"date-parts":[["2013"]]},"page":"1539-1555","title":"A macroecological perspective of trait patterns in stream communities","type":"article-journal","volume":"58"},"uris":["http://www.mendeley.com/documents/?uuid=c3e9f083-f81c-4e1b-a6b2-ef60c260652c"]},{"id":"ITEM-3","itemData":{"author":[{"dropping-particle":"","family":"Statzner","given":"Bernhard","non-dropping-particle":"","parse-names":false,"suffix":""},{"dropping-particle":"","family":"Doledec","given":"Sylvain","non-dropping-particle":"","parse-names":false,"suffix":""},{"dropping-particle":"","family":"Hugueny","given":"Bernard","non-dropping-particle":"","parse-names":false,"suffix":""}],"container-title":"Ecography","id":"ITEM-3","issue":"4","issued":{"date-parts":[["2004"]]},"page":"470-488","title":"Biological composition communities trait of European stream invertebrate: the effects of various trait filter assessing types","type":"article-journal","volume":"27"},"uris":["http://www.mendeley.com/documents/?uuid=2bc64ce2-3dab-4079-948c-ef14ea640cff"]}],"mendeley":{"formattedCitation":"(Statzner et al. 2004, Heino et al. 2013, Dodds et al. 2015)","plainTextFormattedCitation":"(Statzner et al. 2004, Heino et al. 2013, Dodds et al. 2015)","previouslyFormattedCitation":"(Statzner et al. 2004, Heino et al. 2013, Dodds et al. 2015)"},"properties":{"noteIndex":0},"schema":"https://github.com/citation-style-language/schema/raw/master/csl-citation.json"}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(Statzner et al. 2004, Heino et al. 2013, Dodds et al. 2015)</w:t>
      </w:r>
      <w:r>
        <w:rPr>
          <w:rFonts w:eastAsia="Times New Roman" w:cs="Times New Roman"/>
          <w:szCs w:val="24"/>
        </w:rPr>
        <w:fldChar w:fldCharType="end"/>
      </w:r>
      <w:r>
        <w:rPr>
          <w:rFonts w:eastAsia="Times New Roman" w:cs="Times New Roman"/>
          <w:szCs w:val="24"/>
        </w:rPr>
        <w:t xml:space="preserve">. For example, traits for faster development and greater dispersal abilities typically persist in unpredictable environments because they promote avoidance of, and/or recolonization after, floods and droughts </w:t>
      </w:r>
      <w:r>
        <w:rPr>
          <w:rFonts w:eastAsia="Times New Roman" w:cs="Times New Roman"/>
          <w:szCs w:val="24"/>
        </w:rPr>
        <w:fldChar w:fldCharType="begin" w:fldLock="1"/>
      </w:r>
      <w:r w:rsidR="00306019">
        <w:rPr>
          <w:rFonts w:eastAsia="Times New Roman" w:cs="Times New Roman"/>
          <w:szCs w:val="24"/>
        </w:rPr>
        <w:instrText>ADDIN CSL_CITATION {"citationItems":[{"id":"ITEM-1","itemData":{"author":[{"dropping-particle":"","family":"Townsend","given":"Colin R.","non-dropping-particle":"","parse-names":false,"suffix":""},{"dropping-particle":"","family":"Hildrew","given":"Alan G.","non-dropping-particle":"","parse-names":false,"suffix":""}],"container-title":"Freshwater Biology","id":"ITEM-1","issued":{"date-parts":[["1994"]]},"page":"265 - 275","title":"Species Traits in relation to a habitat templet for river systems","type":"article-journal","volume":"31"},"uris":["http://www.mendeley.com/documents/?uuid=31884709-384d-4dfa-935a-0052f9adc9aa"]},{"id":"ITEM-2","itemData":{"DOI":"10.1899/10-030.1","ISSN":"0887-3593","abstract":"Forecasting responses of benthic community structure and function to anthropogenic climate change is an emerging scientific challenge. Characterizing benthic species by biological attributes (traits) that are responsive to temperature and streamflow conditions can support a mechanistic approach for assessing the potential ecological responses to climate change. However, nonclimatic environmental factors also structure benthic communities and may mitigate transient climatic conditions, and these must be considered in evaluating potential impacts of climate change. Here we used macroinvertebrate and environmental data for 279 reference-quality sites spanning 12 states in the western US. For each sampling location, we described 45 environmental variables that spanned reach to catchment scales and that represented contemporary climate drivers, hydrologic metrics, and nonclimatic habitat features, as well as purely spatial metrics. We described benthic community composition at each site in terms of 7 species traits, including those considered sensitive to temperature increases and streamflow changes. All combined environmental variables explained 67% of the total trait variation across the sites, and catchment-scale climatic and hydrologic variables independently accounted for 19%. Sites were clustered into 3 community types based on trait composition, and a classification-tree analysis confirmed that climatic and hydrologic variables were important in partitioning these groups. Sensitivity of benthic communities to projected climate change was assessed by quantifying the proportion of taxa at sites having the traits of either cold stenothermy or obligate rheophily. Regression-tree analysis showed that temperature and hydrologic variables mostly accounted for the differences in proportion of sensitivity traits across the sites. We examined the vulnerability of sites to climate change by superimposing regional-scale projections of late-21(st)-century temperature and runoff change on the spatial distribution of temperature- and runoff-sensitive assemblages. Sites with high proportions of cold stenotherms and obligate rheophiles occur throughout the western US, but the degree of temperature and runoff change is projected to be greatest for reference sites in the Upper Colorado River and Great Basin. Thus, our results suggest that traits-based sensitivity coupled with intraregional variation in projected changes in temperature and runoff will cause reference sit…","author":[{"dropping-particle":"","family":"Poff","given":"N. LeRoy","non-dropping-particle":"","parse-names":false,"suffix":""},{"dropping-particle":"","family":"Bledsoe","given":"Brian P.","non-dropping-particle":"","parse-names":false,"suffix":""},{"dropping-particle":"","family":"Pyne","given":"Matthew I.","non-dropping-particle":"","parse-names":false,"suffix":""},{"dropping-particle":"","family":"Cuhaciyan","given":"Christopher C.","non-dropping-particle":"","parse-names":false,"suffix":""},{"dropping-particle":"","family":"Carlisle","given":"Daren M.","non-dropping-particle":"","parse-names":false,"suffix":""}],"container-title":"Journal of the North American Benthological Society","id":"ITEM-2","issue":"4","issued":{"date-parts":[["2010"]]},"page":"1441-1458","title":"Developing linkages between species traits and multiscaled environmental variation to explore vulnerability of stream benthic communities to climate change","type":"article-journal","volume":"29"},"uris":["http://www.mendeley.com/documents/?uuid=b7a05844-653c-46ca-914a-621d4ee92b24"]},{"id":"ITEM-3","itemData":{"DOI":"10.1111/ele.12918","ISSN":"14610248","abstract":"The ecological and evolutionary consequences of extreme events are poorly understood. Here, we tested predictions about species persistence and population genomic change in aquatic insects in 14 Colorado mountain streams across a hydrological disturbance gradient caused by a one in 500-year rainfall event. Taxa persistence ranged from 39 to 77% across sites and declined with increasing disturbance in relation to species' resistance and resilience traits. For taxa with mobile larvae and terrestrial adult stages present at the time of the flood, average persistence was 84% compared to 25% for immobile taxa that lacked terrestrial adults. For two of six species analysed, genomic diversity (allelic richness) declined after the event. For one species it greatly expanded, suggesting resilience via re-colonisation from upstream populations. Thus, while resistance and resilience traits can explain species persistence to extreme disturbance, population genomic change varies among species, challenging generalisations about evolutionary responses to extreme events at landscape scales.","author":[{"dropping-particle":"","family":"Poff","given":"N. Le Roy","non-dropping-particle":"","parse-names":false,"suffix":""},{"dropping-particle":"","family":"Larson","given":"Erin I.","non-dropping-particle":"","parse-names":false,"suffix":""},{"dropping-particle":"","family":"Salerno","given":"Patricia E.","non-dropping-particle":"","parse-names":false,"suffix":""},{"dropping-particle":"","family":"Morton","given":"Scott G.","non-dropping-particle":"","parse-names":false,"suffix":""},{"dropping-particle":"","family":"Kondratieff","given":"Boris C.","non-dropping-particle":"","parse-names":false,"suffix":""},{"dropping-particle":"","family":"Flecker","given":"Alexander S.","non-dropping-particle":"","parse-names":false,"suffix":""},{"dropping-particle":"","family":"Zamudio","given":"Kelly R.","non-dropping-particle":"","parse-names":false,"suffix":""},{"dropping-particle":"","family":"Funk","given":"W. Chris","non-dropping-particle":"","parse-names":false,"suffix":""}],"container-title":"Ecology Letters","id":"ITEM-3","issue":"4","issued":{"date-parts":[["2018"]]},"page":"525-535","title":"Extreme streams: species persistence and genomic change in montane insect populations across a flooding gradient","type":"article-journal","volume":"21"},"uris":["http://www.mendeley.com/documents/?uuid=00f13b7a-bcf6-4d0a-8960-db285a6597e6"]}],"mendeley":{"formattedCitation":"(Townsend and Hildrew 1994, Poff et al. 2010, 2018)","plainTextFormattedCitation":"(Townsend and Hildrew 1994, Poff et al. 2010, 2018)","previouslyFormattedCitation":"(Townsend and Hildrew 1994, Poff et al. 2010,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(Townsend and Hildrew 1994, Poff et al. 2010, 2018)</w:t>
      </w:r>
      <w:r>
        <w:rPr>
          <w:rFonts w:eastAsia="Times New Roman" w:cs="Times New Roman"/>
          <w:szCs w:val="24"/>
        </w:rPr>
        <w:fldChar w:fldCharType="end"/>
      </w:r>
      <w:r>
        <w:rPr>
          <w:rFonts w:eastAsia="Times New Roman" w:cs="Times New Roman"/>
          <w:szCs w:val="24"/>
        </w:rPr>
        <w:t xml:space="preserve">. Similarly, agriculture and urbanization impairs water quality, favoring pollutant tolerant taxa with smaller body size and shorter generation times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Sciences","id":"ITEM-1","issue":"2","issued":{"date-parts":[["2018"]]},"page":"1-12","publisher":"Springer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webs","type":"article-journal","volume":"80"},"uris":["http://www.mendeley.com/documents/?uuid=67fc583f-51d9-4b7d-a1a6-7d317ba3725d"]},{"id":"ITEM-2","itemData":{"DOI":"10.1146/annurev.ecolsys.35.120202.110122","ISBN":"1543-592X","ISSN":"1543-592X","PMID":"68","abstract":"Local habitat and biological diversity of streams and rivers are strongly influenced by landform and land use within the surrounding valley at multiple scales. However, empirical associations between land use and stream response only varyingly succeed in implicating pathways of influence. This is the case for a number of reasons, including (a) covariation of anthropogenic and natural gradients in the landscape; (b) the existence of multiple, scale-dependent mechanisms; (c) nonlinear responses; and (d) the difficulties of separating present-day from historical influences. Further research is needed that examines responses to land use under different management strategies and that employs response variables that have greater diagnostic value than many of the aggregated measures in current use.","author":[{"dropping-particle":"","family":"Allan","given":"J. David","non-dropping-particle":"","parse-names":false,"suffix":""}],"container-title":"Annual Review of Ecology, Evolution, and Systematics","id":"ITEM-2","issue":"1","issued":{"date-parts":[["2004"]]},"page":"257-284","title":"Landscapes and Riverscapes: The Influence of Land Use on Stream Ecosystems","type":"article-journal","volume":"35"},"uris":["http://www.mendeley.com/documents/?uuid=c5700772-7e65-49ff-bb67-8a5a94db50c5"]}],"mendeley":{"formattedCitation":"(Allan 2004, McKie et al. 2018)","plainTextFormattedCitation":"(Allan 2004, McKie et al. 2018)","previouslyFormattedCitation":"(Allan 2004, McKie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(Allan 2004, McKie et al. 2018)</w:t>
      </w:r>
      <w:r>
        <w:rPr>
          <w:rFonts w:eastAsia="Times New Roman" w:cs="Times New Roman"/>
          <w:szCs w:val="24"/>
        </w:rPr>
        <w:fldChar w:fldCharType="end"/>
      </w:r>
      <w:r>
        <w:rPr>
          <w:rFonts w:eastAsia="Times New Roman" w:cs="Times New Roman"/>
          <w:szCs w:val="24"/>
        </w:rPr>
        <w:t xml:space="preserve">. At larger spatial scales trait composition may depend on environmental legacies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{"citationItems":[{"id":"ITEM-1","itemData":{"DOI":"10.1046/j.1365-294X.2003.02035.x","ISSN":"09621083","abstract":"The Mediterranean basin is an area of high diversity and endemicity, but the age and origin of its fauna are still largely unknown. Here we use species-level phylogenies based on ≈ 1300 base pairs of the genes 16S rRNA and cytochrome oxidase I to establish the relationships of 27 of the 34 endemic Iberian species of diving beetles in the family Dytiscidae, and to investigate their level of divergence. Using a molecular clock approach, 18-19 of these species were estimated to be of Pleistocene origin, with four to six of them from the Late Pleistocene (≈ 100 000 years). A second, lower speciation frequency peak was assigned to Late Miocene or Early Pliocene. Analysis of the distributional ranges showed that endemic species placed in the tip nodes of the trees are significantly more likely to be allopatric with their sisters than endemic species at lower node levels. Allopatric sister species are also significantly younger than sympatric clades, in agreement with an allopatric mode of speciation and limited subsequent range movement. These results strongly suggest that for some taxa Iberian populations were isolated during the Pleistocene long enough to speciate, and apparently did not expand their ranges to recolonize areas north of the Pyrenees. This is in contradiction to observations from fossil beetles in areas further north, which document large range movements associated with the Pleistocene glacial cycles hypothesized to suppress population isolation and allopatric speciation.","author":[{"dropping-particle":"","family":"Ribera","given":"Ignacio","non-dropping-particle":"","parse-names":false,"suffix":""},{"dropping-particle":"","family":"Vogler","given":"Alfried P.","non-dropping-particle":"","parse-names":false,"suffix":""}],"container-title":"Molecular Ecology","id":"ITEM-1","issue":"1","issued":{"date-parts":[["2004"]]},"page":"179-193","title":"Speciation of Iberian diving beetles in Pleistocene refugia (Coleoptera, Dytiscidae)","type":"article-journal","volume":"13"},"uris":["http://www.mendeley.com/documents/?uuid=22295a08-95b9-4313-a90d-7b0642c01289"]}],"mendeley":{"formattedCitation":"(Ribera and Vogler 2004)","manualFormatting":"(e.g. past glaciation; Ribera and Vogler 2004)","plainTextFormattedCitation":"(Ribera and Vogler 2004)","previouslyFormattedCitation":"(Ribera and Vogler 2004)"},"properties":{"noteIndex":0},"schema":"https://github.com/citation-style-language/schema/raw/master/csl-citation.json"}</w:instrText>
      </w:r>
      <w:r>
        <w:rPr>
          <w:rFonts w:eastAsia="Times New Roman" w:cs="Times New Roman"/>
          <w:szCs w:val="24"/>
        </w:rPr>
        <w:fldChar w:fldCharType="separate"/>
      </w:r>
      <w:r w:rsidRPr="00616984">
        <w:rPr>
          <w:rFonts w:eastAsia="Times New Roman" w:cs="Times New Roman"/>
          <w:noProof/>
          <w:szCs w:val="24"/>
        </w:rPr>
        <w:t>(</w:t>
      </w:r>
      <w:r>
        <w:rPr>
          <w:rFonts w:eastAsia="Times New Roman" w:cs="Times New Roman"/>
          <w:noProof/>
          <w:szCs w:val="24"/>
        </w:rPr>
        <w:t xml:space="preserve">e.g. past glaciation; </w:t>
      </w:r>
      <w:r w:rsidRPr="00616984">
        <w:rPr>
          <w:rFonts w:eastAsia="Times New Roman" w:cs="Times New Roman"/>
          <w:noProof/>
          <w:szCs w:val="24"/>
        </w:rPr>
        <w:t>Ribera and Vogler 2004)</w:t>
      </w:r>
      <w:r>
        <w:rPr>
          <w:rFonts w:eastAsia="Times New Roman" w:cs="Times New Roman"/>
          <w:szCs w:val="24"/>
        </w:rPr>
        <w:fldChar w:fldCharType="end"/>
      </w:r>
      <w:r>
        <w:rPr>
          <w:rFonts w:eastAsia="Times New Roman" w:cs="Times New Roman"/>
          <w:szCs w:val="24"/>
        </w:rPr>
        <w:t xml:space="preserve"> or the regional species pool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{"citationItems":[{"id":"ITEM-1","itemData":{"DOI":"10.1111/fwb.12164","ISBN":"1365-2427","ISSN":"00465070","PMID":"2339","abstract":"Other than some classical ideas, large-scale approaches to understand variation in organismal traits (or the trait composition of an ecological community) across stream ecosystems are rather recent. Recent case studies and review papers show clear evidence for the usefulness of trait-based analyses in bioassessment, but how community traits vary along natural gradients at large scales has not yet been synthesised. Here, we attempt to fill this gap by providing a synthesis of trait patterns of stream communities from a macroecological perspective. We argue that although both natural and anthropogenic filters shape community traits, examination of poorly understood natural filters, including those acting at large scales, should receive increasing attention. Such knowledge is vital for reliably inferring anthropogenic impacts on stream communities and ecosystems. We synthesise knowledge of two large-scale spatial patterns of stream communities: among drainage basins (i.e. geographical variation) and within drainage basins (i.e. longitudinal variation). We also examine the temporal dimension of organismal traits. Our review highlights clear evidence for large-scale influences on the trait composition in stream systems. For example, despite previous contentions that organismal traits should vary negligibly across large geographical gradients, there is actually clear geographical variation across near-pristine systems. Furthermore, in accordance with theory, organismal traits in actual data sets vary along the longitudinal gradient of stream systems. We provide an overview of empirical and statistical approaches to understanding the trait composition of stream communities in macroecological studies and conclude that the methodology should be carefully considered in comparisons among studies, because contrasting results may reflect not only ecological differences but also differences in methodology (e.g. choice of species traits, trait quantification and analytical methods). We conclude that the question of how the trait composition of stream communities varies along geographical and environmental gradients is far from settled. A challenge for large-scale stream ecology is to provide a more specific view of trait variation in multiple taxonomic groups (e.g. do traits vary similarly in different organisms groups?), along major environmental gradients (e.g. is trait variation similar along the same environmental gradients in different regions?) and among differe…","author":[{"dropping-particle":"","family":"Heino","given":"Jani","non-dropping-particle":"","parse-names":false,"suffix":""},{"dropping-particle":"","family":"Schmera","given":"Dénes","non-dropping-particle":"","parse-names":false,"suffix":""},{"dropping-particle":"","family":"Eros","given":"Tibor","non-dropping-particle":"","parse-names":false,"suffix":""}],"container-title":"Freshwater Biology","id":"ITEM-1","issue":"8","issued":{"date-parts":[["2013"]]},"page":"1539-1555","title":"A macroecological perspective of trait patterns in stream communities","type":"article-journal","volume":"58"},"uris":["http://www.mendeley.com/documents/?uuid=c3e9f083-f81c-4e1b-a6b2-ef60c260652c"]}],"mendeley":{"formattedCitation":"(Heino et al. 2013)","plainTextFormattedCitation":"(Heino et al. 2013)","previouslyFormattedCitation":"(Heino et al. 2013)"},"properties":{"noteIndex":0},"schema":"https://github.com/citation-style-language/schema/raw/master/csl-citation.json"}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(Heino et al. 2013)</w:t>
      </w:r>
      <w:r>
        <w:rPr>
          <w:rFonts w:eastAsia="Times New Roman" w:cs="Times New Roman"/>
          <w:szCs w:val="24"/>
        </w:rPr>
        <w:fldChar w:fldCharType="end"/>
      </w:r>
      <w:r>
        <w:rPr>
          <w:rFonts w:eastAsia="Times New Roman" w:cs="Times New Roman"/>
          <w:szCs w:val="24"/>
        </w:rPr>
        <w:t>. Thus, evaluating trait-environment relationships for in-stream macroinvertebrate communities should be useful for anticipating how spatial and temporal subsidy characteristics might be impacted by global change</w:t>
      </w:r>
      <w:r w:rsidRPr="00581B4D">
        <w:rPr>
          <w:rFonts w:eastAsia="Times New Roman" w:cs="Times New Roman"/>
          <w:szCs w:val="24"/>
        </w:rPr>
        <w:t xml:space="preserve">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change","type":"article-journal","volume":"22"},"uris":["http://www.mendeley.com/documents/?uuid=276fe761-5a80-4012-a137-397d1f4e806c"]}],"mendeley":{"formattedCitation":"(Larsen et al. 2016)","plainTextFormattedCitation":"(Larsen et al. 2016)","previouslyFormattedCitation":"(Larsen et al. 2016)"},"properties":{"noteIndex":0},"schema":"https://github.com/citation-style-language/schema/raw/master/csl-citation.json"}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(Larsen et al. 2016)</w:t>
      </w:r>
      <w:r>
        <w:rPr>
          <w:rFonts w:eastAsia="Times New Roman" w:cs="Times New Roman"/>
          <w:szCs w:val="24"/>
        </w:rPr>
        <w:fldChar w:fldCharType="end"/>
      </w:r>
      <w:r>
        <w:rPr>
          <w:rFonts w:eastAsia="Times New Roman" w:cs="Times New Roman"/>
          <w:szCs w:val="24"/>
        </w:rPr>
        <w:t xml:space="preserve">. </w:t>
      </w:r>
    </w:p>
    <w:p w14:paraId="7616E58F" w14:textId="1EE5D29E" w:rsidR="00333AA3" w:rsidRDefault="00333AA3" w:rsidP="00725791">
      <w:pPr>
        <w:spacing w:line="480" w:lineRule="auto"/>
        <w:ind w:firstLine="720"/>
        <w:contextualSpacing/>
        <w:rPr>
          <w:rFonts w:eastAsia="Times New Roman" w:cs="Times New Roman"/>
          <w:szCs w:val="24"/>
        </w:rPr>
      </w:pPr>
      <w:r>
        <w:rPr>
          <w:rFonts w:eastAsia="Times New Roman" w:cs="Times New Roman"/>
          <w:szCs w:val="24"/>
        </w:rPr>
        <w:lastRenderedPageBreak/>
        <w:t xml:space="preserve">Here, we evaluate nine univariate trait-environment relationships for traits that could regulate the supply, extent and duration of aquatic insect subsidies in terrestrial ecosystems (Table 1). Our primary objectives were to: 1) develop a framework to assess large-scale geographic variation in the potential spatial and temporal characteristics of aquatic insect subsidies and 2) evaluate the relative importance of environmental (natural and anthropogenic) and geographical gradients in driving variation in trait composition of benthic macroinvertebrate communities (Figure S1). Because traits reflect an organism’s adaptation to their environment, trait composition should </w:t>
      </w:r>
      <w:proofErr w:type="spellStart"/>
      <w:r>
        <w:rPr>
          <w:rFonts w:eastAsia="Times New Roman" w:cs="Times New Roman"/>
          <w:szCs w:val="24"/>
        </w:rPr>
        <w:t>covary</w:t>
      </w:r>
      <w:proofErr w:type="spellEnd"/>
      <w:r>
        <w:rPr>
          <w:rFonts w:eastAsia="Times New Roman" w:cs="Times New Roman"/>
          <w:szCs w:val="24"/>
        </w:rPr>
        <w:t xml:space="preserve"> with geographic variation in environmental and anthropogenic land use gradients. By synthesizing a national survey of benthic macroinvertebrate communities with a biological traits database, our results can be used to develop hypotheses about the spatial and temporal heterogeneity of aquatic insect subsidies and the potential connectivity between ecosystems. </w:t>
      </w:r>
    </w:p>
    <w:p w14:paraId="71CDA82D" w14:textId="77777777" w:rsidR="00725791" w:rsidRDefault="00725791" w:rsidP="00725791">
      <w:pPr>
        <w:spacing w:line="480" w:lineRule="auto"/>
        <w:ind w:firstLine="720"/>
        <w:contextualSpacing/>
        <w:rPr>
          <w:rFonts w:eastAsia="Times New Roman" w:cs="Times New Roman"/>
          <w:szCs w:val="24"/>
        </w:rPr>
      </w:pPr>
    </w:p>
    <w:p w14:paraId="07B71EF4" w14:textId="172B30A3" w:rsidR="00725791" w:rsidRPr="00725791" w:rsidRDefault="00333AA3" w:rsidP="00725791">
      <w:pPr>
        <w:pStyle w:val="Heading2"/>
        <w:spacing w:line="480" w:lineRule="auto"/>
        <w:contextualSpacing/>
        <w:rPr>
          <w:rFonts w:eastAsia="Times New Roman"/>
        </w:rPr>
      </w:pPr>
      <w:bookmarkStart w:id="41" w:name="_Toc60841220"/>
      <w:r w:rsidRPr="002E4A53">
        <w:t>Methods</w:t>
      </w:r>
      <w:bookmarkEnd w:id="41"/>
      <w:r w:rsidRPr="007E4519">
        <w:rPr>
          <w:rFonts w:eastAsia="Times New Roman"/>
        </w:rPr>
        <w:t xml:space="preserve"> </w:t>
      </w:r>
      <w:r>
        <w:rPr>
          <w:rFonts w:eastAsia="Times New Roman"/>
        </w:rPr>
        <w:t xml:space="preserve"> </w:t>
      </w:r>
    </w:p>
    <w:p w14:paraId="0E2CBEBF" w14:textId="77777777" w:rsidR="00333AA3" w:rsidRPr="0002703E" w:rsidRDefault="00333AA3" w:rsidP="00725791">
      <w:pPr>
        <w:spacing w:line="480" w:lineRule="auto"/>
        <w:contextualSpacing/>
        <w:rPr>
          <w:rFonts w:cs="Times New Roman"/>
          <w:i/>
          <w:szCs w:val="24"/>
        </w:rPr>
      </w:pPr>
      <w:r>
        <w:rPr>
          <w:rFonts w:cs="Times New Roman"/>
          <w:i/>
          <w:szCs w:val="24"/>
        </w:rPr>
        <w:t xml:space="preserve">Supply, extent </w:t>
      </w:r>
      <w:r w:rsidRPr="00FF2BF7">
        <w:rPr>
          <w:rFonts w:cs="Times New Roman"/>
          <w:i/>
          <w:szCs w:val="24"/>
        </w:rPr>
        <w:t>and duration of subsidies</w:t>
      </w:r>
    </w:p>
    <w:p w14:paraId="659E6393" w14:textId="332E6FC3" w:rsidR="00333AA3" w:rsidRPr="00DE1C4E" w:rsidRDefault="00333AA3" w:rsidP="00333AA3">
      <w:pPr>
        <w:spacing w:line="480" w:lineRule="auto"/>
        <w:ind w:firstLine="720"/>
        <w:contextualSpacing/>
        <w:rPr>
          <w:rFonts w:cs="Times New Roman"/>
          <w:szCs w:val="24"/>
        </w:rPr>
      </w:pPr>
      <w:r w:rsidRPr="00FF2BF7">
        <w:rPr>
          <w:rFonts w:cs="Times New Roman"/>
          <w:szCs w:val="24"/>
        </w:rPr>
        <w:t xml:space="preserve">We used the </w:t>
      </w:r>
      <w:r>
        <w:rPr>
          <w:rFonts w:cs="Times New Roman"/>
          <w:szCs w:val="24"/>
        </w:rPr>
        <w:t>National Rivers and Streams Assessment (NRSA</w:t>
      </w:r>
      <w:r>
        <w:rPr>
          <w:rFonts w:cs="Times New Roman"/>
          <w:szCs w:val="24"/>
        </w:rPr>
        <w:fldChar w:fldCharType="begin" w:fldLock="1"/>
      </w:r>
      <w:r w:rsidR="00306019">
        <w:rPr>
          <w:rFonts w:cs="Times New Roman"/>
          <w:szCs w:val="24"/>
        </w:rPr>
        <w:instrText>ADDIN CSL_CITATION {"citationItems":[{"id":"ITEM-1","itemData":{"DOI":"EPA/841/R-16/008","abstract":"Acknowledgements This report resulted from a groundbreaking collaboration to monitor and assess the nation's rivers and streams. The U.S. Environmental Protection Agency (EPA) Office of Water (OW) would like to thank the many participants who contributed to this important effort. Without the collaborative efforts and support from state and tribal environmental agencies, federal agencies, universities and other organizations, this significant assessment of the nation's rivers and streams would not have been possible. EPA OW would like to thank the field crews, biologists, taxonomists, laboratory staff, data analysts, program administrators, EPA regional coordinators, statisticians, quality control staff, data management staff and many reviewers for their dedication and hard work. Your collective efforts made this report possible. To the many hundreds of participants, EPA expresses its profound thanks and gratitude.","author":[{"dropping-particle":"","family":"U.S. EPA","given":"","non-dropping-particle":"","parse-names":false,"suffix":""}],"id":"ITEM-1","issue":"March","issued":{"date-parts":[["2016"]]},"number-of-pages":"140","title":"National Rivers and Streams Assessment 2008-2009: Technical Report, Office of Water and Office of Research and Development, Washington, DC EPA-841-R-16-008","type":"report"},"uris":["http://www.mendeley.com/documents/?uuid=0895abcd-10d3-450c-866a-0a52a3a681ef"]}],"mendeley":{"formattedCitation":"(U.S. EPA 2016a)","manualFormatting":"; U.S. EPA 2016a)","plainTextFormattedCitation":"(U.S. EPA 2016a)","previouslyFormattedCitation":"(U.S. EPA 2016a)"},"properties":{"noteIndex":0},"schema":"https://github.com/citation-style-language/schema/raw/master/csl-citation.json"}</w:instrText>
      </w:r>
      <w:r>
        <w:rPr>
          <w:rFonts w:cs="Times New Roman"/>
          <w:szCs w:val="24"/>
        </w:rPr>
        <w:fldChar w:fldCharType="separate"/>
      </w:r>
      <w:r>
        <w:rPr>
          <w:rFonts w:cs="Times New Roman"/>
          <w:noProof/>
          <w:szCs w:val="24"/>
        </w:rPr>
        <w:t xml:space="preserve">; </w:t>
      </w:r>
      <w:r w:rsidRPr="00BF08F0">
        <w:rPr>
          <w:rFonts w:cs="Times New Roman"/>
          <w:noProof/>
          <w:szCs w:val="24"/>
        </w:rPr>
        <w:t>U</w:t>
      </w:r>
      <w:r>
        <w:rPr>
          <w:rFonts w:cs="Times New Roman"/>
          <w:noProof/>
          <w:szCs w:val="24"/>
        </w:rPr>
        <w:t>.</w:t>
      </w:r>
      <w:r w:rsidRPr="00BF08F0">
        <w:rPr>
          <w:rFonts w:cs="Times New Roman"/>
          <w:noProof/>
          <w:szCs w:val="24"/>
        </w:rPr>
        <w:t>S</w:t>
      </w:r>
      <w:r>
        <w:rPr>
          <w:rFonts w:cs="Times New Roman"/>
          <w:noProof/>
          <w:szCs w:val="24"/>
        </w:rPr>
        <w:t xml:space="preserve">. </w:t>
      </w:r>
      <w:r w:rsidRPr="00BF08F0">
        <w:rPr>
          <w:rFonts w:cs="Times New Roman"/>
          <w:noProof/>
          <w:szCs w:val="24"/>
        </w:rPr>
        <w:t>EPA 2016</w:t>
      </w:r>
      <w:r>
        <w:rPr>
          <w:rFonts w:cs="Times New Roman"/>
          <w:noProof/>
          <w:szCs w:val="24"/>
        </w:rPr>
        <w:t>a</w:t>
      </w:r>
      <w:r w:rsidRPr="00BF08F0">
        <w:rPr>
          <w:rFonts w:cs="Times New Roman"/>
          <w:noProof/>
          <w:szCs w:val="24"/>
        </w:rPr>
        <w:t>)</w:t>
      </w:r>
      <w:r>
        <w:rPr>
          <w:rFonts w:cs="Times New Roman"/>
          <w:szCs w:val="24"/>
        </w:rPr>
        <w:fldChar w:fldCharType="end"/>
      </w:r>
      <w:r>
        <w:rPr>
          <w:rFonts w:cs="Times New Roman"/>
          <w:szCs w:val="24"/>
        </w:rPr>
        <w:t xml:space="preserve"> benthic macroinvertebrate surveys </w:t>
      </w:r>
      <w:r w:rsidRPr="00FF2BF7">
        <w:rPr>
          <w:rFonts w:cs="Times New Roman"/>
          <w:szCs w:val="24"/>
        </w:rPr>
        <w:t xml:space="preserve">to generate nine metrics related to the supply, extent and duration of aquatic </w:t>
      </w:r>
      <w:r>
        <w:rPr>
          <w:rFonts w:cs="Times New Roman"/>
          <w:szCs w:val="24"/>
        </w:rPr>
        <w:t xml:space="preserve">insect </w:t>
      </w:r>
      <w:r w:rsidRPr="00FF2BF7">
        <w:rPr>
          <w:rFonts w:cs="Times New Roman"/>
          <w:szCs w:val="24"/>
        </w:rPr>
        <w:t>subsidies</w:t>
      </w:r>
      <w:r>
        <w:rPr>
          <w:rFonts w:cs="Times New Roman"/>
          <w:szCs w:val="24"/>
        </w:rPr>
        <w:t xml:space="preserve"> (Table 1)</w:t>
      </w:r>
      <w:r w:rsidRPr="00FF2BF7">
        <w:rPr>
          <w:rFonts w:cs="Times New Roman"/>
          <w:szCs w:val="24"/>
        </w:rPr>
        <w:t>.</w:t>
      </w:r>
      <w:r>
        <w:rPr>
          <w:rFonts w:cs="Times New Roman"/>
          <w:szCs w:val="24"/>
        </w:rPr>
        <w:t xml:space="preserve"> The primary goal of the NRSA is to conduct biological assessments of flowing waters in the US </w:t>
      </w:r>
      <w:r>
        <w:rPr>
          <w:rFonts w:cs="Times New Roman"/>
          <w:szCs w:val="24"/>
        </w:rPr>
        <w:fldChar w:fldCharType="begin" w:fldLock="1"/>
      </w:r>
      <w:r w:rsidR="00306019">
        <w:rPr>
          <w:rFonts w:cs="Times New Roman"/>
          <w:szCs w:val="24"/>
        </w:rPr>
        <w:instrText>ADDIN CSL_CITATION {"citationItems":[{"id":"ITEM-1","itemData":{"DOI":"EPA/841/R-16/008","abstract":"Acknowledgements This report resulted from a groundbreaking collaboration to monitor and assess the nation's rivers and streams. The U.S. Environmental Protection Agency (EPA) Office of Water (OW) would like to thank the many participants who contributed to this important effort. Without the collaborative efforts and support from state and tribal environmental agencies, federal agencies, universities and other organizations, this significant assessment of the nation's rivers and streams would not have been possible. EPA OW would like to thank the field crews, biologists, taxonomists, laboratory staff, data analysts, program administrators, EPA regional coordinators, statisticians, quality control staff, data management staff and many reviewers for their dedication and hard work. Your collective efforts made this report possible. To the many hundreds of participants, EPA expresses its profound thanks and gratitude.","author":[{"dropping-particle":"","family":"U.S. EPA","given":"","non-dropping-particle":"","parse-names":false,"suffix":""}],"id":"ITEM-1","issue":"March","issued":{"date-parts":[["2016"]]},"number-of-pages":"140","title":"National Rivers and Streams Assessment 2008-2009: Technical Report, Office of Water and Office of Research and Development, Washington, DC EPA-841-R-16-008","type":"report"},"uris":["http://www.mendeley.com/documents/?uuid=0895abcd-10d3-450c-866a-0a52a3a681ef"]}],"mendeley":{"formattedCitation":"(U.S. EPA 2016a)","plainTextFormattedCitation":"(U.S. EPA 2016a)","previouslyFormattedCitation":"(U.S. EPA 2016a)"},"properties":{"noteIndex":0},"schema":"https://github.com/citation-style-language/schema/raw/master/csl-citation.json"}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(U.S. EPA 2016a)</w:t>
      </w:r>
      <w:r>
        <w:rPr>
          <w:rFonts w:cs="Times New Roman"/>
          <w:szCs w:val="24"/>
        </w:rPr>
        <w:fldChar w:fldCharType="end"/>
      </w:r>
      <w:r>
        <w:rPr>
          <w:rFonts w:cs="Times New Roman"/>
          <w:szCs w:val="24"/>
        </w:rPr>
        <w:t xml:space="preserve">. As part of this national effort, NRSA collected composite benthic macroinvertebrate samples and physical habitat data (described below) from 1,924 stream reaches throughout the contiguous US between May and September 2008-2009 (Figure S2). Benthic macroinvertebrates samples containing &gt; 300 individuals were </w:t>
      </w:r>
      <w:r>
        <w:rPr>
          <w:rFonts w:cs="Times New Roman"/>
          <w:szCs w:val="24"/>
        </w:rPr>
        <w:lastRenderedPageBreak/>
        <w:t>subsampled to a fixed number of individuals (typically 300;</w:t>
      </w:r>
      <w:r>
        <w:rPr>
          <w:rFonts w:cs="Times New Roman"/>
          <w:szCs w:val="24"/>
        </w:rPr>
        <w:fldChar w:fldCharType="begin" w:fldLock="1"/>
      </w:r>
      <w:r w:rsidR="00306019">
        <w:rPr>
          <w:rFonts w:cs="Times New Roman"/>
          <w:szCs w:val="24"/>
        </w:rPr>
        <w:instrText>ADDIN CSL_CITATION {"citationItems":[{"id":"ITEM-1","itemData":{"DOI":"EPA/841/R-16/008","abstract":"Acknowledgements This report resulted from a groundbreaking collaboration to monitor and assess the nation's rivers and streams. The U.S. Environmental Protection Agency (EPA) Office of Water (OW) would like to thank the many participants who contributed to this important effort. Without the collaborative efforts and support from state and tribal environmental agencies, federal agencies, universities and other organizations, this significant assessment of the nation's rivers and streams would not have been possible. EPA OW would like to thank the field crews, biologists, taxonomists, laboratory staff, data analysts, program administrators, EPA regional coordinators, statisticians, quality control staff, data management staff and many reviewers for their dedication and hard work. Your collective efforts made this report possible. To the many hundreds of participants, EPA expresses its profound thanks and gratitude.","author":[{"dropping-particle":"","family":"U.S. EPA","given":"","non-dropping-particle":"","parse-names":false,"suffix":""}],"id":"ITEM-1","issue":"March","issued":{"date-parts":[["2016"]]},"number-of-pages":"140","title":"National Rivers and Streams Assessment 2008-2009: Technical Report, Office of Water and Office of Research and Development, Washington, DC EPA-841-R-16-008","type":"report"},"uris":["http://www.mendeley.com/documents/?uuid=0895abcd-10d3-450c-866a-0a52a3a681ef"]}],"mendeley":{"formattedCitation":"(U.S. EPA 2016a)","manualFormatting":" U.S.EPA 2016a)","plainTextFormattedCitation":"(U.S. EPA 2016a)","previouslyFormattedCitation":"(U.S. EPA 2016a)"},"properties":{"noteIndex":0},"schema":"https://github.com/citation-style-language/schema/raw/master/csl-citation.json"}</w:instrText>
      </w:r>
      <w:r>
        <w:rPr>
          <w:rFonts w:cs="Times New Roman"/>
          <w:szCs w:val="24"/>
        </w:rPr>
        <w:fldChar w:fldCharType="separate"/>
      </w:r>
      <w:r>
        <w:rPr>
          <w:rFonts w:cs="Times New Roman"/>
          <w:noProof/>
          <w:szCs w:val="24"/>
        </w:rPr>
        <w:t xml:space="preserve"> </w:t>
      </w:r>
      <w:r w:rsidRPr="00BF187E">
        <w:rPr>
          <w:rFonts w:cs="Times New Roman"/>
          <w:noProof/>
          <w:szCs w:val="24"/>
        </w:rPr>
        <w:t>U</w:t>
      </w:r>
      <w:r>
        <w:rPr>
          <w:rFonts w:cs="Times New Roman"/>
          <w:noProof/>
          <w:szCs w:val="24"/>
        </w:rPr>
        <w:t>.</w:t>
      </w:r>
      <w:r w:rsidRPr="00BF187E">
        <w:rPr>
          <w:rFonts w:cs="Times New Roman"/>
          <w:noProof/>
          <w:szCs w:val="24"/>
        </w:rPr>
        <w:t>S</w:t>
      </w:r>
      <w:r>
        <w:rPr>
          <w:rFonts w:cs="Times New Roman"/>
          <w:noProof/>
          <w:szCs w:val="24"/>
        </w:rPr>
        <w:t>.</w:t>
      </w:r>
      <w:r w:rsidRPr="00BF187E">
        <w:rPr>
          <w:rFonts w:cs="Times New Roman"/>
          <w:noProof/>
          <w:szCs w:val="24"/>
        </w:rPr>
        <w:t>EPA 2016</w:t>
      </w:r>
      <w:r>
        <w:rPr>
          <w:rFonts w:cs="Times New Roman"/>
          <w:noProof/>
          <w:szCs w:val="24"/>
        </w:rPr>
        <w:t>a</w:t>
      </w:r>
      <w:r w:rsidRPr="00BF187E">
        <w:rPr>
          <w:rFonts w:cs="Times New Roman"/>
          <w:noProof/>
          <w:szCs w:val="24"/>
        </w:rPr>
        <w:t>)</w:t>
      </w:r>
      <w:r>
        <w:rPr>
          <w:rFonts w:cs="Times New Roman"/>
          <w:szCs w:val="24"/>
        </w:rPr>
        <w:fldChar w:fldCharType="end"/>
      </w:r>
      <w:r>
        <w:rPr>
          <w:rFonts w:cs="Times New Roman"/>
          <w:szCs w:val="24"/>
        </w:rPr>
        <w:t xml:space="preserve"> and identified to lowest possible taxonomic level (usually genus).  </w:t>
      </w:r>
    </w:p>
    <w:p w14:paraId="085EF578" w14:textId="11A4908A" w:rsidR="00333AA3" w:rsidRDefault="00333AA3" w:rsidP="00333AA3">
      <w:pPr>
        <w:spacing w:line="480" w:lineRule="auto"/>
        <w:ind w:firstLine="720"/>
        <w:contextualSpacing/>
        <w:rPr>
          <w:rFonts w:cs="Times New Roman"/>
          <w:szCs w:val="24"/>
        </w:rPr>
      </w:pPr>
      <w:r>
        <w:rPr>
          <w:rFonts w:cs="Times New Roman"/>
          <w:szCs w:val="24"/>
        </w:rPr>
        <w:t xml:space="preserve">We calculated the proportion of taxonomic Orders with flying adult life stages (i.e. </w:t>
      </w:r>
      <w:proofErr w:type="spellStart"/>
      <w:r>
        <w:rPr>
          <w:rFonts w:cs="Times New Roman"/>
          <w:szCs w:val="24"/>
        </w:rPr>
        <w:t>Ephemeroptera</w:t>
      </w:r>
      <w:proofErr w:type="spellEnd"/>
      <w:r>
        <w:rPr>
          <w:rFonts w:cs="Times New Roman"/>
          <w:szCs w:val="24"/>
        </w:rPr>
        <w:t xml:space="preserve">, </w:t>
      </w:r>
      <w:proofErr w:type="spellStart"/>
      <w:r>
        <w:rPr>
          <w:rFonts w:cs="Times New Roman"/>
          <w:szCs w:val="24"/>
        </w:rPr>
        <w:t>Plecoptera</w:t>
      </w:r>
      <w:proofErr w:type="spellEnd"/>
      <w:r>
        <w:rPr>
          <w:rFonts w:cs="Times New Roman"/>
          <w:szCs w:val="24"/>
        </w:rPr>
        <w:t xml:space="preserve">, </w:t>
      </w:r>
      <w:proofErr w:type="spellStart"/>
      <w:r>
        <w:rPr>
          <w:rFonts w:cs="Times New Roman"/>
          <w:szCs w:val="24"/>
        </w:rPr>
        <w:t>Trichoptera</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 xml:space="preserve"> and </w:t>
      </w:r>
      <w:proofErr w:type="spellStart"/>
      <w:r>
        <w:rPr>
          <w:rFonts w:cs="Times New Roman"/>
          <w:szCs w:val="24"/>
        </w:rPr>
        <w:t>Odonata</w:t>
      </w:r>
      <w:proofErr w:type="spellEnd"/>
      <w:r>
        <w:rPr>
          <w:rFonts w:cs="Times New Roman"/>
          <w:szCs w:val="24"/>
        </w:rPr>
        <w:fldChar w:fldCharType="begin" w:fldLock="1"/>
      </w:r>
      <w:r w:rsidR="00306019">
        <w:rPr>
          <w:rFonts w:cs="Times New Roman"/>
          <w:szCs w:val="24"/>
        </w:rPr>
        <w:instrText>ADDIN CSL_CITATION {"citationItems":[{"id":"ITEM-1","itemData":{"DOI":"10.1111/j.1365-2427.2004.01328.x","ISBN":"0046-5070","ISSN":"00465070","abstract":"1.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Biology","id":"ITEM-1","issue":"2","issued":{"date-parts":[["2005"]]},"note":"1.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zones","type":"article-journal","volume":"50"},"uris":["http://www.mendeley.com/documents/?uuid=02c84270-0e51-41d1-a8fa-ddbed6efb2f2"]}],"mendeley":{"formattedCitation":"(Baxter et al. 2005)","manualFormatting":"; Baxter et al. 2005)","plainTextFormattedCitation":"(Baxter et al. 2005)","previouslyFormattedCitation":"(Baxter et al. 2005)"},"properties":{"noteIndex":0},"schema":"https://github.com/citation-style-language/schema/raw/master/csl-citation.json"}</w:instrText>
      </w:r>
      <w:r>
        <w:rPr>
          <w:rFonts w:cs="Times New Roman"/>
          <w:szCs w:val="24"/>
        </w:rPr>
        <w:fldChar w:fldCharType="separate"/>
      </w:r>
      <w:r>
        <w:rPr>
          <w:rFonts w:cs="Times New Roman"/>
          <w:noProof/>
          <w:szCs w:val="24"/>
        </w:rPr>
        <w:t xml:space="preserve">; </w:t>
      </w:r>
      <w:r w:rsidRPr="007F4158">
        <w:rPr>
          <w:rFonts w:cs="Times New Roman"/>
          <w:noProof/>
          <w:szCs w:val="24"/>
        </w:rPr>
        <w:t>Baxter et al. 2005)</w:t>
      </w:r>
      <w:r>
        <w:rPr>
          <w:rFonts w:cs="Times New Roman"/>
          <w:szCs w:val="24"/>
        </w:rPr>
        <w:fldChar w:fldCharType="end"/>
      </w:r>
      <w:r>
        <w:rPr>
          <w:rFonts w:cs="Times New Roman"/>
          <w:szCs w:val="24"/>
        </w:rPr>
        <w:t xml:space="preserve"> relative to other members of the community as an indicator of the supply of aquatic insect subsidies. We estimated the spatial extent of aquatic insect subsidies using the “stream signature” concept, where the stream signature is the distance a given proportion of insect subsidies measured at the water’s edge travels perpendicular from the stream </w:t>
      </w:r>
      <w:r>
        <w:rPr>
          <w:rFonts w:cs="Times New Roman"/>
          <w:szCs w:val="24"/>
        </w:rPr>
        <w:fldChar w:fldCharType="begin" w:fldLock="1"/>
      </w:r>
      <w:r w:rsidR="00306019">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2014)","plainTextFormattedCitation":"(Muehlbauer et al. 2014)","previouslyFormattedCitation":"(Muehlbauer et al. 2014)"},"properties":{"noteIndex":0},"schema":"https://github.com/citation-style-language/schema/raw/master/csl-citation.json"}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(Muehlbauer et al. 2014)</w:t>
      </w:r>
      <w:r>
        <w:rPr>
          <w:rFonts w:cs="Times New Roman"/>
          <w:szCs w:val="24"/>
        </w:rPr>
        <w:fldChar w:fldCharType="end"/>
      </w:r>
      <w:r>
        <w:rPr>
          <w:rFonts w:cs="Times New Roman"/>
          <w:szCs w:val="24"/>
        </w:rPr>
        <w:t xml:space="preserve">. We calculated the distance that 25% of the subsidies emerging from the stream travel away from the water (i.e. “25% stream signature”) using regression coefficients from a negative power function parameterized via meta-analysis of 109 studies given in Appendix B of </w:t>
      </w:r>
      <w:proofErr w:type="spellStart"/>
      <w:r>
        <w:rPr>
          <w:rFonts w:cs="Times New Roman"/>
          <w:szCs w:val="24"/>
        </w:rPr>
        <w:t>Muehlbauer</w:t>
      </w:r>
      <w:proofErr w:type="spellEnd"/>
      <w:r>
        <w:rPr>
          <w:rFonts w:cs="Times New Roman"/>
          <w:szCs w:val="24"/>
        </w:rPr>
        <w:t xml:space="preserve"> et al. (2014).  Major taxonomic groups of flying aquatic insects (i.e. </w:t>
      </w:r>
      <w:proofErr w:type="spellStart"/>
      <w:r>
        <w:rPr>
          <w:rFonts w:cs="Times New Roman"/>
          <w:szCs w:val="24"/>
        </w:rPr>
        <w:t>Ephemeroptera</w:t>
      </w:r>
      <w:proofErr w:type="spellEnd"/>
      <w:r>
        <w:rPr>
          <w:rFonts w:cs="Times New Roman"/>
          <w:szCs w:val="24"/>
        </w:rPr>
        <w:t xml:space="preserve">, </w:t>
      </w:r>
      <w:proofErr w:type="spellStart"/>
      <w:r>
        <w:rPr>
          <w:rFonts w:cs="Times New Roman"/>
          <w:szCs w:val="24"/>
        </w:rPr>
        <w:t>Plecoptera</w:t>
      </w:r>
      <w:proofErr w:type="spellEnd"/>
      <w:r>
        <w:rPr>
          <w:rFonts w:cs="Times New Roman"/>
          <w:szCs w:val="24"/>
        </w:rPr>
        <w:t xml:space="preserve">, </w:t>
      </w:r>
      <w:proofErr w:type="spellStart"/>
      <w:r>
        <w:rPr>
          <w:rFonts w:cs="Times New Roman"/>
          <w:szCs w:val="24"/>
        </w:rPr>
        <w:t>Trichoptera</w:t>
      </w:r>
      <w:proofErr w:type="spellEnd"/>
      <w:r>
        <w:rPr>
          <w:rFonts w:cs="Times New Roman"/>
          <w:szCs w:val="24"/>
        </w:rPr>
        <w:t xml:space="preserve"> and </w:t>
      </w:r>
      <w:proofErr w:type="spellStart"/>
      <w:r w:rsidRPr="00E86D5D">
        <w:rPr>
          <w:rFonts w:cs="Times New Roman"/>
          <w:szCs w:val="24"/>
        </w:rPr>
        <w:t>Chironomidae</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 xml:space="preserve">]) have different regression coefficients so we weighted the 25% stream signature by the relative abundance of each taxon for each site. We excluded members of </w:t>
      </w:r>
      <w:proofErr w:type="spellStart"/>
      <w:r>
        <w:rPr>
          <w:rFonts w:cs="Times New Roman"/>
          <w:szCs w:val="24"/>
        </w:rPr>
        <w:t>Odonata</w:t>
      </w:r>
      <w:proofErr w:type="spellEnd"/>
      <w:r>
        <w:rPr>
          <w:rFonts w:cs="Times New Roman"/>
          <w:szCs w:val="24"/>
        </w:rPr>
        <w:t xml:space="preserve"> and non-</w:t>
      </w:r>
      <w:proofErr w:type="spellStart"/>
      <w:r>
        <w:rPr>
          <w:rFonts w:cs="Times New Roman"/>
          <w:szCs w:val="24"/>
        </w:rPr>
        <w:t>chironomid</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 xml:space="preserve"> because stream signature coefficients were unavailable for these taxa and used the same “productivity” coefficient for all sites </w:t>
      </w:r>
      <w:r>
        <w:rPr>
          <w:rFonts w:cs="Times New Roman"/>
          <w:szCs w:val="24"/>
        </w:rPr>
        <w:fldChar w:fldCharType="begin" w:fldLock="1"/>
      </w:r>
      <w:r w:rsidR="00306019">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2014)","plainTextFormattedCitation":"(Muehlbauer et al. 2014)","previouslyFormattedCitation":"(Muehlbauer et al. 2014)"},"properties":{"noteIndex":0},"schema":"https://github.com/citation-style-language/schema/raw/master/csl-citation.json"}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(Muehlbauer et al. 2014)</w:t>
      </w:r>
      <w:r>
        <w:rPr>
          <w:rFonts w:cs="Times New Roman"/>
          <w:szCs w:val="24"/>
        </w:rPr>
        <w:fldChar w:fldCharType="end"/>
      </w:r>
      <w:r>
        <w:rPr>
          <w:rFonts w:cs="Times New Roman"/>
          <w:szCs w:val="24"/>
        </w:rPr>
        <w:t xml:space="preserve">. </w:t>
      </w:r>
    </w:p>
    <w:p w14:paraId="3DFBA1C2" w14:textId="3381A656" w:rsidR="00333AA3" w:rsidRDefault="00333AA3" w:rsidP="00333AA3">
      <w:pPr>
        <w:spacing w:line="480" w:lineRule="auto"/>
        <w:ind w:firstLine="720"/>
        <w:contextualSpacing/>
        <w:rPr>
          <w:rFonts w:cs="Times New Roman"/>
          <w:szCs w:val="24"/>
        </w:rPr>
      </w:pPr>
      <w:r>
        <w:rPr>
          <w:rFonts w:cs="Times New Roman"/>
          <w:szCs w:val="24"/>
        </w:rPr>
        <w:t>We derived seven additional metrics of dispersal and development traits using the Freshwater Biological Traits D</w:t>
      </w:r>
      <w:r w:rsidRPr="002E4A53">
        <w:rPr>
          <w:rFonts w:cs="Times New Roman"/>
          <w:szCs w:val="24"/>
        </w:rPr>
        <w:t>atabase (</w:t>
      </w:r>
      <w:r>
        <w:rPr>
          <w:rFonts w:cs="Times New Roman"/>
          <w:szCs w:val="24"/>
        </w:rPr>
        <w:t xml:space="preserve">Table 1; </w:t>
      </w:r>
      <w:r>
        <w:rPr>
          <w:rFonts w:cs="Times New Roman"/>
          <w:szCs w:val="24"/>
        </w:rPr>
        <w:fldChar w:fldCharType="begin" w:fldLock="1"/>
      </w:r>
      <w:r w:rsidR="00306019">
        <w:rPr>
          <w:rFonts w:cs="Times New Roman"/>
          <w:szCs w:val="24"/>
        </w:rPr>
        <w:instrText>ADDIN CSL_CITATION {"citationItems":[{"id":"ITEM-1","itemData":{"abstract":"This is the final document for the traits freshwater biological database collection. ly contains traits data for 3,857 North American macroinvertebrate taxa and includes habitat, life history, mobility, morphology, and ecological trait data. Species traits are the characteristics that explain an organisms’ relationship to the surrounding environment, including how it grows, feeds and moves. The traits data were compiled for a project on climate change effects on river and stream ecosystems that was conducted by the Global Change Research Program in the National Center for Environmental Assessment in the U.S. EPA Office of Research and Development. The traits data were gathered from multiple sources. Data gathering efforts focused on data that were published or well-documented, available, appropriate for the regions being studied, in a standardized format that could be analyzed or easily converted to a format that could be analyzed, and ecologically relevant to the gradients being considered. The database has been posted online to facilitate further research. This is intended to be a ‘living’ database, and researchers are encouraged to contribute data and provide suggestions or feedback on how the database can be expanded and improved upon in the future. Preferred","author":[{"dropping-particle":"","family":"U.S. EPA","given":"","non-dropping-particle":"","parse-names":false,"suffix":""}],"id":"ITEM-1","issued":{"date-parts":[["2012"]]},"number-of-pages":"99","publisher-place":"Washington, DC","title":"Freshwater Biological Traits Database. Global Change Research Program, National Center for Environmental Assessment, Washington, DC EPA/600/R-11/038F","type":"report"},"uris":["http://www.mendeley.com/documents/?uuid=65ec64f8-a024-419f-b631-8aa2c00e80b1"]}],"mendeley":{"formattedCitation":"(U.S. EPA 2012)","manualFormatting":"U.S. EPA 2012; McKie et al. 2018)","plainTextFormattedCitation":"(U.S. EPA 2012)","previouslyFormattedCitation":"(U.S. EPA 2012)"},"properties":{"noteIndex":0},"schema":"https://github.com/citation-style-language/schema/raw/master/csl-citation.json"}</w:instrText>
      </w:r>
      <w:r>
        <w:rPr>
          <w:rFonts w:cs="Times New Roman"/>
          <w:szCs w:val="24"/>
        </w:rPr>
        <w:fldChar w:fldCharType="separate"/>
      </w:r>
      <w:r w:rsidRPr="00A310DA">
        <w:rPr>
          <w:rFonts w:cs="Times New Roman"/>
          <w:noProof/>
          <w:szCs w:val="24"/>
        </w:rPr>
        <w:t>U.S. EPA 2012</w:t>
      </w:r>
      <w:r>
        <w:rPr>
          <w:rFonts w:cs="Times New Roman"/>
          <w:noProof/>
          <w:szCs w:val="24"/>
        </w:rPr>
        <w:t xml:space="preserve">; </w:t>
      </w:r>
      <w:r w:rsidRPr="00B40BAB">
        <w:rPr>
          <w:rFonts w:cs="Times New Roman"/>
          <w:noProof/>
          <w:szCs w:val="24"/>
        </w:rPr>
        <w:t>McKie et al. 2018</w:t>
      </w:r>
      <w:r w:rsidRPr="00A310DA">
        <w:rPr>
          <w:rFonts w:cs="Times New Roman"/>
          <w:noProof/>
          <w:szCs w:val="24"/>
        </w:rPr>
        <w:t>)</w:t>
      </w:r>
      <w:r>
        <w:rPr>
          <w:rFonts w:cs="Times New Roman"/>
          <w:szCs w:val="24"/>
        </w:rPr>
        <w:fldChar w:fldCharType="end"/>
      </w:r>
      <w:r>
        <w:rPr>
          <w:rFonts w:cs="Times New Roman"/>
          <w:szCs w:val="24"/>
        </w:rPr>
        <w:t xml:space="preserve">. Traits were assigned to flying genera collected by the NRSA survey and allowed us to explore potential variation in spatial and temporal subsidy characteristics at a finer taxonomic resolution than the stream signature. Prior to assigning “trait-states” for dispersal and development traits </w:t>
      </w:r>
      <w:r>
        <w:rPr>
          <w:rFonts w:cs="Times New Roman"/>
          <w:szCs w:val="24"/>
        </w:rPr>
        <w:fldChar w:fldCharType="begin" w:fldLock="1"/>
      </w:r>
      <w:r w:rsidR="00306019">
        <w:rPr>
          <w:rFonts w:cs="Times New Roman"/>
          <w:szCs w:val="24"/>
        </w:rPr>
        <w:instrText>ADDIN CSL_CITATION {"citationItems":[{"id":"ITEM-1","itemData":{"ISBN":"187","abstract":"The assessment and study of stream communities may be enhanced if functional characteristics such as life-history, habitat preference, and reproductive strategy were more widely available for specific taxa. Species traits can be used to develop these functional indicators because many traits directly link functional roles of organisms with controlling environmental factors (for example, flow, substratum, temperature). In addition, some functional traits may not be constrained by taxonomy and are thus applicable at multiple spatial scales. Unfortunately, a comprehensive summary of traits for North American invertebrate taxa does not exist. Consequently, the U.S. Geological Surveys National Water-Quality Assessment Program in cooperation with Colorado State University compiled a database of traits for North American invertebrates. A total of 14,127 records for over 2,200 species, 1,165 genera, and 249 families have been entered into the database from 967 publications, texts and reports. Quality-assurance procedures indicated error rates of less than 3 percent in the data entry process. Species trait information was most complete for insect taxa. Traits describing resource acquisition and habitat preferences were most frequently reported, whereas those describing physiological tolerances and reproductive biology were the least frequently reported in the literature. The database is not exhaustive of the literature for North American invertebrates and is biased towards aquatic insects, but it represents a first attempt to compile traits in a web-accessible database. This report describes the database and discusses important decisions necessary for identifying ecologically relevant, environmentally sensitive, non-redundant, and statistically tractable traits for use in bioassessment programs","author":[{"dropping-particle":"","family":"Vieira","given":"Nicole K M","non-dropping-particle":"","parse-names":false,"suffix":""},{"dropping-particle":"","family":"Poff","given":"N Leroy","non-dropping-particle":"","parse-names":false,"suffix":""},{"dropping-particle":"","family":"Carlisle","given":"Daren M","non-dropping-particle":"","parse-names":false,"suffix":""},{"dropping-particle":"","family":"Moulton","given":"Stephen R","non-dropping-particle":"","parse-names":false,"suffix":""},{"dropping-particle":"","family":"Koski","given":"Marci L","non-dropping-particle":"","parse-names":false,"suffix":""},{"dropping-particle":"","family":"Kondratieff","given":"Boris C","non-dropping-particle":"","parse-names":false,"suffix":""}],"container-title":"Data Series 187. http://pubs.water.usgs.gov/ds187i","id":"ITEM-1","issued":{"date-parts":[["2006"]]},"number-of-pages":"19","title":"A Database of Lotic Invertebrate Traits for North America","type":"report"},"uris":["http://www.mendeley.com/documents/?uuid=2579a446-3d1c-4107-864d-b9543cebbfff"]}],"mendeley":{"formattedCitation":"(Vieira et al. 2006)","manualFormatting":"(Table 1; Vieira et al. 2006)","plainTextFormattedCitation":"(Vieira et al. 2006)","previouslyFormattedCitation":"(Vieira et al. 2006)"},"properties":{"noteIndex":0},"schema":"https://github.com/citation-style-language/schema/raw/master/csl-citation.json"}</w:instrText>
      </w:r>
      <w:r>
        <w:rPr>
          <w:rFonts w:cs="Times New Roman"/>
          <w:szCs w:val="24"/>
        </w:rPr>
        <w:fldChar w:fldCharType="separate"/>
      </w:r>
      <w:r w:rsidRPr="001918C7">
        <w:rPr>
          <w:rFonts w:cs="Times New Roman"/>
          <w:noProof/>
          <w:szCs w:val="24"/>
        </w:rPr>
        <w:t>(</w:t>
      </w:r>
      <w:r>
        <w:rPr>
          <w:rFonts w:cs="Times New Roman"/>
          <w:noProof/>
          <w:szCs w:val="24"/>
        </w:rPr>
        <w:t xml:space="preserve">Table 1; </w:t>
      </w:r>
      <w:r w:rsidRPr="001918C7">
        <w:rPr>
          <w:rFonts w:cs="Times New Roman"/>
          <w:noProof/>
          <w:szCs w:val="24"/>
        </w:rPr>
        <w:t>Vieira et al. 2006)</w:t>
      </w:r>
      <w:r>
        <w:rPr>
          <w:rFonts w:cs="Times New Roman"/>
          <w:szCs w:val="24"/>
        </w:rPr>
        <w:fldChar w:fldCharType="end"/>
      </w:r>
      <w:r>
        <w:rPr>
          <w:rFonts w:cs="Times New Roman"/>
          <w:szCs w:val="24"/>
        </w:rPr>
        <w:t xml:space="preserve">, we harmonized genus names between the two datasets using the Integrated </w:t>
      </w:r>
      <w:r w:rsidRPr="00086FF5">
        <w:rPr>
          <w:rFonts w:cs="Times New Roman"/>
          <w:szCs w:val="24"/>
        </w:rPr>
        <w:t>Taxonomic Information System (</w:t>
      </w:r>
      <w:hyperlink r:id="rId18" w:history="1">
        <w:r w:rsidRPr="00086FF5">
          <w:rPr>
            <w:rStyle w:val="Hyperlink"/>
            <w:rFonts w:cs="Times New Roman"/>
            <w:szCs w:val="24"/>
          </w:rPr>
          <w:t>https://www.itis.gov/taxmatch.html</w:t>
        </w:r>
      </w:hyperlink>
      <w:r w:rsidRPr="00086FF5">
        <w:rPr>
          <w:rFonts w:cs="Times New Roman"/>
          <w:szCs w:val="24"/>
        </w:rPr>
        <w:t>)</w:t>
      </w:r>
      <w:r>
        <w:rPr>
          <w:rFonts w:cs="Times New Roman"/>
          <w:szCs w:val="24"/>
        </w:rPr>
        <w:t xml:space="preserve">. We then quantified trait </w:t>
      </w:r>
      <w:r>
        <w:rPr>
          <w:rFonts w:cs="Times New Roman"/>
          <w:szCs w:val="24"/>
        </w:rPr>
        <w:lastRenderedPageBreak/>
        <w:t>composition as the proportion of individuals expressing a trait-state that could increase the spatial extent or duration of subsidies relative to the total number of flying individuals with trait information (Table 1;</w:t>
      </w:r>
      <w:r>
        <w:rPr>
          <w:rFonts w:cs="Times New Roman"/>
          <w:szCs w:val="24"/>
        </w:rPr>
        <w:fldChar w:fldCharType="begin" w:fldLock="1"/>
      </w:r>
      <w:r w:rsidR="00306019">
        <w:rPr>
          <w:rFonts w:cs="Times New Roman"/>
          <w:szCs w:val="24"/>
        </w:rPr>
        <w:instrText>ADDIN CSL_CITATION {"citationItems":[{"id":"ITEM-1","itemData":{"DOI":"10.1007/s00027-018-0565-4","ISBN":"0123456789","ISSN":"14209055","abstract":"Adult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Sciences","id":"ITEM-1","issue":"2","issued":{"date-parts":[["2018"]]},"page":"1-12","publisher":"Springer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webs","type":"article-journal","volume":"80"},"uris":["http://www.mendeley.com/documents/?uuid=67fc583f-51d9-4b7d-a1a6-7d317ba3725d"]}],"mendeley":{"formattedCitation":"(McKie et al. 2018)","manualFormatting":" McKie et al. 2018)","plainTextFormattedCitation":"(McKie et al. 2018)","previouslyFormattedCitation":"(McKie et al. 2018)"},"properties":{"noteIndex":0},"schema":"https://github.com/citation-style-language/schema/raw/master/csl-citation.json"}</w:instrText>
      </w:r>
      <w:r>
        <w:rPr>
          <w:rFonts w:cs="Times New Roman"/>
          <w:szCs w:val="24"/>
        </w:rPr>
        <w:fldChar w:fldCharType="separate"/>
      </w:r>
      <w:r>
        <w:rPr>
          <w:rFonts w:cs="Times New Roman"/>
          <w:noProof/>
          <w:szCs w:val="24"/>
        </w:rPr>
        <w:t xml:space="preserve"> </w:t>
      </w:r>
      <w:r w:rsidRPr="00917FBE">
        <w:rPr>
          <w:rFonts w:cs="Times New Roman"/>
          <w:noProof/>
          <w:szCs w:val="24"/>
        </w:rPr>
        <w:t>McKie et al. 2018)</w:t>
      </w:r>
      <w:r>
        <w:rPr>
          <w:rFonts w:cs="Times New Roman"/>
          <w:szCs w:val="24"/>
        </w:rPr>
        <w:fldChar w:fldCharType="end"/>
      </w:r>
      <w:r>
        <w:rPr>
          <w:rFonts w:cs="Times New Roman"/>
          <w:szCs w:val="24"/>
        </w:rPr>
        <w:t xml:space="preserve">. </w:t>
      </w:r>
    </w:p>
    <w:p w14:paraId="79796CE9" w14:textId="77777777" w:rsidR="00333AA3" w:rsidRDefault="00333AA3" w:rsidP="00333AA3">
      <w:pPr>
        <w:spacing w:line="480" w:lineRule="auto"/>
        <w:ind w:firstLine="720"/>
        <w:contextualSpacing/>
        <w:rPr>
          <w:rFonts w:cs="Times New Roman"/>
          <w:szCs w:val="24"/>
        </w:rPr>
      </w:pPr>
    </w:p>
    <w:p w14:paraId="425413E4" w14:textId="77777777" w:rsidR="00333AA3" w:rsidRPr="00CE03F6" w:rsidRDefault="00333AA3" w:rsidP="00333AA3">
      <w:pPr>
        <w:spacing w:line="480" w:lineRule="auto"/>
        <w:contextualSpacing/>
        <w:rPr>
          <w:rFonts w:cs="Times New Roman"/>
          <w:i/>
          <w:szCs w:val="24"/>
        </w:rPr>
      </w:pPr>
      <w:r>
        <w:rPr>
          <w:rFonts w:eastAsia="Times New Roman" w:cs="Times New Roman"/>
          <w:i/>
          <w:szCs w:val="24"/>
        </w:rPr>
        <w:t>Environmental gradients and anthropogenic disturbance class</w:t>
      </w:r>
    </w:p>
    <w:p w14:paraId="2E8BE560" w14:textId="11292D4C" w:rsidR="00333AA3" w:rsidRDefault="00333AA3" w:rsidP="00333AA3">
      <w:pPr>
        <w:spacing w:line="480" w:lineRule="auto"/>
        <w:ind w:firstLine="720"/>
        <w:contextualSpacing/>
        <w:rPr>
          <w:rFonts w:cs="Times New Roman"/>
          <w:szCs w:val="24"/>
        </w:rPr>
      </w:pPr>
      <w:r>
        <w:rPr>
          <w:rFonts w:cs="Times New Roman"/>
          <w:szCs w:val="24"/>
        </w:rPr>
        <w:t xml:space="preserve">We used a combination of field and GIS data to characterize physical and hydrological conditions and anthropogenic disturbances at each site (Table 2). Mean depth and wetted width of the stream, percent embeddedness and substrate &lt; 16mm in diameter were collected by the NRSA </w:t>
      </w:r>
      <w:r>
        <w:rPr>
          <w:rFonts w:cs="Times New Roman"/>
          <w:szCs w:val="24"/>
        </w:rPr>
        <w:fldChar w:fldCharType="begin" w:fldLock="1"/>
      </w:r>
      <w:r w:rsidR="00306019">
        <w:rPr>
          <w:rFonts w:cs="Times New Roman"/>
          <w:szCs w:val="24"/>
        </w:rPr>
        <w:instrText>ADDIN CSL_CITATION {"citationItems":[{"id":"ITEM-1","itemData":{"DOI":"EPA/841/R-16/008","abstract":"Acknowledgements This report resulted from a groundbreaking collaboration to monitor and assess the nation's rivers and streams. The U.S. Environmental Protection Agency (EPA) Office of Water (OW) would like to thank the many participants who contributed to this important effort. Without the collaborative efforts and support from state and tribal environmental agencies, federal agencies, universities and other organizations, this significant assessment of the nation's rivers and streams would not have been possible. EPA OW would like to thank the field crews, biologists, taxonomists, laboratory staff, data analysts, program administrators, EPA regional coordinators, statisticians, quality control staff, data management staff and many reviewers for their dedication and hard work. Your collective efforts made this report possible. To the many hundreds of participants, EPA expresses its profound thanks and gratitude.","author":[{"dropping-particle":"","family":"U.S. EPA","given":"","non-dropping-particle":"","parse-names":false,"suffix":""}],"id":"ITEM-1","issue":"March","issued":{"date-parts":[["2016"]]},"number-of-pages":"140","title":"National Rivers and Streams Assessment 2008-2009: Technical Report, Office of Water and Office of Research and Development, Washington, DC EPA-841-R-16-008","type":"report"},"uris":["http://www.mendeley.com/documents/?uuid=0895abcd-10d3-450c-866a-0a52a3a681ef"]}],"mendeley":{"formattedCitation":"(U.S. EPA 2016a)","plainTextFormattedCitation":"(U.S. EPA 2016a)","previouslyFormattedCitation":"(U.S. EPA 2016a)"},"properties":{"noteIndex":0},"schema":"https://github.com/citation-style-language/schema/raw/master/csl-citation.json"}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(U.S. EPA 2016a)</w:t>
      </w:r>
      <w:r>
        <w:rPr>
          <w:rFonts w:cs="Times New Roman"/>
          <w:szCs w:val="24"/>
        </w:rPr>
        <w:fldChar w:fldCharType="end"/>
      </w:r>
      <w:r>
        <w:rPr>
          <w:rFonts w:cs="Times New Roman"/>
          <w:szCs w:val="24"/>
        </w:rPr>
        <w:t>. We obtained catchment area (km</w:t>
      </w:r>
      <w:r w:rsidRPr="00B93E33">
        <w:rPr>
          <w:rFonts w:cs="Times New Roman"/>
          <w:szCs w:val="24"/>
          <w:vertAlign w:val="superscript"/>
        </w:rPr>
        <w:t>2</w:t>
      </w:r>
      <w:r>
        <w:rPr>
          <w:rFonts w:cs="Times New Roman"/>
          <w:szCs w:val="24"/>
        </w:rPr>
        <w:t>), elevation (m), slope (%), discharge (m</w:t>
      </w:r>
      <w:r>
        <w:rPr>
          <w:rFonts w:cs="Times New Roman"/>
          <w:szCs w:val="24"/>
          <w:vertAlign w:val="superscript"/>
        </w:rPr>
        <w:t>3</w:t>
      </w:r>
      <w:r>
        <w:rPr>
          <w:rFonts w:cs="Times New Roman"/>
          <w:szCs w:val="24"/>
        </w:rPr>
        <w:t xml:space="preserve"> s</w:t>
      </w:r>
      <w:r>
        <w:rPr>
          <w:rFonts w:cs="Times New Roman"/>
          <w:szCs w:val="24"/>
          <w:vertAlign w:val="superscript"/>
        </w:rPr>
        <w:t>-1</w:t>
      </w:r>
      <w:r>
        <w:rPr>
          <w:rFonts w:cs="Times New Roman"/>
          <w:szCs w:val="24"/>
        </w:rPr>
        <w:t>) and</w:t>
      </w:r>
      <w:r w:rsidRPr="00B93E33">
        <w:rPr>
          <w:rFonts w:cs="Times New Roman"/>
          <w:szCs w:val="24"/>
        </w:rPr>
        <w:t xml:space="preserve"> </w:t>
      </w:r>
      <w:r>
        <w:rPr>
          <w:rFonts w:cs="Times New Roman"/>
          <w:szCs w:val="24"/>
        </w:rPr>
        <w:t xml:space="preserve">land cover (% agricultural or urban) from the National Hydrography Dataset Plus, Version 2 (NHDPlusV2; </w:t>
      </w:r>
      <w:r w:rsidRPr="00274C14">
        <w:rPr>
          <w:rFonts w:cs="Times New Roman"/>
          <w:szCs w:val="24"/>
        </w:rPr>
        <w:t>McKay et al. 2012</w:t>
      </w:r>
      <w:r>
        <w:rPr>
          <w:rFonts w:cs="Times New Roman"/>
          <w:szCs w:val="24"/>
        </w:rPr>
        <w:t xml:space="preserve">). We extracted temperature and hydrologic data at each site from </w:t>
      </w:r>
      <w:r>
        <w:rPr>
          <w:rFonts w:cs="Times New Roman"/>
          <w:szCs w:val="24"/>
        </w:rPr>
        <w:fldChar w:fldCharType="begin" w:fldLock="1"/>
      </w:r>
      <w:r w:rsidR="00306019">
        <w:rPr>
          <w:rFonts w:cs="Times New Roman"/>
          <w:szCs w:val="24"/>
        </w:rPr>
        <w:instrText>ADDIN CSL_CITATION {"citationItems":[{"id":"ITEM-1","itemData":{"DOI":"10.1038/sdata.2019.17","ISSN":"20524463","abstract":"Stream classifications are important for understanding stream ecosystem diversity while also serving as tools for aquatic conservation and management. With current rates of land and riverscape modification within the United States (US), a comprehensive inventory and evaluation of naturally occurring stream habitats is needed, as this provides a physical template upon which stream biodiversity is organized and maintained. To adequately represent the heterogeneity of stream ecosystems, such a classification needs to be spatially extensive where multiple stream habitat components are represented at the highest resolution possible. Herein, we present a multi-layered empirically-driven stream classification system for the conterminous US, constructed from over 2.6 million stream reaches within the NHDPlus V2 stream network. The classification is based on emergent natural variation in six habitat layers meaningful at the stream-reach resolution: size, gradient, hydrology, temperature, network bifurcation, and valley confinement. To support flexibility of use, we provide multiple alternative approaches to developing classes and report uncertainty in classes assigned to stream reaches. The stream classification and underlying data provide valuable resources for stream conservation and research.","author":[{"dropping-particle":"","family":"McManamay","given":"Ryan A.","non-dropping-particle":"","parse-names":false,"suffix":""},{"dropping-particle":"","family":"Derolph","given":"Christopher R.","non-dropping-particle":"","parse-names":false,"suffix":""}],"container-title":"Scientific Data","id":"ITEM-1","issued":{"date-parts":[["2019"]]},"page":"1-18","publisher":"The Author(s)","title":"Data descriptor: A stream classification system for the conterminous United States","type":"article-journal","volume":"6"},"uris":["http://www.mendeley.com/documents/?uuid=5c8bf959-f472-45fb-a3c5-19f92fb1e609"]}],"mendeley":{"formattedCitation":"(McManamay and Derolph 2019)","manualFormatting":"McManamay and Derolph (2019)","plainTextFormattedCitation":"(McManamay and Derolph 2019)","previouslyFormattedCitation":"(McManamay and Derolph 2019)"},"properties":{"noteIndex":0},"schema":"https://github.com/citation-style-language/schema/raw/master/csl-citation.json"}</w:instrText>
      </w:r>
      <w:r>
        <w:rPr>
          <w:rFonts w:cs="Times New Roman"/>
          <w:szCs w:val="24"/>
        </w:rPr>
        <w:fldChar w:fldCharType="separate"/>
      </w:r>
      <w:r w:rsidRPr="003074A9">
        <w:rPr>
          <w:rFonts w:cs="Times New Roman"/>
          <w:noProof/>
          <w:szCs w:val="24"/>
        </w:rPr>
        <w:t xml:space="preserve">McManamay and Derolph </w:t>
      </w:r>
      <w:r>
        <w:rPr>
          <w:rFonts w:cs="Times New Roman"/>
          <w:noProof/>
          <w:szCs w:val="24"/>
        </w:rPr>
        <w:t>(</w:t>
      </w:r>
      <w:r w:rsidRPr="003074A9">
        <w:rPr>
          <w:rFonts w:cs="Times New Roman"/>
          <w:noProof/>
          <w:szCs w:val="24"/>
        </w:rPr>
        <w:t>2019)</w:t>
      </w:r>
      <w:r>
        <w:rPr>
          <w:rFonts w:cs="Times New Roman"/>
          <w:szCs w:val="24"/>
        </w:rPr>
        <w:fldChar w:fldCharType="end"/>
      </w:r>
      <w:r>
        <w:rPr>
          <w:rFonts w:cs="Times New Roman"/>
          <w:szCs w:val="24"/>
        </w:rPr>
        <w:t xml:space="preserve">. Briefly, </w:t>
      </w:r>
      <w:r>
        <w:rPr>
          <w:rFonts w:cs="Times New Roman"/>
          <w:szCs w:val="24"/>
        </w:rPr>
        <w:fldChar w:fldCharType="begin" w:fldLock="1"/>
      </w:r>
      <w:r w:rsidR="00306019">
        <w:rPr>
          <w:rFonts w:cs="Times New Roman"/>
          <w:szCs w:val="24"/>
        </w:rPr>
        <w:instrText>ADDIN CSL_CITATION {"citationItems":[{"id":"ITEM-1","itemData":{"DOI":"10.1038/sdata.2019.17","ISSN":"20524463","abstract":"Stream classifications are important for understanding stream ecosystem diversity while also serving as tools for aquatic conservation and management. With current rates of land and riverscape modification within the United States (US), a comprehensive inventory and evaluation of naturally occurring stream habitats is needed, as this provides a physical template upon which stream biodiversity is organized and maintained. To adequately represent the heterogeneity of stream ecosystems, such a classification needs to be spatially extensive where multiple stream habitat components are represented at the highest resolution possible. Herein, we present a multi-layered empirically-driven stream classification system for the conterminous US, constructed from over 2.6 million stream reaches within the NHDPlus V2 stream network. The classification is based on emergent natural variation in six habitat layers meaningful at the stream-reach resolution: size, gradient, hydrology, temperature, network bifurcation, and valley confinement. To support flexibility of use, we provide multiple alternative approaches to developing classes and report uncertainty in classes assigned to stream reaches. The stream classification and underlying data provide valuable resources for stream conservation and research.","author":[{"dropping-particle":"","family":"McManamay","given":"Ryan A.","non-dropping-particle":"","parse-names":false,"suffix":""},{"dropping-particle":"","family":"Derolph","given":"Christopher R.","non-dropping-particle":"","parse-names":false,"suffix":""}],"container-title":"Scientific Data","id":"ITEM-1","issued":{"date-parts":[["2019"]]},"page":"1-18","publisher":"The Author(s)","title":"Data descriptor: A stream classification system for the conterminous United States","type":"article-journal","volume":"6"},"uris":["http://www.mendeley.com/documents/?uuid=5c8bf959-f472-45fb-a3c5-19f92fb1e609"]}],"mendeley":{"formattedCitation":"(McManamay and Derolph 2019)","manualFormatting":"McManamay and Derolph (2019)","plainTextFormattedCitation":"(McManamay and Derolph 2019)","previouslyFormattedCitation":"(McManamay and Derolph 2019)"},"properties":{"noteIndex":0},"schema":"https://github.com/citation-style-language/schema/raw/master/csl-citation.json"}</w:instrText>
      </w:r>
      <w:r>
        <w:rPr>
          <w:rFonts w:cs="Times New Roman"/>
          <w:szCs w:val="24"/>
        </w:rPr>
        <w:fldChar w:fldCharType="separate"/>
      </w:r>
      <w:r w:rsidRPr="003074A9">
        <w:rPr>
          <w:rFonts w:cs="Times New Roman"/>
          <w:noProof/>
          <w:szCs w:val="24"/>
        </w:rPr>
        <w:t xml:space="preserve">McManamay and Derolph </w:t>
      </w:r>
      <w:r>
        <w:rPr>
          <w:rFonts w:cs="Times New Roman"/>
          <w:noProof/>
          <w:szCs w:val="24"/>
        </w:rPr>
        <w:t>(</w:t>
      </w:r>
      <w:r w:rsidRPr="003074A9">
        <w:rPr>
          <w:rFonts w:cs="Times New Roman"/>
          <w:noProof/>
          <w:szCs w:val="24"/>
        </w:rPr>
        <w:t>2019)</w:t>
      </w:r>
      <w:r>
        <w:rPr>
          <w:rFonts w:cs="Times New Roman"/>
          <w:szCs w:val="24"/>
        </w:rPr>
        <w:fldChar w:fldCharType="end"/>
      </w:r>
      <w:r>
        <w:rPr>
          <w:rFonts w:cs="Times New Roman"/>
          <w:szCs w:val="24"/>
        </w:rPr>
        <w:t xml:space="preserve"> predicted mean summer water temperature at 1,764 reference locations and classified hydrological conditions at 2,600 USGS stream gages into 15 different classes. Temperature and hydrologic classes were extrapolated to </w:t>
      </w:r>
      <w:proofErr w:type="spellStart"/>
      <w:r>
        <w:rPr>
          <w:rFonts w:cs="Times New Roman"/>
          <w:szCs w:val="24"/>
        </w:rPr>
        <w:t>ungaged</w:t>
      </w:r>
      <w:proofErr w:type="spellEnd"/>
      <w:r>
        <w:rPr>
          <w:rFonts w:cs="Times New Roman"/>
          <w:szCs w:val="24"/>
        </w:rPr>
        <w:t xml:space="preserve"> locations across the entire NHDPlusV2 using a suite of environmental variables (</w:t>
      </w:r>
      <w:proofErr w:type="spellStart"/>
      <w:r w:rsidRPr="00703D58">
        <w:rPr>
          <w:rFonts w:cs="Times New Roman"/>
          <w:szCs w:val="24"/>
        </w:rPr>
        <w:t>McManamay</w:t>
      </w:r>
      <w:proofErr w:type="spellEnd"/>
      <w:r w:rsidRPr="00703D58">
        <w:rPr>
          <w:rFonts w:cs="Times New Roman"/>
          <w:szCs w:val="24"/>
        </w:rPr>
        <w:t xml:space="preserve"> and </w:t>
      </w:r>
      <w:proofErr w:type="spellStart"/>
      <w:r w:rsidRPr="00703D58">
        <w:rPr>
          <w:rFonts w:cs="Times New Roman"/>
          <w:szCs w:val="24"/>
        </w:rPr>
        <w:t>Derolph</w:t>
      </w:r>
      <w:proofErr w:type="spellEnd"/>
      <w:r w:rsidRPr="00703D58">
        <w:rPr>
          <w:rFonts w:cs="Times New Roman"/>
          <w:szCs w:val="24"/>
        </w:rPr>
        <w:t xml:space="preserve"> 2019</w:t>
      </w:r>
      <w:r>
        <w:rPr>
          <w:rFonts w:cs="Times New Roman"/>
          <w:szCs w:val="24"/>
        </w:rPr>
        <w:t xml:space="preserve">). </w:t>
      </w:r>
    </w:p>
    <w:p w14:paraId="47EB5BA8" w14:textId="31FCAE50" w:rsidR="00333AA3" w:rsidRDefault="00333AA3" w:rsidP="00333AA3">
      <w:pPr>
        <w:spacing w:line="480" w:lineRule="auto"/>
        <w:ind w:firstLine="720"/>
        <w:contextualSpacing/>
        <w:rPr>
          <w:rFonts w:cs="Times New Roman"/>
          <w:szCs w:val="24"/>
        </w:rPr>
      </w:pPr>
      <w:r>
        <w:rPr>
          <w:rFonts w:cs="Times New Roman"/>
          <w:szCs w:val="24"/>
        </w:rPr>
        <w:t>The NRSA also classified anthropogenic impacts at each site as</w:t>
      </w:r>
      <w:r w:rsidRPr="009830A0">
        <w:rPr>
          <w:rFonts w:cs="Times New Roman"/>
          <w:szCs w:val="24"/>
        </w:rPr>
        <w:t xml:space="preserve"> </w:t>
      </w:r>
      <w:r>
        <w:rPr>
          <w:rFonts w:cs="Times New Roman"/>
          <w:szCs w:val="24"/>
        </w:rPr>
        <w:t>“</w:t>
      </w:r>
      <w:r w:rsidRPr="009830A0">
        <w:rPr>
          <w:rFonts w:cs="Times New Roman"/>
          <w:szCs w:val="24"/>
        </w:rPr>
        <w:t>good</w:t>
      </w:r>
      <w:r>
        <w:rPr>
          <w:rFonts w:cs="Times New Roman"/>
          <w:szCs w:val="24"/>
        </w:rPr>
        <w:t>” (least disturbed)</w:t>
      </w:r>
      <w:r w:rsidRPr="009830A0">
        <w:rPr>
          <w:rFonts w:cs="Times New Roman"/>
          <w:szCs w:val="24"/>
        </w:rPr>
        <w:t xml:space="preserve">, </w:t>
      </w:r>
      <w:r>
        <w:rPr>
          <w:rFonts w:cs="Times New Roman"/>
          <w:szCs w:val="24"/>
        </w:rPr>
        <w:t>“</w:t>
      </w:r>
      <w:r w:rsidRPr="009830A0">
        <w:rPr>
          <w:rFonts w:cs="Times New Roman"/>
          <w:szCs w:val="24"/>
        </w:rPr>
        <w:t>fair</w:t>
      </w:r>
      <w:r>
        <w:rPr>
          <w:rFonts w:cs="Times New Roman"/>
          <w:szCs w:val="24"/>
        </w:rPr>
        <w:t>” (moderately disturbed) or</w:t>
      </w:r>
      <w:r w:rsidRPr="009830A0">
        <w:rPr>
          <w:rFonts w:cs="Times New Roman"/>
          <w:szCs w:val="24"/>
        </w:rPr>
        <w:t xml:space="preserve"> </w:t>
      </w:r>
      <w:r>
        <w:rPr>
          <w:rFonts w:cs="Times New Roman"/>
          <w:szCs w:val="24"/>
        </w:rPr>
        <w:t>“</w:t>
      </w:r>
      <w:r w:rsidRPr="009830A0">
        <w:rPr>
          <w:rFonts w:cs="Times New Roman"/>
          <w:szCs w:val="24"/>
        </w:rPr>
        <w:t>poor</w:t>
      </w:r>
      <w:r>
        <w:rPr>
          <w:rFonts w:cs="Times New Roman"/>
          <w:szCs w:val="24"/>
        </w:rPr>
        <w:t xml:space="preserve">” (most disturbed) based on a multi-metric index (MMI) </w:t>
      </w:r>
      <w:r w:rsidRPr="009830A0">
        <w:rPr>
          <w:rFonts w:cs="Times New Roman"/>
          <w:szCs w:val="24"/>
        </w:rPr>
        <w:t>(U</w:t>
      </w:r>
      <w:r>
        <w:rPr>
          <w:rFonts w:cs="Times New Roman"/>
          <w:szCs w:val="24"/>
        </w:rPr>
        <w:t>.</w:t>
      </w:r>
      <w:r w:rsidRPr="009830A0">
        <w:rPr>
          <w:rFonts w:cs="Times New Roman"/>
          <w:szCs w:val="24"/>
        </w:rPr>
        <w:t>S</w:t>
      </w:r>
      <w:r>
        <w:rPr>
          <w:rFonts w:cs="Times New Roman"/>
          <w:szCs w:val="24"/>
        </w:rPr>
        <w:t xml:space="preserve">. </w:t>
      </w:r>
      <w:r w:rsidRPr="009830A0">
        <w:rPr>
          <w:rFonts w:cs="Times New Roman"/>
          <w:szCs w:val="24"/>
        </w:rPr>
        <w:t>EPA 2016</w:t>
      </w:r>
      <w:r>
        <w:rPr>
          <w:rFonts w:cs="Times New Roman"/>
          <w:szCs w:val="24"/>
        </w:rPr>
        <w:t>a</w:t>
      </w:r>
      <w:r w:rsidRPr="009830A0">
        <w:rPr>
          <w:rFonts w:cs="Times New Roman"/>
          <w:szCs w:val="24"/>
        </w:rPr>
        <w:t>)</w:t>
      </w:r>
      <w:r>
        <w:rPr>
          <w:rFonts w:cs="Times New Roman"/>
          <w:szCs w:val="24"/>
        </w:rPr>
        <w:t xml:space="preserve">. The MMI combines multiple attributes of the biological community (e.g. composition, tolerance to disturbance and habitat preference) into a single index </w:t>
      </w:r>
      <w:r>
        <w:rPr>
          <w:rFonts w:cs="Times New Roman"/>
          <w:szCs w:val="24"/>
        </w:rPr>
        <w:fldChar w:fldCharType="begin" w:fldLock="1"/>
      </w:r>
      <w:r w:rsidR="00306019">
        <w:rPr>
          <w:rFonts w:cs="Times New Roman"/>
          <w:szCs w:val="24"/>
        </w:rPr>
        <w:instrText>ADDIN CSL_CITATION {"citationItems":[{"id":"ITEM-1","itemData":{"DOI":"EPA/841/R-16/008","abstract":"Acknowledgements This report resulted from a groundbreaking collaboration to monitor and assess the nation's rivers and streams. The U.S. Environmental Protection Agency (EPA) Office of Water (OW) would like to thank the many participants who contributed to this important effort. Without the collaborative efforts and support from state and tribal environmental agencies, federal agencies, universities and other organizations, this significant assessment of the nation's rivers and streams would not have been possible. EPA OW would like to thank the field crews, biologists, taxonomists, laboratory staff, data analysts, program administrators, EPA regional coordinators, statisticians, quality control staff, data management staff and many reviewers for their dedication and hard work. Your collective efforts made this report possible. To the many hundreds of participants, EPA expresses its profound thanks and gratitude.","author":[{"dropping-particle":"","family":"U.S. EPA","given":"","non-dropping-particle":"","parse-names":false,"suffix":""}],"id":"ITEM-1","issue":"March","issued":{"date-parts":[["2016"]]},"number-of-pages":"140","title":"National Rivers and Streams Assessment 2008-2009: Technical Report, Office of Water and Office of Research and Development, Washington, DC EPA-841-R-16-008","type":"report"},"uris":["http://www.mendeley.com/documents/?uuid=0895abcd-10d3-450c-866a-0a52a3a681ef"]},{"id":"ITEM-2","itemData":{"DOI":"10.1899/08-053.1","author":[{"dropping-particle":"","family":"Stoddard","given":"John L","non-dropping-particle":"","parse-names":false,"suffix":""},{"dropping-particle":"","family":"Herlihy","given":"Alan T","non-dropping-particle":"","parse-names":false,"suffix":""},{"dropping-particle":"V","family":"Peck","given":"David","non-dropping-particle":"","parse-names":false,"suffix":""},{"dropping-particle":"","family":"Hughes","given":"Robert M","non-dropping-particle":"","parse-names":false,"suffix":""},{"dropping-particle":"","family":"Thomas","given":"R","non-dropping-particle":"","parse-names":false,"suffix":""},{"dropping-particle":"","family":"Tarquinio","given":"Ellen","non-dropping-particle":"","parse-names":false,"suffix":""},{"dropping-particle":"","family":"Stoddard","given":"John L","non-dropping-particle":"","parse-names":false,"suffix":""},{"dropping-particle":"","family":"Herlihy","given":"Alan T","non-dropping-particle":"","parse-names":false,"suffix":""},{"dropping-particle":"V","family":"Peck","given":"David","non-dropping-particle":"","parse-names":false,"suffix":""},{"dropping-particle":"","family":"Whittier","given":"Thomas R","non-dropping-particle":"","parse-names":false,"suffix":""}],"container-title":"Journal of the North American Benthological Society","id":"ITEM-2","issue":"4","issued":{"date-parts":[["2008"]]},"page":"878-891","title":"A process for creating multimetric indices for large-scale aquatic surveys","type":"article-journal","volume":"27"},"uris":["http://www.mendeley.com/documents/?uuid=ea6d6004-c33a-4988-959b-a5cd7db54191"]},{"id":"ITEM-3","itemData":{"DOI":"10.1002/eap.1617","ISSN":"19395582","abstract":"© 2017 by the Ecological Society of America. Understanding and mapping the spatial variation in stream biological condition could provide an important tool for conservation, assessment, and restoration of stream ecosystems. The USEPA's 2008-2009 National Rivers and Streams Assessment (NRSA) summarizes the percentage of stream lengths within the conterminous United States that are in good, fair, or poor biological condition based on a multimetric index of benthic invertebrate assemblages. However, condition is usually summarized at regional or national scales, and these assessments do not provide substantial insight into the spatial distribution of conditions at unsampled locations. We used random forests to model and predict the probable condition of several million kilometers of streams across the conterminous United States based on nearby and upstream landscape features, including human-related alterations to watersheds. To do so, we linked NRSA sample sites to the USEPA's StreamCat Dataset; a database of several hundred landscape metrics for all 1:100,000-scale streams and their associated watersheds within the conterminous United States. The StreamCat data provided geospatial indicators of nearby and upstream land use, land cover, climate, and other landscape features for modeling. Nationally, the model correctly predicted the biological condition class of 75% of NRSA sites. Although model evaluations suggested good discrimination among condition classes, we present maps as predicted probabilities of good condition, given upstream and nearby landscape settings. Inversely, the maps can be interpreted as the probability of a stream being in poor condition, given human-related watershed alterations. These predictions are available for download from the USEPA's StreamCat website. Finally, we illustrate how these predictions could be used to prioritize streams for conservation or restoration.","author":[{"dropping-particle":"","family":"Hill","given":"Ryan A.","non-dropping-particle":"","parse-names":false,"suffix":""},{"dropping-particle":"","family":"Fox","given":"Eric W.","non-dropping-particle":"","parse-names":false,"suffix":""},{"dropping-particle":"","family":"Leibowitz","given":"Scott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H.","non-dropping-particle":"","parse-names":false,"suffix":""}],"container-title":"Ecological Applications","id":"ITEM-3","issue":"8","issued":{"date-parts":[["2017"]]},"page":"2397-2415","title":"Predictive mapping of the biotic condition of conterminous U.S. rivers and streams","type":"article-journal","volume":"27"},"uris":["http://www.mendeley.com/documents/?uuid=c41186d5-02ef-4dae-b391-6577f4aa23cd"]}],"mendeley":{"formattedCitation":"(Stoddard et al. 2008, U.S. EPA 2016a, Hill et al. 2017)","plainTextFormattedCitation":"(Stoddard et al. 2008, U.S. EPA 2016a, Hill et al. 2017)","previouslyFormattedCitation":"(Stoddard et al. 2008, U.S. EPA 2016a, Hill et al.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(Stoddard et al. 2008, U.S. EPA 2016a, Hill et al. 2017)</w:t>
      </w:r>
      <w:r>
        <w:rPr>
          <w:rFonts w:cs="Times New Roman"/>
          <w:szCs w:val="24"/>
        </w:rPr>
        <w:fldChar w:fldCharType="end"/>
      </w:r>
      <w:r>
        <w:rPr>
          <w:rFonts w:cs="Times New Roman"/>
          <w:szCs w:val="24"/>
        </w:rPr>
        <w:t xml:space="preserve">. Condition class of a site is assigned using percentiles of MMI scores calculated at minimally impacted sites </w:t>
      </w:r>
      <w:r>
        <w:rPr>
          <w:rFonts w:cs="Times New Roman"/>
          <w:szCs w:val="24"/>
        </w:rPr>
        <w:fldChar w:fldCharType="begin" w:fldLock="1"/>
      </w:r>
      <w:r w:rsidR="00306019">
        <w:rPr>
          <w:rFonts w:cs="Times New Roman"/>
          <w:szCs w:val="24"/>
        </w:rPr>
        <w:instrText>ADDIN CSL_CITATION {"citationItems":[{"id":"ITEM-1","itemData":{"DOI":"10.1002/eap.1617","ISSN":"19395582","abstract":"© 2017 by the Ecological Society of America. Understanding and mapping the spatial variation in stream biological condition could provide an important tool for conservation, assessment, and restoration of stream ecosystems. The USEPA's 2008-2009 National Rivers and Streams Assessment (NRSA) summarizes the percentage of stream lengths within the conterminous United States that are in good, fair, or poor biological condition based on a multimetric index of benthic invertebrate assemblages. However, condition is usually summarized at regional or national scales, and these assessments do not provide substantial insight into the spatial distribution of conditions at unsampled locations. We used random forests to model and predict the probable condition of several million kilometers of streams across the conterminous United States based on nearby and upstream landscape features, including human-related alterations to watersheds. To do so, we linked NRSA sample sites to the USEPA's StreamCat Dataset; a database of several hundred landscape metrics for all 1:100,000-scale streams and their associated watersheds within the conterminous United States. The StreamCat data provided geospatial indicators of nearby and upstream land use, land cover, climate, and other landscape features for modeling. Nationally, the model correctly predicted the biological condition class of 75% of NRSA sites. Although model evaluations suggested good discrimination among condition classes, we present maps as predicted probabilities of good condition, given upstream and nearby landscape settings. Inversely, the maps can be interpreted as the probability of a stream being in poor condition, given human-related watershed alterations. These predictions are available for download from the USEPA's StreamCat website. Finally, we illustrate how these predictions could be used to prioritize streams for conservation or restoration.","author":[{"dropping-particle":"","family":"Hill","given":"Ryan A.","non-dropping-particle":"","parse-names":false,"suffix":""},{"dropping-particle":"","family":"Fox","given":"Eric W.","non-dropping-particle":"","parse-names":false,"suffix":""},{"dropping-particle":"","family":"Leibowitz","given":"Scott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H.","non-dropping-particle":"","parse-names":false,"suffix":""}],"container-title":"Ecological Applications","id":"ITEM-1","issue":"8","issued":{"date-parts":[["2017"]]},"page":"2397-2415","title":"Predictive mapping of the biotic condition of conterminous U.S. rivers and streams","type":"article-journal","volume":"27"},"uris":["http://www.mendeley.com/documents/?uuid=c41186d5-02ef-4dae-b391-6577f4aa23cd"]},{"id":"ITEM-2","itemData":{"DOI":"10.1899/08-081.1","ISSN":"08873593","abstract":"One of the biggest challenges when conducting a continental-scale assessment of streams is setting appropriate expectations for the assessed sites. The challenge occurs for 2 reasons: 1) tremendous natural environmental heterogeneity exists within a continental landscape and 2) reference sites vary in quality both across and within major regions of the continent. We describe the process used to set expectations for the multimetric index of biotic integrity (MIBI) and observed/expected (O/E) indices generated from predictive models used to assess stream condition for the US Wadeable Streams Assessment (WSA). The assessment was based on a reference-site approach, in which the least-disturbed sites in each region of the US were used to establish benchmarks for assessing the condition of macroinvertebrate assemblages at other sites. Reference sites were compiled by filtering WSA sample sites for disturbance using a series of abiotic variables. Additional reference sites were needed and were obtained from other state, university, and federal monitoring programs. This pool of potential reference sites was then assessed for uniformity in site quality and comparability of macroinvertebrate sample data. Ultimately, 1625 sites were used to set reference expectations for the WSA. Reference-site data were used to help define 9 large ecoregions that minimized the naturally occurring variation in macroinvertebrate assemblages associated with continental-wide differences in biogeography. These ecoregions were used as a basis for developing MIBI and O/E indices and for reporting results. A least-disturbed definition of reference condition was used nationally, but we suspect that the quality of the best extant sites in ecoregions, such as the Northern Plains and Temperate Plains, was lower than that of sites in other ecoregions. For the MIBI assessment, we used a simple modeling approach to adjust scores in ecoregions where gradients in reference-site quality could be demonstrated conclusively. The WSA provided an unparalleled opportunity to push the limits of our conceptual and technical understanding of how to best apply a reference-condition approach to a real-world need. Our hope is that we have learned enough from this exercise to improve the technical quality of the next round of national assessments. © 2008 by The North American Benthological Society.","author":[{"dropping-particle":"","family":"Herlihy","given":"Alan T.","non-dropping-particle":"","parse-names":false,"suffix":""},{"dropping-particle":"","family":"Paulsen","given":"Steven G.","non-dropping-particle":"","parse-names":false,"suffix":""},{"dropping-particle":"","family":"Sickle","given":"John","non-dropping-particle":"Van","parse-names":false,"suffix":""},{"dropping-particle":"","family":"Stoddard","given":"John L.","non-dropping-particle":"","parse-names":false,"suffix":""},{"dropping-particle":"","family":"Hawkins","given":"Charles P.","non-dropping-particle":"","parse-names":false,"suffix":""},{"dropping-particle":"","family":"Yuan","given":"Lester L.","non-dropping-particle":"","parse-names":false,"suffix":""}],"container-title":"Journal of the North American Benthological Society","id":"ITEM-2","issue":"4","issued":{"date-parts":[["2008"]]},"page":"860-877","title":"Striving for consistency in a national assessment: The challenges of applying a reference-condition approach at a continental scale","type":"article-journal","volume":"27"},"uris":["http://www.mendeley.com/documents/?uuid=ef6e582d-7d99-4176-a82e-1df435a3f4e4"]}],"mendeley":{"formattedCitation":"(Herlihy et al. 2008, Hill et al. 2017)","plainTextFormattedCitation":"(Herlihy et al. 2008, Hill et al. 2017)","previouslyFormattedCitation":"(Herlihy et al. 2008, Hill et al.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(Herlihy et al. 2008, Hill et al. 2017)</w:t>
      </w:r>
      <w:r>
        <w:rPr>
          <w:rFonts w:cs="Times New Roman"/>
          <w:szCs w:val="24"/>
        </w:rPr>
        <w:fldChar w:fldCharType="end"/>
      </w:r>
      <w:r>
        <w:rPr>
          <w:rFonts w:cs="Times New Roman"/>
          <w:szCs w:val="24"/>
        </w:rPr>
        <w:t xml:space="preserve">. We present analyses linking MMI to traits that could reflect the spatial and temporal characteristics </w:t>
      </w:r>
      <w:r>
        <w:rPr>
          <w:rFonts w:cs="Times New Roman"/>
          <w:szCs w:val="24"/>
        </w:rPr>
        <w:lastRenderedPageBreak/>
        <w:t xml:space="preserve">of subsidies to place our results in a general </w:t>
      </w:r>
      <w:proofErr w:type="spellStart"/>
      <w:r>
        <w:rPr>
          <w:rFonts w:cs="Times New Roman"/>
          <w:szCs w:val="24"/>
        </w:rPr>
        <w:t>bioassessment</w:t>
      </w:r>
      <w:proofErr w:type="spellEnd"/>
      <w:r>
        <w:rPr>
          <w:rFonts w:cs="Times New Roman"/>
          <w:szCs w:val="24"/>
        </w:rPr>
        <w:t xml:space="preserve"> context, although we acknowledge that MMI and some trait-states may be correlated. </w:t>
      </w:r>
    </w:p>
    <w:p w14:paraId="2B281652" w14:textId="77777777" w:rsidR="00333AA3" w:rsidRDefault="00333AA3" w:rsidP="00333AA3">
      <w:pPr>
        <w:spacing w:line="480" w:lineRule="auto"/>
        <w:contextualSpacing/>
        <w:rPr>
          <w:rFonts w:cs="Times New Roman"/>
          <w:i/>
          <w:szCs w:val="24"/>
        </w:rPr>
      </w:pPr>
    </w:p>
    <w:p w14:paraId="3BED1CE8" w14:textId="77777777" w:rsidR="00333AA3" w:rsidRPr="00A822A6" w:rsidRDefault="00333AA3" w:rsidP="00333AA3">
      <w:pPr>
        <w:spacing w:line="480" w:lineRule="auto"/>
        <w:contextualSpacing/>
        <w:rPr>
          <w:rFonts w:cs="Times New Roman"/>
          <w:i/>
          <w:szCs w:val="24"/>
        </w:rPr>
      </w:pPr>
      <w:r>
        <w:rPr>
          <w:rFonts w:cs="Times New Roman"/>
          <w:i/>
          <w:szCs w:val="24"/>
        </w:rPr>
        <w:t>Data a</w:t>
      </w:r>
      <w:r w:rsidRPr="00D7793E">
        <w:rPr>
          <w:rFonts w:cs="Times New Roman"/>
          <w:i/>
          <w:szCs w:val="24"/>
        </w:rPr>
        <w:t>nalysis</w:t>
      </w:r>
    </w:p>
    <w:p w14:paraId="127AD750" w14:textId="77777777" w:rsidR="00333AA3" w:rsidRDefault="00333AA3" w:rsidP="00333AA3">
      <w:pPr>
        <w:spacing w:line="480" w:lineRule="auto"/>
        <w:ind w:firstLine="720"/>
        <w:contextualSpacing/>
        <w:rPr>
          <w:rFonts w:cs="Times New Roman"/>
          <w:szCs w:val="24"/>
        </w:rPr>
      </w:pPr>
      <w:r>
        <w:rPr>
          <w:rFonts w:cs="Times New Roman"/>
          <w:szCs w:val="24"/>
        </w:rPr>
        <w:t xml:space="preserve">Of the 1,924 NRSA sites surveyed for benthic macroinvertebrates, 36 samples were lost during processing and 29 sites lacked sufficient environmental data. We discarded an additional 7 sites because it was not possible to estimate a stream signature for sites with only </w:t>
      </w:r>
      <w:proofErr w:type="spellStart"/>
      <w:r>
        <w:rPr>
          <w:rFonts w:cs="Times New Roman"/>
          <w:szCs w:val="24"/>
        </w:rPr>
        <w:t>Odonata</w:t>
      </w:r>
      <w:proofErr w:type="spellEnd"/>
      <w:r>
        <w:rPr>
          <w:rFonts w:cs="Times New Roman"/>
          <w:szCs w:val="24"/>
        </w:rPr>
        <w:t xml:space="preserve"> and/or non-</w:t>
      </w:r>
      <w:proofErr w:type="spellStart"/>
      <w:r>
        <w:rPr>
          <w:rFonts w:cs="Times New Roman"/>
          <w:szCs w:val="24"/>
        </w:rPr>
        <w:t>chironomid</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 xml:space="preserve"> as flying taxa, leaving us with 1,852 sites for this study (Figure S2A). Due to data availability, we restricted the trait analysis to sites that had trait assignments for &gt; 50% of the flying individuals (n = 574, Figure S2B) and calculated the frequency of a given trait-state using only individuals with trait data. We chose this threshold to achieve a minimum sample size for each hydrologic region (n ≥ 3,</w:t>
      </w:r>
      <w:r w:rsidRPr="00C31731">
        <w:rPr>
          <w:rFonts w:cs="Times New Roman"/>
          <w:szCs w:val="24"/>
        </w:rPr>
        <w:t xml:space="preserve"> </w:t>
      </w:r>
      <w:r w:rsidRPr="00491482">
        <w:rPr>
          <w:rFonts w:cs="Times New Roman"/>
          <w:szCs w:val="24"/>
        </w:rPr>
        <w:t>Table S1</w:t>
      </w:r>
      <w:r>
        <w:rPr>
          <w:rFonts w:cs="Times New Roman"/>
          <w:szCs w:val="24"/>
        </w:rPr>
        <w:t xml:space="preserve">) but found similar results for more conservative thresholds (i.e. &gt; 60, &gt; 70, and &gt; 80%; Table S2). Further, trait data were only available for 232 genera (46% of flying genera) and were unequally represented among the taxonomic groups collected during the NRSA survey (i.e. 14% </w:t>
      </w:r>
      <w:proofErr w:type="spellStart"/>
      <w:r>
        <w:rPr>
          <w:rFonts w:cs="Times New Roman"/>
          <w:szCs w:val="24"/>
        </w:rPr>
        <w:t>Diptera</w:t>
      </w:r>
      <w:proofErr w:type="spellEnd"/>
      <w:r>
        <w:rPr>
          <w:rFonts w:cs="Times New Roman"/>
          <w:szCs w:val="24"/>
        </w:rPr>
        <w:t xml:space="preserve">, 75% </w:t>
      </w:r>
      <w:proofErr w:type="spellStart"/>
      <w:r>
        <w:rPr>
          <w:rFonts w:cs="Times New Roman"/>
          <w:szCs w:val="24"/>
        </w:rPr>
        <w:t>Ephemeroptera</w:t>
      </w:r>
      <w:proofErr w:type="spellEnd"/>
      <w:r>
        <w:rPr>
          <w:rFonts w:cs="Times New Roman"/>
          <w:szCs w:val="24"/>
        </w:rPr>
        <w:t xml:space="preserve">, 67% </w:t>
      </w:r>
      <w:proofErr w:type="spellStart"/>
      <w:r>
        <w:rPr>
          <w:rFonts w:cs="Times New Roman"/>
          <w:szCs w:val="24"/>
        </w:rPr>
        <w:t>Odonata</w:t>
      </w:r>
      <w:proofErr w:type="spellEnd"/>
      <w:r>
        <w:rPr>
          <w:rFonts w:cs="Times New Roman"/>
          <w:szCs w:val="24"/>
        </w:rPr>
        <w:t xml:space="preserve">, 88% </w:t>
      </w:r>
      <w:proofErr w:type="spellStart"/>
      <w:r>
        <w:rPr>
          <w:rFonts w:cs="Times New Roman"/>
          <w:szCs w:val="24"/>
        </w:rPr>
        <w:t>Plecoptera</w:t>
      </w:r>
      <w:proofErr w:type="spellEnd"/>
      <w:r>
        <w:rPr>
          <w:rFonts w:cs="Times New Roman"/>
          <w:szCs w:val="24"/>
        </w:rPr>
        <w:t xml:space="preserve">, 68% </w:t>
      </w:r>
      <w:proofErr w:type="spellStart"/>
      <w:r>
        <w:rPr>
          <w:rFonts w:cs="Times New Roman"/>
          <w:szCs w:val="24"/>
        </w:rPr>
        <w:t>Tricoptera</w:t>
      </w:r>
      <w:proofErr w:type="spellEnd"/>
      <w:r>
        <w:rPr>
          <w:rFonts w:cs="Times New Roman"/>
          <w:szCs w:val="24"/>
        </w:rPr>
        <w:t xml:space="preserve">; Figure S3A). Given the relatively low representation of </w:t>
      </w:r>
      <w:proofErr w:type="spellStart"/>
      <w:r>
        <w:rPr>
          <w:rFonts w:cs="Times New Roman"/>
          <w:szCs w:val="24"/>
        </w:rPr>
        <w:t>Diptera</w:t>
      </w:r>
      <w:proofErr w:type="spellEnd"/>
      <w:r>
        <w:rPr>
          <w:rFonts w:cs="Times New Roman"/>
          <w:szCs w:val="24"/>
        </w:rPr>
        <w:t xml:space="preserve"> in the traits database, sites dominated by these taxa may have been excluded from our analysis (Figure S3B). </w:t>
      </w:r>
    </w:p>
    <w:p w14:paraId="0DA2C22D" w14:textId="06B04D4B" w:rsidR="00333AA3" w:rsidRDefault="00333AA3" w:rsidP="00333AA3">
      <w:pPr>
        <w:spacing w:line="480" w:lineRule="auto"/>
        <w:ind w:firstLine="720"/>
        <w:contextualSpacing/>
        <w:rPr>
          <w:rFonts w:cs="Times New Roman"/>
          <w:szCs w:val="24"/>
        </w:rPr>
      </w:pPr>
      <w:r>
        <w:rPr>
          <w:rFonts w:cs="Times New Roman"/>
          <w:szCs w:val="24"/>
        </w:rPr>
        <w:t xml:space="preserve">We used random forest regression models to predict each of the nine response variables from 15 environmental predictor variables </w:t>
      </w:r>
      <w:r>
        <w:rPr>
          <w:rFonts w:cs="Times New Roman"/>
          <w:szCs w:val="24"/>
        </w:rPr>
        <w:fldChar w:fldCharType="begin" w:fldLock="1"/>
      </w:r>
      <w:r w:rsidR="00306019">
        <w:rPr>
          <w:rFonts w:cs="Times New Roman"/>
          <w:szCs w:val="24"/>
        </w:rPr>
        <w:instrText xml:space="preserve">ADDIN CSL_CITATION {"citationItems":[{"id":"ITEM-1","itemData":{"DOI":"10.1007/978-3-662-56776-0_10","ISBN":"9783110941975","abstract":"Random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w:instrText>
      </w:r>
      <w:r w:rsidR="00306019">
        <w:rPr>
          <w:rFonts w:ascii="Cambria Math" w:hAnsi="Cambria Math" w:cs="Cambria Math"/>
          <w:szCs w:val="24"/>
        </w:rPr>
        <w:instrText>∗∗∗</w:instrText>
      </w:r>
      <w:r w:rsidR="00306019">
        <w:rPr>
          <w:rFonts w:cs="Times New Roman"/>
          <w:szCs w:val="24"/>
        </w:rPr>
        <w:instrText>,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regression.","author":[{"dropping-particle":"","family":"Breiman","given":"Leo","non-dropping-particle":"","parse-names":false,"suffix":""}],"container-title":"Machine Learning","id":"ITEM-1","issued":{"date-parts":[["2001"]]},"page":"5-32","title":"Random forests","type":"article-journal","volume":"45"},"uris":["http://www.mendeley.com/documents/?uuid=bc6ef2d8-941f-473a-b32f-135a50a61503"]}],"mendeley":{"formattedCitation":"(Breiman 2001)","manualFormatting":"(Breiman 2001,","plainTextFormattedCitation":"(Breiman 2001)","previouslyFormattedCitation":"(Breiman 2001)"},"properties":{"noteIndex":0},"schema":"https://github.com/citation-style-language/schema/raw/master/csl-citation.json"}</w:instrText>
      </w:r>
      <w:r>
        <w:rPr>
          <w:rFonts w:cs="Times New Roman"/>
          <w:szCs w:val="24"/>
        </w:rPr>
        <w:fldChar w:fldCharType="separate"/>
      </w:r>
      <w:r w:rsidRPr="0089509B">
        <w:rPr>
          <w:rFonts w:cs="Times New Roman"/>
          <w:noProof/>
          <w:szCs w:val="24"/>
        </w:rPr>
        <w:t>(Breiman 2001</w:t>
      </w:r>
      <w:r>
        <w:rPr>
          <w:rFonts w:cs="Times New Roman"/>
          <w:noProof/>
          <w:szCs w:val="24"/>
        </w:rPr>
        <w:t>,</w:t>
      </w:r>
      <w:r>
        <w:rPr>
          <w:rFonts w:cs="Times New Roman"/>
          <w:szCs w:val="24"/>
        </w:rPr>
        <w:fldChar w:fldCharType="end"/>
      </w:r>
      <w:r>
        <w:rPr>
          <w:rFonts w:cs="Times New Roman"/>
          <w:szCs w:val="24"/>
        </w:rPr>
        <w:t xml:space="preserve">Table 2). Random forest is a machine learning algorithm that combines predictions from multiple independent decision trees and is now common in ecology </w:t>
      </w:r>
      <w:r>
        <w:rPr>
          <w:rFonts w:cs="Times New Roman"/>
          <w:szCs w:val="24"/>
        </w:rPr>
        <w:fldChar w:fldCharType="begin" w:fldLock="1"/>
      </w:r>
      <w:r w:rsidR="00306019">
        <w:rPr>
          <w:rFonts w:cs="Times New Roman"/>
          <w:szCs w:val="24"/>
        </w:rPr>
        <w:instrText>ADDIN CSL_CITATION {"citationItems":[{"id":"ITEM-1","itemData":{"DOI":"10.1002/eap.1617","ISSN":"19395582","abstract":"© 2017 by the Ecological Society of America. Understanding and mapping the spatial variation in stream biological condition could provide an important tool for conservation, assessment, and restoration of stream ecosystems. The USEPA's 2008-2009 National Rivers and Streams Assessment (NRSA) summarizes the percentage of stream lengths within the conterminous United States that are in good, fair, or poor biological condition based on a multimetric index of benthic invertebrate assemblages. However, condition is usually summarized at regional or national scales, and these assessments do not provide substantial insight into the spatial distribution of conditions at unsampled locations. We used random forests to model and predict the probable condition of several million kilometers of streams across the conterminous United States based on nearby and upstream landscape features, including human-related alterations to watersheds. To do so, we linked NRSA sample sites to the USEPA's StreamCat Dataset; a database of several hundred landscape metrics for all 1:100,000-scale streams and their associated watersheds within the conterminous United States. The StreamCat data provided geospatial indicators of nearby and upstream land use, land cover, climate, and other landscape features for modeling. Nationally, the model correctly predicted the biological condition class of 75% of NRSA sites. Although model evaluations suggested good discrimination among condition classes, we present maps as predicted probabilities of good condition, given upstream and nearby landscape settings. Inversely, the maps can be interpreted as the probability of a stream being in poor condition, given human-related watershed alterations. These predictions are available for download from the USEPA's StreamCat website. Finally, we illustrate how these predictions could be used to prioritize streams for conservation or restoration.","author":[{"dropping-particle":"","family":"Hill","given":"Ryan A.","non-dropping-particle":"","parse-names":false,"suffix":""},{"dropping-particle":"","family":"Fox","given":"Eric W.","non-dropping-particle":"","parse-names":false,"suffix":""},{"dropping-particle":"","family":"Leibowitz","given":"Scott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H.","non-dropping-particle":"","parse-names":false,"suffix":""}],"container-title":"Ecological Applications","id":"ITEM-1","issue":"8","issued":{"date-parts":[["2017"]]},"page":"2397-2415","title":"Predictive mapping of the biotic condition of conterminous U.S. rivers and streams","type":"article-journal","volume":"27"},"uris":["http://www.mendeley.com/documents/?uuid=c41186d5-02ef-4dae-b391-6577f4aa23cd"]},{"id":"ITEM-2","itemData":{"DOI":"10.1007/s10661-017-6025-0","ISBN":"1066101760","ISSN":"15732959","abstract":"Random forest (RF) modeling has emerged as an important statistical learning method in ecology due to its exceptional predictive performance. However, for large and complex ecological data sets, there is limited guidance on variable selection methods for RF modeling. Typically, either a preselected set of predictor variables are used or stepwise procedures are employed which iteratively remove variables according to their importance measures. This paper investigates the application of variable selection methods to RF models for predicting probable biological stream condition. Our motivating data set consists of the good/poor condition of n = 1365 stream survey sites from the 2008/2009 National Rivers and Stream Assessment, and a large set (p = 212) of landscape features from the StreamCat data set as potential predictors. We compare two types of RF models: a full variable set model with all 212 predictors and a reduced variable set model selected using a backward elimination approach. We assess model accuracy using RF’s internal out-of-bag estimate, and a cross-validation procedure with validation folds external to the variable selection process. We also assess the stability of the spatial predictions generated by the RF models to changes in the number of predictors and argue that model selection needs to consider both accuracy and stability. The results suggest that RF modeling is robust to the inclusion of many variables of moderate to low importance. We found no substantial improvement in cross-validated accuracy as a result of variable reduction. Moreover, the backward elimination procedure tended to select too few variables and exhibited numerous issues such as upwardly biased out-of-bag accuracy estimates and instabilities in the spatial predictions. We use simulations to further support and generalize results from the analysis of real data. A main purpose of this work is to elucidate issues of model selection bias and instability to ecologists interested in using RF to develop predictive models with large environmental data sets.","author":[{"dropping-particle":"","family":"Fox","given":"Eric W.","non-dropping-particle":"","parse-names":false,"suffix":""},{"dropping-particle":"","family":"Hill","given":"Ryan A.","non-dropping-particle":"","parse-names":false,"suffix":""},{"dropping-particle":"","family":"Leibowitz","given":"Scott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H.","non-dropping-particle":"","parse-names":false,"suffix":""}],"container-title":"Environmental Monitoring and Assessment","id":"ITEM-2","issued":{"date-parts":[["2017"]]},"page":"316","publisher":"Environmental Monitoring and Assessment","title":"Assessing the accuracy and stability of variable selection methods for random forest modeling in ecology","type":"article-journal","volume":"189"},"uris":["http://www.mendeley.com/documents/?uuid=e8433c01-1170-41d9-9dba-12f173c6e914"]}],"mendeley":{"formattedCitation":"(Fox et al. 2017, Hill et al. 2017)","plainTextFormattedCitation":"(Fox et al. 2017, Hill et al. 2017)","previouslyFormattedCitation":"(Fox et al. 2017, Hill et al.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(Fox et al. 2017, Hill et al. 2017)</w:t>
      </w:r>
      <w:r>
        <w:rPr>
          <w:rFonts w:cs="Times New Roman"/>
          <w:szCs w:val="24"/>
        </w:rPr>
        <w:fldChar w:fldCharType="end"/>
      </w:r>
      <w:r>
        <w:rPr>
          <w:rFonts w:cs="Times New Roman"/>
          <w:szCs w:val="24"/>
        </w:rPr>
        <w:t xml:space="preserve">. Prior to model fitting we randomly selected and withheld 20% of sites for validation. We removed strongly correlated variables (r &gt; </w:t>
      </w:r>
      <w:r>
        <w:rPr>
          <w:rFonts w:cs="Times New Roman"/>
          <w:szCs w:val="24"/>
        </w:rPr>
        <w:lastRenderedPageBreak/>
        <w:t xml:space="preserve">0.7; DISCHARGE, WIDTH and DEPTH and JA_TEMP) to avoid potentially misleading estimates of variable importance </w:t>
      </w:r>
      <w:r>
        <w:rPr>
          <w:rFonts w:cs="Times New Roman"/>
          <w:szCs w:val="24"/>
        </w:rPr>
        <w:fldChar w:fldCharType="begin" w:fldLock="1"/>
      </w:r>
      <w:r w:rsidR="00306019">
        <w:rPr>
          <w:rFonts w:cs="Times New Roman"/>
          <w:szCs w:val="24"/>
        </w:rPr>
        <w:instrText>ADDIN CSL_CITATION {"citationItems":[{"id":"ITEM-1","itemData":{"DOI":"10.1007/s11222-016-9646-1","ISSN":"15731375","abstract":"This paper is about variable selection with the random forests algorithm in presence of correlated predictors. In high-dimensional regression or classification frameworks, variable selection is a difficult task, that becomes even more challenging in the presence of highly correlated predictors. Firstly we provide a theoretical study of the permutation importance measure for an additive regression model. This allows us to describe how the correlation between predictors impacts the permutation importance. Our results motivate the use of the recursive feature elimination (RFE) algorithm for variable selection in this context. This algorithm recursively eliminates the variables using permutation importance measure as a ranking criterion. Next various simulation experiments illustrate the efficiency of the RFE algorithm for selecting a small number of variables together with a good prediction error. Finally, this selection algorithm is tested on the Landsat Satellite data from the UCI Machine Learning Repository.","author":[{"dropping-particle":"","family":"Gregorutti","given":"Baptiste","non-dropping-particle":"","parse-names":false,"suffix":""},{"dropping-particle":"","family":"Michel","given":"Bertrand","non-dropping-particle":"","parse-names":false,"suffix":""},{"dropping-particle":"","family":"Saint-Pierre","given":"Philippe","non-dropping-particle":"","parse-names":false,"suffix":""}],"container-title":"Statistics and Computing","id":"ITEM-1","issue":"3","issued":{"date-parts":[["2017"]]},"page":"659-678","publisher":"Springer US","title":"Correlation and variable importance in random forests","type":"article-journal","volume":"27"},"uris":["http://www.mendeley.com/documents/?uuid=87cf7bdc-c2f8-4c00-90ce-541f0641ab90"]}],"mendeley":{"formattedCitation":"(Gregorutti et al. 2017)","plainTextFormattedCitation":"(Gregorutti et al. 2017)","previouslyFormattedCitation":"(Gregorutti et al.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(Gregorutti et al. 2017)</w:t>
      </w:r>
      <w:r>
        <w:rPr>
          <w:rFonts w:cs="Times New Roman"/>
          <w:szCs w:val="24"/>
        </w:rPr>
        <w:fldChar w:fldCharType="end"/>
      </w:r>
      <w:r>
        <w:rPr>
          <w:rFonts w:cs="Times New Roman"/>
          <w:szCs w:val="24"/>
        </w:rPr>
        <w:t>. The remaining variables were mean-centered and standardized.</w:t>
      </w:r>
    </w:p>
    <w:p w14:paraId="37FFEEF9" w14:textId="371C9013" w:rsidR="00333AA3" w:rsidRDefault="00333AA3" w:rsidP="00333AA3">
      <w:pPr>
        <w:spacing w:line="480" w:lineRule="auto"/>
        <w:ind w:firstLine="720"/>
        <w:contextualSpacing/>
        <w:rPr>
          <w:rFonts w:cs="Times New Roman"/>
          <w:szCs w:val="24"/>
        </w:rPr>
      </w:pPr>
      <w:r>
        <w:rPr>
          <w:rFonts w:cs="Times New Roman"/>
          <w:szCs w:val="24"/>
        </w:rPr>
        <w:t>Models were fit using the “</w:t>
      </w:r>
      <w:proofErr w:type="spellStart"/>
      <w:r>
        <w:rPr>
          <w:rFonts w:cs="Times New Roman"/>
          <w:szCs w:val="24"/>
        </w:rPr>
        <w:t>randomForest</w:t>
      </w:r>
      <w:proofErr w:type="spellEnd"/>
      <w:r>
        <w:rPr>
          <w:rFonts w:cs="Times New Roman"/>
          <w:szCs w:val="24"/>
        </w:rPr>
        <w:t xml:space="preserve">” R-package </w:t>
      </w:r>
      <w:r>
        <w:rPr>
          <w:rFonts w:cs="Times New Roman"/>
          <w:szCs w:val="24"/>
        </w:rPr>
        <w:fldChar w:fldCharType="begin" w:fldLock="1"/>
      </w:r>
      <w:r w:rsidR="00306019">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News","id":"ITEM-1","issued":{"date-parts":[["2002"]]},"page":"18-22","title":"Classification and Regression by randomForest","type":"article-journal","volume":"2"},"uris":["http://www.mendeley.com/documents/?uuid=8cc4db5f-3104-4fa0-97ea-d90b77201f16"]}],"mendeley":{"formattedCitation":"(Liaw and Wiener 2002)","plainTextFormattedCitation":"(Liaw and Wiener 2002)","previouslyFormattedCitation":"(Liaw and Wiener 2002)"},"properties":{"noteIndex":0},"schema":"https://github.com/citation-style-language/schema/raw/master/csl-citation.json"}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(Liaw and Wiener 2002)</w:t>
      </w:r>
      <w:r>
        <w:rPr>
          <w:rFonts w:cs="Times New Roman"/>
          <w:szCs w:val="24"/>
        </w:rPr>
        <w:fldChar w:fldCharType="end"/>
      </w:r>
      <w:r>
        <w:rPr>
          <w:rFonts w:cs="Times New Roman"/>
          <w:szCs w:val="24"/>
        </w:rPr>
        <w:t>.</w:t>
      </w:r>
      <w:r w:rsidRPr="004A79A3">
        <w:rPr>
          <w:rFonts w:cs="Times New Roman"/>
          <w:szCs w:val="24"/>
        </w:rPr>
        <w:t xml:space="preserve"> </w:t>
      </w:r>
      <w:r>
        <w:rPr>
          <w:rFonts w:cs="Times New Roman"/>
          <w:szCs w:val="24"/>
        </w:rPr>
        <w:t>Random forest models have two tuning parameters that specify the number of variables randomly selected at each node (</w:t>
      </w:r>
      <w:proofErr w:type="spellStart"/>
      <w:r>
        <w:rPr>
          <w:rFonts w:cs="Times New Roman"/>
          <w:szCs w:val="24"/>
        </w:rPr>
        <w:t>mtry</w:t>
      </w:r>
      <w:proofErr w:type="spellEnd"/>
      <w:r>
        <w:rPr>
          <w:rFonts w:cs="Times New Roman"/>
          <w:szCs w:val="24"/>
        </w:rPr>
        <w:t>) and the number of trees used to build the model (</w:t>
      </w:r>
      <w:proofErr w:type="spellStart"/>
      <w:r>
        <w:rPr>
          <w:rFonts w:cs="Times New Roman"/>
          <w:szCs w:val="24"/>
        </w:rPr>
        <w:t>ntree</w:t>
      </w:r>
      <w:proofErr w:type="spellEnd"/>
      <w:r>
        <w:rPr>
          <w:rFonts w:cs="Times New Roman"/>
          <w:szCs w:val="24"/>
        </w:rPr>
        <w:t>). We conducted a sensitivity analysis to evaluate different parameter values</w:t>
      </w:r>
      <w:r w:rsidRPr="008C3B58">
        <w:rPr>
          <w:rFonts w:cs="Times New Roman"/>
          <w:szCs w:val="24"/>
        </w:rPr>
        <w:t xml:space="preserve"> </w:t>
      </w:r>
      <w:r>
        <w:rPr>
          <w:rFonts w:cs="Times New Roman"/>
          <w:szCs w:val="24"/>
        </w:rPr>
        <w:t xml:space="preserve">for each model </w:t>
      </w:r>
      <w:r>
        <w:rPr>
          <w:rFonts w:cs="Times New Roman"/>
          <w:szCs w:val="24"/>
        </w:rPr>
        <w:fldChar w:fldCharType="begin" w:fldLock="1"/>
      </w:r>
      <w:r w:rsidR="00306019">
        <w:rPr>
          <w:rFonts w:cs="Times New Roman"/>
          <w:szCs w:val="24"/>
        </w:rPr>
        <w:instrText>ADDIN CSL_CITATION {"citationItems":[{"id":"ITEM-1","itemData":{"DOI":"10.1111/1755-0998.12773","ISSN":"17550998","abstract":"Large genomic studies are becoming increasingly common with advances in sequencing technology, and our ability to understand how genomic variation influences phenotypic variation between individuals has never been greater. The exploration of such relationships first requires the identification of associations between molecular markers and phenotypes. Here, we explore the use of Random Forest (RF), a powerful machine-learning algorithm, in genomic studies to discern loci underlying both discrete and quantitative traits, particularly when studying wild or nonmodel organisms. RF is becoming increasingly used in ecological and population genetics because, unlike traditional methods, it can efficiently analyse thousands of loci simultaneously and account for nonadditive interactions. However, understanding both the power and limitations of Random Forest is important for its proper implementation and the interpretation of results. We therefore provide a practical introduction to the algorithm and its use for identifying associations between molecular markers and phenotypes, discussing such topics as data limitations, algorithm initiation and optimization, as well as interpretation. We also provide short R tutorials as examples, with the aim of providing a guide to the implementation of the algorithm. Topics discussed here are intended to serve as an entry point for molecular ecologists interested in employing Random Forest to identify trait associations in genomic data sets.","author":[{"dropping-particle":"","family":"Brieuc","given":"Marine S.O.","non-dropping-particle":"","parse-names":false,"suffix":""},{"dropping-particle":"","family":"Waters","given":"Charles D.","non-dropping-particle":"","parse-names":false,"suffix":""},{"dropping-particle":"","family":"Drinan","given":"Daniel P.","non-dropping-particle":"","parse-names":false,"suffix":""},{"dropping-particle":"","family":"Naish","given":"Kerry A.","non-dropping-particle":"","parse-names":false,"suffix":""}],"container-title":"Molecular Ecology Resources","id":"ITEM-1","issue":"4","issued":{"date-parts":[["2018"]]},"page":"755-766","title":"A practical introduction to Random Forest for genetic association studies in ecology and evolution","type":"article-journal","volume":"18"},"uris":["http://www.mendeley.com/documents/?uuid=c8551b35-e003-4272-8296-ca51f230aa5f"]},{"id":"ITEM-2","itemData":{"DOI":"10.1007/s10661-017-6025-0","ISBN":"1066101760","ISSN":"15732959","abstract":"Random forest (RF) modeling has emerged as an important statistical learning method in ecology due to its exceptional predictive performance. However, for large and complex ecological data sets, there is limited guidance on variable selection methods for RF modeling. Typically, either a preselected set of predictor variables are used or stepwise procedures are employed which iteratively remove variables according to their importance measures. This paper investigates the application of variable selection methods to RF models for predicting probable biological stream condition. Our motivating data set consists of the good/poor condition of n = 1365 stream survey sites from the 2008/2009 National Rivers and Stream Assessment, and a large set (p = 212) of landscape features from the StreamCat data set as potential predictors. We compare two types of RF models: a full variable set model with all 212 predictors and a reduced variable set model selected using a backward elimination approach. We assess model accuracy using RF’s internal out-of-bag estimate, and a cross-validation procedure with validation folds external to the variable selection process. We also assess the stability of the spatial predictions generated by the RF models to changes in the number of predictors and argue that model selection needs to consider both accuracy and stability. The results suggest that RF modeling is robust to the inclusion of many variables of moderate to low importance. We found no substantial improvement in cross-validated accuracy as a result of variable reduction. Moreover, the backward elimination procedure tended to select too few variables and exhibited numerous issues such as upwardly biased out-of-bag accuracy estimates and instabilities in the spatial predictions. We use simulations to further support and generalize results from the analysis of real data. A main purpose of this work is to elucidate issues of model selection bias and instability to ecologists interested in using RF to develop predictive models with large environmental data sets.","author":[{"dropping-particle":"","family":"Fox","given":"Eric W.","non-dropping-particle":"","parse-names":false,"suffix":""},{"dropping-particle":"","family":"Hill","given":"Ryan A.","non-dropping-particle":"","parse-names":false,"suffix":""},{"dropping-particle":"","family":"Leibowitz","given":"Scott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H.","non-dropping-particle":"","parse-names":false,"suffix":""}],"container-title":"Environmental Monitoring and Assessment","id":"ITEM-2","issued":{"date-parts":[["2017"]]},"page":"316","publisher":"Environmental Monitoring and Assessment","title":"Assessing the accuracy and stability of variable selection methods for random forest modeling in ecology","type":"article-journal","volume":"189"},"uris":["http://www.mendeley.com/documents/?uuid=e8433c01-1170-41d9-9dba-12f173c6e914"]}],"mendeley":{"formattedCitation":"(Fox et al. 2017, Brieuc et al. 2018)","manualFormatting":"(Figure S4, S5; Fox et al. 2017, Brieuc et al. 2018)","plainTextFormattedCitation":"(Fox et al. 2017, Brieuc et al. 2018)","previouslyFormattedCitation":"(Fox et al. 2017, Brieuc et al. 2018)"},"properties":{"noteIndex":0},"schema":"https://github.com/citation-style-language/schema/raw/master/csl-citation.json"}</w:instrText>
      </w:r>
      <w:r>
        <w:rPr>
          <w:rFonts w:cs="Times New Roman"/>
          <w:szCs w:val="24"/>
        </w:rPr>
        <w:fldChar w:fldCharType="separate"/>
      </w:r>
      <w:r w:rsidRPr="009F78D5">
        <w:rPr>
          <w:rFonts w:cs="Times New Roman"/>
          <w:noProof/>
          <w:szCs w:val="24"/>
        </w:rPr>
        <w:t>(</w:t>
      </w:r>
      <w:r>
        <w:rPr>
          <w:rFonts w:cs="Times New Roman"/>
          <w:noProof/>
          <w:szCs w:val="24"/>
        </w:rPr>
        <w:t xml:space="preserve">Figure S4, S5; </w:t>
      </w:r>
      <w:r w:rsidRPr="009F78D5">
        <w:rPr>
          <w:rFonts w:cs="Times New Roman"/>
          <w:noProof/>
          <w:szCs w:val="24"/>
        </w:rPr>
        <w:t>Fox et al. 2017, Brieuc et al. 2018)</w:t>
      </w:r>
      <w:r>
        <w:rPr>
          <w:rFonts w:cs="Times New Roman"/>
          <w:szCs w:val="24"/>
        </w:rPr>
        <w:fldChar w:fldCharType="end"/>
      </w:r>
      <w:r>
        <w:rPr>
          <w:rFonts w:cs="Times New Roman"/>
          <w:szCs w:val="24"/>
        </w:rPr>
        <w:t xml:space="preserve">. Consistent with Fox et al. (2017), we found the optimal </w:t>
      </w:r>
      <w:proofErr w:type="spellStart"/>
      <w:r>
        <w:rPr>
          <w:rFonts w:cs="Times New Roman"/>
          <w:szCs w:val="24"/>
        </w:rPr>
        <w:t>mtry</w:t>
      </w:r>
      <w:proofErr w:type="spellEnd"/>
      <w:r>
        <w:rPr>
          <w:rFonts w:cs="Times New Roman"/>
          <w:szCs w:val="24"/>
        </w:rPr>
        <w:t xml:space="preserve"> value offered little improvement over the default (</w:t>
      </w:r>
      <w:proofErr w:type="spellStart"/>
      <w:r>
        <w:rPr>
          <w:rFonts w:cs="Times New Roman"/>
          <w:szCs w:val="24"/>
        </w:rPr>
        <w:t>mtry</w:t>
      </w:r>
      <w:proofErr w:type="spellEnd"/>
      <w:r>
        <w:rPr>
          <w:rFonts w:cs="Times New Roman"/>
          <w:szCs w:val="24"/>
        </w:rPr>
        <w:t xml:space="preserve"> = 4) for many of the models (Figure S4), but increasing the number of trees enhanced the reproducibility (Figure S5). We specified </w:t>
      </w:r>
      <w:proofErr w:type="spellStart"/>
      <w:r>
        <w:rPr>
          <w:rFonts w:cs="Times New Roman"/>
          <w:szCs w:val="24"/>
        </w:rPr>
        <w:t>mtry</w:t>
      </w:r>
      <w:proofErr w:type="spellEnd"/>
      <w:r>
        <w:rPr>
          <w:rFonts w:cs="Times New Roman"/>
          <w:szCs w:val="24"/>
        </w:rPr>
        <w:t xml:space="preserve"> = 4 and </w:t>
      </w:r>
      <w:proofErr w:type="spellStart"/>
      <w:r>
        <w:rPr>
          <w:rFonts w:cs="Times New Roman"/>
          <w:szCs w:val="24"/>
        </w:rPr>
        <w:t>ntree</w:t>
      </w:r>
      <w:proofErr w:type="spellEnd"/>
      <w:r>
        <w:rPr>
          <w:rFonts w:cs="Times New Roman"/>
          <w:szCs w:val="24"/>
        </w:rPr>
        <w:t xml:space="preserve"> = 3000 for all models except FSS (</w:t>
      </w:r>
      <w:proofErr w:type="spellStart"/>
      <w:r>
        <w:rPr>
          <w:rFonts w:cs="Times New Roman"/>
          <w:szCs w:val="24"/>
        </w:rPr>
        <w:t>mtry</w:t>
      </w:r>
      <w:proofErr w:type="spellEnd"/>
      <w:r>
        <w:rPr>
          <w:rFonts w:cs="Times New Roman"/>
          <w:szCs w:val="24"/>
        </w:rPr>
        <w:t xml:space="preserve"> =1, </w:t>
      </w:r>
      <w:proofErr w:type="spellStart"/>
      <w:r>
        <w:rPr>
          <w:rFonts w:cs="Times New Roman"/>
          <w:szCs w:val="24"/>
        </w:rPr>
        <w:t>ntree</w:t>
      </w:r>
      <w:proofErr w:type="spellEnd"/>
      <w:r>
        <w:rPr>
          <w:rFonts w:cs="Times New Roman"/>
          <w:szCs w:val="24"/>
        </w:rPr>
        <w:t xml:space="preserve"> = 3000). We evaluated model performance with </w:t>
      </w:r>
      <w:r w:rsidRPr="00217A7F">
        <w:rPr>
          <w:rFonts w:cs="Times New Roman"/>
          <w:szCs w:val="24"/>
        </w:rPr>
        <w:t>Nash–S</w:t>
      </w:r>
      <w:r>
        <w:rPr>
          <w:rFonts w:cs="Times New Roman"/>
          <w:szCs w:val="24"/>
        </w:rPr>
        <w:t xml:space="preserve">utcliffe efficiency (NSE), mean absolute error (MAE), the </w:t>
      </w:r>
      <w:r w:rsidRPr="00217A7F">
        <w:rPr>
          <w:rFonts w:cs="Times New Roman"/>
          <w:szCs w:val="24"/>
        </w:rPr>
        <w:t>ratio of the root mean square error to the standard deviation of observed data (RSR)</w:t>
      </w:r>
      <w:r>
        <w:rPr>
          <w:rFonts w:cs="Times New Roman"/>
          <w:szCs w:val="24"/>
        </w:rPr>
        <w:t xml:space="preserve"> and Out-of-Bag R</w:t>
      </w:r>
      <w:r w:rsidRPr="00217A7F">
        <w:rPr>
          <w:rFonts w:cs="Times New Roman"/>
          <w:szCs w:val="24"/>
          <w:vertAlign w:val="superscript"/>
        </w:rPr>
        <w:t>2</w:t>
      </w:r>
      <w:r>
        <w:rPr>
          <w:rFonts w:cs="Times New Roman"/>
          <w:szCs w:val="24"/>
          <w:vertAlign w:val="superscript"/>
        </w:rPr>
        <w:t xml:space="preserve"> </w:t>
      </w:r>
      <w:r>
        <w:rPr>
          <w:rFonts w:cs="Times New Roman"/>
          <w:szCs w:val="24"/>
          <w:vertAlign w:val="superscript"/>
        </w:rPr>
        <w:fldChar w:fldCharType="begin" w:fldLock="1"/>
      </w:r>
      <w:r w:rsidR="00306019">
        <w:rPr>
          <w:rFonts w:cs="Times New Roman"/>
          <w:szCs w:val="24"/>
          <w:vertAlign w:val="superscript"/>
        </w:rPr>
        <w:instrText>ADDIN CSL_CITATION {"citationItems":[{"id":"ITEM-1","itemData":{"DOI":"10.1007/s00442-015-3462-8","ISBN":"1010933404324","ISSN":"00298549","PMID":"26453520","abstract":"Despite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J.","non-dropping-particle":"","parse-names":false,"suffix":""}],"container-title":"Oecologia","id":"ITEM-1","issue":"2","issued":{"date-parts":[["2016"]]},"page":"551-566","publisher":"Springer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channels","type":"article-journal","volume":"180"},"uris":["http://www.mendeley.com/documents/?uuid=3540b554-d538-4eb9-a30e-6f5a1dd61f13"]},{"id":"ITEM-2","itemData":{"abstract":"Watershed models are powerful tools for simulating the effect of watershed processes and management on soil and water resources. However, no comprehensive guidance is available to facilitate model evaluation in terms of the accuracy of simulated data compared to measured flow and constituent values. Thus, the objectives of this research were to: (1) determine recommended model evaluation techniques (statistical and graphical), (2) review reported ranges of values and corresponding performance ratings for the recommended statistics, and (3) establish guidelines for model evaluation based on the review results and project-specific considerations; all of these objectives focus on simulation of streamflow and transport of sediment and nutrients. These objectives were achieved with a thorough review of relevant literature on model application and recommended model evaluation methods. Based on this analysis, we recommend that three quantitative statistics, Nash-Sutcliffe efficiency (NSE), percent bias (PBIAS), and ratio of the root mean square error to the standard deviation of measured data (RSR), in addition to the graphical techniques, be used in model evaluation. The following model evaluation performance ratings were established for each recommended statistic. In general, model simulation can be judged as satisfactory if NSE &gt; 0.50 and RSR &lt; 0.70, and if PBIAS + 25% for streamflow, PBIAS + 55% for sediment, and PBIAS + 70% for N and P. For PBIAS, constituent-specific performance ratings were determined based on uncertainty of measured data. Additional considerations related to model evaluation guidelines are also discussed. These considerations include: single-event simulation, quality and quantity of measured data, model calibration procedure, evaluation time step, and project scope and magnitude. A case study illustrating the application of the model evaluation guidelines is also provided","author":[{"dropping-particle":"","family":"Moriasi","given":"DN","non-dropping-particle":"","parse-names":false,"suffix":""},{"dropping-particle":"","family":"Arnold","given":"JG","non-dropping-particle":"","parse-names":false,"suffix":""},{"dropping-particle":"","family":"Liew","given":"MW","non-dropping-particle":"Van","parse-names":false,"suffix":""},{"dropping-particle":"","family":"Bingner","given":"RL","non-dropping-particle":"","parse-names":false,"suffix":""},{"dropping-particle":"","family":"Harmel","given":"RD","non-dropping-particle":"","parse-names":false,"suffix":""},{"dropping-particle":"","family":"Veith","given":"TL","non-dropping-particle":"","parse-names":false,"suffix":""}],"container-title":"American Society of Agricultural and Biological Engineers","id":"ITEM-2","issue":"3","issued":{"date-parts":[["2007"]]},"page":"885-900","title":"Model evaluation guidelines for systematic quantification of accuracy in watershed simulations","type":"article-journal","volume":"50"},"uris":["http://www.mendeley.com/documents/?uuid=fd665700-85ab-4ab5-bd67-e08a81f4b67d"]}],"mendeley":{"formattedCitation":"(Moriasi et al. 2007, Greenwood and Booker 2016)","plainTextFormattedCitation":"(Moriasi et al. 2007, Greenwood and Booker 2016)","previouslyFormattedCitation":"(Moriasi et al. 2007, Greenwood and Booker 2016)"},"properties":{"noteIndex":0},"schema":"https://github.com/citation-style-language/schema/raw/master/csl-citation.json"}</w:instrText>
      </w:r>
      <w:r>
        <w:rPr>
          <w:rFonts w:cs="Times New Roman"/>
          <w:szCs w:val="24"/>
          <w:vertAlign w:val="superscript"/>
        </w:rPr>
        <w:fldChar w:fldCharType="separate"/>
      </w:r>
      <w:r w:rsidR="0034241C" w:rsidRPr="0034241C">
        <w:rPr>
          <w:rFonts w:cs="Times New Roman"/>
          <w:noProof/>
          <w:szCs w:val="24"/>
        </w:rPr>
        <w:t>(Moriasi et al. 2007, Greenwood and Booker 2016)</w:t>
      </w:r>
      <w:r>
        <w:rPr>
          <w:rFonts w:cs="Times New Roman"/>
          <w:szCs w:val="24"/>
          <w:vertAlign w:val="superscript"/>
        </w:rPr>
        <w:fldChar w:fldCharType="end"/>
      </w:r>
      <w:r>
        <w:rPr>
          <w:rFonts w:cs="Times New Roman"/>
          <w:szCs w:val="24"/>
        </w:rPr>
        <w:t xml:space="preserve">. </w:t>
      </w:r>
    </w:p>
    <w:p w14:paraId="707F89E4" w14:textId="049134EB" w:rsidR="00333AA3" w:rsidRDefault="00333AA3" w:rsidP="00333AA3">
      <w:pPr>
        <w:spacing w:line="480" w:lineRule="auto"/>
        <w:ind w:firstLine="720"/>
        <w:contextualSpacing/>
        <w:rPr>
          <w:rFonts w:cs="Times New Roman"/>
          <w:szCs w:val="24"/>
        </w:rPr>
      </w:pPr>
      <w:r>
        <w:rPr>
          <w:rFonts w:cs="Times New Roman"/>
          <w:szCs w:val="24"/>
        </w:rPr>
        <w:t>We used mean decrease in accuracy (MDA) and</w:t>
      </w:r>
      <w:r w:rsidRPr="00832C24">
        <w:rPr>
          <w:rFonts w:cs="Times New Roman"/>
          <w:szCs w:val="24"/>
        </w:rPr>
        <w:t xml:space="preserve"> </w:t>
      </w:r>
      <w:r>
        <w:rPr>
          <w:rFonts w:cs="Times New Roman"/>
          <w:szCs w:val="24"/>
        </w:rPr>
        <w:t xml:space="preserve">marginal effects to assess the relative importance and direction of each trait-environment relationship. MDA is the change in mean squared error after </w:t>
      </w:r>
      <w:proofErr w:type="spellStart"/>
      <w:r>
        <w:rPr>
          <w:rFonts w:cs="Times New Roman"/>
          <w:szCs w:val="24"/>
        </w:rPr>
        <w:t>permutating</w:t>
      </w:r>
      <w:proofErr w:type="spellEnd"/>
      <w:r>
        <w:rPr>
          <w:rFonts w:cs="Times New Roman"/>
          <w:szCs w:val="24"/>
        </w:rPr>
        <w:t xml:space="preserve"> a single predictor variable, averaged and scaled by the standard deviation of all trees in the random forest </w:t>
      </w:r>
      <w:r>
        <w:rPr>
          <w:rFonts w:cs="Times New Roman"/>
          <w:szCs w:val="24"/>
        </w:rPr>
        <w:fldChar w:fldCharType="begin" w:fldLock="1"/>
      </w:r>
      <w:r w:rsidR="00306019">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News","id":"ITEM-1","issued":{"date-parts":[["2002"]]},"page":"18-22","title":"Classification and Regression by randomForest","type":"article-journal","volume":"2"},"uris":["http://www.mendeley.com/documents/?uuid=8cc4db5f-3104-4fa0-97ea-d90b77201f16"]}],"mendeley":{"formattedCitation":"(Liaw and Wiener 2002)","plainTextFormattedCitation":"(Liaw and Wiener 2002)","previouslyFormattedCitation":"(Liaw and Wiener 2002)"},"properties":{"noteIndex":0},"schema":"https://github.com/citation-style-language/schema/raw/master/csl-citation.json"}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(Liaw and Wiener 2002)</w:t>
      </w:r>
      <w:r>
        <w:rPr>
          <w:rFonts w:cs="Times New Roman"/>
          <w:szCs w:val="24"/>
        </w:rPr>
        <w:fldChar w:fldCharType="end"/>
      </w:r>
      <w:r>
        <w:rPr>
          <w:rFonts w:cs="Times New Roman"/>
          <w:szCs w:val="24"/>
        </w:rPr>
        <w:t xml:space="preserve">. Larger MDA values indicate more important variables because permutation increased the mean squared error </w:t>
      </w:r>
      <w:r>
        <w:rPr>
          <w:rFonts w:cs="Times New Roman"/>
          <w:szCs w:val="24"/>
        </w:rPr>
        <w:fldChar w:fldCharType="begin" w:fldLock="1"/>
      </w:r>
      <w:r w:rsidR="00306019">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News","id":"ITEM-1","issued":{"date-parts":[["2002"]]},"page":"18-22","title":"Classification and Regression by randomForest","type":"article-journal","volume":"2"},"uris":["http://www.mendeley.com/documents/?uuid=8cc4db5f-3104-4fa0-97ea-d90b77201f16"]}],"mendeley":{"formattedCitation":"(Liaw and Wiener 2002)","plainTextFormattedCitation":"(Liaw and Wiener 2002)","previouslyFormattedCitation":"(Liaw and Wiener 2002)"},"properties":{"noteIndex":0},"schema":"https://github.com/citation-style-language/schema/raw/master/csl-citation.json"}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(Liaw and Wiener 2002)</w:t>
      </w:r>
      <w:r>
        <w:rPr>
          <w:rFonts w:cs="Times New Roman"/>
          <w:szCs w:val="24"/>
        </w:rPr>
        <w:fldChar w:fldCharType="end"/>
      </w:r>
      <w:r>
        <w:rPr>
          <w:rFonts w:cs="Times New Roman"/>
          <w:szCs w:val="24"/>
        </w:rPr>
        <w:t xml:space="preserve">. Marginal effects show how a response variable changes with a single independent variable while holding all other variables constant </w:t>
      </w:r>
      <w:r>
        <w:rPr>
          <w:rFonts w:cs="Times New Roman"/>
          <w:szCs w:val="24"/>
        </w:rPr>
        <w:fldChar w:fldCharType="begin" w:fldLock="1"/>
      </w:r>
      <w:r w:rsidR="00306019">
        <w:rPr>
          <w:rFonts w:cs="Times New Roman"/>
          <w:szCs w:val="24"/>
        </w:rPr>
        <w:instrText>ADDIN CSL_CITATION {"citationItems":[{"id":"ITEM-1","itemData":{"DOI":"10.1111/j.1365-2656.2008.01390.x","ISSN":"00218790","PMID":"18397250","abstract":"1. Ecologists use statistical models for both explanation and prediction, and need techniques that are flexible enough to express typical features of their data, such as nonlinearities and interactions. 2. This study provides a working guide to boosted regression trees (BRT), an ensemble method for fitting statistical models that differs fundamentally from conventional techniques that aim to fit a single parsimonious model. Boosted regression trees combine the strengths of two algorithms: regression trees (models that relate a response to their predictors by recursive binary splits) and boosting (an adaptive method for combining many simple models to give improved predictive performance). The final BRT model can be understood as an additive regression model in which individual terms are simple trees, fitted in a forward, stagewise fashion. 3. Boosted regression trees incorporate important advantages of tree-based methods, handling different types of predictor variables and accommodating missing data. They have no need for prior data transformation or elimination of outliers, can fit complex nonlinear relationships, and automatically handle interaction effects between predictors. Fitting multiple trees in BRT overcomes the biggest drawback of single tree models: their relatively poor predictive performance. Although BRT models are complex, they can be summarized in ways that give powerful ecological insight, and their predictive performance is superior to most traditional modelling methods. 4. The unique features of BRT raise a number of practical issues in model fitting. We demonstrate the practicalities and advantages of using BRT through a distributional analysis of the short-finned eel (Anguilla australis Richardson), a native freshwater fish of New Zealand. We use a data set of over 13 000 sites to illustrate effects of several settings, and then fit and interpret a model using a subset of the data. We provide code and a tutorial to enable the wider use of BRT by ecologists. © 2008 The Authors.","author":[{"dropping-particle":"","family":"Elith","given":"J.","non-dropping-particle":"","parse-names":false,"suffix":""},{"dropping-particle":"","family":"Leathwick","given":"J. R.","non-dropping-particle":"","parse-names":false,"suffix":""},{"dropping-particle":"","family":"Hastie","given":"T.","non-dropping-particle":"","parse-names":false,"suffix":""}],"container-title":"Journal of Animal Ecology","id":"ITEM-1","issue":"4","issued":{"date-parts":[["2008"]]},"page":"802-813","title":"A working guide to boosted regression trees","type":"article-journal","volume":"77"},"uris":["http://www.mendeley.com/documents/?uuid=252763c7-fe2c-46c6-aea1-d193b2c8d96b"]}],"mendeley":{"formattedCitation":"(Elith et al. 2008)","plainTextFormattedCitation":"(Elith et al. 2008)","previouslyFormattedCitation":"(Elith et al. 2008)"},"properties":{"noteIndex":0},"schema":"https://github.com/citation-style-language/schema/raw/master/csl-citation.json"}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(Elith et al. 2008)</w:t>
      </w:r>
      <w:r>
        <w:rPr>
          <w:rFonts w:cs="Times New Roman"/>
          <w:szCs w:val="24"/>
        </w:rPr>
        <w:fldChar w:fldCharType="end"/>
      </w:r>
      <w:r>
        <w:rPr>
          <w:rFonts w:cs="Times New Roman"/>
          <w:szCs w:val="24"/>
        </w:rPr>
        <w:t xml:space="preserve">. We created partial dependence plots to illustrate the marginal effects for the five most important predictor variables for each trait-environmental relationship. When hydrologic region was among the most </w:t>
      </w:r>
      <w:r>
        <w:rPr>
          <w:rFonts w:cs="Times New Roman"/>
          <w:szCs w:val="24"/>
        </w:rPr>
        <w:lastRenderedPageBreak/>
        <w:t>important predictor variables, we mapped the marginal effects for hydrologic region to visualize geographic differences.</w:t>
      </w:r>
      <w:r w:rsidRPr="00D54686">
        <w:rPr>
          <w:rFonts w:cs="Times New Roman"/>
          <w:szCs w:val="24"/>
        </w:rPr>
        <w:t xml:space="preserve"> </w:t>
      </w:r>
      <w:r>
        <w:rPr>
          <w:rFonts w:cs="Times New Roman"/>
          <w:szCs w:val="24"/>
        </w:rPr>
        <w:t>The “importance” and “</w:t>
      </w:r>
      <w:proofErr w:type="spellStart"/>
      <w:r>
        <w:rPr>
          <w:rFonts w:cs="Times New Roman"/>
          <w:szCs w:val="24"/>
        </w:rPr>
        <w:t>partialPlot</w:t>
      </w:r>
      <w:proofErr w:type="spellEnd"/>
      <w:r>
        <w:rPr>
          <w:rFonts w:cs="Times New Roman"/>
          <w:szCs w:val="24"/>
        </w:rPr>
        <w:t xml:space="preserve">” functions were used to calculate MDA and marginal effects, respectively </w:t>
      </w:r>
      <w:r>
        <w:rPr>
          <w:rFonts w:cs="Times New Roman"/>
          <w:szCs w:val="24"/>
        </w:rPr>
        <w:fldChar w:fldCharType="begin" w:fldLock="1"/>
      </w:r>
      <w:r w:rsidR="00306019">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News","id":"ITEM-1","issued":{"date-parts":[["2002"]]},"page":"18-22","title":"Classification and Regression by randomForest","type":"article-journal","volume":"2"},"uris":["http://www.mendeley.com/documents/?uuid=8cc4db5f-3104-4fa0-97ea-d90b77201f16"]}],"mendeley":{"formattedCitation":"(Liaw and Wiener 2002)","plainTextFormattedCitation":"(Liaw and Wiener 2002)","previouslyFormattedCitation":"(Liaw and Wiener 2002)"},"properties":{"noteIndex":0},"schema":"https://github.com/citation-style-language/schema/raw/master/csl-citation.json"}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(Liaw and Wiener 2002)</w:t>
      </w:r>
      <w:r>
        <w:rPr>
          <w:rFonts w:cs="Times New Roman"/>
          <w:szCs w:val="24"/>
        </w:rPr>
        <w:fldChar w:fldCharType="end"/>
      </w:r>
      <w:r>
        <w:rPr>
          <w:rFonts w:cs="Times New Roman"/>
          <w:szCs w:val="24"/>
        </w:rPr>
        <w:t xml:space="preserve">. </w:t>
      </w:r>
    </w:p>
    <w:p w14:paraId="67D9DBF3" w14:textId="30C79AE3" w:rsidR="00333AA3" w:rsidRDefault="00333AA3" w:rsidP="00333AA3">
      <w:pPr>
        <w:spacing w:line="480" w:lineRule="auto"/>
        <w:ind w:firstLine="720"/>
        <w:contextualSpacing/>
        <w:rPr>
          <w:rFonts w:cs="Times New Roman"/>
          <w:szCs w:val="24"/>
        </w:rPr>
      </w:pPr>
      <w:r w:rsidRPr="00E24E16">
        <w:rPr>
          <w:rFonts w:cs="Times New Roman"/>
          <w:szCs w:val="24"/>
        </w:rPr>
        <w:t>We used</w:t>
      </w:r>
      <w:r>
        <w:rPr>
          <w:rFonts w:cs="Times New Roman"/>
          <w:szCs w:val="24"/>
        </w:rPr>
        <w:t xml:space="preserve"> </w:t>
      </w:r>
      <w:r w:rsidRPr="00E24E16">
        <w:rPr>
          <w:rFonts w:cs="Times New Roman"/>
          <w:szCs w:val="24"/>
        </w:rPr>
        <w:t>Bayesian regression models</w:t>
      </w:r>
      <w:r>
        <w:rPr>
          <w:rFonts w:cs="Times New Roman"/>
          <w:szCs w:val="24"/>
        </w:rPr>
        <w:t xml:space="preserve"> to</w:t>
      </w:r>
      <w:r w:rsidRPr="00E24E16">
        <w:rPr>
          <w:rFonts w:cs="Times New Roman"/>
          <w:szCs w:val="24"/>
        </w:rPr>
        <w:t xml:space="preserve"> </w:t>
      </w:r>
      <w:r>
        <w:rPr>
          <w:rFonts w:cs="Times New Roman"/>
          <w:szCs w:val="24"/>
        </w:rPr>
        <w:t>evaluate the effect of anthropogenic activities on aquatic insect subsidies. Each model included only NRSA condition class as a grouping term (e.g. “random effect” or “intercept only model”</w:t>
      </w:r>
      <w:r>
        <w:rPr>
          <w:rFonts w:cs="Times New Roman"/>
          <w:szCs w:val="24"/>
        </w:rPr>
        <w:fldChar w:fldCharType="begin" w:fldLock="1"/>
      </w:r>
      <w:r w:rsidR="00306019">
        <w:rPr>
          <w:rFonts w:cs="Times New Roman"/>
          <w:szCs w:val="24"/>
        </w:rPr>
        <w:instrText>ADDIN CSL_CITATION {"citationItems":[{"id":"ITEM-1","itemData":{"DOI":"10.1007/s10021-019-00391-9","ISSN":"1432-9840","author":[{"dropping-particle":"","family":"Wesner","given":"Jeff S.","non-dropping-particle":"","parse-names":false,"suffix":""},{"dropping-particle":"","family":"Swanson","given":"David L.","non-dropping-particle":"","parse-names":false,"suffix":""},{"dropping-particle":"","family":"Dixon","given":"Mark D.","non-dropping-particle":"","parse-names":false,"suffix":""},{"dropping-particle":"","family":"Soluk","given":"Daniel A.","non-dropping-particle":"","parse-names":false,"suffix":""},{"dropping-particle":"","family":"Quist","given":"Danielle J.","non-dropping-particle":"","parse-names":false,"suffix":""},{"dropping-particle":"","family":"Yager","given":"Lisa A.","non-dropping-particle":"","parse-names":false,"suffix":""},{"dropping-particle":"","family":"Warmbold","given":"Jerry W.","non-dropping-particle":"","parse-names":false,"suffix":""},{"dropping-particle":"","family":"Oddy","given":"Erika","non-dropping-particle":"","parse-names":false,"suffix":""},{"dropping-particle":"","family":"Seidel","given":"Tyler C.","non-dropping-particle":"","parse-names":false,"suffix":""}],"container-title":"Ecosystems","id":"ITEM-1","issued":{"date-parts":[["2020"]]},"page":"111-123","publisher":"Springer US","title":"Loss of Potential Aquatic-Terrestrial Subsidies Along the Missouri River Floodplain","type":"article-journal","volume":"23"},"uris":["http://www.mendeley.com/documents/?uuid=4b2e7816-89e2-4e8d-834e-0ce3e45b523c"]}],"mendeley":{"formattedCitation":"(Wesner et al. 2020)","manualFormatting":"; Wesner et al. 2019)","plainTextFormattedCitation":"(Wesner et al. 2020)","previouslyFormattedCitation":"(Wesner et al. 2020)"},"properties":{"noteIndex":0},"schema":"https://github.com/citation-style-language/schema/raw/master/csl-citation.json"}</w:instrText>
      </w:r>
      <w:r>
        <w:rPr>
          <w:rFonts w:cs="Times New Roman"/>
          <w:szCs w:val="24"/>
        </w:rPr>
        <w:fldChar w:fldCharType="separate"/>
      </w:r>
      <w:r>
        <w:rPr>
          <w:rFonts w:cs="Times New Roman"/>
          <w:noProof/>
          <w:szCs w:val="24"/>
        </w:rPr>
        <w:t xml:space="preserve">; </w:t>
      </w:r>
      <w:r w:rsidRPr="00C86A2A">
        <w:rPr>
          <w:rFonts w:cs="Times New Roman"/>
          <w:noProof/>
          <w:szCs w:val="24"/>
        </w:rPr>
        <w:t>Wesner et al. 2019)</w:t>
      </w:r>
      <w:r>
        <w:rPr>
          <w:rFonts w:cs="Times New Roman"/>
          <w:szCs w:val="24"/>
        </w:rPr>
        <w:fldChar w:fldCharType="end"/>
      </w:r>
      <w:r>
        <w:rPr>
          <w:rFonts w:cs="Times New Roman"/>
          <w:szCs w:val="24"/>
        </w:rPr>
        <w:t xml:space="preserve"> and had</w:t>
      </w:r>
      <w:r w:rsidRPr="00E24E16">
        <w:rPr>
          <w:rFonts w:cs="Times New Roman"/>
          <w:szCs w:val="24"/>
        </w:rPr>
        <w:t xml:space="preserve"> </w:t>
      </w:r>
      <w:r>
        <w:rPr>
          <w:rFonts w:cs="Times New Roman"/>
          <w:szCs w:val="24"/>
        </w:rPr>
        <w:t>either</w:t>
      </w:r>
      <w:r w:rsidRPr="00E24E16">
        <w:rPr>
          <w:rFonts w:cs="Times New Roman"/>
          <w:szCs w:val="24"/>
        </w:rPr>
        <w:t xml:space="preserve"> a beta-binominal likelihood </w:t>
      </w:r>
      <w:r>
        <w:rPr>
          <w:rFonts w:cs="Times New Roman"/>
          <w:szCs w:val="24"/>
        </w:rPr>
        <w:t xml:space="preserve">with </w:t>
      </w:r>
      <w:r w:rsidRPr="00E24E16">
        <w:rPr>
          <w:rFonts w:cs="Times New Roman"/>
          <w:szCs w:val="24"/>
        </w:rPr>
        <w:t>logit link function</w:t>
      </w:r>
      <w:r>
        <w:rPr>
          <w:rFonts w:cs="Times New Roman"/>
          <w:szCs w:val="24"/>
        </w:rPr>
        <w:t xml:space="preserve"> (i.e. proportional responses) or </w:t>
      </w:r>
      <w:r w:rsidRPr="00E24E16">
        <w:rPr>
          <w:rFonts w:cs="Times New Roman"/>
          <w:szCs w:val="24"/>
        </w:rPr>
        <w:t>a normal likelihood</w:t>
      </w:r>
      <w:r>
        <w:rPr>
          <w:rFonts w:cs="Times New Roman"/>
          <w:szCs w:val="24"/>
        </w:rPr>
        <w:t xml:space="preserve"> (i.e. stream signature distance). We obtained a mean and standard deviation from </w:t>
      </w:r>
      <w:r w:rsidRPr="00BF187E">
        <w:rPr>
          <w:rFonts w:cs="Times New Roman"/>
          <w:noProof/>
          <w:szCs w:val="24"/>
        </w:rPr>
        <w:t xml:space="preserve">Muehlbauer et al. </w:t>
      </w:r>
      <w:r>
        <w:rPr>
          <w:rFonts w:cs="Times New Roman"/>
          <w:noProof/>
          <w:szCs w:val="24"/>
        </w:rPr>
        <w:t>(</w:t>
      </w:r>
      <w:r w:rsidRPr="00BF187E">
        <w:rPr>
          <w:rFonts w:cs="Times New Roman"/>
          <w:noProof/>
          <w:szCs w:val="24"/>
        </w:rPr>
        <w:t>2014</w:t>
      </w:r>
      <w:r>
        <w:rPr>
          <w:rFonts w:cs="Times New Roman"/>
          <w:noProof/>
          <w:szCs w:val="24"/>
        </w:rPr>
        <w:t>) and McKie et al. (2018) to specify the prior for the 25% stream signature and each trait model, respectively (Table S3).</w:t>
      </w:r>
      <w:r>
        <w:rPr>
          <w:rFonts w:cs="Times New Roman"/>
          <w:szCs w:val="24"/>
        </w:rPr>
        <w:t xml:space="preserve"> All models were fit using the “Rethinking” R package </w:t>
      </w:r>
      <w:r>
        <w:rPr>
          <w:rFonts w:cs="Times New Roman"/>
          <w:szCs w:val="24"/>
        </w:rPr>
        <w:fldChar w:fldCharType="begin" w:fldLock="1"/>
      </w:r>
      <w:r w:rsidR="00306019">
        <w:rPr>
          <w:rFonts w:cs="Times New Roman"/>
          <w:szCs w:val="24"/>
        </w:rPr>
        <w:instrText>ADDIN CSL_CITATION {"citationItems":[{"id":"ITEM-1","itemData":{"author":[{"dropping-particle":"","family":"McElreath","given":"R.","non-dropping-particle":"","parse-names":false,"suffix":""}],"id":"ITEM-1","issued":{"date-parts":[["2016"]]},"number-of-pages":"469","publisher":"CRC Press","publisher-place":"New York","title":"Statistical Rethinking: A Bayesian Course with Examples in R and Stan","type":"book"},"uris":["http://www.mendeley.com/documents/?uuid=23f1ea93-b9cd-4d37-97a6-4bc0dfdde239"]}],"mendeley":{"formattedCitation":"(McElreath 2016)","plainTextFormattedCitation":"(McElreath 2016)","previouslyFormattedCitation":"(McElreath 2016)"},"properties":{"noteIndex":0},"schema":"https://github.com/citation-style-language/schema/raw/master/csl-citation.json"}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(McElreath 2016)</w:t>
      </w:r>
      <w:r>
        <w:rPr>
          <w:rFonts w:cs="Times New Roman"/>
          <w:szCs w:val="24"/>
        </w:rPr>
        <w:fldChar w:fldCharType="end"/>
      </w:r>
      <w:r>
        <w:rPr>
          <w:rFonts w:cs="Times New Roman"/>
          <w:szCs w:val="24"/>
        </w:rPr>
        <w:t xml:space="preserve"> </w:t>
      </w:r>
      <w:r w:rsidRPr="00E24E16">
        <w:rPr>
          <w:rFonts w:eastAsiaTheme="minorEastAsia" w:cs="Times New Roman"/>
          <w:szCs w:val="24"/>
        </w:rPr>
        <w:t xml:space="preserve">with 4 chains and </w:t>
      </w:r>
      <w:r>
        <w:rPr>
          <w:rFonts w:eastAsiaTheme="minorEastAsia" w:cs="Times New Roman"/>
          <w:szCs w:val="24"/>
        </w:rPr>
        <w:t>10</w:t>
      </w:r>
      <w:r w:rsidRPr="00E24E16">
        <w:rPr>
          <w:rFonts w:eastAsiaTheme="minorEastAsia" w:cs="Times New Roman"/>
          <w:szCs w:val="24"/>
        </w:rPr>
        <w:t>,000 iterations (</w:t>
      </w:r>
      <w:r>
        <w:rPr>
          <w:rFonts w:eastAsiaTheme="minorEastAsia" w:cs="Times New Roman"/>
          <w:szCs w:val="24"/>
        </w:rPr>
        <w:t>first 2</w:t>
      </w:r>
      <w:r w:rsidRPr="00E24E16">
        <w:rPr>
          <w:rFonts w:eastAsiaTheme="minorEastAsia" w:cs="Times New Roman"/>
          <w:szCs w:val="24"/>
        </w:rPr>
        <w:t>,000 discarded as warmup).</w:t>
      </w:r>
      <w:r>
        <w:rPr>
          <w:rFonts w:eastAsiaTheme="minorEastAsia" w:cs="Times New Roman"/>
          <w:szCs w:val="24"/>
        </w:rPr>
        <w:t xml:space="preserve"> The large number of iterations allowed us to estimate </w:t>
      </w:r>
      <w:r>
        <w:rPr>
          <w:rFonts w:cs="Times New Roman"/>
          <w:szCs w:val="24"/>
        </w:rPr>
        <w:t xml:space="preserve">the probability that the posterior distributions of two condition classes overlapped.  </w:t>
      </w:r>
    </w:p>
    <w:p w14:paraId="2BD7D750" w14:textId="77777777" w:rsidR="00333AA3" w:rsidRPr="00AF4FBD" w:rsidRDefault="00333AA3" w:rsidP="00725791">
      <w:pPr>
        <w:spacing w:line="480" w:lineRule="auto"/>
        <w:ind w:firstLine="720"/>
        <w:contextualSpacing/>
        <w:rPr>
          <w:rFonts w:eastAsiaTheme="minorEastAsia" w:cs="Times New Roman"/>
          <w:szCs w:val="24"/>
        </w:rPr>
      </w:pPr>
    </w:p>
    <w:p w14:paraId="126BF055" w14:textId="77777777" w:rsidR="00333AA3" w:rsidRDefault="00333AA3" w:rsidP="00725791">
      <w:pPr>
        <w:pStyle w:val="Heading2"/>
        <w:spacing w:line="480" w:lineRule="auto"/>
        <w:contextualSpacing/>
      </w:pPr>
      <w:bookmarkStart w:id="42" w:name="_Toc60841221"/>
      <w:r>
        <w:t>Results</w:t>
      </w:r>
      <w:bookmarkEnd w:id="42"/>
    </w:p>
    <w:p w14:paraId="51EF9F4E" w14:textId="77777777" w:rsidR="00333AA3" w:rsidRDefault="00333AA3" w:rsidP="00725791">
      <w:pPr>
        <w:spacing w:line="480" w:lineRule="auto"/>
        <w:ind w:firstLine="720"/>
        <w:contextualSpacing/>
        <w:rPr>
          <w:rFonts w:cs="Times New Roman"/>
          <w:szCs w:val="24"/>
        </w:rPr>
      </w:pPr>
      <w:r>
        <w:rPr>
          <w:rFonts w:cs="Times New Roman"/>
          <w:szCs w:val="24"/>
        </w:rPr>
        <w:t xml:space="preserve">Random forest models explained approximately </w:t>
      </w:r>
      <w:r w:rsidRPr="005F04BF">
        <w:rPr>
          <w:rFonts w:cs="Times New Roman"/>
          <w:szCs w:val="24"/>
        </w:rPr>
        <w:t>3</w:t>
      </w:r>
      <w:r>
        <w:rPr>
          <w:rFonts w:cs="Times New Roman"/>
          <w:szCs w:val="24"/>
        </w:rPr>
        <w:t>1</w:t>
      </w:r>
      <w:r w:rsidRPr="005F04BF">
        <w:rPr>
          <w:rFonts w:cs="Times New Roman"/>
          <w:szCs w:val="24"/>
        </w:rPr>
        <w:t>%</w:t>
      </w:r>
      <w:r>
        <w:rPr>
          <w:rFonts w:cs="Times New Roman"/>
          <w:szCs w:val="24"/>
        </w:rPr>
        <w:t xml:space="preserve"> of the variation in the proportion of flying individuals </w:t>
      </w:r>
      <w:r w:rsidRPr="005F04BF">
        <w:rPr>
          <w:rFonts w:cs="Times New Roman"/>
          <w:szCs w:val="24"/>
        </w:rPr>
        <w:t xml:space="preserve">and </w:t>
      </w:r>
      <w:r>
        <w:rPr>
          <w:rFonts w:cs="Times New Roman"/>
          <w:szCs w:val="24"/>
        </w:rPr>
        <w:t>18</w:t>
      </w:r>
      <w:r w:rsidRPr="005F04BF">
        <w:rPr>
          <w:rFonts w:cs="Times New Roman"/>
          <w:szCs w:val="24"/>
        </w:rPr>
        <w:t>% of the</w:t>
      </w:r>
      <w:r>
        <w:rPr>
          <w:rFonts w:cs="Times New Roman"/>
          <w:szCs w:val="24"/>
        </w:rPr>
        <w:t xml:space="preserve"> variation in the stream signature distance (Mean Absolute Error [MAE] = 0.17 and 8.79, respectively; Table S4). Elevation, agricultural land use, catchment area and region were among the most important variables in both models (Figure 1A-B). Elevation was associated with an increase in the proportion of flying taxa but a decrease in stream signature distance. Conversely, agriculture had the opposite association. Catchment area had a negative relationship with the proportion of flying taxa and the stream signature distance. </w:t>
      </w:r>
    </w:p>
    <w:p w14:paraId="70BF568A" w14:textId="77777777" w:rsidR="00333AA3" w:rsidRDefault="00333AA3" w:rsidP="00333AA3">
      <w:pPr>
        <w:spacing w:line="480" w:lineRule="auto"/>
        <w:ind w:firstLine="720"/>
        <w:contextualSpacing/>
        <w:rPr>
          <w:rFonts w:cs="Times New Roman"/>
          <w:szCs w:val="24"/>
        </w:rPr>
      </w:pPr>
      <w:r>
        <w:rPr>
          <w:rFonts w:cs="Times New Roman"/>
          <w:szCs w:val="24"/>
        </w:rPr>
        <w:lastRenderedPageBreak/>
        <w:t>Random forest models explained &gt; 10% of the variation in all trait-states except strong flight strength (min MAE = 0.15, max MAE = 0.23, Table S4). Hydrologic class was the most important variable trait states related to emergence duration (Figure 1C-E) and for large body size</w:t>
      </w:r>
      <w:r w:rsidRPr="00C63459">
        <w:rPr>
          <w:rFonts w:cs="Times New Roman"/>
          <w:szCs w:val="24"/>
        </w:rPr>
        <w:t xml:space="preserve"> </w:t>
      </w:r>
      <w:r>
        <w:rPr>
          <w:rFonts w:cs="Times New Roman"/>
          <w:szCs w:val="24"/>
        </w:rPr>
        <w:t xml:space="preserve">(Figure 1F). The “Intermittent Flashy” hydrologic class appeared to have the lowest proportion of individuals with poorly synchronized emergence and fast development but high </w:t>
      </w:r>
      <w:proofErr w:type="spellStart"/>
      <w:r>
        <w:rPr>
          <w:rFonts w:cs="Times New Roman"/>
          <w:szCs w:val="24"/>
        </w:rPr>
        <w:t>multivoltinism</w:t>
      </w:r>
      <w:proofErr w:type="spellEnd"/>
      <w:r>
        <w:rPr>
          <w:rFonts w:cs="Times New Roman"/>
          <w:szCs w:val="24"/>
        </w:rPr>
        <w:t xml:space="preserve"> while the</w:t>
      </w:r>
      <w:r w:rsidDel="0055404C">
        <w:rPr>
          <w:rFonts w:cs="Times New Roman"/>
          <w:szCs w:val="24"/>
        </w:rPr>
        <w:t xml:space="preserve"> </w:t>
      </w:r>
      <w:r>
        <w:rPr>
          <w:rFonts w:cs="Times New Roman"/>
          <w:szCs w:val="24"/>
        </w:rPr>
        <w:t xml:space="preserve">“stable” hydrologic classes had higher proportions of large body size (Figure 1F). Catchment area was most important for high female dispersal (Figure 1G) and the proportion of individuals with long life span declined with the percent of fine substrate (Figure 1H). </w:t>
      </w:r>
    </w:p>
    <w:p w14:paraId="7767D8DA" w14:textId="77777777" w:rsidR="00333AA3" w:rsidRDefault="00333AA3" w:rsidP="00333AA3">
      <w:pPr>
        <w:spacing w:line="480" w:lineRule="auto"/>
        <w:ind w:firstLine="720"/>
        <w:contextualSpacing/>
        <w:rPr>
          <w:rFonts w:cs="Times New Roman"/>
          <w:szCs w:val="24"/>
        </w:rPr>
      </w:pPr>
      <w:r>
        <w:rPr>
          <w:rFonts w:cs="Times New Roman"/>
          <w:szCs w:val="24"/>
        </w:rPr>
        <w:t xml:space="preserve">Hydrologic region was an important variable in all random forest models except strong flight strength (Figure 2). The California (hydrologic unit code [HUC] 18), Rio Grande (HUC13) and Upper Colorado (HUC 14) had the highest proportion of flying individuals and the Upper Mississippi (HUC 07), Ohio (HUC 05) and South Atlantic (HUC 03N and 03S) had the largest stream signature distance (Figure 2B-C). The proportion of poorly synchronized emergence, </w:t>
      </w:r>
      <w:proofErr w:type="spellStart"/>
      <w:r>
        <w:rPr>
          <w:rFonts w:cs="Times New Roman"/>
          <w:szCs w:val="24"/>
        </w:rPr>
        <w:t>multivoltinism</w:t>
      </w:r>
      <w:proofErr w:type="spellEnd"/>
      <w:r>
        <w:rPr>
          <w:rFonts w:cs="Times New Roman"/>
          <w:szCs w:val="24"/>
        </w:rPr>
        <w:t xml:space="preserve"> and fast developing individuals were highest in the Lower Colorado (HUC 14), and Rio Grande (HUC 13) hydrologic regions (Figure 2D-F). Large body size, long life span and high female dispersal were most prevalent in the California (HUC 18) hydrologic region but were generally variable among hydrologic regions (Figure 2G-I). </w:t>
      </w:r>
    </w:p>
    <w:p w14:paraId="65F7129D" w14:textId="77777777" w:rsidR="00333AA3" w:rsidRPr="005575F7" w:rsidRDefault="00333AA3" w:rsidP="00333AA3">
      <w:pPr>
        <w:spacing w:line="480" w:lineRule="auto"/>
        <w:ind w:firstLine="720"/>
        <w:contextualSpacing/>
        <w:rPr>
          <w:rFonts w:cs="Times New Roman"/>
          <w:szCs w:val="24"/>
        </w:rPr>
      </w:pPr>
      <w:r>
        <w:rPr>
          <w:rFonts w:cs="Times New Roman"/>
          <w:szCs w:val="24"/>
        </w:rPr>
        <w:t>The habitat condition class affected the potential spatial and temporal characteristics of aquatic insect subsidies (Figure 3). The least disturbed sites had the greatest proportion of flying individuals (Mean, [95% Credible Interval]:</w:t>
      </w:r>
      <w:r w:rsidRPr="007828CC">
        <w:rPr>
          <w:rFonts w:cs="Times New Roman"/>
          <w:szCs w:val="24"/>
        </w:rPr>
        <w:t xml:space="preserve"> </w:t>
      </w:r>
      <w:r>
        <w:rPr>
          <w:rFonts w:cs="Times New Roman"/>
          <w:szCs w:val="24"/>
        </w:rPr>
        <w:t xml:space="preserve">0.71, [0.68, 0.74]; Figure 3A) but the lowest 25% stream signature distance (27.17, [25.65, 28.69]; Figure 3B). In both instances, the probability of overlap between the posterior distributions of the least and most disturbed condition (hereafter </w:t>
      </w:r>
      <w:r>
        <w:rPr>
          <w:rFonts w:cs="Times New Roman"/>
          <w:szCs w:val="24"/>
        </w:rPr>
        <w:lastRenderedPageBreak/>
        <w:t>“</w:t>
      </w:r>
      <w:proofErr w:type="spellStart"/>
      <w:r>
        <w:rPr>
          <w:rFonts w:cs="Times New Roman"/>
          <w:szCs w:val="24"/>
        </w:rPr>
        <w:t>Pr</w:t>
      </w:r>
      <w:proofErr w:type="spellEnd"/>
      <w:r>
        <w:rPr>
          <w:rFonts w:cs="Times New Roman"/>
          <w:szCs w:val="24"/>
        </w:rPr>
        <w:t>”) was &lt; 0.0001. Poorly synchronized emergence and fast development were higher at the least disturbed sites (</w:t>
      </w:r>
      <w:proofErr w:type="spellStart"/>
      <w:r>
        <w:rPr>
          <w:rFonts w:cs="Times New Roman"/>
          <w:szCs w:val="24"/>
        </w:rPr>
        <w:t>Pr</w:t>
      </w:r>
      <w:proofErr w:type="spellEnd"/>
      <w:r>
        <w:rPr>
          <w:rFonts w:cs="Times New Roman"/>
          <w:szCs w:val="24"/>
        </w:rPr>
        <w:t xml:space="preserve"> = 0.11 and 0.02, respectively; Figure 3C &amp; 3E) but </w:t>
      </w:r>
      <w:proofErr w:type="spellStart"/>
      <w:r>
        <w:rPr>
          <w:rFonts w:cs="Times New Roman"/>
          <w:szCs w:val="24"/>
        </w:rPr>
        <w:t>multivoltinism</w:t>
      </w:r>
      <w:proofErr w:type="spellEnd"/>
      <w:r>
        <w:rPr>
          <w:rFonts w:cs="Times New Roman"/>
          <w:szCs w:val="24"/>
        </w:rPr>
        <w:t xml:space="preserve"> was higher at the most disturbed sites (</w:t>
      </w:r>
      <w:proofErr w:type="spellStart"/>
      <w:r>
        <w:rPr>
          <w:rFonts w:cs="Times New Roman"/>
          <w:szCs w:val="24"/>
        </w:rPr>
        <w:t>Pr</w:t>
      </w:r>
      <w:proofErr w:type="spellEnd"/>
      <w:r>
        <w:rPr>
          <w:rFonts w:cs="Times New Roman"/>
          <w:szCs w:val="24"/>
        </w:rPr>
        <w:t xml:space="preserve"> &lt; 0.01, Figure 3D). Large body size and long life span were more prevalent in the least disturbed condition (</w:t>
      </w:r>
      <w:proofErr w:type="spellStart"/>
      <w:r>
        <w:rPr>
          <w:rFonts w:cs="Times New Roman"/>
          <w:szCs w:val="24"/>
        </w:rPr>
        <w:t>Pr</w:t>
      </w:r>
      <w:proofErr w:type="spellEnd"/>
      <w:r>
        <w:rPr>
          <w:rFonts w:cs="Times New Roman"/>
          <w:szCs w:val="24"/>
        </w:rPr>
        <w:t xml:space="preserve"> = 0.04 and 0.03, respectively; Figure 3F &amp; 3H) and the proportion of high female dispersal and strong flying strength was higher in the most disturbed condition (</w:t>
      </w:r>
      <w:proofErr w:type="spellStart"/>
      <w:r>
        <w:rPr>
          <w:rFonts w:cs="Times New Roman"/>
          <w:szCs w:val="24"/>
        </w:rPr>
        <w:t>Pr</w:t>
      </w:r>
      <w:proofErr w:type="spellEnd"/>
      <w:r>
        <w:rPr>
          <w:rFonts w:cs="Times New Roman"/>
          <w:szCs w:val="24"/>
        </w:rPr>
        <w:t xml:space="preserve"> = 0.03 and 0.11, respectively; Figure 3G &amp; 3I). </w:t>
      </w:r>
    </w:p>
    <w:p w14:paraId="5291EEC5" w14:textId="77777777" w:rsidR="00333AA3" w:rsidRDefault="00333AA3" w:rsidP="0097280E">
      <w:pPr>
        <w:spacing w:line="480" w:lineRule="auto"/>
        <w:contextualSpacing/>
        <w:rPr>
          <w:rFonts w:cs="Times New Roman"/>
          <w:b/>
          <w:szCs w:val="24"/>
        </w:rPr>
      </w:pPr>
    </w:p>
    <w:p w14:paraId="4381DE52" w14:textId="77777777" w:rsidR="00333AA3" w:rsidRDefault="00333AA3" w:rsidP="0097280E">
      <w:pPr>
        <w:pStyle w:val="Heading2"/>
        <w:spacing w:line="480" w:lineRule="auto"/>
        <w:contextualSpacing/>
      </w:pPr>
      <w:bookmarkStart w:id="43" w:name="_Toc60841222"/>
      <w:r w:rsidRPr="005F709F">
        <w:t>Discussion</w:t>
      </w:r>
      <w:bookmarkEnd w:id="43"/>
      <w:r>
        <w:t xml:space="preserve"> </w:t>
      </w:r>
    </w:p>
    <w:p w14:paraId="683AD910" w14:textId="44ADED3D" w:rsidR="00333AA3" w:rsidRPr="00AF7404" w:rsidRDefault="00333AA3" w:rsidP="0097280E">
      <w:pPr>
        <w:spacing w:line="480" w:lineRule="auto"/>
        <w:ind w:firstLine="720"/>
        <w:contextualSpacing/>
        <w:rPr>
          <w:rFonts w:eastAsia="Times New Roman" w:cs="Times New Roman"/>
          <w:szCs w:val="24"/>
        </w:rPr>
      </w:pPr>
      <w:r>
        <w:rPr>
          <w:rFonts w:eastAsia="Times New Roman" w:cs="Times New Roman"/>
          <w:szCs w:val="24"/>
        </w:rPr>
        <w:t xml:space="preserve">Understanding how ecosystems are linked is a focal area of ecological research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10.1038/s41467-018-07238-2","ISSN":"2041-1723","author":[{"dropping-particle":"","family":"Gounand","given":"Isabelle","non-dropping-particle":"","parse-names":false,"suffix":""},{"dropping-particle":"","family":"Little","given":"Chelsea J.","non-dropping-particle":"","parse-names":false,"suffix":""},{"dropping-particle":"","family":"Harvey","given":"Eric","non-dropping-particle":"","parse-names":false,"suffix":""},{"dropping-particle":"","family":"Altermatt","given":"Florian","non-dropping-particle":"","parse-names":false,"suffix":""}],"container-title":"Nature Communications","id":"ITEM-1","issued":{"date-parts":[["2018"]]},"page":"4825","publisher":"Springer US","title":"Cross-ecosystem carbon flows connecting ecosystems worldwide","type":"article-journal","volume":"9"},"uris":["http://www.mendeley.com/documents/?uuid=1366fa3b-8264-4ebe-aad0-b7cca298ac3d"]},{"id":"ITEM-2","itemData":{"DOI":"10.1890/07-1861.1","ISBN":"0012-9658","ISSN":"00129658","PMID":"7189","abstract":"Synthesis: comparing effects of resource and consumer fluxes into recipient food webs using meta- analysis","author":[{"dropping-particle":"","family":"Allen","given":"Daniel C.","non-dropping-particle":"","parse-names":false,"suffix":""},{"dropping-particle":"","family":"Wesner","given":"Jeff","non-dropping-particle":"","parse-names":false,"suffix":""}],"container-title":"Ecology","id":"ITEM-2","issue":"3","issued":{"date-parts":[["2016"]]},"page":"594-604","title":"Synthesis: comparing effects of resource and consumer fluxes into recipient food webs using meta-analysis","type":"article-journal","volume":"97"},"uris":["http://www.mendeley.com/documents/?uuid=e2ab06ba-dc78-4187-be1e-20752122502a"]},{"id":"ITEM-3","itemData":{"DOI":"10.1126/sciadv.1601765","ISSN":"2375-2548","author":[{"dropping-particle":"","family":"Tanentzap","given":"Andrew J.","non-dropping-particle":"","parse-names":false,"suffix":""},{"dropping-particle":"","family":"Kielstra","given":"Brian W.","non-dropping-particle":"","parse-names":false,"suffix":""},{"dropping-particle":"","family":"Wilkinson","given":"Grace M.","non-dropping-particle":"","parse-names":false,"suffix":""},{"dropping-particle":"","family":"Berggren","given":"Martin","non-dropping-particle":"","parse-names":false,"suffix":""},{"dropping-particle":"","family":"Craig","given":"Nicola","non-dropping-particle":"","parse-names":false,"suffix":""},{"dropping-particle":"","family":"Giorgio","given":"Paul A.","non-dropping-particle":"del","parse-names":false,"suffix":""},{"dropping-particle":"","family":"Grey","given":"Jonathan","non-dropping-particle":"","parse-names":false,"suffix":""},{"dropping-particle":"","family":"Gunn","given":"John M.","non-dropping-particle":"","parse-names":false,"suffix":""},{"dropping-particle":"","family":"Jones","given":"Stuart E.","non-dropping-particle":"","parse-names":false,"suffix":""},{"dropping-particle":"","family":"Karlsson","given":"Jan","non-dropping-particle":"","parse-names":false,"suffix":""},{"dropping-particle":"","family":"Solomon","given":"Christopher T.","non-dropping-particle":"","parse-names":false,"suffix":""},{"dropping-particle":"","family":"Pace","given":"Michael L.","non-dropping-particle":"","parse-names":false,"suffix":""}],"container-title":"Science Advances","id":"ITEM-3","issue":"3","issued":{"date-parts":[["2017"]]},"page":"e1601765","title":"Terrestrial support of lake food webs: Synthesis reveals controls over cross-ecosystem resource use","type":"article-journal","volume":"3"},"uris":["http://www.mendeley.com/documents/?uuid=c9619b5e-70f9-4377-87fe-47790e087b45"]}],"mendeley":{"formattedCitation":"(Allen and Wesner 2016, Tanentzap et al. 2017, Gounand et al. 2018)","plainTextFormattedCitation":"(Allen and Wesner 2016, Tanentzap et al. 2017, Gounand et al. 2018)","previouslyFormattedCitation":"(Allen and Wesner 2016, Tanentzap et al. 2017, Gounand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(Allen and Wesner 2016, Tanentzap et al. 2017, Gounand et al. 2018)</w:t>
      </w:r>
      <w:r>
        <w:rPr>
          <w:rFonts w:eastAsia="Times New Roman" w:cs="Times New Roman"/>
          <w:szCs w:val="24"/>
        </w:rPr>
        <w:fldChar w:fldCharType="end"/>
      </w:r>
      <w:r>
        <w:rPr>
          <w:rFonts w:eastAsia="Times New Roman" w:cs="Times New Roman"/>
          <w:szCs w:val="24"/>
        </w:rPr>
        <w:t xml:space="preserve"> but understanding how these linkages vary across large spatial scales remains unclear. We developed a conceptual framework centered on </w:t>
      </w:r>
      <w:proofErr w:type="spellStart"/>
      <w:r>
        <w:rPr>
          <w:rFonts w:eastAsia="Times New Roman" w:cs="Times New Roman"/>
          <w:szCs w:val="24"/>
        </w:rPr>
        <w:t>hydroclimatic</w:t>
      </w:r>
      <w:proofErr w:type="spellEnd"/>
      <w:r>
        <w:rPr>
          <w:rFonts w:eastAsia="Times New Roman" w:cs="Times New Roman"/>
          <w:szCs w:val="24"/>
        </w:rPr>
        <w:t xml:space="preserve"> and physiographic variables that generate geographical variation in species traits that could influence spatial and temporal characteristics of animal-mediated resource subsidies in recipient ecosystems. Using aquatic insects as a focal organism, we tested this framework and found that a combination of watershed and land use variables could influence the supply, duration and distance of aquatic insect subsidy transport to terrestrial ecosystems. </w:t>
      </w:r>
    </w:p>
    <w:p w14:paraId="34A61C85" w14:textId="77777777" w:rsidR="00333AA3" w:rsidRPr="00E45F30" w:rsidRDefault="00333AA3" w:rsidP="00333AA3">
      <w:pPr>
        <w:spacing w:line="480" w:lineRule="auto"/>
        <w:contextualSpacing/>
        <w:rPr>
          <w:rFonts w:eastAsia="Times New Roman" w:cs="Times New Roman"/>
          <w:i/>
          <w:szCs w:val="24"/>
        </w:rPr>
      </w:pPr>
      <w:r>
        <w:rPr>
          <w:rFonts w:eastAsia="Times New Roman" w:cs="Times New Roman"/>
          <w:i/>
          <w:szCs w:val="24"/>
        </w:rPr>
        <w:t>S</w:t>
      </w:r>
      <w:r w:rsidRPr="00E45F30">
        <w:rPr>
          <w:rFonts w:eastAsia="Times New Roman" w:cs="Times New Roman"/>
          <w:i/>
          <w:szCs w:val="24"/>
        </w:rPr>
        <w:t>tream signature</w:t>
      </w:r>
      <w:r>
        <w:rPr>
          <w:rFonts w:eastAsia="Times New Roman" w:cs="Times New Roman"/>
          <w:i/>
          <w:szCs w:val="24"/>
        </w:rPr>
        <w:t>s and the potential supply</w:t>
      </w:r>
      <w:r w:rsidRPr="00E45F30">
        <w:rPr>
          <w:rFonts w:eastAsia="Times New Roman" w:cs="Times New Roman"/>
          <w:i/>
          <w:szCs w:val="24"/>
        </w:rPr>
        <w:t xml:space="preserve"> of insect subsidies</w:t>
      </w:r>
    </w:p>
    <w:p w14:paraId="63A0EEC2" w14:textId="05FFA84A"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The proportion of flying individuals and the 25% stream signature was largely influenced by network position (i.e. catchment area and elevation;</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{"citationItems":[{"id":"ITEM-1","itemData":{"DOI":"10.1111/fwb.12728","ISBN":"9783642398070","ISSN":"13652427","abstract":"Context dependency is an emerging topic that is challenging our\\nunderstanding of the factors shaping biodiversity in metacommunities.\\nRiver networks and other dendritic systems provide unique systems for\\nexamining variation in the processes shaping biodiversity between\\ndifferent metacommunities. We examined biodiversity patterns in five\\nbenthic invertebrate data sets, from two catchments in central Germany,\\nwith the aim of exploring context dependency in these systems. We used\\nvariance partitioning to disentangle the variation explained in three\\nbiodiversity metrics: taxonomic richness, Simpson's diversity and local\\ncontribution to beta diversity (LCBD; a measure of the uniqueness of a\\nsite). As explanatory variables, we used proxies of network position\\n(i.e. catchment size and altitude) and habitat conditions. Contrary to\\nour expectation, we found no evidence of a decline in LCBD downstream in\\nour study. Local habitat conditions and catchment land use played a much\\nstronger role than catchment size and altitude in explaining variation\\nin the three biodiversity metrics. Observed patterns were highly\\nvariable between different data sets in our study. These findings\\nsuggest that factors shaping biodiversity patterns in these systems are\\nhighly context dependent and less related to their position along the\\nriver network than local habitat conditions. Given the clear context\\ndependency between data sets, we urge researchers to focus on\\ndisentangling the factors driving the high levels of variability between\\nindividual systems through the study of a number of replicate, rather\\nthan single, metacommunities.","author":[{"dropping-particle":"","family":"Tonkin","given":"Jonathan D.","non-dropping-particle":"","parse-names":false,"suffix":""},{"dropping-particle":"","family":"Heino","given":"Jani","non-dropping-particle":"","parse-names":false,"suffix":""},{"dropping-particle":"","family":"Sundermann","given":"Andrea","non-dropping-particle":"","parse-names":false,"suffix":""},{"dropping-particle":"","family":"Haase","given":"Peter","non-dropping-particle":"","parse-names":false,"suffix":""},{"dropping-particle":"","family":"Jähnig","given":"Sonja C.","non-dropping-particle":"","parse-names":false,"suffix":""}],"container-title":"Freshwater Biology","id":"ITEM-1","issue":"5","issued":{"date-parts":[["2016"]]},"page":"607-620","title":"Context dependency in biodiversity patterns of central German stream metacommunities","type":"article-journal","volume":"61"},"uris":["http://www.mendeley.com/documents/?uuid=7bd35718-2306-4981-8d21-85d2a6413b93"]}],"mendeley":{"formattedCitation":"(Tonkin et al. 2016)","manualFormatting":" Tonkin et al. 2016)","plainTextFormattedCitation":"(Tonkin et al. 2016)","previouslyFormattedCitation":"(Tonkin et al. 2016)"},"properties":{"noteIndex":0},"schema":"https://github.com/citation-style-language/schema/raw/master/csl-citation.json"}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 xml:space="preserve"> </w:t>
      </w:r>
      <w:r w:rsidRPr="00B50831">
        <w:rPr>
          <w:rFonts w:eastAsia="Times New Roman" w:cs="Times New Roman"/>
          <w:noProof/>
          <w:szCs w:val="24"/>
        </w:rPr>
        <w:t>Tonkin et al. 2016)</w:t>
      </w:r>
      <w:r>
        <w:rPr>
          <w:rFonts w:eastAsia="Times New Roman" w:cs="Times New Roman"/>
          <w:szCs w:val="24"/>
        </w:rPr>
        <w:fldChar w:fldCharType="end"/>
      </w:r>
      <w:r>
        <w:rPr>
          <w:rFonts w:eastAsia="Times New Roman" w:cs="Times New Roman"/>
          <w:szCs w:val="24"/>
        </w:rPr>
        <w:t xml:space="preserve">. Larger proportions of flying individuals at higher elevations and in smaller catchments could result from environmental filters common to these habitats. For example, cooler water temperatures in headwater systems could preclude warm-adapted, non-flying taxa such as many snails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{"citationItems":[{"id":"ITEM-1","itemData":{"DOI":"10.1111/gcb.13574","ISSN":"13652486","PMID":"27868314","abstract":"How ecological communities respond to predicted increases in temperature will determine the extent to which Earth's biodiversity and ecosystem functioning can be maintained into a warmer future. Warming is predicted to alter the structure of natural communities, but robust tests of such predictions require appropriate large-scale manipulations of intact, natural habitat that is open to dispersal processes via exchange with regional species pools. Here, we report results of a two-year whole-stream warming experiment that shifted invertebrate assemblage structure via unanticipated mechanisms, while still conforming to community-level metabolic theory. While warming by 3.8 °C decreased invertebrate abundance in the experimental stream by 60% relative to a reference stream, total invertebrate biomass was unchanged. Associated shifts in invertebrate assemblage structure were driven by the arrival of new taxa and a higher proportion of large, warm-adapted species (i.e., snails and predatory dipterans) relative to small-bodied, cold-adapted taxa (e.g., chironomids and oligochaetes). Experimental warming consequently shifted assemblage size spectra in ways that were unexpected, but consistent with thermal optima of taxa in the regional species pool. Higher temperatures increased community-level energy demand, which was presumably satisfied by higher primary production after warming. Our experiment demonstrates how warming reassembles communities within the constraints of energy supply via regional exchange of species that differ in thermal physiological traits. Similar responses will likely mediate impacts of anthropogenic warming on biodiversity and ecosystem function across all ecological communities.","author":[{"dropping-particle":"","family":"Nelson","given":"Daniel","non-dropping-particle":"","parse-names":false,"suffix":""},{"dropping-particle":"","family":"Benstead","given":"Jonathan P.","non-dropping-particle":"","parse-names":false,"suffix":""},{"dropping-particle":"","family":"Huryn","given":"Alexander D.","non-dropping-particle":"","parse-names":false,"suffix":""},{"dropping-particle":"","family":"Cross","given":"Wyatt F.","non-dropping-particle":"","parse-names":false,"suffix":""},{"dropping-particle":"","family":"Hood","given":"James M.","non-dropping-particle":"","parse-names":false,"suffix":""},{"dropping-particle":"","family":"Johnson","given":"Philip W.","non-dropping-particle":"","parse-names":false,"suffix":""},{"dropping-particle":"","family":"Junker","given":"James R.","non-dropping-particle":"","parse-names":false,"suffix":""},{"dropping-particle":"","family":"Gíslason","given":"Gísli M.","non-dropping-particle":"","parse-names":false,"suffix":""},{"dropping-particle":"","family":"Ólafsson","given":"Jón S.","non-dropping-particle":"","parse-names":false,"suffix":""}],"container-title":"Global Change Biology","id":"ITEM-1","issue":"7","issued":{"date-parts":[["2017"]]},"page":"2618-2628","title":"Experimental whole-stream warming alters community size structure","type":"article-journal","volume":"23"},"uris":["http://www.mendeley.com/documents/?uuid=528ae69b-9517-4fea-81bd-3db85d0e077a"]}],"mendeley":{"formattedCitation":"(Nelson et al. 2017)","plainTextFormattedCitation":"(Nelson et al. 2017)","previouslyFormattedCitation":"(Nelson et al. 2017)"},"properties":{"noteIndex":0},"schema":"https://github.com/citation-style-language/schema/raw/master/csl-citation.json"}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(Nelson et al. 2017)</w:t>
      </w:r>
      <w:r>
        <w:rPr>
          <w:rFonts w:eastAsia="Times New Roman" w:cs="Times New Roman"/>
          <w:szCs w:val="24"/>
        </w:rPr>
        <w:fldChar w:fldCharType="end"/>
      </w:r>
      <w:r>
        <w:rPr>
          <w:rFonts w:eastAsia="Times New Roman" w:cs="Times New Roman"/>
          <w:szCs w:val="24"/>
        </w:rPr>
        <w:t xml:space="preserve">. Alternatively, the enhanced dispersal abilities of flying taxa could enable them to colonize </w:t>
      </w:r>
      <w:r>
        <w:rPr>
          <w:rFonts w:eastAsia="Times New Roman" w:cs="Times New Roman"/>
          <w:szCs w:val="24"/>
        </w:rPr>
        <w:lastRenderedPageBreak/>
        <w:t xml:space="preserve">headwaters as isolated termini of stream networks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{"citationItems":[{"id":"ITEM-1","itemData":{"DOI":"10.1111/j.1365-2427.2008.02041.x","ISBN":"1365-2427","ISSN":"00465070","PMID":"7830","abstract":"Headwater streams are ubiquitous in the landscape and are important sources of water, sediments and biota for downstream reaches. They are critical sites for organic matter processing and nutrient cycling, and may be vital for maintaining the ‘health’ of whole river networks. 2. Macroinvertebrates are an important component of biodiversity in stream ecosystems and studies of macroinvertebrate diversity in headwater streams have mostly viewed stream systems as linear reaches rather than as networks, although the latter may be more appropriate to the study of diversity patterns in headwater systems. 3. Studies of macroinvertebrate diversity in headwater streams from around the world illustrated that taxonomic richness is highly variable among continents and regions, and studies addressing longitudinal changes in taxonomic richness of macroinvertebrates generally found highest richness in mid-order streams. 4. When stream systems are viewed as networks at the landscape-scale, a-diversity may be low in individual headwater streams but high b-diversity among headwater streams within catchments and among catchments may generate high c-diversity. 5. Differing ability and opportunity for dispersal of macroinvertebrates, great physical habitat heterogeneity in headwater streams, and a wide range in local environmental conditions may all contribute to high b-diversity among headwater streams both within and among catchments. 6. Moving beyond linear conceptual models of stream ecosystems to consider the role that spatial structure of river networks might play in determining diversity patterns at the landscape scale is a promising avenue for future research. Keywords:","author":[{"dropping-particle":"","family":"Clarke","given":"Amber","non-dropping-particle":"","parse-names":false,"suffix":""},{"dropping-particle":"","family":"Nally","given":"Ralph","non-dropping-particle":"Mac","parse-names":false,"suffix":""},{"dropping-particle":"","family":"Bond","given":"Nick","non-dropping-particle":"","parse-names":false,"suffix":""},{"dropping-particle":"","family":"Lake","given":"P. S.","non-dropping-particle":"","parse-names":false,"suffix":""}],"container-title":"Freshwater Biology","id":"ITEM-1","issue":"9","issued":{"date-parts":[["2008"]]},"page":"1707-1721","title":"Macroinvertebrate diversity in headwater streams: A review","type":"article-journal","volume":"53"},"uris":["http://www.mendeley.com/documents/?uuid=d73b8448-c68d-4c5d-831e-54995c4cb47d"]},{"id":"ITEM-2","itemData":{"DOI":"10.1899/11-012.1","ISBN":"0887-3593","ISSN":"0887-3593","abstract":"Headwaters (stream orders 1–2) traditionally have been considered depauperate compared to mid-order streams (orders 3–4)—a conclusion that arises from a perception of streams as linear systems and emphasizes change in average α (local) diversity along streams. We hypothesized an opposite pattern for β (among-site) diversity and suggest that headwaters might account for a large degree of basin-scale biodiversity if considered within the more realistic framework of streams as branching networks. We assembled pre-existing biodiversity data from across the globe to test this hypothesis broadly at the population-genetic (mitochondrial haplotype diversity within species) and community (species/taxonomic diversity) levels, with a focus on macroinvertebrates. We standardized 18 (9 headwater and 9 mid-order) population-genetic and 16 (10 headwater and 6 mid-order) community-level ecoregional data sets from 5 global ecozones for robust comparisons of β-diversity estimates between the 2 stream-size categories. At the population-genetic level, we applied measures of among-site variation commonly used at both population-genetic (FST and ΦST) and community (Sørensen's dissimilarity with both presence/absence and abundance data) levels and developed a novel strategy to compare expected rates of loss of γ (regional) diversity as individual sites are eliminated sequentially from regions. At the community level, we limited analyses to Sørensen's presence/absence measures. We found that Sørensen's dissimilarity was significantly greater among headwaters than among mid-order streams at both population-genetic and community levels. We also showed that individual headwater reaches accounted for greater proportions of genetic γ diversity than did mid-order reaches. However, neither FST nor ΦST was significantly different between stream-size categories. These measures, which have been used traditionally for comparisons of population-genetic variation, measure proportions of total variation rather than solely among-site variation (i.e., they also are influenced by within-site variation). In contrast, Sørensen's dissimilarity measures only among-site variation and, therefore, is presumably more useful for reflecting general β diversity. Overall results suggest that, on average, headwaters probably contribute disproportionately to biodiversity at the network scale. This finding demands a shift in thinking about the biodiversity contributions of small headwaters and has strong con…","author":[{"dropping-particle":"","family":"Finn","given":"Debra S.","non-dropping-particle":"","parse-names":false,"suffix":""},{"dropping-particle":"","family":"Bonada","given":"Núria","non-dropping-particle":"","parse-names":false,"suffix":""},{"dropping-particle":"","family":"Múrria","given":"Cesc","non-dropping-particle":"","parse-names":false,"suffix":""},{"dropping-particle":"","family":"Hughes","given":"Jane M.","non-dropping-particle":"","parse-names":false,"suffix":""}],"container-title":"Journal of the North American Benthological Society","id":"ITEM-2","issue":"4","issued":{"date-parts":[["2011"]]},"page":"963-980","title":"Small but mighty: headwaters are vital to stream network biodiversity at two levels of organization","type":"article-journal","volume":"30"},"uris":["http://www.mendeley.com/documents/?uuid=6fbc627d-6a36-4939-a798-07cd01855410"]}],"mendeley":{"formattedCitation":"(Clarke et al. 2008, Finn et al. 2011)","manualFormatting":"(Clarke et al. 2008, Finn et al. 2011)","plainTextFormattedCitation":"(Clarke et al. 2008, Finn et al. 2011)","previouslyFormattedCitation":"(Clarke et al. 2008, Finn et al. 2011)"},"properties":{"noteIndex":0},"schema":"https://github.com/citation-style-language/schema/raw/master/csl-citation.json"}</w:instrText>
      </w:r>
      <w:r>
        <w:rPr>
          <w:rFonts w:eastAsia="Times New Roman" w:cs="Times New Roman"/>
          <w:szCs w:val="24"/>
        </w:rPr>
        <w:fldChar w:fldCharType="separate"/>
      </w:r>
      <w:r w:rsidRPr="00D523AA">
        <w:rPr>
          <w:rFonts w:eastAsia="Times New Roman" w:cs="Times New Roman"/>
          <w:noProof/>
          <w:szCs w:val="24"/>
        </w:rPr>
        <w:t>(Clarke et al. 2008, Finn et al. 2011)</w:t>
      </w:r>
      <w:r>
        <w:rPr>
          <w:rFonts w:eastAsia="Times New Roman" w:cs="Times New Roman"/>
          <w:szCs w:val="24"/>
        </w:rPr>
        <w:fldChar w:fldCharType="end"/>
      </w:r>
      <w:r>
        <w:rPr>
          <w:rFonts w:eastAsia="Times New Roman" w:cs="Times New Roman"/>
          <w:szCs w:val="24"/>
        </w:rPr>
        <w:t xml:space="preserve">. </w:t>
      </w:r>
      <w:r>
        <w:rPr>
          <w:rFonts w:cs="Times New Roman"/>
          <w:szCs w:val="24"/>
        </w:rPr>
        <w:t xml:space="preserve">Stream signature distance, however, was negatively related to both catchment area and elevation which may be due to the taxa that are most associated with headwaters. </w:t>
      </w:r>
      <w:r>
        <w:rPr>
          <w:rFonts w:cs="Times New Roman"/>
          <w:szCs w:val="24"/>
        </w:rPr>
        <w:fldChar w:fldCharType="begin" w:fldLock="1"/>
      </w:r>
      <w:r w:rsidR="00306019">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2014)","manualFormatting":"Muehlbauer et al. (2014)","plainTextFormattedCitation":"(Muehlbauer et al. 2014)","previouslyFormattedCitation":"(Muehlbauer et al. 2014)"},"properties":{"noteIndex":0},"schema":"https://github.com/citation-style-language/schema/raw/master/csl-citation.json"}</w:instrText>
      </w:r>
      <w:r>
        <w:rPr>
          <w:rFonts w:cs="Times New Roman"/>
          <w:szCs w:val="24"/>
        </w:rPr>
        <w:fldChar w:fldCharType="separate"/>
      </w:r>
      <w:r w:rsidRPr="009769BE">
        <w:rPr>
          <w:rFonts w:cs="Times New Roman"/>
          <w:noProof/>
          <w:szCs w:val="24"/>
        </w:rPr>
        <w:t xml:space="preserve">Muehlbauer et al. </w:t>
      </w:r>
      <w:r>
        <w:rPr>
          <w:rFonts w:cs="Times New Roman"/>
          <w:noProof/>
          <w:szCs w:val="24"/>
        </w:rPr>
        <w:t>(</w:t>
      </w:r>
      <w:r w:rsidRPr="009769BE">
        <w:rPr>
          <w:rFonts w:cs="Times New Roman"/>
          <w:noProof/>
          <w:szCs w:val="24"/>
        </w:rPr>
        <w:t>2014)</w:t>
      </w:r>
      <w:r>
        <w:rPr>
          <w:rFonts w:cs="Times New Roman"/>
          <w:szCs w:val="24"/>
        </w:rPr>
        <w:fldChar w:fldCharType="end"/>
      </w:r>
      <w:r>
        <w:rPr>
          <w:rFonts w:cs="Times New Roman"/>
          <w:szCs w:val="24"/>
        </w:rPr>
        <w:t xml:space="preserve"> found that the stream signature decays quickest for </w:t>
      </w:r>
      <w:proofErr w:type="spellStart"/>
      <w:r>
        <w:rPr>
          <w:rFonts w:cs="Times New Roman"/>
          <w:szCs w:val="24"/>
        </w:rPr>
        <w:t>Ephemeroptera</w:t>
      </w:r>
      <w:proofErr w:type="spellEnd"/>
      <w:r>
        <w:rPr>
          <w:rFonts w:cs="Times New Roman"/>
          <w:szCs w:val="24"/>
        </w:rPr>
        <w:t xml:space="preserve"> and </w:t>
      </w:r>
      <w:proofErr w:type="spellStart"/>
      <w:r>
        <w:rPr>
          <w:rFonts w:cs="Times New Roman"/>
          <w:szCs w:val="24"/>
        </w:rPr>
        <w:t>Plecoptera</w:t>
      </w:r>
      <w:proofErr w:type="spellEnd"/>
      <w:r>
        <w:rPr>
          <w:rFonts w:cs="Times New Roman"/>
          <w:szCs w:val="24"/>
        </w:rPr>
        <w:t xml:space="preserve"> (i.e. these orders have the shortest stream signature). Indeed, some </w:t>
      </w:r>
      <w:proofErr w:type="spellStart"/>
      <w:r>
        <w:rPr>
          <w:rFonts w:cs="Times New Roman"/>
          <w:szCs w:val="24"/>
        </w:rPr>
        <w:t>Ephemeroptera</w:t>
      </w:r>
      <w:proofErr w:type="spellEnd"/>
      <w:r>
        <w:rPr>
          <w:rFonts w:cs="Times New Roman"/>
          <w:szCs w:val="24"/>
        </w:rPr>
        <w:t xml:space="preserve"> develop as larva in </w:t>
      </w:r>
      <w:proofErr w:type="spellStart"/>
      <w:r>
        <w:rPr>
          <w:rFonts w:cs="Times New Roman"/>
          <w:szCs w:val="24"/>
        </w:rPr>
        <w:t>mainstem</w:t>
      </w:r>
      <w:proofErr w:type="spellEnd"/>
      <w:r>
        <w:rPr>
          <w:rFonts w:cs="Times New Roman"/>
          <w:szCs w:val="24"/>
        </w:rPr>
        <w:t xml:space="preserve"> river sections </w:t>
      </w:r>
      <w:r>
        <w:rPr>
          <w:rFonts w:cs="Times New Roman"/>
          <w:szCs w:val="24"/>
        </w:rPr>
        <w:fldChar w:fldCharType="begin" w:fldLock="1"/>
      </w:r>
      <w:r w:rsidR="00306019">
        <w:rPr>
          <w:rFonts w:cs="Times New Roman"/>
          <w:szCs w:val="24"/>
        </w:rPr>
        <w:instrText>ADDIN CSL_CITATION {"citationItems":[{"id":"ITEM-1","itemData":{"DOI":"10.1111/ele.12483","ISBN":"1461-023X","ISSN":"14610248","PMID":"26248587","abstract":"Animal migrations can link ecosystems across space. We discovered an aquatic insect that migrates between a river mainstem and its tributaries, and provides an important trophic subsidy for tributary predators. A mayfly, Ephemerella maculata, rears in a warm, sunlit productive river mainstem, then migrates as adults to cool, shaded unproductive tributaries where they oviposit and die. This migration tripled insect flux into a tributary for 1 month in summer. A manipulative field experiment showed that this E. maculata subsidy nearly tripled the growth of the young of the year steelhead trout (Oncorhynchus mykiss) in the recipient tributary over the summer months, and was more important than terrestrial invertebrate subsidies, which have been considered the primary food source for predators in small, forested creeks. By delivering food subsidies from productive but warming river mainstems to cool but food-limited tributaries, aquatic insect migrations could enhance resilience to cool-water predators in warming river networks.","author":[{"dropping-particle":"","family":"Uno","given":"Hiromi","non-dropping-particle":"","parse-names":false,"suffix":""},{"dropping-particle":"","family":"Power","given":"Mary E.","non-dropping-particle":"","parse-names":false,"suffix":""}],"container-title":"Ecology Letters","id":"ITEM-1","issue":"10","issued":{"date-parts":[["2015"]]},"page":"1012-1020","title":"Mainstem-tributary linkages by mayfly migration help sustain salmonids in a warming river network","type":"article-journal","volume":"18"},"uris":["http://www.mendeley.com/documents/?uuid=e8dd2928-49a7-40d6-bd6f-c20e222891d6"]}],"mendeley":{"formattedCitation":"(Uno and Power 2015)","plainTextFormattedCitation":"(Uno and Power 2015)","previouslyFormattedCitation":"(Uno and Power 2015)"},"properties":{"noteIndex":0},"schema":"https://github.com/citation-style-language/schema/raw/master/csl-citation.json"}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(Uno and Power 2015)</w:t>
      </w:r>
      <w:r>
        <w:rPr>
          <w:rFonts w:cs="Times New Roman"/>
          <w:szCs w:val="24"/>
        </w:rPr>
        <w:fldChar w:fldCharType="end"/>
      </w:r>
      <w:r>
        <w:rPr>
          <w:rFonts w:cs="Times New Roman"/>
          <w:szCs w:val="24"/>
        </w:rPr>
        <w:t xml:space="preserve">, and cooler water temperatures at higher elevations could favor </w:t>
      </w:r>
      <w:proofErr w:type="spellStart"/>
      <w:r>
        <w:rPr>
          <w:rFonts w:cs="Times New Roman"/>
          <w:szCs w:val="24"/>
        </w:rPr>
        <w:t>Plecoptera</w:t>
      </w:r>
      <w:proofErr w:type="spellEnd"/>
      <w:r>
        <w:rPr>
          <w:rFonts w:cs="Times New Roman"/>
          <w:szCs w:val="24"/>
        </w:rPr>
        <w:t xml:space="preserve"> as cold water adapted taxa </w:t>
      </w:r>
      <w:r>
        <w:rPr>
          <w:rFonts w:cs="Times New Roman"/>
          <w:szCs w:val="24"/>
        </w:rPr>
        <w:fldChar w:fldCharType="begin" w:fldLock="1"/>
      </w:r>
      <w:r w:rsidR="00306019">
        <w:rPr>
          <w:rFonts w:cs="Times New Roman"/>
          <w:szCs w:val="24"/>
        </w:rPr>
        <w:instrText>ADDIN CSL_CITATION {"citationItems":[{"id":"ITEM-1","itemData":{"DOI":"10.1002/rra.3464","ISSN":"15351467","abstract":"Freshwater organisms are disproportionately impacted by climate change and human disturbance, resulting in shifts in species' distributions and life histories. We coupled contemporary and historical datasets documenting physical and ecological variables over four decades to quantify changes in the abundance, emergence timing, and body size of salmonflies (Pteronarcys californica) in the Madison River in southwest Montana. In contemporary surveys, water temperature was the main driver of salmonfly abundance, emergence timing, and body size. Salmonfly densities were negatively correlated with summer water temperature, which explained 60% of variation in larval density among sites, whereas substrate type played a negligible role. Emergence occurred 20 days earlier, and male and female exuvia length were 13.8% and 11.3% shorter, respectively, at the warmest site relative to the coolest site (4°C difference). These patterns were supported by historical data. For example, a 1.2°C increase in mean annual water temperature in the Madison River between 1977 and 2017 coincided with evidence for upstream range contraction. Between 1973 and 2017, emergence timing varied widely among years, occurring up to 41 days earlier in years when spring water temperatures were relatively warm. As climate change progresses, we predict that salmonflies could be extirpated from an additional 28 km of currently occupied habitat, representing a 22.6% reduction in suitable habitat along the Madison River. This study provides evidence of long-term biological change of an aquatic insect and highlights the importance of combining spatial and historical datasets to better understand species' responses to environmental stressors across both space and time.","author":[{"dropping-particle":"","family":"Anderson","given":"Heidi E.","non-dropping-particle":"","parse-names":false,"suffix":""},{"dropping-particle":"","family":"Albertson","given":"Lindsey K.","non-dropping-particle":"","parse-names":false,"suffix":""},{"dropping-particle":"","family":"Walters","given":"David M.","non-dropping-particle":"","parse-names":false,"suffix":""}],"container-title":"River Research and Applications","id":"ITEM-1","issue":"7","issued":{"date-parts":[["2019"]]},"page":"1013-1022","title":"Water temperature drives variability in salmonfly abundance, emergence timing, and body size","type":"article-journal","volume":"35"},"uris":["http://www.mendeley.com/documents/?uuid=e9ee17f9-466c-44b4-9f17-e98ee673f3dd"]}],"mendeley":{"formattedCitation":"(Anderson et al. 2019)","plainTextFormattedCitation":"(Anderson et al. 2019)","previouslyFormattedCitation":"(Anderson et al. 2019)"},"properties":{"noteIndex":0},"schema":"https://github.com/citation-style-language/schema/raw/master/csl-citation.json"}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(Anderson et al. 2019)</w:t>
      </w:r>
      <w:r>
        <w:rPr>
          <w:rFonts w:cs="Times New Roman"/>
          <w:szCs w:val="24"/>
        </w:rPr>
        <w:fldChar w:fldCharType="end"/>
      </w:r>
      <w:r>
        <w:rPr>
          <w:rFonts w:cs="Times New Roman"/>
          <w:szCs w:val="24"/>
        </w:rPr>
        <w:t xml:space="preserve">. Importantly, these findings suggest that </w:t>
      </w:r>
      <w:r>
        <w:rPr>
          <w:rFonts w:eastAsia="Times New Roman" w:cs="Times New Roman"/>
          <w:szCs w:val="24"/>
        </w:rPr>
        <w:t xml:space="preserve">the potential supply and spatial extent of aquatic insect subsidies could vary along longitudinal gradients in streams as a result </w:t>
      </w:r>
      <w:r>
        <w:rPr>
          <w:rFonts w:cs="Times New Roman"/>
          <w:szCs w:val="24"/>
        </w:rPr>
        <w:t xml:space="preserve">of differences in trait frequencies within benthic macroinvertebrate communities in headwaters vs. </w:t>
      </w:r>
      <w:proofErr w:type="spellStart"/>
      <w:r>
        <w:rPr>
          <w:rFonts w:cs="Times New Roman"/>
          <w:szCs w:val="24"/>
        </w:rPr>
        <w:t>mainstems</w:t>
      </w:r>
      <w:proofErr w:type="spellEnd"/>
      <w:r>
        <w:rPr>
          <w:rFonts w:cs="Times New Roman"/>
          <w:szCs w:val="24"/>
        </w:rPr>
        <w:t>.</w:t>
      </w:r>
    </w:p>
    <w:p w14:paraId="2FF47D84" w14:textId="2DF7FDA2"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Agricultural land use in the watershed was associated with a decrease in the proportion of flying insects but an increase in stream signature distance. Land use intensification can alter the trait composition of benthic macroinvertebrate communities by favoring pollution tolerant taxa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{"citationItems":[{"id":"ITEM-1","itemData":{"DOI":"10.1899/0887-3593(2006)25[44:COSAFA]2.0.CO;2","ISSN":"08873593","abstract":"Effective catchment management in the face of landuse alteration depends on our ability to quantify ecologically significant changes and to discriminate among varying levels of impact. We compared the efficiency of traditional structural indices of change (species composition) with functional measures based on species traits (including life-history, trophic, and morphological features) in an analysis of grassland streams along a gradient of agricultural development (ungrazed native tussock, grazed tussock, extensively grazed pasture, and intensive dairy and deer farming). Streams were categorized in relation to overall agricultural intensity, and separately in terms of increasing nutrient concentrations and fine sediments on the streambed. Only 5 of 60 individual species demonstrated a significant separation across the landuse gradient, whereas 14 of 53 trait categories did so. Traits associated with population resilience (short generation time, asexual reproduction) became more prevalent with more intense agricultural pressure, reflecting predicted increases in intensity and frequency of stream disturbance. We observed a shift away from a tendency to lay unattached eggs at the water surface of the stream, reflecting the increasing likelihood of smothering by sediment, as well as increases in highly flexible and streamlined body shapes. Principal components and correspondence analyses involving species or trait composition all were able to discriminate landuse practises, but more of the overall between-landuse variance was accounted for by trait composition than species composition. All biological measures (species or trait composition) were correlated with both nutrient concentrations and sedimentation. Nutrient concentrations were better related to species and trait-category densities, whereas sedimentation was related to trait-category relative abundances. Overall, species traits successfully complemented traditional structural measures by helping to differentiate the consequences of landuse intensification in grassland stream communities. Rather than simply recording a loss or reduction of species, our functional approach was able to identify sensitive life-history characteristics linked to the functioning of ecosystems, thereby facilitating the development of targeted management actions. © 2006 by The North American Benthological Society.","author":[{"dropping-particle":"","family":"Dolédec","given":"Sylvain","non-dropping-particle":"","parse-names":false,"suffix":""},{"dropping-particle":"","family":"Phillips","given":"Ngaire","non-dropping-particle":"","parse-names":false,"suffix":""},{"dropping-particle":"","family":"Scarsbrook","given":"Mike","non-dropping-particle":"","parse-names":false,"suffix":""},{"dropping-particle":"","family":"Riley","given":"Ralph H.","non-dropping-particle":"","parse-names":false,"suffix":""},{"dropping-particle":"","family":"Townsend","given":"Colin R.","non-dropping-particle":"","parse-names":false,"suffix":""}],"container-title":"Journal of the North American Benthological Society","id":"ITEM-1","issue":"1","issued":{"date-parts":[["2006"]]},"page":"44-60","title":"Comparison of structural and functional approaches to determining landuse effects on grassland stream invertebrate communities","type":"article-journal","volume":"25"},"uris":["http://www.mendeley.com/documents/?uuid=df3da918-54af-4637-a798-8ac7e5d6dd01"]},{"id":"ITEM-2","itemData":{"DOI":"10.1146/annurev.ecolsys.35.120202.110122","ISBN":"1543-592X","ISSN":"1543-592X","PMID":"68","abstract":"Local habitat and biological diversity of streams and rivers are strongly influenced by landform and land use within the surrounding valley at multiple scales. However, empirical associations between land use and stream response only varyingly succeed in implicating pathways of influence. This is the case for a number of reasons, including (a) covariation of anthropogenic and natural gradients in the landscape; (b) the existence of multiple, scale-dependent mechanisms; (c) nonlinear responses; and (d) the difficulties of separating present-day from historical influences. Further research is needed that examines responses to land use under different management strategies and that employs response variables that have greater diagnostic value than many of the aggregated measures in current use.","author":[{"dropping-particle":"","family":"Allan","given":"J. David","non-dropping-particle":"","parse-names":false,"suffix":""}],"container-title":"Annual Review of Ecology, Evolution, and Systematics","id":"ITEM-2","issue":"1","issued":{"date-parts":[["2004"]]},"page":"257-284","title":"Landscapes and Riverscapes: The Influence of Land Use on Stream Ecosystems","type":"article-journal","volume":"35"},"uris":["http://www.mendeley.com/documents/?uuid=c5700772-7e65-49ff-bb67-8a5a94db50c5"]}],"mendeley":{"formattedCitation":"(Allan 2004, Dolédec et al. 2006)","plainTextFormattedCitation":"(Allan 2004, Dolédec et al. 2006)","previouslyFormattedCitation":"(Allan 2004, Dolédec et al. 2006)"},"properties":{"noteIndex":0},"schema":"https://github.com/citation-style-language/schema/raw/master/csl-citation.json"}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(Allan 2004, Dolédec et al. 2006)</w:t>
      </w:r>
      <w:r>
        <w:rPr>
          <w:rFonts w:eastAsia="Times New Roman" w:cs="Times New Roman"/>
          <w:szCs w:val="24"/>
        </w:rPr>
        <w:fldChar w:fldCharType="end"/>
      </w:r>
      <w:r>
        <w:rPr>
          <w:rFonts w:eastAsia="Times New Roman" w:cs="Times New Roman"/>
          <w:szCs w:val="24"/>
        </w:rPr>
        <w:t xml:space="preserve">, such as </w:t>
      </w:r>
      <w:proofErr w:type="spellStart"/>
      <w:r w:rsidRPr="00E86D5D">
        <w:rPr>
          <w:rFonts w:cs="Times New Roman"/>
          <w:szCs w:val="24"/>
        </w:rPr>
        <w:t>Chironomidae</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w:t>
      </w:r>
      <w:r>
        <w:rPr>
          <w:rFonts w:eastAsia="Times New Roman" w:cs="Times New Roman"/>
          <w:szCs w:val="24"/>
        </w:rPr>
        <w:t xml:space="preserve">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{"citationItems":[{"id":"ITEM-1","itemData":{"DOI":"10.1007/s10661-017-6027-y","ISBN":"1066101760","ISSN":"15732959","abstract":"In freshwater ecosystems, Chironomidae are currently considered indicators of poor water quality because the family is often abundant in degraded sites. However, it incorporates taxa with a large ecological and physiological diversity and different sensitivity to impairment. Yet, the usual identification of Chironomidae at coarse taxonomic levels (family or subfamily) masks genus and species sensitivities. In this study, we investigate the potential of taxonomic and functional (traits) composition of Chironomidae to detect anthropogenic disturbance. In this context, we tested some a priori hypotheses regarding the ability of Chironomidae taxonomic and trait compositions to discriminate Mediterranean streams affected by multiple stressors from least-disturbed streams. Both taxonomic and Eltonian trait composition discriminated sites according to their disturbance level. Disturbance resulted in the predicted increase of Chironomidae with higher number of stages with hibernation/diapause and of taxa with resistance forms and unpredicted increase of the proportion of taxa with longer life cycles and few generations per year. Life history strategies (LHS), corresponding to multivoltine Chironomidae that do not invest in hemoglobin and lack strong spring synchronization, were well adapted to all our Mediterranean sites with highly changeable environmental conditions. Medium-size animals favored in disturbed sites where the Mediterranean hydrological regime is altered, but the reduced number of larger-size/carnivore Chironomids suggests a limitation to secondary production. Results indicate that Chironomidae genus and respective traits could be a useful tool in the structural and functional assessment of Mediterranean streams. The ubiquitous nature of Chironomidae should be also especially relevant in the assessment of water bodies naturally poor in other groups such as the Ephemeroptera, Plecoptera, and Trichoptera, such as the lowland rivers with sandy substrates, lakes, or reservoirs.","author":[{"dropping-particle":"","family":"Serra","given":"Sónia R.Q.","non-dropping-particle":"","parse-names":false,"suffix":""},{"dropping-particle":"","family":"Graça","given":"Manuel A.S.","non-dropping-particle":"","parse-names":false,"suffix":""},{"dropping-particle":"","family":"Dolédec","given":"Sylvain","non-dropping-particle":"","parse-names":false,"suffix":""},{"dropping-particle":"","family":"Feio","given":"Maria João","non-dropping-particle":"","parse-names":false,"suffix":""}],"container-title":"Environmental Monitoring and Assessment","id":"ITEM-1","issued":{"date-parts":[["2017"]]},"page":"326","publisher":"Environmental Monitoring and Assessment","title":"Chironomidae traits and life history strategies as indicators of anthropogenic disturbance","type":"article-journal","volume":"189"},"uris":["http://www.mendeley.com/documents/?uuid=4a95218d-879d-4e4a-b5bc-b8d1a18c858c"]},{"id":"ITEM-2","itemData":{"DOI":"10.1016/j.agee.2018.10.013","ISSN":"01678809","abstract":"The connection between aquatic and terrestrial habitats has increased scientific interest in ecological subsidies, focusing on how the transfer of matter and energy between adjacent ecosystems can modify the ecosystems functioning. Much attention has focused on subsidies associated with winged aquatic insects in pristine areas, but their existence and implications in agricultural landscapes are rarely considered. We reviewed current knowledge on the dominant types of winged stream insects involved in terrestrial ecosystem subsidizing and how agricultural practices can affect their communities. We compiled published data that illustrate the contribution of winged stream insects to ecological services in agroecosystems. Agricultural intensification has resulted in profound environmental modifications of streams and a decrease in large-bodied and sensitive taxa of Ephemera, Plecoptera and, to a lesser degree, Trichoptera orders, whereas more tolerant and small-bodied taxa of the Diptera order may increase. In return, these changes in stream invertebrate communities can modify the transfer of aquatic subsidies to agroecosystems. Winged stream insects can disperse up to 150 m from the stream bank, depending on species. They pollinate both wild and cultivated plants, fertilize the soil (depositing up to 12 mg N/m2 per day) during emergence outbreaks and feed natural enemies of crop pests during crucial periods of the year. Promising evidence suggests that they can support the related ecosystem services (pollination, soil fertilization and crop pest control), indicating the need for further research. Another area of focus can include the influence of agricultural practices on the amount and type of emerging aquatic insects. Future research on aquatic subsidies in agricultural landscapes may provide new insights into the management and provision of ecosystem services to agriculture, while simultaneously ensuring the conservation of rich freshwater biodiversity for optimal ecosystem functioning.","author":[{"dropping-particle":"","family":"Raitif","given":"Julien","non-dropping-particle":"","parse-names":false,"suffix":""},{"dropping-particle":"","family":"Plantegenest","given":"Manuel","non-dropping-particle":"","parse-names":false,"suffix":""},{"dropping-particle":"","family":"Roussel","given":"Jean Marc","non-dropping-particle":"","parse-names":false,"suffix":""}],"container-title":"Agriculture, Ecosystems and Environment","id":"ITEM-2","issue":"December 2017","issued":{"date-parts":[["2019"]]},"page":"32-40","publisher":"Elsevier","title":"From stream to land: Ecosystem services provided by stream insects to agriculture","type":"article-journal","volume":"270-271"},"uris":["http://www.mendeley.com/documents/?uuid=520d4044-f18c-4408-a4f2-ccd068f5f3d3"]}],"mendeley":{"formattedCitation":"(Serra et al. 2017, Raitif et al. 2019)","plainTextFormattedCitation":"(Serra et al. 2017, Raitif et al. 2019)","previouslyFormattedCitation":"(Serra et al. 2017, Raitif et al. 2019)"},"properties":{"noteIndex":0},"schema":"https://github.com/citation-style-language/schema/raw/master/csl-citation.json"}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(Serra et al. 2017, Raitif et al. 2019)</w:t>
      </w:r>
      <w:r>
        <w:rPr>
          <w:rFonts w:eastAsia="Times New Roman" w:cs="Times New Roman"/>
          <w:szCs w:val="24"/>
        </w:rPr>
        <w:fldChar w:fldCharType="end"/>
      </w:r>
      <w:r>
        <w:rPr>
          <w:rFonts w:eastAsia="Times New Roman" w:cs="Times New Roman"/>
          <w:szCs w:val="24"/>
        </w:rPr>
        <w:t xml:space="preserve"> or mollusks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{"citationItems":[{"id":"ITEM-1","itemData":{"DOI":"10.1080/00288330.1995.9516681","ISSN":"11758805","abstract":"Physico-chemical conditions and benthic invertebrate assemblages in streams draining catchments dominated by different land use activities were investigated near Hanmer Springs, South Island. Four streams in pastoral, scrubland, exotic pine plantation forest (primarily Pinus spp.), and native beech forest (Nothofagus spp.) catchments were sampled in four seasons. Alkalinity, pH, and calcium concentrations were highest among scrubland streams, whereas iron and potassium concentrations were highest in pastoral streams. Both taxonomic richness and invertebrate biomass were greatest in the beech forest streams where most species of Ephe-meroptera, Plecoptera, Coleoptera, and Diptera were found. Forest streams were dominated by the mayflies Deleatidium and Coloburiscus humeralls, the stonefly Stenoperla prasina, and the caddisfly Olinga feredayi. The facultative shredder Austroperla cyrene was also abundant in pine forest streams. However, mayfly, stonefly and caddisfly taxa were poorly represented in pastoral streams. In contrast, molluscs were most prolific in pastoral streams, where the hydrobiid snail Potamopyrgus antipodarum dominated and the chironomid Eukiefferiella sp. was also abundant. Streams in the four land use types represented a series of progressively more modified systems, ranging from pristine beech forested streams to highly modified streams draining agriculturally developed catchments. The structure of the stream communities changed along this “ecological gradient”. © The Royal Society of New Zealand 1995.","author":[{"dropping-particle":"","family":"Harding","given":"Jon S.","non-dropping-particle":"","parse-names":false,"suffix":""},{"dropping-particle":"","family":"Winterbourn","given":"Michael J.","non-dropping-particle":"","parse-names":false,"suffix":""}],"container-title":"New Zealand Journal of Marine and Freshwater Research","id":"ITEM-1","issue":"4","issued":{"date-parts":[["1995"]]},"note":"The distance these subsidies travel into Landscape","page":"479-492","title":"Effects of contrasting land use on physico-chemical conditions and benthic assemblages of streams in a canterbury (South Island, New Zealand) river system","type":"article-journal","volume":"29"},"uris":["http://www.mendeley.com/documents/?uuid=60b5a780-3f75-4731-a815-fc32c8b15b8b"]},{"id":"ITEM-2","itemData":{"DOI":"10.1007/s00442-015-3462-8","ISBN":"1010933404324","ISSN":"00298549","PMID":"26453520","abstract":"Despite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J.","non-dropping-particle":"","parse-names":false,"suffix":""}],"container-title":"Oecologia","id":"ITEM-2","issue":"2","issued":{"date-parts":[["2016"]]},"page":"551-566","publisher":"Springer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channels","type":"article-journal","volume":"180"},"uris":["http://www.mendeley.com/documents/?uuid=3540b554-d538-4eb9-a30e-6f5a1dd61f13"]}],"mendeley":{"formattedCitation":"(Harding and Winterbourn 1995, Greenwood and Booker 2016)","plainTextFormattedCitation":"(Harding and Winterbourn 1995, Greenwood and Booker 2016)","previouslyFormattedCitation":"(Harding and Winterbourn 1995, Greenwood and Booker 2016)"},"properties":{"noteIndex":0},"schema":"https://github.com/citation-style-language/schema/raw/master/csl-citation.json"}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(Harding and Winterbourn 1995, Greenwood and Booker 2016)</w:t>
      </w:r>
      <w:r>
        <w:rPr>
          <w:rFonts w:eastAsia="Times New Roman" w:cs="Times New Roman"/>
          <w:szCs w:val="24"/>
        </w:rPr>
        <w:fldChar w:fldCharType="end"/>
      </w:r>
      <w:r>
        <w:rPr>
          <w:rFonts w:eastAsia="Times New Roman" w:cs="Times New Roman"/>
          <w:szCs w:val="24"/>
        </w:rPr>
        <w:t xml:space="preserve">. </w:t>
      </w:r>
      <w:proofErr w:type="spellStart"/>
      <w:r w:rsidRPr="00E86D5D">
        <w:rPr>
          <w:rFonts w:cs="Times New Roman"/>
          <w:szCs w:val="24"/>
        </w:rPr>
        <w:t>Chironomidae</w:t>
      </w:r>
      <w:proofErr w:type="spellEnd"/>
      <w:r>
        <w:rPr>
          <w:rFonts w:eastAsia="Times New Roman" w:cs="Times New Roman"/>
          <w:szCs w:val="24"/>
        </w:rPr>
        <w:t xml:space="preserve"> have the longest stream signature distance of all flying orders studied by  </w:t>
      </w:r>
      <w:r>
        <w:rPr>
          <w:rFonts w:cs="Times New Roman"/>
          <w:szCs w:val="24"/>
        </w:rPr>
        <w:fldChar w:fldCharType="begin" w:fldLock="1"/>
      </w:r>
      <w:r w:rsidR="00306019">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2014)","manualFormatting":"Muehlbauer et al. (2014)","plainTextFormattedCitation":"(Muehlbauer et al. 2014)","previouslyFormattedCitation":"(Muehlbauer et al. 2014)"},"properties":{"noteIndex":0},"schema":"https://github.com/citation-style-language/schema/raw/master/csl-citation.json"}</w:instrText>
      </w:r>
      <w:r>
        <w:rPr>
          <w:rFonts w:cs="Times New Roman"/>
          <w:szCs w:val="24"/>
        </w:rPr>
        <w:fldChar w:fldCharType="separate"/>
      </w:r>
      <w:r w:rsidRPr="00977703">
        <w:rPr>
          <w:rFonts w:cs="Times New Roman"/>
          <w:noProof/>
          <w:szCs w:val="24"/>
        </w:rPr>
        <w:t xml:space="preserve">Muehlbauer et al. </w:t>
      </w:r>
      <w:r>
        <w:rPr>
          <w:rFonts w:cs="Times New Roman"/>
          <w:noProof/>
          <w:szCs w:val="24"/>
        </w:rPr>
        <w:t>(</w:t>
      </w:r>
      <w:r w:rsidRPr="00977703">
        <w:rPr>
          <w:rFonts w:cs="Times New Roman"/>
          <w:noProof/>
          <w:szCs w:val="24"/>
        </w:rPr>
        <w:t>2014)</w:t>
      </w:r>
      <w:r>
        <w:rPr>
          <w:rFonts w:cs="Times New Roman"/>
          <w:szCs w:val="24"/>
        </w:rPr>
        <w:fldChar w:fldCharType="end"/>
      </w:r>
      <w:r>
        <w:rPr>
          <w:rFonts w:cs="Times New Roman"/>
          <w:szCs w:val="24"/>
        </w:rPr>
        <w:t xml:space="preserve">, and increasing their relative abundances could increase the spatial extent of aquatic insect subsidies. </w:t>
      </w:r>
      <w:r>
        <w:rPr>
          <w:rFonts w:eastAsia="Times New Roman" w:cs="Times New Roman"/>
          <w:szCs w:val="24"/>
        </w:rPr>
        <w:t xml:space="preserve">Consequently, anthropogenic impacts in the watershed may decrease the relative magnitude of aquatic insect subsidies in the terrestrial environment, but the spatial extent of that subsidy might be relatively greater. </w:t>
      </w:r>
    </w:p>
    <w:p w14:paraId="51800027" w14:textId="587619B9"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The importance of hydrologic region for explaining the proportion of flying individuals and the 25% stream signature distance supports the notion that cross-ecosystem linkages can vary across broad spatial scales. For example, if we assume the entire larval community can </w:t>
      </w:r>
      <w:r>
        <w:rPr>
          <w:rFonts w:eastAsia="Times New Roman" w:cs="Times New Roman"/>
          <w:szCs w:val="24"/>
        </w:rPr>
        <w:lastRenderedPageBreak/>
        <w:t xml:space="preserve">metamorphose into winged adults, then the California (HUC 18) hydrologic region could export 10% more aquatic insect subsidies than the Southern Atlantic (HUC 03S), all else being equal.  Similarly, aquatic insects may be expected to travel further from where they emerge in the Upper Mississippi (HUC 07) than the Upper Colorado (HUC 13) because of longer stream signature distances. These regional patterns in trait composition could reverberate throughout the landscape and drive differences in subsidy use among terrestrial consumers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{"citationItems":[{"id":"ITEM-1","itemData":{"DOI":"10.1002/ecs2.2697","ISSN":"21508925","abstract":"Cross‐boundary fluxes of organisms and matter, termed \"subsidies,\" are now recognized to be reciprocal and of roughly equal importance for both aquatic and terrestrial systems, even if terrestrial input to aquatic ecosystems has received most attention. The magnitude of aquatic‐to‐terrestrial subsidies is well documented, but the drivers behind these subsidies and their utilization by terrestrial consumers are characteristically local‐scale studies, limiting the inferences that can be drawn for broader geographic scales. We therefore built and analyzed a database of stable isotope data extracted from 21 studies worldwide, to identify both landscape‐scale (catchment) and local‐scale (100‐m riparian zone) variables that may affect the diet of terrestrial predators in riparian ecosystems. Our meta‐analysis revealed a greater magnitude of aquatic‐to‐terrestrial subsidies (&amp;gt;50%) than previously reported, albeit with large geographic and inter‐annual variations. Moreover, we demonstrated a large effect of landscape‐scale factors on aquatic‐to‐terrestrial subsidies, particularly anthropogenic land use and tree cover. Local human population was the only relevant factor at the local scale. We also found that studies on landscape‐scale and anthropogenic land use effects on aquatic‐to‐terrestrial subsidies are strongly under‐represented in the ecological literature, which limits the general inferences that can currently be drawn about landscape effects. We suggest that landscape‐scale studies could improve our understanding of how land use and environmental change might influence future patterns of biodiversity and ecosystem function.","author":[{"dropping-particle":"","family":"Lafage","given":"D.","non-dropping-particle":"","parse-names":false,"suffix":""},{"dropping-particle":"","family":"Bergman","given":"E.","non-dropping-particle":"","parse-names":false,"suffix":""},{"dropping-particle":"","family":"Eckstein","given":"R. L.","non-dropping-particle":"","parse-names":false,"suffix":""},{"dropping-particle":"","family":"Österling","given":"E. M.","non-dropping-particle":"","parse-names":false,"suffix":""},{"dropping-particle":"","family":"Sadler","given":"J. P.","non-dropping-particle":"","parse-names":false,"suffix":""},{"dropping-particle":"","family":"Piccolo","given":"J. J.","non-dropping-particle":"","parse-names":false,"suffix":""}],"container-title":"Ecosphere","id":"ITEM-1","issue":"4","issued":{"date-parts":[["2019"]]},"page":"e02697","title":"Local and landscape drivers of aquatic-to-terrestrial subsidies in riparian ecosystems: a worldwide meta-analysis","type":"article-journal","volume":"10"},"uris":["http://www.mendeley.com/documents/?uuid=1837073f-118f-45da-901a-c392a6983ab2"]}],"mendeley":{"formattedCitation":"(Lafage et al. 2019)","plainTextFormattedCitation":"(Lafage et al. 2019)","previouslyFormattedCitation":"(Lafage et al. 2019)"},"properties":{"noteIndex":0},"schema":"https://github.com/citation-style-language/schema/raw/master/csl-citation.json"}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(Lafage et al. 2019)</w:t>
      </w:r>
      <w:r>
        <w:rPr>
          <w:rFonts w:eastAsia="Times New Roman" w:cs="Times New Roman"/>
          <w:szCs w:val="24"/>
        </w:rPr>
        <w:fldChar w:fldCharType="end"/>
      </w:r>
      <w:r>
        <w:rPr>
          <w:rFonts w:eastAsia="Times New Roman" w:cs="Times New Roman"/>
          <w:szCs w:val="24"/>
        </w:rPr>
        <w:t xml:space="preserve">. </w:t>
      </w:r>
    </w:p>
    <w:p w14:paraId="3692B1C8" w14:textId="77777777" w:rsidR="00333AA3" w:rsidRDefault="00333AA3" w:rsidP="00333AA3">
      <w:pPr>
        <w:spacing w:line="480" w:lineRule="auto"/>
        <w:contextualSpacing/>
        <w:rPr>
          <w:rFonts w:eastAsia="Times New Roman" w:cs="Times New Roman"/>
          <w:szCs w:val="24"/>
          <w:u w:val="single"/>
        </w:rPr>
      </w:pPr>
    </w:p>
    <w:p w14:paraId="34BB28CA" w14:textId="77777777" w:rsidR="00333AA3" w:rsidRPr="00E45F30" w:rsidRDefault="00333AA3" w:rsidP="00333AA3">
      <w:pPr>
        <w:spacing w:line="480" w:lineRule="auto"/>
        <w:contextualSpacing/>
        <w:rPr>
          <w:rFonts w:eastAsia="Times New Roman" w:cs="Times New Roman"/>
          <w:i/>
          <w:szCs w:val="24"/>
        </w:rPr>
      </w:pPr>
      <w:r w:rsidRPr="00E45F30">
        <w:rPr>
          <w:rFonts w:eastAsia="Times New Roman" w:cs="Times New Roman"/>
          <w:i/>
          <w:szCs w:val="24"/>
        </w:rPr>
        <w:t xml:space="preserve">Traits of flying individuals </w:t>
      </w:r>
    </w:p>
    <w:p w14:paraId="0B188CC7" w14:textId="2BEFE22B" w:rsidR="00333AA3" w:rsidRDefault="00333AA3" w:rsidP="00333AA3">
      <w:pPr>
        <w:spacing w:line="480" w:lineRule="auto"/>
        <w:ind w:firstLine="720"/>
        <w:contextualSpacing/>
        <w:rPr>
          <w:rFonts w:cs="Times New Roman"/>
          <w:szCs w:val="24"/>
        </w:rPr>
      </w:pPr>
      <w:proofErr w:type="spellStart"/>
      <w:r>
        <w:rPr>
          <w:rFonts w:cs="Times New Roman"/>
          <w:szCs w:val="24"/>
        </w:rPr>
        <w:t>Hydroclimatic</w:t>
      </w:r>
      <w:proofErr w:type="spellEnd"/>
      <w:r>
        <w:rPr>
          <w:rFonts w:cs="Times New Roman"/>
          <w:szCs w:val="24"/>
        </w:rPr>
        <w:t xml:space="preserve"> features played an important role in structuring the presence and abundance of trait-states that should influence the </w:t>
      </w:r>
      <w:proofErr w:type="spellStart"/>
      <w:r>
        <w:rPr>
          <w:rFonts w:cs="Times New Roman"/>
          <w:szCs w:val="24"/>
        </w:rPr>
        <w:t>spatio</w:t>
      </w:r>
      <w:proofErr w:type="spellEnd"/>
      <w:r>
        <w:rPr>
          <w:rFonts w:cs="Times New Roman"/>
          <w:szCs w:val="24"/>
        </w:rPr>
        <w:t>-temporal characteristics of aquatic insect subsidies. For example, flying individuals living in perennial or groundwater dominated systems were typically larger and have long-lived adult phases and sites with</w:t>
      </w:r>
      <w:r w:rsidRPr="00BE7E14">
        <w:rPr>
          <w:rFonts w:cs="Times New Roman"/>
          <w:szCs w:val="24"/>
        </w:rPr>
        <w:t xml:space="preserve"> </w:t>
      </w:r>
      <w:r>
        <w:rPr>
          <w:rFonts w:cs="Times New Roman"/>
          <w:szCs w:val="24"/>
        </w:rPr>
        <w:t xml:space="preserve">lower precipitation were associated with higher frequencies of asynchronous emergence and fast development. Given these relationships, we might expect hydrologically stable reaches to export aquatic insect subsidies that are larger in size and can live longer in terrestrial ecosystems and more arid locations to export subsidies more consistently when there is water in the stream channel. If these trait-states increase an organisms ability to survive and reproduce in their environment </w:t>
      </w:r>
      <w:r>
        <w:rPr>
          <w:rFonts w:cs="Times New Roman"/>
          <w:szCs w:val="24"/>
        </w:rPr>
        <w:fldChar w:fldCharType="begin" w:fldLock="1"/>
      </w:r>
      <w:r w:rsidR="00306019">
        <w:rPr>
          <w:rFonts w:cs="Times New Roman"/>
          <w:szCs w:val="24"/>
        </w:rPr>
        <w:instrText>ADDIN CSL_CITATION {"citationItems":[{"id":"ITEM-1","itemData":{"DOI":"10.1007/s00027-017-0530-7","ISBN":"0002701705307","ISSN":"14209055","abstract":"Many lotic ecosystems are spatially and temporally heterogeneous but none more so than dryland streams flowing through arid and semi-arid landscapes. Understanding seasonal variation in richness and trait composition is critical to our fundamental understanding of these dynamic stream networks. Here, we analyzed aquatic macroinvertebrate communities within perennial and intermittent reaches in replicate dryland watersheds in southwestern USA across 10 seasons and 4 years. We quantified how hydrology, season, and microhabitat type affected taxa richness and trait composition. Taxa richness was higher in perennial than intermittent reaches, in pools than riffles, and in fall and summer than in spring. The interaction between hydrology and season was important; the difference between fall high and spring low richness was greater in intermittent than perennial streams. Hydrology was the main predictor of trait composition; intermittent streams supported a larger fraction of small taxa, taxa with the ability to undergo diapause, and uni- or multivoltine taxa (i.e., taxa with shorter life cycles). Trait composition did not vary across seasons among perennial reaches whereas the fraction of aerial dispersers appeared to be greater in spring than other seasons among intermittent reaches. Our results were largely consistent with predictions of the habitat templet; r-selected traits were more frequently represented in intermittent communities. The temporal characterization of macroinvertebrate community structure in dryland streams provides a powerful glimpse of how stream communities may respond to a drying climate.","author":[{"dropping-particle":"","family":"Giam","given":"Xingli","non-dropping-particle":"","parse-names":false,"suffix":""},{"dropping-particle":"","family":"Chen","given":"William","non-dropping-particle":"","parse-names":false,"suffix":""},{"dropping-particle":"","family":"Schriever","given":"Tiffany A.","non-dropping-particle":"","parse-names":false,"suffix":""},{"dropping-particle":"","family":"Driesche","given":"Richard","non-dropping-particle":"Van","parse-names":false,"suffix":""},{"dropping-particle":"","family":"Muneepeerakul","given":"Rachata","non-dropping-particle":"","parse-names":false,"suffix":""},{"dropping-particle":"","family":"Lytle","given":"David A.","non-dropping-particle":"","parse-names":false,"suffix":""},{"dropping-particle":"","family":"Olden","given":"Julian D.","non-dropping-particle":"","parse-names":false,"suffix":""}],"container-title":"Aquatic Sciences","id":"ITEM-1","issue":"3","issued":{"date-parts":[["2017"]]},"page":"705-717","publisher":"Springer International Publishing","title":"Hydrology drives seasonal variation in dryland stream macroinvertebrate communities","type":"article-journal","volume":"79"},"uris":["http://www.mendeley.com/documents/?uuid=88fb2322-a08b-41e7-972e-f6b6cf9551a0"]},{"id":"ITEM-2","itemData":{"author":[{"dropping-particle":"","family":"Townsend","given":"Colin R.","non-dropping-particle":"","parse-names":false,"suffix":""},{"dropping-particle":"","family":"Hildrew","given":"Alan G.","non-dropping-particle":"","parse-names":false,"suffix":""}],"container-title":"Freshwater Biology","id":"ITEM-2","issued":{"date-parts":[["1994"]]},"page":"265 - 275","title":"Species Traits in relation to a habitat templet for river systems","type":"article-journal","volume":"31"},"uris":["http://www.mendeley.com/documents/?uuid=31884709-384d-4dfa-935a-0052f9adc9aa"]}],"mendeley":{"formattedCitation":"(Townsend and Hildrew 1994, Giam et al. 2017)","plainTextFormattedCitation":"(Townsend and Hildrew 1994, Giam et al. 2017)","previouslyFormattedCitation":"(Townsend and Hildrew 1994, Giam et al.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(Townsend and Hildrew 1994, Giam et al. 2017)</w:t>
      </w:r>
      <w:r>
        <w:rPr>
          <w:rFonts w:cs="Times New Roman"/>
          <w:szCs w:val="24"/>
        </w:rPr>
        <w:fldChar w:fldCharType="end"/>
      </w:r>
      <w:r>
        <w:rPr>
          <w:rFonts w:cs="Times New Roman"/>
          <w:szCs w:val="24"/>
        </w:rPr>
        <w:t xml:space="preserve">, these results could provide insights into how the aquatic insect subsidies might be impacted by climate change, as many flow regimes are predicted to become less stable </w:t>
      </w:r>
      <w:r>
        <w:rPr>
          <w:rFonts w:cs="Times New Roman"/>
          <w:szCs w:val="24"/>
        </w:rPr>
        <w:fldChar w:fldCharType="begin" w:fldLock="1"/>
      </w:r>
      <w:r w:rsidR="00306019">
        <w:rPr>
          <w:rFonts w:cs="Times New Roman"/>
          <w:szCs w:val="24"/>
        </w:rPr>
        <w:instrText>ADDIN CSL_CITATION {"citationItems":[{"id":"ITEM-1","itemData":{"DOI":"10.1038/nclimate2516","ISSN":"17586798","abstract":"In the twentieth and twenty-first centuries, flooding has taken a devastating societal and economic toll on the central United States, contributing to dozens of fatalities and causing billions of dollars in damage. As a warmer atmosphere can hold more moisture (the Clausius-Clapeyron relation), a pronounced increase in intense rainfall events is included in models of future climate. Therefore, it is crucial to examine whether the magnitude and/or frequency of flood events is remaining constant or has been changing over recent decades. If either or both of these attributes have changed over time, it is imperative that we understand the underlying mechanisms that are responsible. Here, we show that while observational records (774 stream gauge stations) from the central United States present limited evidence of significant changes in the magnitude of floodpeaks, strong evidence points to an increasing frequency of flooding. These changes in flood hydrology result from changes in both seasonal rainfall and temperature across this region.","author":[{"dropping-particle":"","family":"Mallakpour","given":"Iman","non-dropping-particle":"","parse-names":false,"suffix":""},{"dropping-particle":"","family":"Villarini","given":"Gabriele","non-dropping-particle":"","parse-names":false,"suffix":""}],"container-title":"Nature Climate Change","id":"ITEM-1","issue":"3","issued":{"date-parts":[["2015"]]},"page":"250-254","title":"The changing nature of flooding across the central United States","type":"article-journal","volume":"5"},"uris":["http://www.mendeley.com/documents/?uuid=410492cb-989d-44ca-86cd-58428d0ac9c9"]},{"id":"ITEM-2","itemData":{"abstract":"A warming climate is expected to have an impact on the magnitude and timing of river floods; however, no consistent large-scale climate change signal in observed flood magnitudes has been identified so far. We analyzed the timing of river floods in Europe over the past five decades, using a pan-European database from 4262 observational hydrometric stations, and found clear patterns of change in flood timing. Warmer temperatures have led to earlier spring snowmelt floods throughout northeastern Europe; delayed winter storms associated with polar warming have led to later winter floods around the North Sea and some sectors of the Mediterranean coast; and earlier soil moisture maxima have led to earlier winter floods in western Europe. Our results highlight the existence of a clear climate signal in flood observations at the continental scale.","author":[{"dropping-particle":"","family":"Blöschl","given":"Gunter","non-dropping-particle":"","parse-names":false,"suffix":""},{"dropping-particle":"","family":"Hall","given":"Julia","non-dropping-particle":"","parse-names":false,"suffix":""},{"dropping-particle":"","family":"Parajka","given":"Juraj","non-dropping-particle":"","parse-names":false,"suffix":""},{"dropping-particle":"","family":"Perdigão","given":"Rui A P","non-dropping-particle":"","parse-names":false,"suffix":""},{"dropping-particle":"","family":"Merz","given":"Bruno","non-dropping-particle":"","parse-names":false,"suffix":""},{"dropping-particle":"","family":"Arheimer","given":"Berit","non-dropping-particle":"","parse-names":false,"suffix":""},{"dropping-particle":"","family":"Aronica","given":"Giuseppe T","non-dropping-particle":"","parse-names":false,"suffix":""},{"dropping-particle":"","family":"Bilibashi","given":"Ardian","non-dropping-particle":"","parse-names":false,"suffix":""},{"dropping-particle":"","family":"Bonacci","given":"Ognjen","non-dropping-particle":"","parse-names":false,"suffix":""},{"dropping-particle":"","family":"Borga","given":"Marco","non-dropping-particle":"","parse-names":false,"suffix":""},{"dropping-particle":"","family":"Ivan","given":"Č","non-dropping-particle":"","parse-names":false,"suffix":""},{"dropping-particle":"","family":"Castellarin","given":"Attilio","non-dropping-particle":"","parse-names":false,"suffix":""},{"dropping-particle":"","family":"Chirico","given":"Giovanni B","non-dropping-particle":"","parse-names":false,"suffix":""}],"container-title":"Science","id":"ITEM-2","issue":"August","issued":{"date-parts":[["2017"]]},"page":"588-590","title":"Climate change shifts timing of European floods","type":"article-journal","volume":"590"},"uris":["http://www.mendeley.com/documents/?uuid=04b2f2b2-097e-4b04-a413-6e3bae1188c8"]},{"id":"ITEM-3","itemData":{"abstract":"Observations have shown that the hydrological cycle of the western United States changed significantly over the last half of the 20th century. We present a regional, multivariable climate change detection and attribution study, using a high-resolution hydrologic model forced by global climate models, focusing on the changes that have already affected this primarily arid region with a large and growing population. The results show that up to 60% of the climate-related trends of river flow, winter air temperature, and snow pack between 1950 and 1999 are human-induced. These results are robust to perturbation of study variates and methods. They portend, in conjunction with previous work, a coming crisis in water supply for the western United States.","author":[{"dropping-particle":"","family":"Barnett","given":"Tim P","non-dropping-particle":"","parse-names":false,"suffix":""},{"dropping-particle":"","family":"Pierce","given":"David W","non-dropping-particle":"","parse-names":false,"suffix":""},{"dropping-particle":"","family":"Hidalgo","given":"Hugo G","non-dropping-particle":"","parse-names":false,"suffix":""},{"dropping-particle":"","family":"Bonfils","given":"Celine","non-dropping-particle":"","parse-names":false,"suffix":""},{"dropping-particle":"","family":"Santer","given":"Benjamin D","non-dropping-particle":"","parse-names":false,"suffix":""},{"dropping-particle":"","family":"Das","given":"Tapash","non-dropping-particle":"","parse-names":false,"suffix":""},{"dropping-particle":"","family":"Bala","given":"Govindasamy","non-dropping-particle":"","parse-names":false,"suffix":""},{"dropping-particle":"","family":"Wood","given":"Andrew W","non-dropping-particle":"","parse-names":false,"suffix":""},{"dropping-particle":"","family":"Nozawa","given":"Toru","non-dropping-particle":"","parse-names":false,"suffix":""},{"dropping-particle":"","family":"Mirin","given":"Arthur a","non-dropping-particle":"","parse-names":false,"suffix":""},{"dropping-particle":"","family":"Cayan","given":"Daniel R","non-dropping-particle":"","parse-names":false,"suffix":""},{"dropping-particle":"","family":"Dettinger","given":"Michael D","non-dropping-particle":"","parse-names":false,"suffix":""}],"container-title":"Science","id":"ITEM-3","issue":"80","issued":{"date-parts":[["2008"]]},"page":"1080-1083","title":"Human-Induced Changes in the Hydrology of the Western United States","type":"article-journal","volume":"319"},"uris":["http://www.mendeley.com/documents/?uuid=e14049c1-2c78-4b38-b940-985d33526afc"]}],"mendeley":{"formattedCitation":"(Barnett et al. 2008, Mallakpour and Villarini 2015, Blöschl et al. 2017)","plainTextFormattedCitation":"(Barnett et al. 2008, Mallakpour and Villarini 2015, Blöschl et al. 2017)","previouslyFormattedCitation":"(Barnett et al. 2008, Mallakpour and Villarini 2015, Blöschl et al. 2017)"},"properties":{"noteIndex":0},"schema":"https://github.com/citation-style-language/schema/raw/master/csl-citation.json"}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(Barnett et al. 2008, Mallakpour and Villarini 2015, Blöschl et al. 2017)</w:t>
      </w:r>
      <w:r>
        <w:rPr>
          <w:rFonts w:cs="Times New Roman"/>
          <w:szCs w:val="24"/>
        </w:rPr>
        <w:fldChar w:fldCharType="end"/>
      </w:r>
      <w:r>
        <w:rPr>
          <w:rFonts w:cs="Times New Roman"/>
          <w:szCs w:val="24"/>
        </w:rPr>
        <w:t xml:space="preserve">. </w:t>
      </w:r>
    </w:p>
    <w:p w14:paraId="47DD5508" w14:textId="1BBC2077" w:rsidR="00333AA3" w:rsidRDefault="00333AA3" w:rsidP="00333AA3">
      <w:pPr>
        <w:spacing w:line="480" w:lineRule="auto"/>
        <w:ind w:firstLine="720"/>
        <w:contextualSpacing/>
        <w:rPr>
          <w:rFonts w:cs="Times New Roman"/>
          <w:szCs w:val="24"/>
        </w:rPr>
      </w:pPr>
      <w:r>
        <w:rPr>
          <w:rFonts w:cs="Times New Roman"/>
          <w:szCs w:val="24"/>
        </w:rPr>
        <w:t xml:space="preserve">Many of the trait-environment relationships we analyzed may be partly explained by interdependence among traits </w:t>
      </w:r>
      <w:r>
        <w:rPr>
          <w:rFonts w:cs="Times New Roman"/>
          <w:szCs w:val="24"/>
        </w:rPr>
        <w:fldChar w:fldCharType="begin" w:fldLock="1"/>
      </w:r>
      <w:r w:rsidR="00306019">
        <w:rPr>
          <w:rFonts w:cs="Times New Roman"/>
          <w:szCs w:val="24"/>
        </w:rPr>
        <w:instrText>ADDIN CSL_CITATION {"citationItems":[{"id":"ITEM-1","itemData":{"DOI":"10.1111/gcb.14846","ISSN":"13652486","PMID":"31553112","abstract":"The appeal of trait-based approaches for assessing environmental vulnerabilities arises from the potential insight they provide into the mechanisms underlying the changes in populations and community structure. Traits can provide ecologically based explanations for observed responses to environmental changes, along with predictive power gained by developing relationships between traits and environmental variables. Despite these potential benefits, questions remain regarding the utility and limitations of these approaches, which we explore focusing on the following questions: (a) How reliable are predictions of biotic responses to changing conditions based on single trait–environment relationships? (b) What factors constrain detection of single trait–environment relationships, and how can they be addressed? (c) Can we use information on meta-community processes to reveal conditions when assumptions underlying trait-based studies are not met? We address these questions by reviewing published literature on aquatic invertebrate communities from stream ecosystems. Our findings help to define factors that influence the successful application of trait-based approaches in addressing the complex, multifaceted effects of changing climate conditions on hydrologic and thermal regimes in stream ecosystems. Key conclusions are that observed relationships between traits and environmental stressors are often inconsistent with predefined hypotheses derived from current trait-based thinking, particularly related to single trait–environment relationships. Factors that can influence findings of trait-based assessments include intercorrelations of among traits and among environmental variables, spatial scale, strength of biotic interactions, intensity of habitat disturbance, degree of abiotic stress, and methods of trait characterization. Several recommendations are made for practice and further study to address these concerns, including using phylogenetic relatedness to address intercorrelation. With proper consideration of these issues, trait-based assessment of organismal vulnerability to environmental changes can become a useful tool to conserve threatened populations into the future.","author":[{"dropping-particle":"","family":"Hamilton","given":"Anna T.","non-dropping-particle":"","parse-names":false,"suffix":""},{"dropping-particle":"","family":"Schäfer","given":"Ralf B.","non-dropping-particle":"","parse-names":false,"suffix":""},{"dropping-particle":"","family":"Pyne","given":"Matthew I.","non-dropping-particle":"","parse-names":false,"suffix":""},{"dropping-particle":"","family":"Chessman","given":"Bruce","non-dropping-particle":"","parse-names":false,"suffix":""},{"dropping-particle":"","family":"Kakouei","given":"Karan","non-dropping-particle":"","parse-names":false,"suffix":""},{"dropping-particle":"","family":"Boersma","given":"Kate S.","non-dropping-particle":"","parse-names":false,"suffix":""},{"dropping-particle":"","family":"Verdonschot","given":"Piet F.M.","non-dropping-particle":"","parse-names":false,"suffix":""},{"dropping-particle":"","family":"Verdonschot","given":"Ralf C.M.","non-dropping-particle":"","parse-names":false,"suffix":""},{"dropping-particle":"","family":"Mims","given":"Meryl","non-dropping-particle":"","parse-names":false,"suffix":""},{"dropping-particle":"","family":"Khamis","given":"Kieran","non-dropping-particle":"","parse-names":false,"suffix":""},{"dropping-particle":"","family":"Bierwagen","given":"Britta","non-dropping-particle":"","parse-names":false,"suffix":""},{"dropping-particle":"","family":"Stamp","given":"Jen","non-dropping-particle":"","parse-names":false,"suffix":""}],"container-title":"Global Change Biology","id":"ITEM-1","issue":"2","issued":{"date-parts":[["2020"]]},"page":"364-379","title":"Limitations of trait-based approaches for stressor assessment: The case of freshwater invertebrates and climate drivers","type":"article-journal","volume":"26"},"uris":["http://www.mendeley.com/documents/?uuid=05bd3700-2aab-4f96-ad28-6f343320be8a"]}],"mendeley":{"formattedCitation":"(Hamilton et al. 2020)","plainTextFormattedCitation":"(Hamilton et al. 2020)","previouslyFormattedCitation":"(Hamilton et al. 2020)"},"properties":{"noteIndex":0},"schema":"https://github.com/citation-style-language/schema/raw/master/csl-citation.json"}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(Hamilton et al. 2020)</w:t>
      </w:r>
      <w:r>
        <w:rPr>
          <w:rFonts w:cs="Times New Roman"/>
          <w:szCs w:val="24"/>
        </w:rPr>
        <w:fldChar w:fldCharType="end"/>
      </w:r>
      <w:r>
        <w:rPr>
          <w:rFonts w:cs="Times New Roman"/>
          <w:szCs w:val="24"/>
        </w:rPr>
        <w:t xml:space="preserve"> and therefore difficult to mechanistically </w:t>
      </w:r>
      <w:r>
        <w:rPr>
          <w:rFonts w:cs="Times New Roman"/>
          <w:szCs w:val="24"/>
        </w:rPr>
        <w:lastRenderedPageBreak/>
        <w:t xml:space="preserve">interpret or to attribute causation </w:t>
      </w:r>
      <w:r>
        <w:rPr>
          <w:rFonts w:cs="Times New Roman"/>
          <w:szCs w:val="24"/>
        </w:rPr>
        <w:fldChar w:fldCharType="begin" w:fldLock="1"/>
      </w:r>
      <w:r w:rsidR="00306019">
        <w:rPr>
          <w:rFonts w:cs="Times New Roman"/>
          <w:szCs w:val="24"/>
        </w:rPr>
        <w:instrText>ADDIN CSL_CITATION {"citationItems":[{"id":"ITEM-1","itemData":{"DOI":"10.1899/12-092.1","ISSN":"21619565","abstract":"The use of species traits in basic and applied ecology is expanding rapidly because trait-based approaches hold the promise to increase our mechanistic understanding of biological responses. Such understanding could transform descriptive field studies in community ecology into predictive studies. Currently, however, trait-based approaches often fail to reflect species-environment relationships adequately. The difficulties have been perceived mainly as methodological, but we suggest that the problem is more profound and touches on the fundamentals of ecology and evolution. Selection pressures do not act independently on single traits, but rather, on species whose success in a particular environment is controlled by many interacting traits. Therefore, the adaptive value of a particular trait may differ across species, depending on the other traits possessed by the species and the constraints of its body plan. Because of this context-dependence, trait-based approaches should take into account the way combinations of traits interact and are constrained within a species. We present a new framework in which trade-offs and other interactions between biological traits are taken as a starting point from which to develop a better mechanistic understanding of species occurrences. The framework consists of 4 levels: traits, trait interactions, trait combinations, and life-history strategies, in a hierarchy in which each level provides the building blocks for the next. Researchers can contribute knowledge and insights at each level, and their contributions can be verified or falsified using logic, theory, and empirical data. Such an integrated and transparent framework can help fulfill the promise of traits to transform community ecology into a predictive science. © 2013 by The Society for Freshwater Science.","author":[{"dropping-particle":"","family":"Verberk","given":"W. C.E.P.","non-dropping-particle":"","parse-names":false,"suffix":""},{"dropping-particle":"","family":"Noordwijk","given":"C. G.E.","non-dropping-particle":"Van","parse-names":false,"suffix":""},{"dropping-particle":"","family":"Hildrew","given":"A. G.","non-dropping-particle":"","parse-names":false,"suffix":""}],"container-title":"Freshwater Science","id":"ITEM-1","issue":"2","issued":{"date-parts":[["2013"]]},"page":"531-547","title":"Delivering on a promise: Integrating species traits to transform descriptive community ecology into a predictive science","type":"article-journal","volume":"32"},"uris":["http://www.mendeley.com/documents/?uuid=c8b24a2f-2a3b-4923-a6d8-d0f291dc34ae"]}],"mendeley":{"formattedCitation":"(Verberk et al. 2013)","plainTextFormattedCitation":"(Verberk et al. 2013)","previouslyFormattedCitation":"(Verberk et al. 2013)"},"properties":{"noteIndex":0},"schema":"https://github.com/citation-style-language/schema/raw/master/csl-citation.json"}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(Verberk et al. 2013)</w:t>
      </w:r>
      <w:r>
        <w:rPr>
          <w:rFonts w:cs="Times New Roman"/>
          <w:szCs w:val="24"/>
        </w:rPr>
        <w:fldChar w:fldCharType="end"/>
      </w:r>
      <w:r>
        <w:rPr>
          <w:rFonts w:cs="Times New Roman"/>
          <w:szCs w:val="24"/>
        </w:rPr>
        <w:t>. For example, we found the percentage of fine substrate was associated with a decreased frequency of large body size among flying taxa, presumably because smaller substrates do not provide refuge and interstitial habitat for larger taxa (</w:t>
      </w:r>
      <w:r>
        <w:rPr>
          <w:rFonts w:cs="Times New Roman"/>
          <w:szCs w:val="24"/>
        </w:rPr>
        <w:fldChar w:fldCharType="begin" w:fldLock="1"/>
      </w:r>
      <w:r w:rsidR="00306019">
        <w:rPr>
          <w:rFonts w:cs="Times New Roman"/>
          <w:szCs w:val="24"/>
        </w:rPr>
        <w:instrText>ADDIN CSL_CITATION {"citationItems":[{"id":"ITEM-1","itemData":{"author":[{"dropping-particle":"","family":"Townsend","given":"Colin R.","non-dropping-particle":"","parse-names":false,"suffix":""},{"dropping-particle":"","family":"Hildrew","given":"Alan G.","non-dropping-particle":"","parse-names":false,"suffix":""}],"container-title":"Freshwater Biology","id":"ITEM-1","issued":{"date-parts":[["1994"]]},"page":"265 - 275","title":"Species Traits in relation to a habitat templet for river systems","type":"article-journal","volume":"31"},"uris":["http://www.mendeley.com/documents/?uuid=31884709-384d-4dfa-935a-0052f9adc9aa"]}],"mendeley":{"formattedCitation":"(Townsend and Hildrew 1994)","manualFormatting":"Townsend and Hildrew 1994)","plainTextFormattedCitation":"(Townsend and Hildrew 1994)","previouslyFormattedCitation":"(Townsend and Hildrew 1994)"},"properties":{"noteIndex":0},"schema":"https://github.com/citation-style-language/schema/raw/master/csl-citation.json"}</w:instrText>
      </w:r>
      <w:r>
        <w:rPr>
          <w:rFonts w:cs="Times New Roman"/>
          <w:szCs w:val="24"/>
        </w:rPr>
        <w:fldChar w:fldCharType="separate"/>
      </w:r>
      <w:r w:rsidRPr="008066E5">
        <w:rPr>
          <w:rFonts w:cs="Times New Roman"/>
          <w:noProof/>
          <w:szCs w:val="24"/>
        </w:rPr>
        <w:t>Townsend and Hildrew 1994)</w:t>
      </w:r>
      <w:r>
        <w:rPr>
          <w:rFonts w:cs="Times New Roman"/>
          <w:szCs w:val="24"/>
        </w:rPr>
        <w:fldChar w:fldCharType="end"/>
      </w:r>
      <w:r>
        <w:rPr>
          <w:rFonts w:cs="Times New Roman"/>
          <w:szCs w:val="24"/>
        </w:rPr>
        <w:t xml:space="preserve">. We also found substrate size was associated with lower frequencies of long life span, and high female dispersal and higher frequency of </w:t>
      </w:r>
      <w:proofErr w:type="spellStart"/>
      <w:r>
        <w:rPr>
          <w:rFonts w:cs="Times New Roman"/>
          <w:szCs w:val="24"/>
        </w:rPr>
        <w:t>multivoltinism</w:t>
      </w:r>
      <w:proofErr w:type="spellEnd"/>
      <w:r>
        <w:rPr>
          <w:rFonts w:cs="Times New Roman"/>
          <w:szCs w:val="24"/>
        </w:rPr>
        <w:t xml:space="preserve">. These trait-environment relationships are more difficult to attribute to the availability of </w:t>
      </w:r>
      <w:proofErr w:type="spellStart"/>
      <w:r>
        <w:rPr>
          <w:rFonts w:cs="Times New Roman"/>
          <w:szCs w:val="24"/>
        </w:rPr>
        <w:t>refugia</w:t>
      </w:r>
      <w:proofErr w:type="spellEnd"/>
      <w:r>
        <w:rPr>
          <w:rFonts w:cs="Times New Roman"/>
          <w:szCs w:val="24"/>
        </w:rPr>
        <w:t xml:space="preserve"> provided by substrate size but instead are likely correlated with body size </w:t>
      </w:r>
      <w:r>
        <w:rPr>
          <w:rFonts w:cs="Times New Roman"/>
          <w:szCs w:val="24"/>
        </w:rPr>
        <w:fldChar w:fldCharType="begin" w:fldLock="1"/>
      </w:r>
      <w:r w:rsidR="00306019">
        <w:rPr>
          <w:rFonts w:cs="Times New Roman"/>
          <w:szCs w:val="24"/>
        </w:rPr>
        <w:instrText>ADDIN CSL_CITATION {"citationItems":[{"id":"ITEM-1","itemData":{"abstract":". We define disturbance in stream ecosystems to be: any relatively discrete event in time that is characterized by a frequency, intensity, and severity outside a predictable range, and that disrupts ecosystem, community, or population structure and changes resources or the physical environment. Of the three major hypotheses relating disturbance to lotic community structure, the dynamic equilibrium hypothesis appears to be generally applicable, although specific studies support the intermediate disturbance hypothesis and the equilibrium model. Differences in disturbance frequency between lentic and lotic systems may explain why biotic interactions are more apparent in lakes than in streams. Responses to both natural and anthropogenic disturbances vary regionally, as illustrated by examples from the mid-continent, Pacific northwest, and southeastern United States. Based on a generalized framework of climatic-biogeochemical characteristics, two features are considered to be most significant in choosing streams for comparative studies of disturbance: hydrologic regimes and comparable geomorphology. A method is described for quantifying predictability of the hy- drologic regime based on long-term records of monthly maximum and minimum stream flows. Different channel forms (boulder and cobble, alluvial gravelbed, alluvial sandbed) have different responses to hydrologic disturbance from spates. A number of structural and functional components for comparing disturbance effects within regions and across biomes are presented. Experimental approaches to studying disturbance involve spatial-scale considerations, logistic difficulties, and ethical questions. General questions related to disturbance that could be addressed by stream ecol- ogists are propo","author":[{"dropping-particle":"","family":"Resh","given":"Vincent H","non-dropping-particle":"","parse-names":false,"suffix":""},{"dropping-particle":"V","family":"Brown","given":"Arthur","non-dropping-particle":"","parse-names":false,"suffix":""},{"dropping-particle":"","family":"Covich","given":"Alan P","non-dropping-particle":"","parse-names":false,"suffix":""},{"dropping-particle":"","family":"Gurtz","given":"Martin E","non-dropping-particle":"","parse-names":false,"suffix":""},{"dropping-particle":"","family":"Hiram","given":"W","non-dropping-particle":"","parse-names":false,"suffix":""},{"dropping-particle":"","family":"Minshall","given":"G Wayne","non-dropping-particle":"","parse-names":false,"suffix":""},{"dropping-particle":"","family":"Reice","given":"Seth R","non-dropping-particle":"","parse-names":false,"suffix":""},{"dropping-particle":"","family":"Sheldon","given":"Andrew L","non-dropping-particle":"","parse-names":false,"suffix":""},{"dropping-particle":"","family":"Wallace","given":"J Bruce","non-dropping-particle":"","parse-names":false,"suffix":""},{"dropping-particle":"","family":"Robert","given":"C","non-dropping-particle":"","parse-names":false,"suffix":""},{"dropping-particle":"","family":"Gurtz","given":"Martin E","non-dropping-particle":"","parse-names":false,"suffix":""},{"dropping-particle":"","family":"Li","given":"Hiram W","non-dropping-particle":"","parse-names":false,"suffix":""},{"dropping-particle":"","family":"Minshall","given":"G Wayne","non-dropping-particle":"","parse-names":false,"suffix":""}],"container-title":"Journal of the North American Benthological Society","id":"ITEM-1","issue":"4","issued":{"date-parts":[["1988"]]},"page":"433-455","title":"The Role of Disturbance in Stream Ecology","type":"article-journal","volume":"7"},"uris":["http://www.mendeley.com/documents/?uuid=73299244-7cc3-4e2d-a0d4-11e9d9ed574b"]},{"id":"ITEM-2","itemData":{"DOI":"10.1046/j.1365-2427.2000.00535.x","ISSN":"00465070","abstract":"1. Relating species traits to habitat characteristics can provide important insights into the structure and functioning of stream communities. However, trade-offs among species traits make it difficult to predict accurately the functional diversity of freshwater communities. Many authors have pointed to the value of working with groups of organisms as similar as possible in terms of relationships among traits and have called for definition of groups of organisms with similar suites of attributes. 2. We used multivariate analyses to examine separately the relationships among 11 biological traits and among 11 ecological traits of 472 benthic macroinvertebrate taxa (mainly genera). The main objective was to demonstrate (1) potential trade-offs among traits; (2) the importance of the different traits to separate systematic units or functional groupings; and (3) uniform functional groups of taxa that should allow a more effective use of macroinvertebrate biological and ecological traits. 3. We defined eight groups and 15 subgroups according to a biological trait ordination which highlighted size (large to small), reproductive traits (K to r strategists), food (animal to plant material) and feeding habits (predator to scraper and/or deposit feeder) as 'significant' factors determining the ordination of taxa. This ordination partly preserved phylogenetic relationships among groups. 4. Seven ecological groups and 13 ecological subgroups included organisms with combinations of traits which should be successively more adequate in habitats from the main channel to temporary waters, and from the crenon to the potamic sections of rivers, and to systems situated outside the river floodplain. These gradients corresponded to a gradual shift from (1) rheophilic organisms that lived in the main channel of cold oligotrophic mountain streams to (2) animals that preferred eutrophic habitats of still or temporary waters in lowlands. The groups with similar ecological traits had a more diverse systematic structure than those with similar biological traits. 5. Monitoring and assessment tools for the management of water resources are generally more effective if they are based on a clear understanding of the mechanisms that lead to the presence or absence of species groups in the environment. We believe that groups with similar relationships among their species traits may be useful in developing tools that measure the functional diversity of communities.","author":[{"dropping-particle":"","family":"Usseglio-Polatera","given":"Philippe","non-dropping-particle":"","parse-names":false,"suffix":""},{"dropping-particle":"","family":"Bournaud","given":"Michel","non-dropping-particle":"","parse-names":false,"suffix":""},{"dropping-particle":"","family":"Richoux","given":"Philippe","non-dropping-particle":"","parse-names":false,"suffix":""},{"dropping-particle":"","family":"Tachet","given":"Henri","non-dropping-particle":"","parse-names":false,"suffix":""}],"container-title":"Freshwater Biology","id":"ITEM-2","issue":"2","issued":{"date-parts":[["2000"]]},"page":"175-205","title":"Biological and ecological traits of benthic freshwater macroinvertebrates: Relationships and definition of groups with similar traits","type":"article-journal","volume":"43"},"uris":["http://www.mendeley.com/documents/?uuid=72c6d368-61ac-4cc8-9116-72d685ed2c13"]},{"id":"ITEM-3","itemData":{"DOI":"10.1111/j.1365-2427.2008.02035.x","ISBN":"0046-5070","ISSN":"00465070","PMID":"5280","abstract":"* 1Explaining spatial and temporal differences in species assemblages is a central aim of ecology. It requires a sound understanding of the causal mechanisms underlying the relationship of species with their environment. A species trait is widely acknowledged to be the key that links pattern and process, although the enormous variety of traits hampers generalization about which combination of traits are adaptive in a particular environment. * 2In three steps, we used species traits to match species and environment, and chose lentic freshwater ecosystems to illustrate our approach. We first identified key environmental factors and selected the species traits that enable the organism to deal with them. Secondly, we investigated how investments in these traits are related (e.g. through trade-offs). Thirdly, we outlined 13 life-history strategies, based on biological species traits, their interrelations known from life-history theory and their functional implications. * 3Species traits and environmental conditions are connected through life-history strategies, with different strategies representing different solutions to particular ecological problems. In addition, strategies may present an integrated response to the environment as they are based on many different traits and their interrelationships. The presence and abundance of (species exhibiting) different life-history strategies in a location may therefore give direct information about how a particular environment is experienced by the species present. * 4Life-history strategies can be used to (i) explain differences in species assemblages either between locations or in different periods; (ii) compare waterbodies separated by large geographical distances, which may comprise different regional species pools or span species distribution areas and (iii) reduce often very complex, biodiverse assemblages into a few meaningful, easily interpretable relationships.","author":[{"dropping-particle":"","family":"Verberk","given":"Wilco C E P","non-dropping-particle":"","parse-names":false,"suffix":""},{"dropping-particle":"","family":"Siepel","given":"Henk","non-dropping-particle":"","parse-names":false,"suffix":""},{"dropping-particle":"","family":"Esselink","given":"Hans","non-dropping-particle":"","parse-names":false,"suffix":""}],"container-title":"Freshwater Biology","id":"ITEM-3","issue":"9","issued":{"date-parts":[["2008"]]},"page":"1722-1738","title":"Life-history strategies in freshwater macroinvertebrates","type":"article-journal","volume":"53"},"uris":["http://www.mendeley.com/documents/?uuid=78c1e006-81fc-410a-9ea2-6f4e748de236"]},{"id":"ITEM-4","itemData":{"DOI":"10.1111/fwb.13472","ISSN":"13652427","abstract":"Movement behaviours of adult aquatic insects can produce distinct spatial distribution patterns. Studies of adult abundance with distance away from water bodies are common and may invoke flight capability to explain species differences. In contrast, distribution patterns along river channels are poorly described, but are no less important for understanding population dynamics. Longitudinal patterns in adult abundance along short river lengths may differ between sexes and at different life stage transitions between aquatic and terrestrial environments, i.e. at emergence and oviposition. Flight capability is unlikely to influence longitudinal patterns created at emergence, but may influence local abundances of mature females seeking to lay eggs. We tested hypotheses about how local abundances of mature females might differ according to oviposition habits and flight capability. We surveyed abundances of mature female caddisflies at adjacent riffle–pool pairs along short river lengths with homogeneous riparian cover. Our survey included nine species in three families (Hydrobiosidae, Leptoceridae, Hydropsychidae), which encompassed multiple different oviposition habits and a range of wing sizes and shapes. Several of the species oviposit preferentially in riffles. Accordingly, we tested for differences in female abundance between channel units (adjacent riffle–pool pairs). We also tested whether females attained higher abundances in some places along channels than others (i.e. over larger spatial scales and regardless of channel unit) which imply movements along the channel and aggregation in some locations. Wing morphology was used as a proxy measure of flight capability and included measures of wing span, area, aspect ratio and the second moment of wing area. Three distinctly different distribution patterns of mature female caddisflies were identified. The abundance of three species varied over larger scales only (multiple channel units). Six species that oviposit preferentially in riffles had higher female abundances at riffles than pools, but for only one did abundances also vary over larger scales. There was no association between these different patterns and measures of wing morphology, after removing metrics that were correlated and that differed systematically between taxonomic families. However, we could not reject the hypothesis that some aspect of flight behaviour may have contributed to observed patterns. The diverse but distinct distributions of…","author":[{"dropping-particle":"","family":"Lancaster","given":"Jill","non-dropping-particle":"","parse-names":false,"suffix":""},{"dropping-particle":"","family":"Downes","given":"Barbara J.","non-dropping-particle":"","parse-names":false,"suffix":""},{"dropping-particle":"","family":"Dwyer","given":"Georgia K.","non-dropping-particle":"","parse-names":false,"suffix":""}],"container-title":"Freshwater Biology","id":"ITEM-4","issued":{"date-parts":[["2020"]]},"page":"908-919","title":"Terrestrial–aquatic transitions: Local abundances and movements of mature female caddisflies are related to oviposition habits but not flight capability","type":"article-journal","volume":"65"},"uris":["http://www.mendeley.com/documents/?uuid=6c1db968-8191-4f3b-b3c2-b73c28ad3bd0"]}],"mendeley":{"formattedCitation":"(Resh et al. 1988, Usseglio-Polatera et al. 2000, Verberk et al. 2008, Lancaster et al. 2020)","plainTextFormattedCitation":"(Resh et al. 1988, Usseglio-Polatera et al. 2000, Verberk et al. 2008, Lancaster et al. 2020)","previouslyFormattedCitation":"(Resh et al. 1988, Usseglio-Polatera et al. 2000, Verberk et al. 2008, Lancaster et al. 2020)"},"properties":{"noteIndex":0},"schema":"https://github.com/citation-style-language/schema/raw/master/csl-citation.json"}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(Resh et al. 1988, Usseglio-Polatera et al. 2000, Verberk et al. 2008, Lancaster et al. 2020)</w:t>
      </w:r>
      <w:r>
        <w:rPr>
          <w:rFonts w:cs="Times New Roman"/>
          <w:szCs w:val="24"/>
        </w:rPr>
        <w:fldChar w:fldCharType="end"/>
      </w:r>
      <w:r>
        <w:rPr>
          <w:rFonts w:cs="Times New Roman"/>
          <w:szCs w:val="24"/>
        </w:rPr>
        <w:t xml:space="preserve">. </w:t>
      </w:r>
      <w:r w:rsidRPr="0025551E">
        <w:rPr>
          <w:rFonts w:cs="Times New Roman"/>
          <w:szCs w:val="24"/>
        </w:rPr>
        <w:t xml:space="preserve">Indeed, </w:t>
      </w:r>
      <w:r>
        <w:rPr>
          <w:rFonts w:cs="Times New Roman"/>
          <w:szCs w:val="24"/>
        </w:rPr>
        <w:t>univariate</w:t>
      </w:r>
      <w:r w:rsidRPr="0025551E">
        <w:rPr>
          <w:rFonts w:cs="Times New Roman"/>
          <w:szCs w:val="24"/>
        </w:rPr>
        <w:t xml:space="preserve"> trait-environment relationships are known to be challenging</w:t>
      </w:r>
      <w:r>
        <w:rPr>
          <w:rFonts w:cs="Times New Roman"/>
          <w:szCs w:val="24"/>
        </w:rPr>
        <w:t xml:space="preserve"> to interpret</w:t>
      </w:r>
      <w:r w:rsidRPr="0025551E">
        <w:rPr>
          <w:rFonts w:cs="Times New Roman"/>
          <w:szCs w:val="24"/>
        </w:rPr>
        <w:t xml:space="preserve"> from a</w:t>
      </w:r>
      <w:r>
        <w:rPr>
          <w:rFonts w:cs="Times New Roman"/>
          <w:szCs w:val="24"/>
        </w:rPr>
        <w:t xml:space="preserve"> strict</w:t>
      </w:r>
      <w:r w:rsidRPr="0025551E">
        <w:rPr>
          <w:rFonts w:cs="Times New Roman"/>
          <w:szCs w:val="24"/>
        </w:rPr>
        <w:t xml:space="preserve"> mechanistic perspective </w:t>
      </w:r>
      <w:r w:rsidRPr="0025551E">
        <w:rPr>
          <w:rFonts w:cs="Times New Roman"/>
          <w:szCs w:val="24"/>
        </w:rPr>
        <w:fldChar w:fldCharType="begin" w:fldLock="1"/>
      </w:r>
      <w:r w:rsidR="00306019">
        <w:rPr>
          <w:rFonts w:cs="Times New Roman"/>
          <w:szCs w:val="24"/>
        </w:rPr>
        <w:instrText>ADDIN CSL_CITATION {"citationItems":[{"id":"ITEM-1","itemData":{"DOI":"10.1899/0887-3593(2006)025[0730:ftnona]2.0.co;2","ISBN":"0887-3593","ISSN":"0887-3593","abstract":"The use of species traits to characterize the functional composition of benthic invertebrate communities has become well established in the ecological literature. This approach holds much potential for predicting changes of both species and species assemblages along environmental gradients in terms of traits that are sensitive to local environmental conditions. Further, in the burgeoning field of biomonitoring, a functional approach provides a predictive basis for understanding community-level responses along gradients of environmental alteration caused by humans. Despite much progress in recent years, the full potential of the functional traits-based approach is currently limited by several factors, both conceptual and methodological. Most notably, we lack adequate understanding of how individual traits are intercorrelated and how this lack of independence among traits reflects phylogenetic (evolutionary) constraint. A better understanding is needed if we are to make the transition from a largely univariate approach that considers single-trait responses along single environmental gradients to a multivariate one that more realistically accounts for the responses of many traits across multiple environmental gradients characteristic of most human-dominated landscapes. Our primary objective in this paper is to explore the issue of inter-trait correlations for lotic insects and to identify opportunities and challenges for advancing the theory and application of traits-based approaches in stream community ecology. We created a new database on species-trait composition of North American lotic insects. Using published accounts and expert opinion, we collected information on 20 species traits (in 59 trait states) that fell into 4 broad categories: life-history morphological, mobility, and ecological. First, we demonstrate the importance of considering how the linkage of specific trait states within a taxon is critical to developing a more-robust traits-based community ecology. Second, we examine the statistical correlations among traits and trait states for the 311 taxa to identify trait syndromes and specify which traits provide unique (uncorrelated) information that can be used to guide trait selection in ecological studies. Third, we examine the evolutionary associations among traits by mapping trait states onto a phylogentic tree derived from morphological and molecular analyses and classifications from the literature. We examine the evolutionary lability o…","author":[{"dropping-particle":"","family":"Poff","given":"N. LeRoy","non-dropping-particle":"","parse-names":false,"suffix":""},{"dropping-particle":"","family":"Olden","given":"Julian D.","non-dropping-particle":"","parse-names":false,"suffix":""},{"dropping-particle":"","family":"Finn","given":"Debra S.","non-dropping-particle":"","parse-names":false,"suffix":""},{"dropping-particle":"","family":"Vieira","given":"Nicole K. M.","non-dropping-particle":"","parse-names":false,"suffix":""},{"dropping-particle":"","family":"Simmons","given":"Mark P.","non-dropping-particle":"","parse-names":false,"suffix":""},{"dropping-particle":"","family":"Kondratieff","given":"Boris C.","non-dropping-particle":"","parse-names":false,"suffix":""}],"container-title":"Journal of the North American Benthological Society","id":"ITEM-1","issue":"4","issued":{"date-parts":[["2006"]]},"page":"730-755","title":"Functional trait niches of North American lotic insects: traits-based ecological applications in light of phylogenetic relationships","type":"article-journal","volume":"25"},"uris":["http://www.mendeley.com/documents/?uuid=ecd4990d-fa0c-4d97-8d43-0203c7295a29"]}],"mendeley":{"formattedCitation":"(Poff et al. 2006)","plainTextFormattedCitation":"(Poff et al. 2006)","previouslyFormattedCitation":"(Poff et al. 2006)"},"properties":{"noteIndex":0},"schema":"https://github.com/citation-style-language/schema/raw/master/csl-citation.json"}</w:instrText>
      </w:r>
      <w:r w:rsidRPr="0025551E">
        <w:rPr>
          <w:rFonts w:cs="Times New Roman"/>
          <w:szCs w:val="24"/>
        </w:rPr>
        <w:fldChar w:fldCharType="separate"/>
      </w:r>
      <w:r w:rsidR="0034241C" w:rsidRPr="0034241C">
        <w:rPr>
          <w:rFonts w:cs="Times New Roman"/>
          <w:noProof/>
          <w:szCs w:val="24"/>
        </w:rPr>
        <w:t>(Poff et al. 2006)</w:t>
      </w:r>
      <w:r w:rsidRPr="0025551E">
        <w:rPr>
          <w:rFonts w:cs="Times New Roman"/>
          <w:szCs w:val="24"/>
        </w:rPr>
        <w:fldChar w:fldCharType="end"/>
      </w:r>
      <w:r>
        <w:rPr>
          <w:rFonts w:cs="Times New Roman"/>
          <w:szCs w:val="24"/>
        </w:rPr>
        <w:t xml:space="preserve"> and may not accurately describe how trait composition will change in under future conditions </w:t>
      </w:r>
      <w:r>
        <w:rPr>
          <w:rFonts w:cs="Times New Roman"/>
          <w:szCs w:val="24"/>
        </w:rPr>
        <w:fldChar w:fldCharType="begin" w:fldLock="1"/>
      </w:r>
      <w:r w:rsidR="00306019">
        <w:rPr>
          <w:rFonts w:cs="Times New Roman"/>
          <w:szCs w:val="24"/>
        </w:rPr>
        <w:instrText>ADDIN CSL_CITATION {"citationItems":[{"id":"ITEM-1","itemData":{"DOI":"10.1899/12-092.1","ISSN":"21619565","abstract":"The use of species traits in basic and applied ecology is expanding rapidly because trait-based approaches hold the promise to increase our mechanistic understanding of biological responses. Such understanding could transform descriptive field studies in community ecology into predictive studies. Currently, however, trait-based approaches often fail to reflect species-environment relationships adequately. The difficulties have been perceived mainly as methodological, but we suggest that the problem is more profound and touches on the fundamentals of ecology and evolution. Selection pressures do not act independently on single traits, but rather, on species whose success in a particular environment is controlled by many interacting traits. Therefore, the adaptive value of a particular trait may differ across species, depending on the other traits possessed by the species and the constraints of its body plan. Because of this context-dependence, trait-based approaches should take into account the way combinations of traits interact and are constrained within a species. We present a new framework in which trade-offs and other interactions between biological traits are taken as a starting point from which to develop a better mechanistic understanding of species occurrences. The framework consists of 4 levels: traits, trait interactions, trait combinations, and life-history strategies, in a hierarchy in which each level provides the building blocks for the next. Researchers can contribute knowledge and insights at each level, and their contributions can be verified or falsified using logic, theory, and empirical data. Such an integrated and transparent framework can help fulfill the promise of traits to transform community ecology into a predictive science. © 2013 by The Society for Freshwater Science.","author":[{"dropping-particle":"","family":"Verberk","given":"W. C.E.P.","non-dropping-particle":"","parse-names":false,"suffix":""},{"dropping-particle":"","family":"Noordwijk","given":"C. G.E.","non-dropping-particle":"Van","parse-names":false,"suffix":""},{"dropping-particle":"","family":"Hildrew","given":"A. G.","non-dropping-particle":"","parse-names":false,"suffix":""}],"container-title":"Freshwater Science","id":"ITEM-1","issue":"2","issued":{"date-parts":[["2013"]]},"page":"531-547","title":"Delivering on a promise: Integrating species traits to transform descriptive community ecology into a predictive science","type":"article-journal","volume":"32"},"uris":["http://www.mendeley.com/documents/?uuid=c8b24a2f-2a3b-4923-a6d8-d0f291dc34ae"]}],"mendeley":{"formattedCitation":"(Verberk et al. 2013)","plainTextFormattedCitation":"(Verberk et al. 2013)","previouslyFormattedCitation":"(Verberk et al. 2013)"},"properties":{"noteIndex":0},"schema":"https://github.com/citation-style-language/schema/raw/master/csl-citation.json"}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(Verberk et al. 2013)</w:t>
      </w:r>
      <w:r>
        <w:rPr>
          <w:rFonts w:cs="Times New Roman"/>
          <w:szCs w:val="24"/>
        </w:rPr>
        <w:fldChar w:fldCharType="end"/>
      </w:r>
      <w:r>
        <w:rPr>
          <w:rFonts w:cs="Times New Roman"/>
          <w:szCs w:val="24"/>
        </w:rPr>
        <w:t xml:space="preserve">. </w:t>
      </w:r>
    </w:p>
    <w:p w14:paraId="1113EA3A" w14:textId="528A50BA" w:rsidR="00333AA3" w:rsidRPr="00E63EEB" w:rsidRDefault="00333AA3" w:rsidP="00333AA3">
      <w:pPr>
        <w:spacing w:line="480" w:lineRule="auto"/>
        <w:ind w:firstLine="720"/>
        <w:contextualSpacing/>
        <w:rPr>
          <w:rFonts w:cs="Times New Roman"/>
          <w:szCs w:val="24"/>
        </w:rPr>
      </w:pPr>
      <w:r>
        <w:rPr>
          <w:rFonts w:cs="Times New Roman"/>
          <w:szCs w:val="24"/>
        </w:rPr>
        <w:t xml:space="preserve"> Our results elucidate large-scale patterns in trait composition of flying taxa that could drive regional differences in the characteristics aquatic insect subsidies. </w:t>
      </w:r>
      <w:r>
        <w:rPr>
          <w:rFonts w:eastAsia="Times New Roman" w:cs="Times New Roman"/>
          <w:szCs w:val="24"/>
        </w:rPr>
        <w:t xml:space="preserve">For example, the California hydrologic region (HUC 18) was associated with taxa with greater body size, female dispersal ability and longer life span. Larger bodied individuals may yield a larger quantity of subsidy to terrestrial consumers and individuals that live longer as adults, or fly further before </w:t>
      </w:r>
      <w:proofErr w:type="spellStart"/>
      <w:r>
        <w:rPr>
          <w:rFonts w:eastAsia="Times New Roman" w:cs="Times New Roman"/>
          <w:szCs w:val="24"/>
        </w:rPr>
        <w:t>ovipositing</w:t>
      </w:r>
      <w:proofErr w:type="spellEnd"/>
      <w:r>
        <w:rPr>
          <w:rFonts w:eastAsia="Times New Roman" w:cs="Times New Roman"/>
          <w:szCs w:val="24"/>
        </w:rPr>
        <w:t xml:space="preserve">, may be more likely to be consumed further from the stream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Sciences","id":"ITEM-1","issue":"2","issued":{"date-parts":[["2018"]]},"page":"1-12","publisher":"Springer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webs","type":"article-journal","volume":"80"},"uris":["http://www.mendeley.com/documents/?uuid=67fc583f-51d9-4b7d-a1a6-7d317ba3725d"]}],"mendeley":{"formattedCitation":"(McKie et al. 2018)","plainTextFormattedCitation":"(McKie et al. 2018)","previouslyFormattedCitation":"(McKie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(McKie et al. 2018)</w:t>
      </w:r>
      <w:r>
        <w:rPr>
          <w:rFonts w:eastAsia="Times New Roman" w:cs="Times New Roman"/>
          <w:szCs w:val="24"/>
        </w:rPr>
        <w:fldChar w:fldCharType="end"/>
      </w:r>
      <w:r>
        <w:rPr>
          <w:rFonts w:eastAsia="Times New Roman" w:cs="Times New Roman"/>
          <w:szCs w:val="24"/>
        </w:rPr>
        <w:t xml:space="preserve">  Similarly, terrestrial consumers in the Great Basin (HUC 16) could have access to aquatic insect subsidies for longer periods of time because flying insects in benthic communities typically develop quicker and emerge irregularly throughout the year. Collectively, the geographical  patterns we detected in the trait composition of benthic macroinvertebrate communities could provide insights into the large scale variation in the use of aquatic insect subsidies by terrestrial consumers detected in other studies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{"citationItems":[{"id":"ITEM-1","itemData":{"DOI":"10.1002/ecs2.2697","ISSN":"21508925","abstract":"Cross‐boundary fluxes of organisms and matter, termed \"subsidies,\" are now recognized to be reciprocal and of roughly equal importance for both aquatic and terrestrial systems, even if terrestrial input to aquatic ecosystems has received most attention. The magnitude of aquatic‐to‐terrestrial subsidies is well documented, but the drivers behind these subsidies and their utilization by terrestrial consumers are characteristically local‐scale studies, limiting the inferences that can be drawn for broader geographic scales. We therefore built and analyzed a database of stable isotope data extracted from 21 studies worldwide, to identify both landscape‐scale (catchment) and local‐scale (100‐m riparian zone) variables that may affect the diet of terrestrial predators in riparian ecosystems. Our meta‐analysis revealed a greater magnitude of aquatic‐to‐terrestrial subsidies (&amp;gt;50%) than previously reported, albeit with large geographic and inter‐annual variations. Moreover, we demonstrated a large effect of landscape‐scale factors on aquatic‐to‐terrestrial subsidies, particularly anthropogenic land use and tree cover. Local human population was the only relevant factor at the local scale. We also found that studies on landscape‐scale and anthropogenic land use effects on aquatic‐to‐terrestrial subsidies are strongly under‐represented in the ecological literature, which limits the general inferences that can currently be drawn about landscape effects. We suggest that landscape‐scale studies could improve our understanding of how land use and environmental change might influence future patterns of biodiversity and ecosystem function.","author":[{"dropping-particle":"","family":"Lafage","given":"D.","non-dropping-particle":"","parse-names":false,"suffix":""},{"dropping-particle":"","family":"Bergman","given":"E.","non-dropping-particle":"","parse-names":false,"suffix":""},{"dropping-particle":"","family":"Eckstein","given":"R. L.","non-dropping-particle":"","parse-names":false,"suffix":""},{"dropping-particle":"","family":"Österling","given":"E. M.","non-dropping-particle":"","parse-names":false,"suffix":""},{"dropping-particle":"","family":"Sadler","given":"J. P.","non-dropping-particle":"","parse-names":false,"suffix":""},{"dropping-particle":"","family":"Piccolo","given":"J. J.","non-dropping-particle":"","parse-names":false,"suffix":""}],"container-title":"Ecosphere","id":"ITEM-1","issue":"4","issued":{"date-parts":[["2019"]]},"page":"e02697","title":"Local and landscape drivers of aquatic-to-terrestrial subsidies in riparian ecosystems: a worldwide meta-analysis","type":"article-journal","volume":"10"},"uris":["http://www.mendeley.com/documents/?uuid=1837073f-118f-45da-901a-c392a6983ab2"]}],"mendeley":{"formattedCitation":"(Lafage et al. 2019)","plainTextFormattedCitation":"(Lafage et al. 2019)","previouslyFormattedCitation":"(Lafage et al. 2019)"},"properties":{"noteIndex":0},"schema":"https://github.com/citation-style-language/schema/raw/master/csl-citation.json"}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(Lafage et al. 2019)</w:t>
      </w:r>
      <w:r>
        <w:rPr>
          <w:rFonts w:eastAsia="Times New Roman" w:cs="Times New Roman"/>
          <w:szCs w:val="24"/>
        </w:rPr>
        <w:fldChar w:fldCharType="end"/>
      </w:r>
      <w:r>
        <w:rPr>
          <w:rFonts w:eastAsia="Times New Roman" w:cs="Times New Roman"/>
          <w:szCs w:val="24"/>
        </w:rPr>
        <w:t xml:space="preserve">. </w:t>
      </w:r>
    </w:p>
    <w:p w14:paraId="440D7023" w14:textId="77777777" w:rsidR="00333AA3" w:rsidRDefault="00333AA3" w:rsidP="00333AA3">
      <w:pPr>
        <w:spacing w:line="480" w:lineRule="auto"/>
        <w:contextualSpacing/>
        <w:rPr>
          <w:rFonts w:eastAsia="Times New Roman" w:cs="Times New Roman"/>
          <w:szCs w:val="24"/>
          <w:u w:val="single"/>
        </w:rPr>
      </w:pPr>
    </w:p>
    <w:p w14:paraId="5293C9FA" w14:textId="77777777" w:rsidR="00333AA3" w:rsidRPr="00E45F30" w:rsidRDefault="00333AA3" w:rsidP="00333AA3">
      <w:pPr>
        <w:spacing w:line="480" w:lineRule="auto"/>
        <w:contextualSpacing/>
        <w:rPr>
          <w:rFonts w:eastAsia="Times New Roman" w:cs="Times New Roman"/>
          <w:i/>
          <w:szCs w:val="24"/>
        </w:rPr>
      </w:pPr>
      <w:r w:rsidRPr="00E45F30">
        <w:rPr>
          <w:rFonts w:eastAsia="Times New Roman" w:cs="Times New Roman"/>
          <w:i/>
          <w:szCs w:val="24"/>
        </w:rPr>
        <w:t xml:space="preserve">Extended consequences of anthropogenic impacts </w:t>
      </w:r>
    </w:p>
    <w:p w14:paraId="0AB85ECE" w14:textId="463BA702"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Consistent with other investigations, our results demonstrate that anthropogenic activities could impact aquatic insect subsidy dynamics by altering the trait composition of benthic macroinvertebrate communities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Sciences","id":"ITEM-1","issue":"2","issued":{"date-parts":[["2018"]]},"page":"1-12","publisher":"Springer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webs","type":"article-journal","volume":"80"},"uris":["http://www.mendeley.com/documents/?uuid=67fc583f-51d9-4b7d-a1a6-7d317ba3725d"]},{"id":"ITEM-2","itemData":{"DOI":"10.1007/s00442-015-3462-8","ISBN":"1010933404324","ISSN":"00298549","PMID":"26453520","abstract":"Despite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J.","non-dropping-particle":"","parse-names":false,"suffix":""}],"container-title":"Oecologia","id":"ITEM-2","issue":"2","issued":{"date-parts":[["2016"]]},"page":"551-566","publisher":"Springer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channels","type":"article-journal","volume":"180"},"uris":["http://www.mendeley.com/documents/?uuid=3540b554-d538-4eb9-a30e-6f5a1dd61f13"]}],"mendeley":{"formattedCitation":"(Greenwood and Booker 2016, McKie et al. 2018)","plainTextFormattedCitation":"(Greenwood and Booker 2016, McKie et al. 2018)","previouslyFormattedCitation":"(Greenwood and Booker 2016, McKie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(Greenwood and Booker 2016, McKie et al. 2018)</w:t>
      </w:r>
      <w:r>
        <w:rPr>
          <w:rFonts w:eastAsia="Times New Roman" w:cs="Times New Roman"/>
          <w:szCs w:val="24"/>
        </w:rPr>
        <w:fldChar w:fldCharType="end"/>
      </w:r>
      <w:r>
        <w:rPr>
          <w:rFonts w:eastAsia="Times New Roman" w:cs="Times New Roman"/>
          <w:szCs w:val="24"/>
        </w:rPr>
        <w:t xml:space="preserve">. We found sites classified as most disturbed had lower proportions of individuals that could fly, and could therefore leave the stream to subsidize terrestrial ecosystems. Proportional data however may not correspond to absolute emergence values. Others have found nutrient additions can increase the abundances of all invertebrate taxa, including those with winged adult phases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{"citationItems":[{"id":"ITEM-1","itemData":{"DOI":"10.1007/s00442-011-2026-9","ISSN":"00298549","abstract":"Because nutrient enrichment can increase ecosystem productivity, it may enhance resource flows to adjacent ecosystems as organisms cross ecosystem boundaries and subsidize predators in recipient ecosystems. Here, we quantified the biomass and abundance of aquatic emergence and terrestrial spiders in a reference and treatment stream that had been continuously enriched with nitrogen and phosphorus for 5 years. Because we previously showed that enrichment increased secondary production of stream consumers, we predicted that aquatic emergence flux would be higher in the treatment stream, subsequently increasing the biomass and abundance of terrestrial spiders. Those increases were predicted to be greatest for spiders specializing on aquatic emergence subsidies (e.g., Tetragnathidae). By adding a (15)N stable isotope tracer to both streams, we also quantified nitrogen flow from the stream into the riparian community. Emergence biomass, but not abundance, was higher in the treatment stream. The average body size of emerging adult insects and the relative dominance of Trichoptera adults were also greater in the treatment stream. However, spider biomass did not differ between streams. Spiders also exhibited substantially lower reliance on aquatic emergence nitrogen in the treatment stream. This reduced reliance likely resulted from shifts in the body size distributions and community composition of insect emergence that may have altered predator consumption efficiency in the treatment stream. Despite nutrient enrichment approximately doubling stream productivity and associated cross-ecosystem resource flows, the response of terrestrial predators depended more on the resource subsidy's characteristics that affected the predator's ability to capitalize on such increases.","author":[{"dropping-particle":"","family":"Davis","given":"John M.","non-dropping-particle":"","parse-names":false,"suffix":""},{"dropping-particle":"","family":"Rosemond","given":"Amy D.","non-dropping-particle":"","parse-names":false,"suffix":""},{"dropping-particle":"","family":"Small","given":"Gaston E.","non-dropping-particle":"","parse-names":false,"suffix":""}],"container-title":"Oecologia","id":"ITEM-1","issue":"3","issued":{"date-parts":[["2011"]]},"page":"821-834","title":"Increasing donor ecosystem productivity decreases terrestrial consumer reliance on a stream resource subsidy","type":"article-journal","volume":"167"},"uris":["http://www.mendeley.com/documents/?uuid=633d83d4-1af6-4044-a89a-06d3a5a547ca"]},{"id":"ITEM-2","itemData":{"DOI":"10.1007/s00027-018-0565-4","ISBN":"0123456789","ISSN":"14209055","abstract":"Adult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Sciences","id":"ITEM-2","issue":"2","issued":{"date-parts":[["2018"]]},"page":"1-12","publisher":"Springer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webs","type":"article-journal","volume":"80"},"uris":["http://www.mendeley.com/documents/?uuid=67fc583f-51d9-4b7d-a1a6-7d317ba3725d"]},{"id":"ITEM-3","itemData":{"DOI":"10.1007/s00442-015-3462-8","ISBN":"1010933404324","ISSN":"00298549","PMID":"26453520","abstract":"Despite many studies highlighting the widespread occurrence and effects of resource movement between ecosystems, comparatively little is known about how anthropogenic alterations to ecosystems affect the strength, direction and importance of such fluxes. Hydrological regime and riparian land use cause well-documented changes in riverine larval invertebrate communities. Using a dataset from 66 sites collected over 20 years, we showed that such effects led to spatial and temporal differences in the density and type of larvae with winged adults within a river reach, altering the size and composition of the source pool from which adult aquatic insects can emerge. Mean annual larval densities varied 33-fold and the temporal range varied more than 20-fold between sites, associated with the hydrological regime and land cover and antecedent high and low flows, respectively. Densities of larvae with winged adults were greater in sites that had more algal coverage, agricultural land use, seasonally predictable flow regimes and faster water velocities. More interestingly, by influencing larval communities, riparian land use and the magnitude and frequency of high and low flows affected the size structure, dispersal ability and longevity of adults available to emerge from river reaches, potentially influencing the spatial extent and type of terrestrial consumers supported by aquatic prey. This suggests that anthropogenic alterations to land use or river flows will have both spatial and temporal effects on the flux and potential availability of adult aquatic insects to terrestrial consumers in many rivers.","author":[{"dropping-particle":"","family":"Greenwood","given":"M. J.","non-dropping-particle":"","parse-names":false,"suffix":""},{"dropping-particle":"","family":"Booker","given":"D. J.","non-dropping-particle":"","parse-names":false,"suffix":""}],"container-title":"Oecologia","id":"ITEM-3","issue":"2","issued":{"date-parts":[["2016"]]},"page":"551-566","publisher":"Springer Berlin Heidelberg","title":"Influence of hydrological regime and land cover on traits and potential export capacity of adult aquatic insects from river channels","type":"article-journal","volume":"180"},"uris":["http://www.mendeley.com/documents/?uuid=3540b554-d538-4eb9-a30e-6f5a1dd61f13"]}],"mendeley":{"formattedCitation":"(Davis et al. 2011, Greenwood and Booker 2016, McKie et al. 2018)","plainTextFormattedCitation":"(Davis et al. 2011, Greenwood and Booker 2016, McKie et al. 2018)","previouslyFormattedCitation":"(Davis et al. 2011, Greenwood and Booker 2016, McKie et al. 2018)"},"properties":{"noteIndex":0},"schema":"https://github.com/citation-style-language/schema/raw/master/csl-citation.json"}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(Davis et al. 2011, Greenwood and Booker 2016, McKie et al. 2018)</w:t>
      </w:r>
      <w:r>
        <w:rPr>
          <w:rFonts w:eastAsia="Times New Roman" w:cs="Times New Roman"/>
          <w:szCs w:val="24"/>
        </w:rPr>
        <w:fldChar w:fldCharType="end"/>
      </w:r>
      <w:r>
        <w:rPr>
          <w:rFonts w:eastAsia="Times New Roman" w:cs="Times New Roman"/>
          <w:szCs w:val="24"/>
        </w:rPr>
        <w:t xml:space="preserve">. Among our sites elevated nitrogen or phosphorous concentrations were a good predictor of site degradation </w:t>
      </w:r>
      <w:r>
        <w:rPr>
          <w:rFonts w:eastAsia="Times New Roman" w:cs="Times New Roman"/>
          <w:szCs w:val="24"/>
        </w:rPr>
        <w:fldChar w:fldCharType="begin" w:fldLock="1"/>
      </w:r>
      <w:r w:rsidR="00306019">
        <w:rPr>
          <w:rFonts w:eastAsia="Times New Roman" w:cs="Times New Roman"/>
          <w:szCs w:val="24"/>
        </w:rPr>
        <w:instrText>ADDIN CSL_CITATION {"citationItems":[{"id":"ITEM-1","itemData":{"author":[{"dropping-particle":"","family":"U.S. EPA","given":"","non-dropping-particle":"","parse-names":false,"suffix":""}],"id":"ITEM-1","issued":{"date-parts":[["2016"]]},"number-of-pages":"116","publisher-place":"Washington, DC","title":"National Rivers and Streams Assessment 2008-2009: A Collaborative Survey, Office of Water and Office of Research and Development, Washington, DC EPA-841-R-16-008","type":"report"},"uris":["http://www.mendeley.com/documents/?uuid=49a07194-0cef-4948-9569-d6061d883442"]}],"mendeley":{"formattedCitation":"(U.S. EPA 2016b)","plainTextFormattedCitation":"(U.S. EPA 2016b)","previouslyFormattedCitation":"(U.S. EPA 2016b)"},"properties":{"noteIndex":0},"schema":"https://github.com/citation-style-language/schema/raw/master/csl-citation.json"}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(U.S. EPA 2016b)</w:t>
      </w:r>
      <w:r>
        <w:rPr>
          <w:rFonts w:eastAsia="Times New Roman" w:cs="Times New Roman"/>
          <w:szCs w:val="24"/>
        </w:rPr>
        <w:fldChar w:fldCharType="end"/>
      </w:r>
      <w:r>
        <w:rPr>
          <w:rFonts w:eastAsia="Times New Roman" w:cs="Times New Roman"/>
          <w:szCs w:val="24"/>
        </w:rPr>
        <w:t xml:space="preserve">, but absolute abundance values could not be calculated given the survey methods. If anthropogenic activities increase the overall abundance of flying taxa, exceptional emergence events from disturbed sites may be able to offset some anthropogenic nutrient loading in waterways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{"citationItems":[{"id":"ITEM-1","itemData":{"DOI":"10.1073/pnas.1913598117","ISSN":"10916490","abstract":"Seasonal animal movement among disparate habitats is a fundamental mechanism by which energy, nutrients, and biomass are transported across ecotones. A dramatic example of such exchange is the annual emergence of mayfly swarms from freshwater benthic habitats, but their characterization at macroscales has remained impossible. We analyzed radar observations of mayfly emergence flights to quantify long-term changes in annual biomass transport along the Upper Mississippi River and Western Lake Erie Basin. A single emergence event can produce 87.9 billion mayflies, releasing 3,078.6 tons of biomass into the airspace over several hours, but in recent years, production across both waterways has declined by over 50%. As a primary prey source in aquatic and terrestrial ecosystems, these declines will impact higher trophic levels and environmental nutrient cycling.","author":[{"dropping-particle":"","family":"Stepanian","given":"Phillip M.","non-dropping-particle":"","parse-names":false,"suffix":""},{"dropping-particle":"","family":"Entrekin","given":"Sally A.","non-dropping-particle":"","parse-names":false,"suffix":""},{"dropping-particle":"","family":"Wainwright","given":"Charlotte E.","non-dropping-particle":"","parse-names":false,"suffix":""},{"dropping-particle":"","family":"Mirkovic","given":"Djordje","non-dropping-particle":"","parse-names":false,"suffix":""},{"dropping-particle":"","family":"Tank","given":"Jennifer L.","non-dropping-particle":"","parse-names":false,"suffix":""},{"dropping-particle":"","family":"Kelly","given":"Jeffrey F.","non-dropping-particle":"","parse-names":false,"suffix":""}],"container-title":"Proceedings of the National Academy of Sciences of the United States of America","id":"ITEM-1","issue":"6","issued":{"date-parts":[["2020"]]},"page":"2987-2992","title":"Declines in an abundant aquatic insect, the burrowing mayfly, across major North American waterways","type":"article-journal","volume":"117"},"uris":["http://www.mendeley.com/documents/?uuid=44835c59-bf7d-4988-9213-b1a449e56d70"]}],"mendeley":{"formattedCitation":"(Stepanian et al. 2020)","plainTextFormattedCitation":"(Stepanian et al. 2020)","previouslyFormattedCitation":"(Stepanian et al. 2020)"},"properties":{"noteIndex":0},"schema":"https://github.com/citation-style-language/schema/raw/master/csl-citation.json"}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(Stepanian et al. 2020)</w:t>
      </w:r>
      <w:r>
        <w:rPr>
          <w:rFonts w:eastAsia="Times New Roman" w:cs="Times New Roman"/>
          <w:szCs w:val="24"/>
        </w:rPr>
        <w:fldChar w:fldCharType="end"/>
      </w:r>
      <w:r>
        <w:rPr>
          <w:rFonts w:eastAsia="Times New Roman" w:cs="Times New Roman"/>
          <w:szCs w:val="24"/>
        </w:rPr>
        <w:t xml:space="preserve">.  </w:t>
      </w:r>
    </w:p>
    <w:p w14:paraId="5E19B649" w14:textId="41826788"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The most disturbed sites also had the longest stream signatures which could suggest aquatic insect subsidies are available to consumers living further from the water’s edge at these sites. Members of </w:t>
      </w:r>
      <w:proofErr w:type="spellStart"/>
      <w:r w:rsidRPr="00E86D5D">
        <w:rPr>
          <w:rFonts w:cs="Times New Roman"/>
          <w:szCs w:val="24"/>
        </w:rPr>
        <w:t>Chironomidae</w:t>
      </w:r>
      <w:proofErr w:type="spellEnd"/>
      <w:r>
        <w:rPr>
          <w:rFonts w:cs="Times New Roman"/>
          <w:szCs w:val="24"/>
        </w:rPr>
        <w:t xml:space="preserve"> (</w:t>
      </w:r>
      <w:proofErr w:type="spellStart"/>
      <w:r>
        <w:rPr>
          <w:rFonts w:cs="Times New Roman"/>
          <w:szCs w:val="24"/>
        </w:rPr>
        <w:t>Diptera</w:t>
      </w:r>
      <w:proofErr w:type="spellEnd"/>
      <w:r>
        <w:rPr>
          <w:rFonts w:cs="Times New Roman"/>
          <w:szCs w:val="24"/>
        </w:rPr>
        <w:t xml:space="preserve">) often dominate disturbed sites </w:t>
      </w:r>
      <w:r>
        <w:rPr>
          <w:rFonts w:cs="Times New Roman"/>
          <w:szCs w:val="24"/>
        </w:rPr>
        <w:fldChar w:fldCharType="begin" w:fldLock="1"/>
      </w:r>
      <w:r w:rsidR="00306019">
        <w:rPr>
          <w:rFonts w:cs="Times New Roman"/>
          <w:szCs w:val="24"/>
        </w:rPr>
        <w:instrText>ADDIN CSL_CITATION {"citationItems":[{"id":"ITEM-1","itemData":{"DOI":"10.1007/s10661-017-6027-y","ISBN":"1066101760","ISSN":"15732959","abstract":"In freshwater ecosystems, Chironomidae are currently considered indicators of poor water quality because the family is often abundant in degraded sites. However, it incorporates taxa with a large ecological and physiological diversity and different sensitivity to impairment. Yet, the usual identification of Chironomidae at coarse taxonomic levels (family or subfamily) masks genus and species sensitivities. In this study, we investigate the potential of taxonomic and functional (traits) composition of Chironomidae to detect anthropogenic disturbance. In this context, we tested some a priori hypotheses regarding the ability of Chironomidae taxonomic and trait compositions to discriminate Mediterranean streams affected by multiple stressors from least-disturbed streams. Both taxonomic and Eltonian trait composition discriminated sites according to their disturbance level. Disturbance resulted in the predicted increase of Chironomidae with higher number of stages with hibernation/diapause and of taxa with resistance forms and unpredicted increase of the proportion of taxa with longer life cycles and few generations per year. Life history strategies (LHS), corresponding to multivoltine Chironomidae that do not invest in hemoglobin and lack strong spring synchronization, were well adapted to all our Mediterranean sites with highly changeable environmental conditions. Medium-size animals favored in disturbed sites where the Mediterranean hydrological regime is altered, but the reduced number of larger-size/carnivore Chironomids suggests a limitation to secondary production. Results indicate that Chironomidae genus and respective traits could be a useful tool in the structural and functional assessment of Mediterranean streams. The ubiquitous nature of Chironomidae should be also especially relevant in the assessment of water bodies naturally poor in other groups such as the Ephemeroptera, Plecoptera, and Trichoptera, such as the lowland rivers with sandy substrates, lakes, or reservoirs.","author":[{"dropping-particle":"","family":"Serra","given":"Sónia R.Q.","non-dropping-particle":"","parse-names":false,"suffix":""},{"dropping-particle":"","family":"Graça","given":"Manuel A.S.","non-dropping-particle":"","parse-names":false,"suffix":""},{"dropping-particle":"","family":"Dolédec","given":"Sylvain","non-dropping-particle":"","parse-names":false,"suffix":""},{"dropping-particle":"","family":"Feio","given":"Maria João","non-dropping-particle":"","parse-names":false,"suffix":""}],"container-title":"Environmental Monitoring and Assessment","id":"ITEM-1","issued":{"date-parts":[["2017"]]},"page":"326","publisher":"Environmental Monitoring and Assessment","title":"Chironomidae traits and life history strategies as indicators of anthropogenic disturbance","type":"article-journal","volume":"189"},"uris":["http://www.mendeley.com/documents/?uuid=4a95218d-879d-4e4a-b5bc-b8d1a18c858c"]}],"mendeley":{"formattedCitation":"(Serra et al. 2017)","manualFormatting":"(but see Serra et al. 2017)","plainTextFormattedCitation":"(Serra et al. 2017)","previouslyFormattedCitation":"(Serra et al. 2017)"},"properties":{"noteIndex":0},"schema":"https://github.com/citation-style-language/schema/raw/master/csl-citation.json"}</w:instrText>
      </w:r>
      <w:r>
        <w:rPr>
          <w:rFonts w:cs="Times New Roman"/>
          <w:szCs w:val="24"/>
        </w:rPr>
        <w:fldChar w:fldCharType="separate"/>
      </w:r>
      <w:r w:rsidRPr="00277B8E">
        <w:rPr>
          <w:rFonts w:cs="Times New Roman"/>
          <w:noProof/>
          <w:szCs w:val="24"/>
        </w:rPr>
        <w:t>(</w:t>
      </w:r>
      <w:r>
        <w:rPr>
          <w:rFonts w:cs="Times New Roman"/>
          <w:noProof/>
          <w:szCs w:val="24"/>
        </w:rPr>
        <w:t xml:space="preserve">but see </w:t>
      </w:r>
      <w:r w:rsidRPr="00277B8E">
        <w:rPr>
          <w:rFonts w:cs="Times New Roman"/>
          <w:noProof/>
          <w:szCs w:val="24"/>
        </w:rPr>
        <w:t>Serra et al. 2017)</w:t>
      </w:r>
      <w:r>
        <w:rPr>
          <w:rFonts w:cs="Times New Roman"/>
          <w:szCs w:val="24"/>
        </w:rPr>
        <w:fldChar w:fldCharType="end"/>
      </w:r>
      <w:r>
        <w:rPr>
          <w:rFonts w:cs="Times New Roman"/>
          <w:szCs w:val="24"/>
        </w:rPr>
        <w:t xml:space="preserve"> and, being generally small bodied taxa, their longer stream signature distance may be due to wind transport </w:t>
      </w:r>
      <w:r>
        <w:rPr>
          <w:rFonts w:cs="Times New Roman"/>
          <w:szCs w:val="24"/>
        </w:rPr>
        <w:fldChar w:fldCharType="begin" w:fldLock="1"/>
      </w:r>
      <w:r w:rsidR="00306019">
        <w:rPr>
          <w:rFonts w:cs="Times New Roman"/>
          <w:szCs w:val="24"/>
        </w:rPr>
        <w:instrText>ADDIN CSL_CITATION {"citationItems":[{"id":"ITEM-1","itemData":{"DOI":"10.1890/12-1628.1","ISBN":"0012-9658","ISSN":"00129658","PMID":"24649645","abstract":"The magnitude of cross-ecosystem resource subsidies is increasingly well recognized; however, less is known about the distance these subsidies travel into the recipient landscape. In streams and rivers, this distance can delimit the \"biological stream width,\" complementary to hydro-geomorphic measures (e.g., channel banks) that have typically defined stream ecosystem boundaries. In this study we used meta-analysis to define a \"stream signature\" on land that relates the stream-to-land subsidy to distance. The 50% stream signature, for example, identifies the point on the landscape where subsidy resources are still at half of their maximum (in- or near-stream) level. The decay curve for these data was best fit by a negative power function in which the 50% stream signature was concentrated near stream banks (1.5 m), but a non-trivial (10%) portion of the maximum subsidy level was still found &gt; 0.5 km from the water's edge. The meta-analysis also identified explanatory variables that affect the stream signature. This improves our understanding of ecosystem conditions that permit spatially extensive subsidy transmission, such as in highly productive, middle-order streams and rivers. Resultant multivariate models from this analysis may be useful to managers implementing buffer rules and conservation strategies for stream and riparian function, as they facilitate prediction of the extent of subsidies. Our results stress that much of the subsidy remains near the stream, but also that subsidies (and aquatic organisms) are capable of long-distance dispersal into adjacent environments, and that the effective \"biological stream width\" of stream and river ecosystems is often much larger than has been defined by hydro-geomorphic metrics alone. Limited data available from marine and lake sources overlap well with the stream signature data, indicating that the \"signature\" approach may also be applicable to subsidy spatial dynamics across other ecosystems.","author":[{"dropping-particle":"","family":"Muehlbauer","given":"Jeffrey D.","non-dropping-particle":"","parse-names":false,"suffix":""},{"dropping-particle":"","family":"Collins","given":"Scott F.","non-dropping-particle":"","parse-names":false,"suffix":""},{"dropping-particle":"","family":"Doyle","given":"Martin W.","non-dropping-particle":"","parse-names":false,"suffix":""},{"dropping-particle":"","family":"Tockner","given":"Klement","non-dropping-particle":"","parse-names":false,"suffix":""}],"container-title":"Ecology","id":"ITEM-1","issue":"1","issued":{"date-parts":[["2014"]]},"note":"The distance these subsidies travel into Landscape","page":"44-55","title":"How wide is a stream? Spatial extent of the potential \"stream signature\" in terrestrial food webs using meta-analysis","type":"article-journal","volume":"95"},"uris":["http://www.mendeley.com/documents/?uuid=ca868f7a-38ff-4674-9c64-6c678940ee58"]}],"mendeley":{"formattedCitation":"(Muehlbauer et al. 2014)","plainTextFormattedCitation":"(Muehlbauer et al. 2014)","previouslyFormattedCitation":"(Muehlbauer et al. 2014)"},"properties":{"noteIndex":0},"schema":"https://github.com/citation-style-language/schema/raw/master/csl-citation.json"}</w:instrText>
      </w:r>
      <w:r>
        <w:rPr>
          <w:rFonts w:cs="Times New Roman"/>
          <w:szCs w:val="24"/>
        </w:rPr>
        <w:fldChar w:fldCharType="separate"/>
      </w:r>
      <w:r w:rsidR="0034241C" w:rsidRPr="0034241C">
        <w:rPr>
          <w:rFonts w:cs="Times New Roman"/>
          <w:noProof/>
          <w:szCs w:val="24"/>
        </w:rPr>
        <w:t>(Muehlbauer et al. 2014)</w:t>
      </w:r>
      <w:r>
        <w:rPr>
          <w:rFonts w:cs="Times New Roman"/>
          <w:szCs w:val="24"/>
        </w:rPr>
        <w:fldChar w:fldCharType="end"/>
      </w:r>
      <w:r>
        <w:rPr>
          <w:rFonts w:cs="Times New Roman"/>
          <w:szCs w:val="24"/>
        </w:rPr>
        <w:t xml:space="preserve">. </w:t>
      </w:r>
      <w:proofErr w:type="spellStart"/>
      <w:r>
        <w:rPr>
          <w:rFonts w:cs="Times New Roman"/>
          <w:szCs w:val="24"/>
        </w:rPr>
        <w:t>Diptera</w:t>
      </w:r>
      <w:proofErr w:type="spellEnd"/>
      <w:r>
        <w:rPr>
          <w:rFonts w:cs="Times New Roman"/>
          <w:szCs w:val="24"/>
        </w:rPr>
        <w:t xml:space="preserve"> are an exceptionally diverse order, however, and we only included</w:t>
      </w:r>
      <w:r w:rsidRPr="00E86D5D">
        <w:rPr>
          <w:rFonts w:cs="Times New Roman"/>
          <w:szCs w:val="24"/>
        </w:rPr>
        <w:t xml:space="preserve"> </w:t>
      </w:r>
      <w:r>
        <w:rPr>
          <w:rFonts w:cs="Times New Roman"/>
          <w:szCs w:val="24"/>
        </w:rPr>
        <w:t xml:space="preserve">members of </w:t>
      </w:r>
      <w:proofErr w:type="spellStart"/>
      <w:r w:rsidRPr="00E86D5D">
        <w:rPr>
          <w:rFonts w:cs="Times New Roman"/>
          <w:szCs w:val="24"/>
        </w:rPr>
        <w:t>Chironomidae</w:t>
      </w:r>
      <w:proofErr w:type="spellEnd"/>
      <w:r>
        <w:rPr>
          <w:rFonts w:cs="Times New Roman"/>
          <w:szCs w:val="24"/>
        </w:rPr>
        <w:t xml:space="preserve"> to calculate the stream signature due to limitations of data availability in the meta-analysis of </w:t>
      </w:r>
      <w:proofErr w:type="spellStart"/>
      <w:r>
        <w:rPr>
          <w:rFonts w:cs="Times New Roman"/>
          <w:szCs w:val="24"/>
        </w:rPr>
        <w:t>Muehlbauer</w:t>
      </w:r>
      <w:proofErr w:type="spellEnd"/>
      <w:r>
        <w:rPr>
          <w:rFonts w:cs="Times New Roman"/>
          <w:szCs w:val="24"/>
        </w:rPr>
        <w:t xml:space="preserve"> et al. (2014). It is possible that other </w:t>
      </w:r>
      <w:proofErr w:type="spellStart"/>
      <w:r>
        <w:rPr>
          <w:rFonts w:cs="Times New Roman"/>
          <w:szCs w:val="24"/>
        </w:rPr>
        <w:t>Diptera</w:t>
      </w:r>
      <w:proofErr w:type="spellEnd"/>
      <w:r>
        <w:rPr>
          <w:rFonts w:cs="Times New Roman"/>
          <w:szCs w:val="24"/>
        </w:rPr>
        <w:t xml:space="preserve"> taxa could change the potential relationship between the level of disturbance and </w:t>
      </w:r>
      <w:r>
        <w:rPr>
          <w:rFonts w:cs="Times New Roman"/>
          <w:szCs w:val="24"/>
        </w:rPr>
        <w:lastRenderedPageBreak/>
        <w:t xml:space="preserve">lateral extent of aquatic insect subsidies. Further we do not know how the condition of the aquatic ecosystem interacts with the permeability of the terrestrial boundary </w:t>
      </w:r>
      <w:r>
        <w:rPr>
          <w:rFonts w:cs="Times New Roman"/>
          <w:szCs w:val="24"/>
        </w:rPr>
        <w:fldChar w:fldCharType="begin" w:fldLock="1"/>
      </w:r>
      <w:r w:rsidR="00306019">
        <w:rPr>
          <w:rFonts w:cs="Times New Roman"/>
          <w:szCs w:val="24"/>
        </w:rPr>
        <w:instrText>ADDIN CSL_CITATION {"citationItems":[{"id":"ITEM-1","itemData":{"DOI":"10.1111/aec.12159","ISSN":"14429993","abstract":"Community structure and dynamics can be influenced by resource transfers between ecosystems, yet little is known about how boundary structure determines both the magnitude of exchanges and their effects on recipient and donor communities. Aquatic and terrestrial ecosystems are often linked by resource fluxes and riparian vegetation is commonly affected by anthropogenic alterations to land use or river hydrological regime. I investigated whether shrubs at the freshwater-terrestrial interface alter the supply, distribution and importance of aquatic prey resources to terrestrial consumers. Shrubs were predicted to alter the larval community composition of aquatic insects and the emergence of winged adults, thus affecting aquatic prey subsidies to terrestrial consumers. In addition, shrubs were hypothesized to alter the microclimatic suitability of the riparian zone for adult aquatic insects, act as a physical barrier to their dispersal and affect terrestrial community composition, particularly the abundance and type of predators that could benefit from the aquatic prey resource. Stable isotope dietary analyses and a survey of shrub-dominated and open grassland riparian habitats revealed that larval densities of aquatic insects (EPTM: Ephemeroptera, Plecoptera, Trichoptera and Megaloptera) were higher in shrub than grassland habitats; however, reduced emergence and lateral dispersal in shrub areas led to lower densities of adults. The temperature and relative humidity of the riparian zone did not differ between the habitats. Ground-active terrestrial invertebrate communities had a higher proportion of cursorial spiders in grassland, coinciding with greater abundances of aquatic prey. Aquatic prey contribution to cursorial spider diet matched adult aquatic insect abundances. Overall, riparian shrubs reduced the magnitude, or at least altered the timing, of cross-ecosystem subsidy supply, distribution and use by consumers through mechanisms operating in both the aquatic and terrestrial ecosystems. Thus, the structure of ecosystem boundaries has complex effects on the strength of biological interactions between adjacent systems.","author":[{"dropping-particle":"","family":"Greenwood","given":"Michelle J.","non-dropping-particle":"","parse-names":false,"suffix":""}],"container-title":"Austral Ecology","id":"ITEM-1","issue":"8","issued":{"date-parts":[["2014"]]},"page":"941-951","title":"More than a barrier: The complex effects of ecotone vegetation type on terrestrial consumer consumption of an aquatic prey resource","type":"article-journal","volume":"39"},"uris":["http://www.mendeley.com/documents/?uuid=ff83c709-d2fe-4f33-8879-8a7c0e8547d0"]}],"mendeley":{"formattedCitation":"(Greenwood 2014)","manualFormatting":"(but see Greenwood 2014","plainTextFormattedCitation":"(Greenwood 2014)","previouslyFormattedCitation":"(Greenwood 2014)"},"properties":{"noteIndex":0},"schema":"https://github.com/citation-style-language/schema/raw/master/csl-citation.json"}</w:instrText>
      </w:r>
      <w:r>
        <w:rPr>
          <w:rFonts w:cs="Times New Roman"/>
          <w:szCs w:val="24"/>
        </w:rPr>
        <w:fldChar w:fldCharType="separate"/>
      </w:r>
      <w:r w:rsidRPr="00A2390F">
        <w:rPr>
          <w:rFonts w:cs="Times New Roman"/>
          <w:noProof/>
          <w:szCs w:val="24"/>
        </w:rPr>
        <w:t>(</w:t>
      </w:r>
      <w:r>
        <w:rPr>
          <w:rFonts w:cs="Times New Roman"/>
          <w:noProof/>
          <w:szCs w:val="24"/>
        </w:rPr>
        <w:t xml:space="preserve">but see </w:t>
      </w:r>
      <w:r w:rsidRPr="00A2390F">
        <w:rPr>
          <w:rFonts w:cs="Times New Roman"/>
          <w:noProof/>
          <w:szCs w:val="24"/>
        </w:rPr>
        <w:t>Greenwood 2014</w:t>
      </w:r>
      <w:r>
        <w:rPr>
          <w:rFonts w:cs="Times New Roman"/>
          <w:szCs w:val="24"/>
        </w:rPr>
        <w:fldChar w:fldCharType="end"/>
      </w:r>
      <w:r>
        <w:rPr>
          <w:rFonts w:cs="Times New Roman"/>
          <w:szCs w:val="24"/>
        </w:rPr>
        <w:t xml:space="preserve">, </w:t>
      </w:r>
      <w:r>
        <w:rPr>
          <w:rFonts w:cs="Times New Roman"/>
          <w:szCs w:val="24"/>
        </w:rPr>
        <w:fldChar w:fldCharType="begin" w:fldLock="1"/>
      </w:r>
      <w:r w:rsidR="00306019">
        <w:rPr>
          <w:rFonts w:cs="Times New Roman"/>
          <w:szCs w:val="24"/>
        </w:rPr>
        <w:instrText>ADDIN CSL_CITATION {"citationItems":[{"id":"ITEM-1","itemData":{"DOI":"10.1111/fwb.12745","abstract":"SUMMARY 1. The dispersal of terrestrial adults of freshwater insects is a key process regulating the transfer resources from aquatic habitats to terrestrial consumers, including high-quality lipids synthesised in the aquatic environment. However, the efficiency of these transfers depends strongly on both subsidy production in the aquatic source habitat and permeability of the aquatic–terrestrial boundary. 2. We assessed how land use (agriculture versus forest) affects stream riparian habitats and the dispersal of adult aquatic insects. Flying insects were sampled alongside eight streams (four agricultural, four forested) in central Sweden using sticky traps, placed from 1 up to 100 m from the stream edge. Environmental variables including temperature, wind, vegetation structure and canopy cover were also quantified. 3. Abundances of adult aquatic insects were greater at agricultural than at forested sites, but most (64%) were caught close to the stream edge. In contrast, catches of adult aquatic insects declined relatively little with increasing distance from the forest streams. 4. Overall, dispersal of the dominant aquatic insect order (Diptera) was positively associated with greater tree density and canopy shading and negatively associated with higher wind speeds and soil temperatures, more open habitats and steeper topographies. Taxonomic differences among assemblages, reflecting differing dispersal capacities, were also important, but less so than environmental factors. 5. Our results indicate that adult aquatic insects in our forested landscapes are more likely to subsidise near-ground food webs at a greater distance from stream channels, whereas the abundant subsidy emerging from the agricultural sites is likely to be most influential near the stream channel. A key question for future research is whether the deposition of large quantities of aquatic subsidy in agricultural riparian habitats exceeds the resource requirements and processing capacities of terrestrial consumers.","author":[{"dropping-particle":"","family":"Carlson","given":"Peter E.","non-dropping-particle":"","parse-names":false,"suffix":""},{"dropping-particle":"","family":"Mckie","given":"Brenden G.","non-dropping-particle":"","parse-names":false,"suffix":""},{"dropping-particle":"","family":"Sandin","given":"Leonard","non-dropping-particle":"","parse-names":false,"suffix":""},{"dropping-particle":"","family":"Johnson","given":"Richard K.","non-dropping-particle":"","parse-names":false,"suffix":""}],"container-title":"Freshwater Biology","id":"ITEM-1","issue":"6","issued":{"date-parts":[["2016"]]},"page":"848-861","title":"Strong land-use effects on the dispersal patterns of adult stream insects: implications for transfers of aquatic subsidies to terrestrial consumers","type":"article-journal","volume":"61"},"uris":["http://www.mendeley.com/documents/?uuid=f1cd1aa2-daf1-451a-8a96-902c8b496f71"]}],"mendeley":{"formattedCitation":"(Carlson et al. 2016)","manualFormatting":"Carlson et al. 2016 and Alberts and Sullivan 2016)","plainTextFormattedCitation":"(Carlson et al. 2016)","previouslyFormattedCitation":"(Carlson et al. 2016)"},"properties":{"noteIndex":0},"schema":"https://github.com/citation-style-language/schema/raw/master/csl-citation.json"}</w:instrText>
      </w:r>
      <w:r>
        <w:rPr>
          <w:rFonts w:cs="Times New Roman"/>
          <w:szCs w:val="24"/>
        </w:rPr>
        <w:fldChar w:fldCharType="separate"/>
      </w:r>
      <w:r w:rsidRPr="005175CD">
        <w:rPr>
          <w:rFonts w:cs="Times New Roman"/>
          <w:noProof/>
          <w:szCs w:val="24"/>
        </w:rPr>
        <w:t>Carlson et al. 2016</w:t>
      </w:r>
      <w:r>
        <w:rPr>
          <w:rFonts w:cs="Times New Roman"/>
          <w:noProof/>
          <w:szCs w:val="24"/>
        </w:rPr>
        <w:t xml:space="preserve"> and </w:t>
      </w:r>
      <w:r w:rsidRPr="007A5A37">
        <w:rPr>
          <w:rFonts w:eastAsia="Times New Roman" w:cs="Times New Roman"/>
          <w:noProof/>
          <w:szCs w:val="24"/>
        </w:rPr>
        <w:t>Alberts and Sullivan 2016</w:t>
      </w:r>
      <w:r w:rsidRPr="005175CD">
        <w:rPr>
          <w:rFonts w:cs="Times New Roman"/>
          <w:noProof/>
          <w:szCs w:val="24"/>
        </w:rPr>
        <w:t>)</w:t>
      </w:r>
      <w:r>
        <w:rPr>
          <w:rFonts w:cs="Times New Roman"/>
          <w:szCs w:val="24"/>
        </w:rPr>
        <w:fldChar w:fldCharType="end"/>
      </w:r>
      <w:r>
        <w:rPr>
          <w:rFonts w:cs="Times New Roman"/>
          <w:szCs w:val="24"/>
        </w:rPr>
        <w:t xml:space="preserve">. Clarifying these uncertainties will require increasing the representation of </w:t>
      </w:r>
      <w:proofErr w:type="spellStart"/>
      <w:r>
        <w:rPr>
          <w:rFonts w:cs="Times New Roman"/>
          <w:szCs w:val="24"/>
        </w:rPr>
        <w:t>Diptera</w:t>
      </w:r>
      <w:proofErr w:type="spellEnd"/>
      <w:r>
        <w:rPr>
          <w:rFonts w:cs="Times New Roman"/>
          <w:szCs w:val="24"/>
        </w:rPr>
        <w:t xml:space="preserve"> in traits databases and increasing our understanding of how boundary conditions could </w:t>
      </w:r>
      <w:r>
        <w:rPr>
          <w:rFonts w:eastAsia="Times New Roman" w:cs="Times New Roman"/>
          <w:szCs w:val="24"/>
        </w:rPr>
        <w:t xml:space="preserve">alter the </w:t>
      </w:r>
      <w:proofErr w:type="spellStart"/>
      <w:r>
        <w:rPr>
          <w:rFonts w:eastAsia="Times New Roman" w:cs="Times New Roman"/>
          <w:szCs w:val="24"/>
        </w:rPr>
        <w:t>spatio</w:t>
      </w:r>
      <w:proofErr w:type="spellEnd"/>
      <w:r>
        <w:rPr>
          <w:rFonts w:eastAsia="Times New Roman" w:cs="Times New Roman"/>
          <w:szCs w:val="24"/>
        </w:rPr>
        <w:t>-temporal characteristics of aquatic insect subsidies beyond what their traits suggest</w:t>
      </w:r>
      <w:r>
        <w:rPr>
          <w:rFonts w:cs="Times New Roman"/>
          <w:szCs w:val="24"/>
        </w:rPr>
        <w:t xml:space="preserve">. </w:t>
      </w:r>
    </w:p>
    <w:p w14:paraId="1B730A3B" w14:textId="1ACD6F12"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The frequency of trait-states among flying taxa also differed according to disturbance class. High female dispersal, strong flight strength and </w:t>
      </w:r>
      <w:proofErr w:type="spellStart"/>
      <w:r>
        <w:rPr>
          <w:rFonts w:eastAsia="Times New Roman" w:cs="Times New Roman"/>
          <w:szCs w:val="24"/>
        </w:rPr>
        <w:t>multivoltinism</w:t>
      </w:r>
      <w:proofErr w:type="spellEnd"/>
      <w:r>
        <w:rPr>
          <w:rFonts w:eastAsia="Times New Roman" w:cs="Times New Roman"/>
          <w:szCs w:val="24"/>
        </w:rPr>
        <w:t xml:space="preserve"> were more common at the most disturbed sites, suggesting that individuals may be able to travel comparatively further into the terrestrial environment and, because of their shorter generation times, emerge from the stream more often. We also found that large body size, long life span, poorly synchronized emergence and fast development were more common at least disturbed sites. Interestingly, it seems that both least and most disturbed sites could increase the spatial extent and duration of insect subsidies by favoring different trait-states. One should note, however, that high female dispersal in agricultural sites can result from the presence of small-bodied, </w:t>
      </w:r>
      <w:r w:rsidRPr="00D2603C">
        <w:rPr>
          <w:rFonts w:eastAsia="Times New Roman" w:cs="Times New Roman"/>
          <w:szCs w:val="24"/>
        </w:rPr>
        <w:t xml:space="preserve">blood-feeding </w:t>
      </w:r>
      <w:proofErr w:type="spellStart"/>
      <w:r w:rsidRPr="00D2603C">
        <w:rPr>
          <w:rFonts w:eastAsia="Times New Roman" w:cs="Times New Roman"/>
          <w:szCs w:val="24"/>
        </w:rPr>
        <w:t>Diptera</w:t>
      </w:r>
      <w:proofErr w:type="spellEnd"/>
      <w:r w:rsidRPr="00D2603C">
        <w:rPr>
          <w:rFonts w:eastAsia="Times New Roman" w:cs="Times New Roman"/>
          <w:szCs w:val="24"/>
        </w:rPr>
        <w:t xml:space="preserve"> </w:t>
      </w:r>
      <w:r>
        <w:rPr>
          <w:rFonts w:eastAsia="Times New Roman" w:cs="Times New Roman"/>
          <w:szCs w:val="24"/>
        </w:rPr>
        <w:t>(</w:t>
      </w:r>
      <w:proofErr w:type="spellStart"/>
      <w:r>
        <w:rPr>
          <w:rFonts w:eastAsia="Times New Roman" w:cs="Times New Roman"/>
          <w:szCs w:val="24"/>
        </w:rPr>
        <w:t>Ceratopogonidae</w:t>
      </w:r>
      <w:proofErr w:type="spellEnd"/>
      <w:r>
        <w:rPr>
          <w:rFonts w:eastAsia="Times New Roman" w:cs="Times New Roman"/>
          <w:szCs w:val="24"/>
        </w:rPr>
        <w:t xml:space="preserve"> and </w:t>
      </w:r>
      <w:proofErr w:type="spellStart"/>
      <w:r>
        <w:rPr>
          <w:rFonts w:eastAsia="Times New Roman" w:cs="Times New Roman"/>
          <w:szCs w:val="24"/>
        </w:rPr>
        <w:t>Simuliidae</w:t>
      </w:r>
      <w:proofErr w:type="spellEnd"/>
      <w:r>
        <w:rPr>
          <w:rFonts w:eastAsia="Times New Roman" w:cs="Times New Roman"/>
          <w:szCs w:val="24"/>
        </w:rPr>
        <w:t>,</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{"citationItems":[{"id":"ITEM-1","itemData":{"DOI":"10.1007/s00027-018-0565-4","ISBN":"0123456789","ISSN":"14209055","abstract":"Adult aquatic insects with a terrestrial life-stage are important vectors transferring resources assimilated in freshwater environments to terrestrial consumers. Research on this linkage has focused particularly on how terrestrial environmental features affect dispersal of adult aquatic insects, and on the responses of terrestrial consumers. However, both the timing and extent of dispersal by adult aquatic insects are further regulated by their species-specific life history traits. We sampled aquatic invertebrates from nine streams in central Sweden, and assessed how the composition of key traits related to dispersal and life history varied between in-stream habitats (riffles, pools), seasons (autumn, spring), and among streams differing in catchment land use (forested, agriculture). Traits indicative of more limited adult dispersal (e.g. small adult size and weak flying strength), along with traits indicative of strongly pulsed peaks in emergence (e.g. univoltinism and well-synchronised emergence) were all more abundant in the agricultural than forested streams in the autumn. However, these differences had disappeared by late spring, possibly reflecting early emergence by the univoltine taxa that dominated the agricultural stream communities and/or elevated mortality in the agricultural streams. Riffles supported higher abundances of insects with strongly flying adults, whereas traits associated with more limited dispersal were characteristic of insect assemblages in pools, which also supported the highest proportion of invertebrates completely lacking an adult flying stage. This result is likely to have implications at larger scales, given the dominance of soft-bottomed pool habitats and scarcity of riffles in many agricultural landscapes. Overall, our analysis indicates that while overall production of aquatic invertebrates with a winged adult was greater in agricultural streams, availability of this productivity for terrestrial consumers is more likely to be spatially restricted closer to the stream channel, and potentially also more temporally pulsed .","author":[{"dropping-particle":"","family":"McKie","given":"B. G.","non-dropping-particle":"","parse-names":false,"suffix":""},{"dropping-particle":"","family":"Sandin","given":"L.","non-dropping-particle":"","parse-names":false,"suffix":""},{"dropping-particle":"","family":"Carlson","given":"P. E.","non-dropping-particle":"","parse-names":false,"suffix":""},{"dropping-particle":"","family":"Johnson","given":"R. K.","non-dropping-particle":"","parse-names":false,"suffix":""}],"container-title":"Aquatic Sciences","id":"ITEM-1","issue":"2","issued":{"date-parts":[["2018"]]},"page":"1-12","publisher":"Springer International Publishing","title":"Species traits reveal effects of land use, season and habitat on the potential subsidy of stream invertebrates to terrestrial food webs","type":"article-journal","volume":"80"},"uris":["http://www.mendeley.com/documents/?uuid=67fc583f-51d9-4b7d-a1a6-7d317ba3725d"]}],"mendeley":{"formattedCitation":"(McKie et al. 2018)","manualFormatting":" McKie et al. 2018)","plainTextFormattedCitation":"(McKie et al. 2018)","previouslyFormattedCitation":"(McKie et al. 2018)"},"properties":{"noteIndex":0},"schema":"https://github.com/citation-style-language/schema/raw/master/csl-citation.json"}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 xml:space="preserve"> </w:t>
      </w:r>
      <w:r w:rsidRPr="00D2603C">
        <w:rPr>
          <w:rFonts w:eastAsia="Times New Roman" w:cs="Times New Roman"/>
          <w:noProof/>
          <w:szCs w:val="24"/>
        </w:rPr>
        <w:t>McKie et al. 2018)</w:t>
      </w:r>
      <w:r>
        <w:rPr>
          <w:rFonts w:eastAsia="Times New Roman" w:cs="Times New Roman"/>
          <w:szCs w:val="24"/>
        </w:rPr>
        <w:fldChar w:fldCharType="end"/>
      </w:r>
      <w:r>
        <w:rPr>
          <w:rFonts w:eastAsia="Times New Roman" w:cs="Times New Roman"/>
          <w:szCs w:val="24"/>
        </w:rPr>
        <w:t xml:space="preserve"> which may be available to a different suite of terrestrial consumers than large bodied taxa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{"citationItems":[{"id":"ITEM-1","itemData":{"DOI":"10.1007/s00442-011-2026-9","ISSN":"00298549","abstract":"Because nutrient enrichment can increase ecosystem productivity, it may enhance resource flows to adjacent ecosystems as organisms cross ecosystem boundaries and subsidize predators in recipient ecosystems. Here, we quantified the biomass and abundance of aquatic emergence and terrestrial spiders in a reference and treatment stream that had been continuously enriched with nitrogen and phosphorus for 5 years. Because we previously showed that enrichment increased secondary production of stream consumers, we predicted that aquatic emergence flux would be higher in the treatment stream, subsequently increasing the biomass and abundance of terrestrial spiders. Those increases were predicted to be greatest for spiders specializing on aquatic emergence subsidies (e.g., Tetragnathidae). By adding a (15)N stable isotope tracer to both streams, we also quantified nitrogen flow from the stream into the riparian community. Emergence biomass, but not abundance, was higher in the treatment stream. The average body size of emerging adult insects and the relative dominance of Trichoptera adults were also greater in the treatment stream. However, spider biomass did not differ between streams. Spiders also exhibited substantially lower reliance on aquatic emergence nitrogen in the treatment stream. This reduced reliance likely resulted from shifts in the body size distributions and community composition of insect emergence that may have altered predator consumption efficiency in the treatment stream. Despite nutrient enrichment approximately doubling stream productivity and associated cross-ecosystem resource flows, the response of terrestrial predators depended more on the resource subsidy's characteristics that affected the predator's ability to capitalize on such increases.","author":[{"dropping-particle":"","family":"Davis","given":"John M.","non-dropping-particle":"","parse-names":false,"suffix":""},{"dropping-particle":"","family":"Rosemond","given":"Amy D.","non-dropping-particle":"","parse-names":false,"suffix":""},{"dropping-particle":"","family":"Small","given":"Gaston E.","non-dropping-particle":"","parse-names":false,"suffix":""}],"container-title":"Oecologia","id":"ITEM-1","issue":"3","issued":{"date-parts":[["2011"]]},"page":"821-834","title":"Increasing donor ecosystem productivity decreases terrestrial consumer reliance on a stream resource subsidy","type":"article-journal","volume":"167"},"uris":["http://www.mendeley.com/documents/?uuid=633d83d4-1af6-4044-a89a-06d3a5a547ca"]}],"mendeley":{"formattedCitation":"(Davis et al. 2011)","plainTextFormattedCitation":"(Davis et al. 2011)","previouslyFormattedCitation":"(Davis et al. 2011)"},"properties":{"noteIndex":0},"schema":"https://github.com/citation-style-language/schema/raw/master/csl-citation.json"}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(Davis et al. 2011)</w:t>
      </w:r>
      <w:r>
        <w:rPr>
          <w:rFonts w:eastAsia="Times New Roman" w:cs="Times New Roman"/>
          <w:szCs w:val="24"/>
        </w:rPr>
        <w:fldChar w:fldCharType="end"/>
      </w:r>
      <w:r>
        <w:rPr>
          <w:rFonts w:eastAsia="Times New Roman" w:cs="Times New Roman"/>
          <w:szCs w:val="24"/>
        </w:rPr>
        <w:t>. Thus</w:t>
      </w:r>
      <w:r w:rsidR="00FD42FE">
        <w:rPr>
          <w:rFonts w:eastAsia="Times New Roman" w:cs="Times New Roman"/>
          <w:szCs w:val="24"/>
        </w:rPr>
        <w:t>,</w:t>
      </w:r>
      <w:r>
        <w:rPr>
          <w:rFonts w:eastAsia="Times New Roman" w:cs="Times New Roman"/>
          <w:szCs w:val="24"/>
        </w:rPr>
        <w:t xml:space="preserve"> even though the least and most disturbed sites are associated with traits that increase spatial extent, their subsequent effect on terrestrial consumers may be different. Future research should address the relative importance of, and interactions between, larval traits as indicators of spatial and temporal characteristics of aquatic insect subsidies. </w:t>
      </w:r>
    </w:p>
    <w:p w14:paraId="275C28A4" w14:textId="77777777" w:rsidR="00333AA3" w:rsidRPr="00E45F30" w:rsidRDefault="00333AA3" w:rsidP="00333AA3">
      <w:pPr>
        <w:spacing w:line="480" w:lineRule="auto"/>
        <w:contextualSpacing/>
        <w:rPr>
          <w:rFonts w:eastAsia="Times New Roman" w:cs="Times New Roman"/>
          <w:i/>
          <w:szCs w:val="24"/>
        </w:rPr>
      </w:pPr>
    </w:p>
    <w:p w14:paraId="158FDFB1" w14:textId="77777777" w:rsidR="00333AA3" w:rsidRPr="00E45F30" w:rsidRDefault="00333AA3" w:rsidP="00333AA3">
      <w:pPr>
        <w:spacing w:line="480" w:lineRule="auto"/>
        <w:contextualSpacing/>
        <w:rPr>
          <w:rFonts w:eastAsia="Times New Roman" w:cs="Times New Roman"/>
          <w:i/>
          <w:szCs w:val="24"/>
        </w:rPr>
      </w:pPr>
      <w:r w:rsidRPr="00E45F30">
        <w:rPr>
          <w:rFonts w:eastAsia="Times New Roman" w:cs="Times New Roman"/>
          <w:i/>
          <w:szCs w:val="24"/>
        </w:rPr>
        <w:t>Limitations</w:t>
      </w:r>
    </w:p>
    <w:p w14:paraId="4B85410C" w14:textId="4B65C7A1"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lastRenderedPageBreak/>
        <w:t xml:space="preserve">Our results are indicative of potential characteristics of aquatic subsidies as they are transported into terrestrial ecosystems by adults. Although adults and their traits are sourced from aquatic communities, emergence rates are likely variable among taxa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{"citationItems":[{"id":"ITEM-1","itemData":{"DOI":"10.3390/biom10010129","ISSN":"2218273X","abstract":"Aquatic insects provide an energy subsidy to riparian food webs. However, most empirical studies have considered the role of subsidies only in terms of magnitude (using biomass measurements) and quality (using physiologically important fatty acids), negating an aspect of subsidies that may affect their impact on recipient food webs: The potential of insects to transport contaminants (e.g., mercury) to terrestrial ecosystems. To this end, I used empirical data to estimate the magnitude of nutrients (using physiologically important fatty acids as a proxy) and contaminants (total mercury (Hg) and methylmercury (MeHg)) exported by insects from rivers and lacustrine systems in each continent. The results reveal that North American rivers may export more physiologically important fatty acids per unit area (93.0 ± 32.6 Kg Km−2 year−1) than other continents. Owing to the amount of variation in Hg and MeHg, there were no significant differences in MeHg and Hg among continents in lakes (Hg: 1.5 × 10−4 to 1.0 × 10−3 Kg Km−2 year−1; MeHg: 7.7 × 10−5 to 1.0 × 10−4 Kg Km−2 year−1) and rivers (Hg: 3.2 × 10−4 to 1.1 × 10−3 Kg Km−2 year−1; MeHg: 3.3 × 10−4 to 8.9 × 10−4 Kg Km−2 year−1), with rivers exporting significantly larger quantities of mercury across all continents than lakes. Globally, insect export of physiologically important fatty acids by insect was estimated to be ~43.9 × 106 Kg year−1 while MeHg was ~649.6 Kg year−1. The calculated estimates add to the growing body of literature, which suggests that emerging aquatic insects are important in supplying essential nutrients to terrestrial consumers; however, with the increase of pollutants in freshwater systems, emergent aquatic insect may also be sentinels of organic contaminants to terrestrial consumers.","author":[{"dropping-particle":"","family":"Moyo","given":"Sydney","non-dropping-particle":"","parse-names":false,"suffix":""}],"container-title":"Biomolecules","id":"ITEM-1","issued":{"date-parts":[["2020"]]},"page":"129","title":"Preliminary estimations of insect mediated transfers of mercury and physiologically important fatty acids from water to land","type":"article-journal","volume":"10"},"uris":["http://www.mendeley.com/documents/?uuid=3ea9c2cb-ea97-45cf-beee-68c6525685dd"]},{"id":"ITEM-2","itemData":{"DOI":"10.1046/j.1365-2427.2000.00558.x","ISSN":"00465070","abstract":"1. Secondary production and emergence of aquatic insects were examined in the outlet of Lake Belau, Northern Germany, by means of benthic samples and emergence traps. 2. At three stream sections annual larval secondary production varied between 4.9 and 10.8 gDM (dry mass) m-2 year-1. Insects contributed with 3.4, 8.9, and 8.7% to the total macroinvertebrate production that varied between 56.5 and 215.1 gDM m-2 year-1. Emerged biomass was between 1.0 and 2.0 gDM m-2 year-1. At all three stream sections Diptera dominated with a larval production of 3.0-6.1 gDM m-2 year-1, followed by Trichoptera with 1.0-2.1 and Ephemeroptera with up to 0.9 gDM m-2 year-1. 3. Average larval production amounted to 9.0 gDM m-2 year-1 and emerged biomass to 1.7 gDM m-2 year-1. Larvae of insects amounted to 7.0% of total macroinvertebrate production. 4. The ratio of annual emerged biomass to secondary production (E/P) varied among individual taxa. At the stream sections the ratio ranged from 15.9% to 20.1% with an average of 18.3% for the stream. 5. Relative constancy of the E/P ratio suggests that the determination of emerged biomass can be used as a method for estimating the secondary production of aquatic insects. The composition of functional feeding groups clearly differs between emerged biomass and total macroinvertebrate production. Therefore, the method does not allow conclusions on the level of production of the whole benthic community. However, composition of functional feeding groups at emergence roughly reflects composition of these groups in the benthic insect community.","author":[{"dropping-particle":"","family":"Poepperl","given":"Rainer","non-dropping-particle":"","parse-names":false,"suffix":""}],"container-title":"Freshwater Biology","id":"ITEM-2","issue":"2","issued":{"date-parts":[["2000"]]},"page":"199-211","title":"Benthic secondary production and biomass of insects emerging from a northern German temperate stream","type":"article-journal","volume":"44"},"uris":["http://www.mendeley.com/documents/?uuid=2160ee70-b5ea-4c01-8175-33e5e1a03f9b"]}],"mendeley":{"formattedCitation":"(Poepperl 2000, Moyo 2020)","plainTextFormattedCitation":"(Poepperl 2000, Moyo 2020)","previouslyFormattedCitation":"(Poepperl 2000, Moyo 2020)"},"properties":{"noteIndex":0},"schema":"https://github.com/citation-style-language/schema/raw/master/csl-citation.json"}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(Poepperl 2000, Moyo 2020)</w:t>
      </w:r>
      <w:r>
        <w:rPr>
          <w:rFonts w:eastAsia="Times New Roman" w:cs="Times New Roman"/>
          <w:szCs w:val="24"/>
        </w:rPr>
        <w:fldChar w:fldCharType="end"/>
      </w:r>
      <w:r>
        <w:rPr>
          <w:rFonts w:eastAsia="Times New Roman" w:cs="Times New Roman"/>
          <w:szCs w:val="24"/>
        </w:rPr>
        <w:t xml:space="preserve"> and location </w:t>
      </w:r>
      <w:r>
        <w:rPr>
          <w:rFonts w:eastAsia="Times New Roman" w:cs="Times New Roman"/>
          <w:szCs w:val="24"/>
        </w:rPr>
        <w:fldChar w:fldCharType="begin" w:fldLock="1"/>
      </w:r>
      <w:r w:rsidR="00306019">
        <w:rPr>
          <w:rFonts w:eastAsia="Times New Roman" w:cs="Times New Roman"/>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ecosystems","type":"article-journal","volume":"90"},"uris":["http://www.mendeley.com/documents/?uuid=1919de5e-bc71-4cdb-ad66-d96c78ff5294"]}],"mendeley":{"formattedCitation":"(Gratton and Vander Zanden 2009)","plainTextFormattedCitation":"(Gratton and Vander Zanden 2009)","previouslyFormattedCitation":"(Gratton and Vander Zanden 2009)"},"properties":{"noteIndex":0},"schema":"https://github.com/citation-style-language/schema/raw/master/csl-citation.json"}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(Gratton and Vander Zanden 2009)</w:t>
      </w:r>
      <w:r>
        <w:rPr>
          <w:rFonts w:eastAsia="Times New Roman" w:cs="Times New Roman"/>
          <w:szCs w:val="24"/>
        </w:rPr>
        <w:fldChar w:fldCharType="end"/>
      </w:r>
      <w:r>
        <w:rPr>
          <w:rFonts w:eastAsia="Times New Roman" w:cs="Times New Roman"/>
          <w:szCs w:val="24"/>
        </w:rPr>
        <w:t xml:space="preserve">. The trait-environmental relationships we uncovered however, could be used in tandem with large-scale analyses of aquatic secondary production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production","type":"article-journal","volume":"5"},"uris":["http://www.mendeley.com/documents/?uuid=10de4472-9f38-4b92-ac64-79ed30e2fc44"]}],"mendeley":{"formattedCitation":"(Patrick et al. 2019)","plainTextFormattedCitation":"(Patrick et al. 2019)","previouslyFormattedCitation":"(Patrick et al. 2019)"},"properties":{"noteIndex":0},"schema":"https://github.com/citation-style-language/schema/raw/master/csl-citation.json"}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(Patrick et al. 2019)</w:t>
      </w:r>
      <w:r>
        <w:rPr>
          <w:rFonts w:eastAsia="Times New Roman" w:cs="Times New Roman"/>
          <w:szCs w:val="24"/>
        </w:rPr>
        <w:fldChar w:fldCharType="end"/>
      </w:r>
      <w:r>
        <w:rPr>
          <w:rFonts w:eastAsia="Times New Roman" w:cs="Times New Roman"/>
          <w:szCs w:val="24"/>
        </w:rPr>
        <w:t xml:space="preserve"> to refine estimates of aquatic insect deposition </w:t>
      </w:r>
      <w:r>
        <w:rPr>
          <w:rFonts w:eastAsia="Times New Roman" w:cs="Times New Roman"/>
          <w:szCs w:val="24"/>
        </w:rPr>
        <w:fldChar w:fldCharType="begin" w:fldLock="1"/>
      </w:r>
      <w:r w:rsidR="00306019">
        <w:rPr>
          <w:rFonts w:eastAsia="Times New Roman" w:cs="Times New Roman"/>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(Gratton and Vander Zanden 2009, Bartrons et al. 2013)</w:t>
      </w:r>
      <w:r>
        <w:rPr>
          <w:rFonts w:eastAsia="Times New Roman" w:cs="Times New Roman"/>
          <w:szCs w:val="24"/>
        </w:rPr>
        <w:fldChar w:fldCharType="end"/>
      </w:r>
      <w:r>
        <w:rPr>
          <w:rFonts w:eastAsia="Times New Roman" w:cs="Times New Roman"/>
          <w:szCs w:val="24"/>
        </w:rPr>
        <w:t xml:space="preserve">. For example, the proportion of flying taxa in a larval community may constrain the amount of secondary production that can be exported from a stream. Site-specific estimates of the stream signature distance could better capture variation in lateral extent of subsidies in the terrestrial ecosystem. </w:t>
      </w:r>
    </w:p>
    <w:p w14:paraId="521D4898" w14:textId="3F1B3E92"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Additionally, trait-environment relationships were assessed at the genus (or order for stream signature) level, and thus sensitive to the availability of trait data. This could mask variation at lower taxonomic levels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{"citationItems":[{"id":"ITEM-1","itemData":{"DOI":"10.1111/fwb.12164","ISBN":"1365-2427","ISSN":"00465070","PMID":"2339","abstract":"Other than some classical ideas, large-scale approaches to understand variation in organismal traits (or the trait composition of an ecological community) across stream ecosystems are rather recent. Recent case studies and review papers show clear evidence for the usefulness of trait-based analyses in bioassessment, but how community traits vary along natural gradients at large scales has not yet been synthesised. Here, we attempt to fill this gap by providing a synthesis of trait patterns of stream communities from a macroecological perspective. We argue that although both natural and anthropogenic filters shape community traits, examination of poorly understood natural filters, including those acting at large scales, should receive increasing attention. Such knowledge is vital for reliably inferring anthropogenic impacts on stream communities and ecosystems. We synthesise knowledge of two large-scale spatial patterns of stream communities: among drainage basins (i.e. geographical variation) and within drainage basins (i.e. longitudinal variation). We also examine the temporal dimension of organismal traits. Our review highlights clear evidence for large-scale influences on the trait composition in stream systems. For example, despite previous contentions that organismal traits should vary negligibly across large geographical gradients, there is actually clear geographical variation across near-pristine systems. Furthermore, in accordance with theory, organismal traits in actual data sets vary along the longitudinal gradient of stream systems. We provide an overview of empirical and statistical approaches to understanding the trait composition of stream communities in macroecological studies and conclude that the methodology should be carefully considered in comparisons among studies, because contrasting results may reflect not only ecological differences but also differences in methodology (e.g. choice of species traits, trait quantification and analytical methods). We conclude that the question of how the trait composition of stream communities varies along geographical and environmental gradients is far from settled. A challenge for large-scale stream ecology is to provide a more specific view of trait variation in multiple taxonomic groups (e.g. do traits vary similarly in different organisms groups?), along major environmental gradients (e.g. is trait variation similar along the same environmental gradients in different regions?) and among differe…","author":[{"dropping-particle":"","family":"Heino","given":"Jani","non-dropping-particle":"","parse-names":false,"suffix":""},{"dropping-particle":"","family":"Schmera","given":"Dénes","non-dropping-particle":"","parse-names":false,"suffix":""},{"dropping-particle":"","family":"Eros","given":"Tibor","non-dropping-particle":"","parse-names":false,"suffix":""}],"container-title":"Freshwater Biology","id":"ITEM-1","issue":"8","issued":{"date-parts":[["2013"]]},"page":"1539-1555","title":"A macroecological perspective of trait patterns in stream communities","type":"article-journal","volume":"58"},"uris":["http://www.mendeley.com/documents/?uuid=c3e9f083-f81c-4e1b-a6b2-ef60c260652c"]}],"mendeley":{"formattedCitation":"(Heino et al. 2013)","plainTextFormattedCitation":"(Heino et al. 2013)","previouslyFormattedCitation":"(Heino et al. 2013)"},"properties":{"noteIndex":0},"schema":"https://github.com/citation-style-language/schema/raw/master/csl-citation.json"}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(Heino et al. 2013)</w:t>
      </w:r>
      <w:r>
        <w:rPr>
          <w:rFonts w:eastAsia="Times New Roman" w:cs="Times New Roman"/>
          <w:szCs w:val="24"/>
        </w:rPr>
        <w:fldChar w:fldCharType="end"/>
      </w:r>
      <w:r>
        <w:rPr>
          <w:rFonts w:eastAsia="Times New Roman" w:cs="Times New Roman"/>
          <w:szCs w:val="24"/>
        </w:rPr>
        <w:t>. Resolving these limitations will require increasing our knowledge of the relative intra-generic variability in traits and the number of non-</w:t>
      </w:r>
      <w:proofErr w:type="spellStart"/>
      <w:r>
        <w:rPr>
          <w:rFonts w:eastAsia="Times New Roman" w:cs="Times New Roman"/>
          <w:szCs w:val="24"/>
        </w:rPr>
        <w:t>chironomid</w:t>
      </w:r>
      <w:proofErr w:type="spellEnd"/>
      <w:r>
        <w:rPr>
          <w:rFonts w:eastAsia="Times New Roman" w:cs="Times New Roman"/>
          <w:szCs w:val="24"/>
        </w:rPr>
        <w:t xml:space="preserve"> </w:t>
      </w:r>
      <w:proofErr w:type="spellStart"/>
      <w:r>
        <w:rPr>
          <w:rFonts w:eastAsia="Times New Roman" w:cs="Times New Roman"/>
          <w:szCs w:val="24"/>
        </w:rPr>
        <w:t>Diptera</w:t>
      </w:r>
      <w:proofErr w:type="spellEnd"/>
      <w:r>
        <w:rPr>
          <w:rFonts w:eastAsia="Times New Roman" w:cs="Times New Roman"/>
          <w:szCs w:val="24"/>
        </w:rPr>
        <w:t xml:space="preserve"> represented in traits databases.  </w:t>
      </w:r>
    </w:p>
    <w:p w14:paraId="4876C3E3" w14:textId="04171F5D"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Finally, we used univariate models to assess trait environment relationships. Although univariate models permit relatively straightforward and transparent interpretation of the trait-environment relationships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{"citationItems":[{"id":"ITEM-1","itemData":{"DOI":"10.1111/gcb.14846","ISSN":"13652486","PMID":"31553112","abstract":"The appeal of trait-based approaches for assessing environmental vulnerabilities arises from the potential insight they provide into the mechanisms underlying the changes in populations and community structure. Traits can provide ecologically based explanations for observed responses to environmental changes, along with predictive power gained by developing relationships between traits and environmental variables. Despite these potential benefits, questions remain regarding the utility and limitations of these approaches, which we explore focusing on the following questions: (a) How reliable are predictions of biotic responses to changing conditions based on single trait–environment relationships? (b) What factors constrain detection of single trait–environment relationships, and how can they be addressed? (c) Can we use information on meta-community processes to reveal conditions when assumptions underlying trait-based studies are not met? We address these questions by reviewing published literature on aquatic invertebrate communities from stream ecosystems. Our findings help to define factors that influence the successful application of trait-based approaches in addressing the complex, multifaceted effects of changing climate conditions on hydrologic and thermal regimes in stream ecosystems. Key conclusions are that observed relationships between traits and environmental stressors are often inconsistent with predefined hypotheses derived from current trait-based thinking, particularly related to single trait–environment relationships. Factors that can influence findings of trait-based assessments include intercorrelations of among traits and among environmental variables, spatial scale, strength of biotic interactions, intensity of habitat disturbance, degree of abiotic stress, and methods of trait characterization. Several recommendations are made for practice and further study to address these concerns, including using phylogenetic relatedness to address intercorrelation. With proper consideration of these issues, trait-based assessment of organismal vulnerability to environmental changes can become a useful tool to conserve threatened populations into the future.","author":[{"dropping-particle":"","family":"Hamilton","given":"Anna T.","non-dropping-particle":"","parse-names":false,"suffix":""},{"dropping-particle":"","family":"Schäfer","given":"Ralf B.","non-dropping-particle":"","parse-names":false,"suffix":""},{"dropping-particle":"","family":"Pyne","given":"Matthew I.","non-dropping-particle":"","parse-names":false,"suffix":""},{"dropping-particle":"","family":"Chessman","given":"Bruce","non-dropping-particle":"","parse-names":false,"suffix":""},{"dropping-particle":"","family":"Kakouei","given":"Karan","non-dropping-particle":"","parse-names":false,"suffix":""},{"dropping-particle":"","family":"Boersma","given":"Kate S.","non-dropping-particle":"","parse-names":false,"suffix":""},{"dropping-particle":"","family":"Verdonschot","given":"Piet F.M.","non-dropping-particle":"","parse-names":false,"suffix":""},{"dropping-particle":"","family":"Verdonschot","given":"Ralf C.M.","non-dropping-particle":"","parse-names":false,"suffix":""},{"dropping-particle":"","family":"Mims","given":"Meryl","non-dropping-particle":"","parse-names":false,"suffix":""},{"dropping-particle":"","family":"Khamis","given":"Kieran","non-dropping-particle":"","parse-names":false,"suffix":""},{"dropping-particle":"","family":"Bierwagen","given":"Britta","non-dropping-particle":"","parse-names":false,"suffix":""},{"dropping-particle":"","family":"Stamp","given":"Jen","non-dropping-particle":"","parse-names":false,"suffix":""}],"container-title":"Global Change Biology","id":"ITEM-1","issue":"2","issued":{"date-parts":[["2020"]]},"page":"364-379","title":"Limitations of trait-based approaches for stressor assessment: The case of freshwater invertebrates and climate drivers","type":"article-journal","volume":"26"},"uris":["http://www.mendeley.com/documents/?uuid=05bd3700-2aab-4f96-ad28-6f343320be8a"]}],"mendeley":{"formattedCitation":"(Hamilton et al. 2020)","plainTextFormattedCitation":"(Hamilton et al. 2020)","previouslyFormattedCitation":"(Hamilton et al. 2020)"},"properties":{"noteIndex":0},"schema":"https://github.com/citation-style-language/schema/raw/master/csl-citation.json"}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(Hamilton et al. 2020)</w:t>
      </w:r>
      <w:r>
        <w:rPr>
          <w:rFonts w:eastAsia="Times New Roman" w:cs="Times New Roman"/>
          <w:szCs w:val="24"/>
        </w:rPr>
        <w:fldChar w:fldCharType="end"/>
      </w:r>
      <w:r>
        <w:rPr>
          <w:rFonts w:eastAsia="Times New Roman" w:cs="Times New Roman"/>
          <w:szCs w:val="24"/>
        </w:rPr>
        <w:t>,</w:t>
      </w:r>
      <w:r w:rsidRPr="00574BA3">
        <w:rPr>
          <w:rFonts w:eastAsia="Times New Roman" w:cs="Times New Roman"/>
          <w:szCs w:val="24"/>
        </w:rPr>
        <w:t xml:space="preserve"> </w:t>
      </w:r>
      <w:r>
        <w:rPr>
          <w:rFonts w:eastAsia="Times New Roman" w:cs="Times New Roman"/>
          <w:szCs w:val="24"/>
        </w:rPr>
        <w:t xml:space="preserve">multivariate statistical techniques can assess multiple traits simultaneously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{"citationItems":[{"id":"ITEM-1","itemData":{"DOI":"10.1111/fwb.12164","ISBN":"1365-2427","ISSN":"00465070","PMID":"2339","abstract":"Other than some classical ideas, large-scale approaches to understand variation in organismal traits (or the trait composition of an ecological community) across stream ecosystems are rather recent. Recent case studies and review papers show clear evidence for the usefulness of trait-based analyses in bioassessment, but how community traits vary along natural gradients at large scales has not yet been synthesised. Here, we attempt to fill this gap by providing a synthesis of trait patterns of stream communities from a macroecological perspective. We argue that although both natural and anthropogenic filters shape community traits, examination of poorly understood natural filters, including those acting at large scales, should receive increasing attention. Such knowledge is vital for reliably inferring anthropogenic impacts on stream communities and ecosystems. We synthesise knowledge of two large-scale spatial patterns of stream communities: among drainage basins (i.e. geographical variation) and within drainage basins (i.e. longitudinal variation). We also examine the temporal dimension of organismal traits. Our review highlights clear evidence for large-scale influences on the trait composition in stream systems. For example, despite previous contentions that organismal traits should vary negligibly across large geographical gradients, there is actually clear geographical variation across near-pristine systems. Furthermore, in accordance with theory, organismal traits in actual data sets vary along the longitudinal gradient of stream systems. We provide an overview of empirical and statistical approaches to understanding the trait composition of stream communities in macroecological studies and conclude that the methodology should be carefully considered in comparisons among studies, because contrasting results may reflect not only ecological differences but also differences in methodology (e.g. choice of species traits, trait quantification and analytical methods). We conclude that the question of how the trait composition of stream communities varies along geographical and environmental gradients is far from settled. A challenge for large-scale stream ecology is to provide a more specific view of trait variation in multiple taxonomic groups (e.g. do traits vary similarly in different organisms groups?), along major environmental gradients (e.g. is trait variation similar along the same environmental gradients in different regions?) and among differe…","author":[{"dropping-particle":"","family":"Heino","given":"Jani","non-dropping-particle":"","parse-names":false,"suffix":""},{"dropping-particle":"","family":"Schmera","given":"Dénes","non-dropping-particle":"","parse-names":false,"suffix":""},{"dropping-particle":"","family":"Eros","given":"Tibor","non-dropping-particle":"","parse-names":false,"suffix":""}],"container-title":"Freshwater Biology","id":"ITEM-1","issue":"8","issued":{"date-parts":[["2013"]]},"page":"1539-1555","title":"A macroecological perspective of trait patterns in stream communities","type":"article-journal","volume":"58"},"uris":["http://www.mendeley.com/documents/?uuid=c3e9f083-f81c-4e1b-a6b2-ef60c260652c"]},{"id":"ITEM-2","itemData":{"DOI":"10.1899/10-030.1","ISSN":"0887-3593","abstract":"Forecasting responses of benthic community structure and function to anthropogenic climate change is an emerging scientific challenge. Characterizing benthic species by biological attributes (traits) that are responsive to temperature and streamflow conditions can support a mechanistic approach for assessing the potential ecological responses to climate change. However, nonclimatic environmental factors also structure benthic communities and may mitigate transient climatic conditions, and these must be considered in evaluating potential impacts of climate change. Here we used macroinvertebrate and environmental data for 279 reference-quality sites spanning 12 states in the western US. For each sampling location, we described 45 environmental variables that spanned reach to catchment scales and that represented contemporary climate drivers, hydrologic metrics, and nonclimatic habitat features, as well as purely spatial metrics. We described benthic community composition at each site in terms of 7 species traits, including those considered sensitive to temperature increases and streamflow changes. All combined environmental variables explained 67% of the total trait variation across the sites, and catchment-scale climatic and hydrologic variables independently accounted for 19%. Sites were clustered into 3 community types based on trait composition, and a classification-tree analysis confirmed that climatic and hydrologic variables were important in partitioning these groups. Sensitivity of benthic communities to projected climate change was assessed by quantifying the proportion of taxa at sites having the traits of either cold stenothermy or obligate rheophily. Regression-tree analysis showed that temperature and hydrologic variables mostly accounted for the differences in proportion of sensitivity traits across the sites. We examined the vulnerability of sites to climate change by superimposing regional-scale projections of late-21(st)-century temperature and runoff change on the spatial distribution of temperature- and runoff-sensitive assemblages. Sites with high proportions of cold stenotherms and obligate rheophiles occur throughout the western US, but the degree of temperature and runoff change is projected to be greatest for reference sites in the Upper Colorado River and Great Basin. Thus, our results suggest that traits-based sensitivity coupled with intraregional variation in projected changes in temperature and runoff will cause reference sit…","author":[{"dropping-particle":"","family":"Poff","given":"N. LeRoy","non-dropping-particle":"","parse-names":false,"suffix":""},{"dropping-particle":"","family":"Bledsoe","given":"Brian P.","non-dropping-particle":"","parse-names":false,"suffix":""},{"dropping-particle":"","family":"Pyne","given":"Matthew I.","non-dropping-particle":"","parse-names":false,"suffix":""},{"dropping-particle":"","family":"Cuhaciyan","given":"Christopher C.","non-dropping-particle":"","parse-names":false,"suffix":""},{"dropping-particle":"","family":"Carlisle","given":"Daren M.","non-dropping-particle":"","parse-names":false,"suffix":""}],"container-title":"Journal of the North American Benthological Society","id":"ITEM-2","issue":"4","issued":{"date-parts":[["2010"]]},"page":"1441-1458","title":"Developing linkages between species traits and multiscaled environmental variation to explore vulnerability of stream benthic communities to climate change","type":"article-journal","volume":"29"},"uris":["http://www.mendeley.com/documents/?uuid=b7a05844-653c-46ca-914a-621d4ee92b24"]}],"mendeley":{"formattedCitation":"(Poff et al. 2010, Heino et al. 2013)","plainTextFormattedCitation":"(Poff et al. 2010, Heino et al. 2013)","previouslyFormattedCitation":"(Poff et al. 2010, Heino et al. 2013)"},"properties":{"noteIndex":0},"schema":"https://github.com/citation-style-language/schema/raw/master/csl-citation.json"}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(Poff et al. 2010, Heino et al. 2013)</w:t>
      </w:r>
      <w:r>
        <w:rPr>
          <w:rFonts w:eastAsia="Times New Roman" w:cs="Times New Roman"/>
          <w:szCs w:val="24"/>
        </w:rPr>
        <w:fldChar w:fldCharType="end"/>
      </w:r>
      <w:r>
        <w:rPr>
          <w:rFonts w:eastAsia="Times New Roman" w:cs="Times New Roman"/>
          <w:szCs w:val="24"/>
        </w:rPr>
        <w:t xml:space="preserve">. Evaluating multiple traits could be insightful for identifying the trait(s) that explain most variation among sites and potentially the most important trait driving differences in spatial and temporal characteristics of subsidies. </w:t>
      </w:r>
    </w:p>
    <w:p w14:paraId="0F45BF0C" w14:textId="77777777" w:rsidR="00333AA3" w:rsidRPr="00E45F30" w:rsidRDefault="00333AA3" w:rsidP="00333AA3">
      <w:pPr>
        <w:spacing w:line="480" w:lineRule="auto"/>
        <w:contextualSpacing/>
        <w:rPr>
          <w:rFonts w:eastAsia="Times New Roman" w:cs="Times New Roman"/>
          <w:i/>
          <w:szCs w:val="24"/>
        </w:rPr>
      </w:pPr>
    </w:p>
    <w:p w14:paraId="01BEF233" w14:textId="77777777" w:rsidR="00333AA3" w:rsidRPr="00E45F30" w:rsidRDefault="00333AA3" w:rsidP="00333AA3">
      <w:pPr>
        <w:spacing w:line="480" w:lineRule="auto"/>
        <w:contextualSpacing/>
        <w:rPr>
          <w:rFonts w:eastAsia="Times New Roman" w:cs="Times New Roman"/>
          <w:i/>
          <w:szCs w:val="24"/>
        </w:rPr>
      </w:pPr>
      <w:r w:rsidRPr="00E45F30">
        <w:rPr>
          <w:rFonts w:eastAsia="Times New Roman" w:cs="Times New Roman"/>
          <w:i/>
          <w:szCs w:val="24"/>
        </w:rPr>
        <w:lastRenderedPageBreak/>
        <w:t>Conclusions</w:t>
      </w:r>
    </w:p>
    <w:p w14:paraId="155E42E8" w14:textId="7EC26984" w:rsidR="00333AA3" w:rsidRDefault="00333AA3" w:rsidP="00333AA3">
      <w:pPr>
        <w:spacing w:line="480" w:lineRule="auto"/>
        <w:ind w:firstLine="720"/>
        <w:contextualSpacing/>
        <w:rPr>
          <w:rFonts w:eastAsia="Times New Roman" w:cs="Times New Roman"/>
          <w:szCs w:val="24"/>
        </w:rPr>
      </w:pPr>
      <w:r>
        <w:rPr>
          <w:rFonts w:eastAsia="Times New Roman" w:cs="Times New Roman"/>
          <w:szCs w:val="24"/>
        </w:rPr>
        <w:t xml:space="preserve">Benthic macroinvertebrate communities and their traits vary along natural and anthropogenic gradients within and among drainage basins. Importantly, here we show this variation could potentially impact terrestrial consumers by changing the spatial and temporal characteristics of aquatic insect resource subsidies. Several trait-environment relationships were associated with </w:t>
      </w:r>
      <w:proofErr w:type="spellStart"/>
      <w:r>
        <w:rPr>
          <w:rFonts w:eastAsia="Times New Roman" w:cs="Times New Roman"/>
          <w:szCs w:val="24"/>
        </w:rPr>
        <w:t>hydroclimate</w:t>
      </w:r>
      <w:proofErr w:type="spellEnd"/>
      <w:r>
        <w:rPr>
          <w:rFonts w:eastAsia="Times New Roman" w:cs="Times New Roman"/>
          <w:szCs w:val="24"/>
        </w:rPr>
        <w:t xml:space="preserve"> features. If these relationships are mechanistically grounded they could inform predictions about how the frequency of these traits and the potential linkages between aquatic and terrestrial ecosystems could be impacted by global change </w:t>
      </w:r>
      <w:r>
        <w:rPr>
          <w:rFonts w:eastAsia="Times New Roman" w:cs="Times New Roman"/>
          <w:szCs w:val="24"/>
        </w:rPr>
        <w:fldChar w:fldCharType="begin" w:fldLock="1"/>
      </w:r>
      <w:r w:rsidR="00306019">
        <w:rPr>
          <w:rFonts w:eastAsia="Times New Roman" w:cs="Times New Roman"/>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change","type":"article-journal","volume":"22"},"uris":["http://www.mendeley.com/documents/?uuid=276fe761-5a80-4012-a137-397d1f4e806c"]}],"mendeley":{"formattedCitation":"(Larsen et al. 2016)","plainTextFormattedCitation":"(Larsen et al. 2016)","previouslyFormattedCitation":"(Larsen et al. 2016)"},"properties":{"noteIndex":0},"schema":"https://github.com/citation-style-language/schema/raw/master/csl-citation.json"}</w:instrText>
      </w:r>
      <w:r>
        <w:rPr>
          <w:rFonts w:eastAsia="Times New Roman" w:cs="Times New Roman"/>
          <w:szCs w:val="24"/>
        </w:rPr>
        <w:fldChar w:fldCharType="separate"/>
      </w:r>
      <w:r w:rsidR="0034241C" w:rsidRPr="0034241C">
        <w:rPr>
          <w:rFonts w:eastAsia="Times New Roman" w:cs="Times New Roman"/>
          <w:noProof/>
          <w:szCs w:val="24"/>
        </w:rPr>
        <w:t>(Larsen et al. 2016)</w:t>
      </w:r>
      <w:r>
        <w:rPr>
          <w:rFonts w:eastAsia="Times New Roman" w:cs="Times New Roman"/>
          <w:szCs w:val="24"/>
        </w:rPr>
        <w:fldChar w:fldCharType="end"/>
      </w:r>
      <w:r>
        <w:rPr>
          <w:rFonts w:eastAsia="Times New Roman" w:cs="Times New Roman"/>
          <w:szCs w:val="24"/>
        </w:rPr>
        <w:t xml:space="preserve">. More generally, the </w:t>
      </w:r>
      <w:r>
        <w:rPr>
          <w:rFonts w:cs="Times New Roman"/>
          <w:szCs w:val="24"/>
        </w:rPr>
        <w:t xml:space="preserve">framework and trait-environment relationships we present </w:t>
      </w:r>
      <w:r>
        <w:rPr>
          <w:rFonts w:eastAsia="Times New Roman" w:cs="Times New Roman"/>
          <w:szCs w:val="24"/>
        </w:rPr>
        <w:t xml:space="preserve">may be useful for understanding broad geographical patterns in linkages between </w:t>
      </w:r>
      <w:r w:rsidRPr="00581B4D">
        <w:rPr>
          <w:rFonts w:eastAsia="Times New Roman" w:cs="Times New Roman"/>
          <w:szCs w:val="24"/>
        </w:rPr>
        <w:t>ecosystem</w:t>
      </w:r>
      <w:r>
        <w:rPr>
          <w:rFonts w:eastAsia="Times New Roman" w:cs="Times New Roman"/>
          <w:szCs w:val="24"/>
        </w:rPr>
        <w:t>s and promote novel applications of biomonitoring data to address novel questions in macroscale ecology</w:t>
      </w:r>
      <w:r w:rsidRPr="00581B4D">
        <w:rPr>
          <w:rFonts w:eastAsia="Times New Roman" w:cs="Times New Roman"/>
          <w:szCs w:val="24"/>
        </w:rPr>
        <w:t>.</w:t>
      </w:r>
      <w:r>
        <w:rPr>
          <w:rFonts w:eastAsia="Times New Roman" w:cs="Times New Roman"/>
          <w:szCs w:val="24"/>
        </w:rPr>
        <w:t xml:space="preserve">  </w:t>
      </w:r>
    </w:p>
    <w:p w14:paraId="5C39707C" w14:textId="77777777" w:rsidR="00333AA3" w:rsidRDefault="00333AA3" w:rsidP="00333AA3">
      <w:pPr>
        <w:spacing w:line="480" w:lineRule="auto"/>
        <w:contextualSpacing/>
        <w:rPr>
          <w:rFonts w:cs="Times New Roman"/>
          <w:b/>
          <w:szCs w:val="24"/>
        </w:rPr>
      </w:pPr>
    </w:p>
    <w:p w14:paraId="229D2A5A" w14:textId="77777777" w:rsidR="00333AA3" w:rsidRPr="0014758A" w:rsidRDefault="00333AA3" w:rsidP="0097280E">
      <w:pPr>
        <w:pStyle w:val="Heading2"/>
        <w:spacing w:line="480" w:lineRule="auto"/>
        <w:contextualSpacing/>
      </w:pPr>
      <w:bookmarkStart w:id="44" w:name="_Toc60841223"/>
      <w:r>
        <w:t>Acknowledgements</w:t>
      </w:r>
      <w:bookmarkEnd w:id="44"/>
    </w:p>
    <w:p w14:paraId="35150484" w14:textId="01E88688" w:rsidR="0097280E" w:rsidRDefault="0097280E" w:rsidP="0097280E">
      <w:pPr>
        <w:spacing w:line="480" w:lineRule="auto"/>
        <w:contextualSpacing/>
        <w:rPr>
          <w:rFonts w:cs="Times New Roman"/>
          <w:szCs w:val="24"/>
        </w:rPr>
      </w:pPr>
      <w:r>
        <w:rPr>
          <w:rFonts w:cs="Times New Roman"/>
          <w:szCs w:val="24"/>
        </w:rPr>
        <w:t xml:space="preserve">We would like to thank M. </w:t>
      </w:r>
      <w:proofErr w:type="spellStart"/>
      <w:r>
        <w:rPr>
          <w:rFonts w:cs="Times New Roman"/>
          <w:szCs w:val="24"/>
        </w:rPr>
        <w:t>Kaspari</w:t>
      </w:r>
      <w:proofErr w:type="spellEnd"/>
      <w:r>
        <w:rPr>
          <w:rFonts w:cs="Times New Roman"/>
          <w:szCs w:val="24"/>
        </w:rPr>
        <w:t xml:space="preserve">, J. Kelly, T. </w:t>
      </w:r>
      <w:proofErr w:type="spellStart"/>
      <w:r>
        <w:rPr>
          <w:rFonts w:cs="Times New Roman"/>
          <w:szCs w:val="24"/>
        </w:rPr>
        <w:t>Neeson</w:t>
      </w:r>
      <w:proofErr w:type="spellEnd"/>
      <w:r>
        <w:rPr>
          <w:rFonts w:cs="Times New Roman"/>
          <w:szCs w:val="24"/>
        </w:rPr>
        <w:t xml:space="preserve">, J. Wu, D. Nelson, M. Busch, J. </w:t>
      </w:r>
      <w:proofErr w:type="spellStart"/>
      <w:r>
        <w:rPr>
          <w:rFonts w:cs="Times New Roman"/>
          <w:szCs w:val="24"/>
        </w:rPr>
        <w:t>Heino</w:t>
      </w:r>
      <w:proofErr w:type="spellEnd"/>
      <w:r>
        <w:rPr>
          <w:rFonts w:cs="Times New Roman"/>
          <w:szCs w:val="24"/>
        </w:rPr>
        <w:t xml:space="preserve"> and two anonymous reviewers for comments on a previous version of this manuscript. We also thank B. </w:t>
      </w:r>
      <w:proofErr w:type="spellStart"/>
      <w:r>
        <w:rPr>
          <w:rFonts w:cs="Times New Roman"/>
          <w:szCs w:val="24"/>
        </w:rPr>
        <w:t>McKie</w:t>
      </w:r>
      <w:proofErr w:type="spellEnd"/>
      <w:r>
        <w:rPr>
          <w:rFonts w:cs="Times New Roman"/>
          <w:szCs w:val="24"/>
        </w:rPr>
        <w:t xml:space="preserve"> for providing data to specify prior distributions for the traits analysis. DA and DK were supported by the US National Science Foundation (award </w:t>
      </w:r>
      <w:r w:rsidRPr="00656CDE">
        <w:rPr>
          <w:rFonts w:cs="Times New Roman"/>
          <w:szCs w:val="24"/>
        </w:rPr>
        <w:t>1802872</w:t>
      </w:r>
      <w:r>
        <w:rPr>
          <w:rFonts w:cs="Times New Roman"/>
          <w:szCs w:val="24"/>
        </w:rPr>
        <w:t xml:space="preserve">, and additional support to DA was provided by award </w:t>
      </w:r>
      <w:r w:rsidRPr="00656CDE">
        <w:rPr>
          <w:rFonts w:cs="Times New Roman"/>
          <w:szCs w:val="24"/>
        </w:rPr>
        <w:t>1754389</w:t>
      </w:r>
      <w:r>
        <w:rPr>
          <w:rFonts w:cs="Times New Roman"/>
          <w:szCs w:val="24"/>
        </w:rPr>
        <w:t xml:space="preserve">). </w:t>
      </w:r>
    </w:p>
    <w:p w14:paraId="6571AD60" w14:textId="77777777" w:rsidR="00333AA3" w:rsidRDefault="00333AA3" w:rsidP="00333AA3">
      <w:pPr>
        <w:spacing w:line="480" w:lineRule="auto"/>
        <w:contextualSpacing/>
        <w:rPr>
          <w:rFonts w:cs="Times New Roman"/>
          <w:b/>
          <w:szCs w:val="24"/>
        </w:rPr>
      </w:pPr>
    </w:p>
    <w:p w14:paraId="55151D0F" w14:textId="77777777" w:rsidR="00333AA3" w:rsidRDefault="00333AA3" w:rsidP="0097280E">
      <w:pPr>
        <w:pStyle w:val="Heading2"/>
        <w:spacing w:line="480" w:lineRule="auto"/>
        <w:contextualSpacing/>
      </w:pPr>
      <w:bookmarkStart w:id="45" w:name="_Toc60841224"/>
      <w:r>
        <w:t>References</w:t>
      </w:r>
      <w:bookmarkEnd w:id="45"/>
    </w:p>
    <w:p w14:paraId="1464AB2C" w14:textId="76D8EA66" w:rsidR="008759C3" w:rsidRPr="008759C3" w:rsidRDefault="00333AA3" w:rsidP="008759C3">
      <w:pPr>
        <w:widowControl w:val="0"/>
        <w:autoSpaceDE w:val="0"/>
        <w:autoSpaceDN w:val="0"/>
        <w:adjustRightInd w:val="0"/>
        <w:spacing w:line="480" w:lineRule="auto"/>
        <w:ind w:left="480" w:hanging="480"/>
        <w:rPr>
          <w:rFonts w:cs="Times New Roman"/>
          <w:noProof/>
          <w:szCs w:val="24"/>
        </w:rPr>
      </w:pPr>
      <w:r>
        <w:rPr>
          <w:rFonts w:cs="Times New Roman"/>
          <w:b/>
          <w:szCs w:val="24"/>
        </w:rPr>
        <w:fldChar w:fldCharType="begin" w:fldLock="1"/>
      </w:r>
      <w:r>
        <w:rPr>
          <w:rFonts w:cs="Times New Roman"/>
          <w:b/>
          <w:szCs w:val="24"/>
        </w:rPr>
        <w:instrText xml:space="preserve">ADDIN Mendeley Bibliography CSL_BIBLIOGRAPHY </w:instrText>
      </w:r>
      <w:r>
        <w:rPr>
          <w:rFonts w:cs="Times New Roman"/>
          <w:b/>
          <w:szCs w:val="24"/>
        </w:rPr>
        <w:fldChar w:fldCharType="separate"/>
      </w:r>
      <w:r w:rsidR="008759C3" w:rsidRPr="008759C3">
        <w:rPr>
          <w:rFonts w:cs="Times New Roman"/>
          <w:noProof/>
          <w:szCs w:val="24"/>
        </w:rPr>
        <w:t>Allan, J. D. 2004. Landscapes and Riverscapes: The Influence of Land Use on Stream Ecosystems. Annual Review of Ecology, Evolution, and Systematics 35:257–284.</w:t>
      </w:r>
    </w:p>
    <w:p w14:paraId="750778F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Allen, D. C., and J. Wesner. 2016. Synthesis: comparing effects of resource and consumer fluxes into recipient food webs using meta-analysis. Ecology 97:594–604.</w:t>
      </w:r>
    </w:p>
    <w:p w14:paraId="3AB9A97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Allen, G. H., and T. M. Pavelsky. 2015. Patterns of river width and surface area revealed by the satellite-derived North American River Width data set. Geophysical Research Letters 42:395–402.</w:t>
      </w:r>
    </w:p>
    <w:p w14:paraId="7FA6804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Allen, G. H., T. M. Pavelsky, E. A. Barefoot, M. P. Lamb, D. Butman, A. Tashie, and C. J. Gleason. 2018. Similarity of stream width distributions across headwater systems. Nature Communications 9:610.</w:t>
      </w:r>
    </w:p>
    <w:p w14:paraId="3195473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Anderson, H. E., L. K. Albertson, and D. M. Walters. 2019. Water temperature drives variability in salmonfly abundance, emergence timing, and body size. River Research and Applications 35:1013–1022.</w:t>
      </w:r>
    </w:p>
    <w:p w14:paraId="46DAE8C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Anderson, W. B., A. D. Wait, and P. Stapp. 2008. Resources From Another Place and Time: Responses To Pulses in a Spatially Subsidized System. Ecology 89:660–670.</w:t>
      </w:r>
    </w:p>
    <w:p w14:paraId="57209FD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Araújo, M. B., and A. T. Peterson. 2012. Uses and misuses of bioclimatic envelope modeling. Ecology 93:1527–1539.</w:t>
      </w:r>
    </w:p>
    <w:p w14:paraId="19A0BF8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Baker, M. E., D. E. Weller, and T. E. Jordan. 2007. Effects of stream map resolution on measures of riparian buffer distribution and nutrient retention potential. Landscape Ecology 22:973–992.</w:t>
      </w:r>
    </w:p>
    <w:p w14:paraId="46DFFE9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Baldwin, D. J. B., K. Weaver, F. Schnekenburger, and A. H. Perera. 2004. Sensitivity of landscape pattern indices to input data characteristics on real landscapes: implications for their use in natural disturbance emulation. Landscape Ecology 19:255–271.</w:t>
      </w:r>
    </w:p>
    <w:p w14:paraId="1A361C2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Barnett, T. P., D. W. Pierce, H. G. Hidalgo, C. Bonfils, B. D. Santer, T. Das, G. Bala, A. W. Wood, T. Nozawa, A. a Mirin, D. R. Cayan, and M. D. Dettinger. 2008. Human-Induced Changes in the Hydrology of the Western United States. Science 319:1080–1083.</w:t>
      </w:r>
    </w:p>
    <w:p w14:paraId="28E2DA5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Bartrons, M., M. Papeş, M. W. Diebel, C. Gratton, and M. J. Vander Zanden. 2013. Regional-Level Inputs of Emergent Aquatic Insects from Water to Land. Ecosystems 16:1353–1363.</w:t>
      </w:r>
    </w:p>
    <w:p w14:paraId="21DEEAB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Baxter, C. V., K. D. Fausch, and W. C. Saunders. 2005. Tangled webs: Reciprocal flows of invertebrate prey link streams and riparian zones. Freshwater Biology 50:201–220.</w:t>
      </w:r>
    </w:p>
    <w:p w14:paraId="7FE011C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Benda, L., N. L. Poff, D. Miller, T. Dunne, G. G. Reeves, G. Pess, and M. Pollock. 2004. The Network Dynamics Hypothesis: How Channel Networks Structure Riverine Habitats. BioScience 54:413.</w:t>
      </w:r>
    </w:p>
    <w:p w14:paraId="5217C7B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Benstead, J. P., and D. S. Leigh. 2012. An expanded role for river networks. Nature Geoscience 5:678–679.</w:t>
      </w:r>
    </w:p>
    <w:p w14:paraId="7555235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Bieger, K., H. Rathjens, P. M. Allen, and J. G. Arnold. 2015. Development and Evaluation of Bankfull Hydraulic Geometry Relationships for the Physiographic Regions of the United States. Journal of the American Water Resources Association 51:842–858.</w:t>
      </w:r>
    </w:p>
    <w:p w14:paraId="5E39064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Blöschl, G., J. Hall, J. Parajka, R. A. P. Perdigão, B. Merz, B. Arheimer, G. T. Aronica, A. Bilibashi, O. Bonacci, M. Borga, Č. Ivan, A. Castellarin, and G. B. Chirico. 2017. Climate change shifts timing of European floods. Science 590:588–590.</w:t>
      </w:r>
    </w:p>
    <w:p w14:paraId="4CB3F8E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Borcard, D., F. Gillet, and P. Legendre. 2018. Numerical Ecology with R. second. Springer Nature, Cham, Switzerland.</w:t>
      </w:r>
    </w:p>
    <w:p w14:paraId="2F60F84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Breiman, L. 2001. Random forests. Machine Learning 45:5–32.</w:t>
      </w:r>
    </w:p>
    <w:p w14:paraId="3621C2B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Brieuc, M. S. O., C. D. Waters, D. P. Drinan, and K. A. Naish. 2018. A practical introduction to Random Forest for genetic association studies in ecology and evolution. Molecular Ecology Resources 18:755–766.</w:t>
      </w:r>
    </w:p>
    <w:p w14:paraId="4838ABA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Bultman, H., D. Hoekman, J. Dreyer, and C. Gratton. 2014. Terrestrial deposition of aquatic insects increases plant quality for insect herbivores and herbivore density. Ecological Entomology 39:419–426.</w:t>
      </w:r>
    </w:p>
    <w:p w14:paraId="411EA54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Bürkner, P. C. 2017. brms: An R package for Bayesian multilevel models using Stan. Journal of Statistical Software 80.</w:t>
      </w:r>
    </w:p>
    <w:p w14:paraId="4FB651D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Buyantuyev, A., and J. Wu. 2007. Effects of thematic resolution on landscape pattern analysis. Landscape Ecology 22:7–13.</w:t>
      </w:r>
    </w:p>
    <w:p w14:paraId="206E1A1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Campbell Grant, E. H. 2011. Structural complexity, movement bias, and metapopulation extinction risk in dendritic ecological networks. Journal of the North American Benthological Society 30:252–258.</w:t>
      </w:r>
    </w:p>
    <w:p w14:paraId="3AEBC9A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Carlson, P. E., B. G. Mckie, L. Sandin, and R. K. Johnson. 2016. Strong land-use effects on the dispersal patterns of adult stream insects: implications for transfers of aquatic subsidies to terrestrial consumers. Freshwater Biology 61:848–861.</w:t>
      </w:r>
    </w:p>
    <w:p w14:paraId="02A4220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Clarke, A., R. Mac Nally, N. Bond, and P. S. Lake. 2008. Macroinvertebrate diversity in headwater streams: A review. Freshwater Biology 53:1707–1721.</w:t>
      </w:r>
    </w:p>
    <w:p w14:paraId="6DBB156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Collins, S. E., S. F. Matter, I. Buffam, and J. E. Flotemersch. 2018. A patchy continuum? Stream processes show varied responses to patch- and continuum-based analyses. Ecosphere 9.</w:t>
      </w:r>
    </w:p>
    <w:p w14:paraId="3D30F19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Collins, S. E., M. C. Thoms, and J. E. Flotemersch. 2014. Hydrogeomorphic zones characterize </w:t>
      </w:r>
      <w:r w:rsidRPr="008759C3">
        <w:rPr>
          <w:rFonts w:cs="Times New Roman"/>
          <w:noProof/>
          <w:szCs w:val="24"/>
        </w:rPr>
        <w:lastRenderedPageBreak/>
        <w:t>riverbed sediment patterns within a river network. River Systems 21:203–213.</w:t>
      </w:r>
    </w:p>
    <w:p w14:paraId="19B181F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Comte, L., and J. D. Olden. 2018. Fish dispersal in flowing waters: A synthesis of movement- and genetic-based studies. Fish and Fisheries 19:1063–1077.</w:t>
      </w:r>
    </w:p>
    <w:p w14:paraId="49D4364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Cote, D., D. G. Kehler, C. Bourne, and Y. F. Wiersma. 2009. A new measure of longitudinal connectivity for stream networks. Landscape Ecology 24:101–113.</w:t>
      </w:r>
    </w:p>
    <w:p w14:paraId="6D330F3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Cushman, S. A., J. Littell, and K. McGarigal. 2010. The Problem of Ecological Scaling in Spatially Complex, Nonequilibrium Ecological Systems. Pages 1–458 </w:t>
      </w:r>
      <w:r w:rsidRPr="008759C3">
        <w:rPr>
          <w:rFonts w:cs="Times New Roman"/>
          <w:i/>
          <w:iCs/>
          <w:noProof/>
          <w:szCs w:val="24"/>
        </w:rPr>
        <w:t>in</w:t>
      </w:r>
      <w:r w:rsidRPr="008759C3">
        <w:rPr>
          <w:rFonts w:cs="Times New Roman"/>
          <w:noProof/>
          <w:szCs w:val="24"/>
        </w:rPr>
        <w:t xml:space="preserve"> Cushman S.A. and F. Huettmann (editors). Spatial Complexity, Informatics, and Wildlife Conservation. Springer, Tokyo.</w:t>
      </w:r>
    </w:p>
    <w:p w14:paraId="5ADABCF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Datry, T., H. Pella, C. Leigh, N. Bonada, and B. Hugueny. 2016. A landscape approach to advance intermittent river ecology. Freshwater Biology n/a-n/a.</w:t>
      </w:r>
    </w:p>
    <w:p w14:paraId="14912F3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Davis, J. M., A. D. Rosemond, and G. E. Small. 2011. Increasing donor ecosystem productivity decreases terrestrial consumer reliance on a stream resource subsidy. Oecologia 167:821–834.</w:t>
      </w:r>
    </w:p>
    <w:p w14:paraId="20CD541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Demars, B., R. Manson, J. Ólafsson, G. Gíslason, R. Gudmundsdóttir, G. Woodward, J. Reiss, D. Pichler, J. Rasmussen, and N. Friberg. 2011. Temperature and the metabolic balance of streams. Freshwater Biology 56:1106–1121.</w:t>
      </w:r>
    </w:p>
    <w:p w14:paraId="002064B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Dodds, W. K., L. Bruckerhoff, D. Batzer, A. Schechner, C. Pennock, E. Renner, F. Tromboni, K. Bigham, and S. Grieger. 2019. The freshwater biome gradient framework: Predicting macroscale properties based on latitude, altitude, and precipitation. Ecosphere 10.</w:t>
      </w:r>
    </w:p>
    <w:p w14:paraId="75C41F8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Dodds, W. K., K. Gido, M. R. Whiles, M. D. Daniels, and B. P. Grudzinski. 2015. The Stream </w:t>
      </w:r>
      <w:r w:rsidRPr="008759C3">
        <w:rPr>
          <w:rFonts w:cs="Times New Roman"/>
          <w:noProof/>
          <w:szCs w:val="24"/>
        </w:rPr>
        <w:lastRenderedPageBreak/>
        <w:t>Biome Gradient Concept: factors controlling lotic systems across broad biogeographic scales. Freshwater Science 34:1–19.</w:t>
      </w:r>
    </w:p>
    <w:p w14:paraId="7FF9C16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Dolédec, S., N. Phillips, M. Scarsbrook, R. H. Riley, and C. R. Townsend. 2006. Comparison of structural and functional approaches to determining landuse effects on grassland stream invertebrate communities. Journal of the North American Benthological Society 25:44–60.</w:t>
      </w:r>
    </w:p>
    <w:p w14:paraId="2B7E5CE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Dreyer, J., P. A. Townsend, J. C. Hook, D. Hoekman, M. J. Vander Zanden, and C. Gratton. 2015. Quantifying aquatic insect deposition from lake to land. Ecology 96:499–509.</w:t>
      </w:r>
    </w:p>
    <w:p w14:paraId="29BF99F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Dunning, J. B. (Ed.). 2008. CRC Handbook of Avian Body Masses. CRC Press.</w:t>
      </w:r>
    </w:p>
    <w:p w14:paraId="368320A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Elith, J., J. R. Leathwick, and T. Hastie. 2008. A working guide to boosted regression trees. Journal of Animal Ecology 77:802–813.</w:t>
      </w:r>
    </w:p>
    <w:p w14:paraId="5F87904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Epanchin, P., R. Knapp, and S. Lawler. 2010. Nonnative trout impact an alpine-nesting bird by altering aquatic-insect subsidies. Ecology 91:2406–2415.</w:t>
      </w:r>
    </w:p>
    <w:p w14:paraId="6EB72B8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Erős, T., and W. H. Lowe. 2019. The Landscape Ecology of Rivers: from Patch-Based to Spatial Network Analyses. Current Landscape Ecology Reports 4:103–112.</w:t>
      </w:r>
    </w:p>
    <w:p w14:paraId="040D4F7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Fausch, K. D., C. E. Torgersen, C. V. Baxter, and H. W. Li. 2002. Landscapes to riverscapes: Bridging the gap between research and conservation of stream fishes. BioScience 52:483–498.</w:t>
      </w:r>
    </w:p>
    <w:p w14:paraId="0DAEE42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Faustini, J. M., P. R. Kaufmann, and A. T. Herlihy. 2009. Downstream variation in bankfull width of wadeable streams across the conterminous United States. Geomorphology 108:292–311.</w:t>
      </w:r>
    </w:p>
    <w:p w14:paraId="09733DB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Fink, D., T. Auer, A. Johnston, V. Ruiz-Gutierrez, W. M. Hochachka, and S. Kelling. 2020a. </w:t>
      </w:r>
      <w:r w:rsidRPr="008759C3">
        <w:rPr>
          <w:rFonts w:cs="Times New Roman"/>
          <w:noProof/>
          <w:szCs w:val="24"/>
        </w:rPr>
        <w:lastRenderedPageBreak/>
        <w:t>Modeling avian full annual cycle distribution and population trends with citizen science data. Ecological Applications 30:1–16.</w:t>
      </w:r>
    </w:p>
    <w:p w14:paraId="2512E93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Fink, D., T. Auer, A. Johnston, M. Strimas-Mackey, O. Robinson, S. Ligocki, B. Petersen, C. Wood, I. Davies, B. Sullivan, M. Iliff, and S. Kelling. 2020b. eBird Status and Trends, Data Version: 2018; Released: 2020. Cornell Lab of Ornithology, Ithaca, New York.</w:t>
      </w:r>
    </w:p>
    <w:p w14:paraId="618915F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Finn, D. S., N. Bonada, C. Múrria, and J. M. Hughes. 2011. Small but mighty: headwaters are vital to stream network biodiversity at two levels of organization. Journal of the North American Benthological Society 30:963–980.</w:t>
      </w:r>
    </w:p>
    <w:p w14:paraId="631C15F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Fox, E. W., R. A. Hill, S. G. Leibowitz, A. R. Olsen, D. J. Thornbrugh, and M. H. Weber. 2017. Assessing the accuracy and stability of variable selection methods for random forest modeling in ecology. Environmental Monitoring and Assessment 189:316.</w:t>
      </w:r>
    </w:p>
    <w:p w14:paraId="4783AD4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Fullerton, A. H., B. J. Burke, J. J. Lawler, C. E. Torgersen, J. L. Ebersole, and S. G. Leibowitz. 2017. Simulated juvenile salmon growth and phenology respond to altered thermal regimes and stream network shape. Ecosphere 8.</w:t>
      </w:r>
    </w:p>
    <w:p w14:paraId="219A482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Giam, X., W. Chen, T. A. Schriever, R. Van Driesche, R. Muneepeerakul, D. A. Lytle, and J. D. Olden. 2017. Hydrology drives seasonal variation in dryland stream macroinvertebrate communities. Aquatic Sciences 79:705–717.</w:t>
      </w:r>
    </w:p>
    <w:p w14:paraId="36CE696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Goodrich, B., J. Gabry, I. Ali, and S. Brilleman. 2018. Package ‘rstanarm’’: Bayesian Applied Regression Medeling via Stan.’ (Available from: http://mc-stan.org/)</w:t>
      </w:r>
    </w:p>
    <w:p w14:paraId="27ADF2C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Gounand, I., C. J. Little, E. Harvey, and F. Altermatt. 2018. Cross-ecosystem carbon flows connecting ecosystems worldwide. Nature Communications 9:4825.</w:t>
      </w:r>
    </w:p>
    <w:p w14:paraId="574780C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Gratton, C., D. Hoekman, J. Dreyer, and R. D. Jackson. 2017. Increased duration of aquatic resource pulse alters community and ecosystem responses in a subarctic plant community. Ecology 98:2860–2872.</w:t>
      </w:r>
    </w:p>
    <w:p w14:paraId="6D242CE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Gratton, C., and M. . Vander Zanden. 2009. Flux of aquatic insect productivity to land: comparison of lentic and lotic ecosystems. Ecology 90:2689–2699.</w:t>
      </w:r>
    </w:p>
    <w:p w14:paraId="1FDAA4B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Greenwood, M. J. 2014. More than a barrier: The complex effects of ecotone vegetation type on terrestrial consumer consumption of an aquatic prey resource. Austral Ecology 39:941–951.</w:t>
      </w:r>
    </w:p>
    <w:p w14:paraId="21EE707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Greenwood, M. J., and D. J. Booker. 2016. Influence of hydrological regime and land cover on traits and potential export capacity of adult aquatic insects from river channels. Oecologia 180:551–566.</w:t>
      </w:r>
    </w:p>
    <w:p w14:paraId="535DCA4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Gregorutti, B., B. Michel, and P. Saint-Pierre. 2017. Correlation and variable importance in random forests. Statistics and Computing 27:659–678.</w:t>
      </w:r>
    </w:p>
    <w:p w14:paraId="50266E2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Greig, H. S., P. Kratina, P. L. Thompson, and W. J. Palen. 2012. Warming, eutrophication, and predator loss amplify subsidies between aquatic and terrestrial ecosystems. Global Change Biology 18:504–514.</w:t>
      </w:r>
    </w:p>
    <w:p w14:paraId="6D5C658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Hadwen, W. L., C. S. Fellows, D. Westhorpe, G. N. Rees, S. M. Mitrovic, B. Taylor, D. S. Baldwin, E. Silvester, and R. Croome. 2010. Longitudinal trends in river functioning: Patterns of nutrient and carbin processing in three Australian rivers. River Research and Applications 26:1129–1152.</w:t>
      </w:r>
    </w:p>
    <w:p w14:paraId="0CB0791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Hamilton, A. T., R. B. Schäfer, M. I. Pyne, B. Chessman, K. Kakouei, K. S. Boersma, P. F. M. Verdonschot, R. C. M. Verdonschot, M. Mims, K. Khamis, B. Bierwagen, and J. Stamp. </w:t>
      </w:r>
      <w:r w:rsidRPr="008759C3">
        <w:rPr>
          <w:rFonts w:cs="Times New Roman"/>
          <w:noProof/>
          <w:szCs w:val="24"/>
        </w:rPr>
        <w:lastRenderedPageBreak/>
        <w:t>2020. Limitations of trait-based approaches for stressor assessment: The case of freshwater invertebrates and climate drivers. Global Change Biology 26:364–379.</w:t>
      </w:r>
    </w:p>
    <w:p w14:paraId="69230B8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Harding, J. S., and M. J. Winterbourn. 1995. Effects of contrasting land use on physico-chemical conditions and benthic assemblages of streams in a canterbury (South Island, New Zealand) river system. New Zealand Journal of Marine and Freshwater Research 29:479–492.</w:t>
      </w:r>
    </w:p>
    <w:p w14:paraId="007D0FA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Hargrove, W. W., and F. M. Hoffman. 2004. Potential of multivariate quantitative methods for delineation and visualization of ecoregions. Environmental Management 34:39–60.</w:t>
      </w:r>
    </w:p>
    <w:p w14:paraId="58CE77E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Harris, C., M. Thoms, and M. Scown. 2009. The ecohydrology of stream networks. Ecohydrology of Surface and Groundwater Dependent Systems: Concepts, Methods and Recent Developments 328:127–136.</w:t>
      </w:r>
    </w:p>
    <w:p w14:paraId="03DB750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Heffernan, J. B., P. A. Soranno, M. J. Angilletta, L. B. Buckley, D. S. Gruner, T. H. Keitt, J. R. Kellner, J. S. Kominoski, A. V. Rocha, J. Xiao, T. K. Harms, S. J. Goring, L. E. Koenig, W. H. McDowell, H. Powell, A. D. Richardson, C. A. Stow, R. Vargas, and K. C. Weathers. 2014. Macrosystems ecology: Understanding ecological patterns and processes at continental scales. Frontiers in Ecology and the Environment 12:5–14.</w:t>
      </w:r>
    </w:p>
    <w:p w14:paraId="15262A4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Heino, J., D. Schmera, and T. Eros. 2013. A macroecological perspective of trait patterns in stream communities. Freshwater Biology 58:1539–1555.</w:t>
      </w:r>
    </w:p>
    <w:p w14:paraId="74307BE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Herlihy, A. T., S. G. Paulsen, J. Van Sickle, J. L. Stoddard, C. P. Hawkins, and L. L. Yuan. 2008. Striving for consistency in a national assessment: The challenges of applying a reference-condition approach at a continental scale. Journal of the North American Benthological Society 27:860–877.</w:t>
      </w:r>
    </w:p>
    <w:p w14:paraId="030DF07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Hijmans, R. J. 2020. Package ‘ raster ’: Geographic Data Analysis and Modeling. R Package Documentation.</w:t>
      </w:r>
    </w:p>
    <w:p w14:paraId="48CDB00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Hijmans, R. J., S. E. Cameron, J. L. Parra, P. G. Jones, and A. Jarvis. 2005. Very high resolution interpolated climate surfaces for global land areas. International Journal of Climatology 25:1965–1978.</w:t>
      </w:r>
    </w:p>
    <w:p w14:paraId="15E8123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Hill, R. A., E. W. Fox, S. G. Leibowitz, A. R. Olsen, D. J. Thornbrugh, and M. H. Weber. 2017. Predictive mapping of the biotic condition of conterminous U.S. rivers and streams. Ecological Applications 27:2397–2415.</w:t>
      </w:r>
    </w:p>
    <w:p w14:paraId="030F552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Holt, R. D. 2004. Implications of System Openness for Local Community Structure and Ecosystem Function. Pages 96–114 Foodwebs at the Landscape Level.</w:t>
      </w:r>
    </w:p>
    <w:p w14:paraId="7E432B4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Horton, R. 1945. Erosional Development of streams and their drainage basins: hydrophysical approach to quantitative morphology. Geological Society Of America Bulletin 56:151–180.</w:t>
      </w:r>
    </w:p>
    <w:p w14:paraId="71DF7E9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Hubler, S., D. D. Huff, P. Edwards, and Y. Pan. 2016. The Biological Sediment Tolerance Index: Assessing fine sediments conditions in Oregon streams using macroinvertebrates. Ecological Indicators 67:132–145.</w:t>
      </w:r>
    </w:p>
    <w:p w14:paraId="26090C5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Huryn, A. D., and J. B. Wallace. 2000. Life History and Production of Stream Insects. Annual Review of Entomology 45:83–110.</w:t>
      </w:r>
    </w:p>
    <w:p w14:paraId="442B9EE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IPCC. 2014. Climate Change 2014: Synthesis Report. Contribution of Woeking Groups I, II, III to the 5th Assessment Report of the Intergovernmental Panel on Climate Change.</w:t>
      </w:r>
    </w:p>
    <w:p w14:paraId="587BE55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Iwata, T., S. Nakano, and M. Murakami. 2003. Stream meanders increase insectivorous bird abundance in riparian deciduous forests. Ecography 26:325–337.</w:t>
      </w:r>
    </w:p>
    <w:p w14:paraId="2419801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Jackson, H. B., and L. Fahrig. 2015. Are ecologists conducting research at the optimal scale? Global Ecology and Biogeography 24:52–63.</w:t>
      </w:r>
    </w:p>
    <w:p w14:paraId="0153AB2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Johnston, A., T. Auer, D. Fink, M. Strimas-Mackey, M. Iliff, K. V. Rosenberg, S. Brown, R. Lanctot, A. D. Rodewald, and S. Kelling. 2020. Comparing abundance distributions and range maps in spatial conservation planning for migratory species. Ecological Applications 30:1–13.</w:t>
      </w:r>
    </w:p>
    <w:p w14:paraId="01D9C4D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Jones, C. D., J. K. Hughes, N. Bellouin, S. C. Hardiman, G. S. Jones, J. Knight, S. Liddicoat, F. M. O’Connor, R. J. Andres, C. Bell, K. O. Boo, A. Bozzo, N. Butchart, P. Cadule, K. D. Corbin, M. Doutriaux-Boucher, P. Friedlingstein, J. Gornall, L. Gray, P. R. Halloran, G. Hurtt, W. J. Ingram, J. F. Lamarque, R. M. Law, M. Meinshausen, S. Osprey, E. J. Palin, L. Parsons Chini, T. Raddatz, M. G. Sanderson, A. A. Sellar, A. Schurer, P. Valdes, N. Wood, S. Woodward, M. Yoshioka, and M. Zerroukat. 2011. The HadGEM2-ES implementation of CMIP5 centennial simulations. Geoscientific Model Development 4:543–570.</w:t>
      </w:r>
    </w:p>
    <w:p w14:paraId="1A62605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Kendrick, M. R., A. E. Hershey, and A. D. Huryn. 2019. Disturbance, nutrients, and antecedent flow conditions affect macroinvertebrate community structure and productivity in an Arctic river. Limnology and Oceanography 64:S93–S104.</w:t>
      </w:r>
    </w:p>
    <w:p w14:paraId="4B172AA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van Klink, R., D. E. Bowler, K. B. Gongalsky, and A. B. Swengel. 2020. Meta-analysis reveals declines in terrestrial but increases in freshwater insect abundances. Science 420:417–420.</w:t>
      </w:r>
    </w:p>
    <w:p w14:paraId="52CC44F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Konapala, G., A. Mishra, Y. Wada, and M. E. Mann. 2020. Climate change will affect global water availability through compounding changes in seasonal precipitation and evaporation. Nature Communications 1–10.</w:t>
      </w:r>
    </w:p>
    <w:p w14:paraId="017D7B8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Kraus, J. M., J. Wesner, and D. M. Walters. 2020. Contaminants and Ecological Subsidies. </w:t>
      </w:r>
      <w:r w:rsidRPr="008759C3">
        <w:rPr>
          <w:rFonts w:cs="Times New Roman"/>
          <w:noProof/>
          <w:szCs w:val="24"/>
        </w:rPr>
        <w:lastRenderedPageBreak/>
        <w:t>Contaminants and Ecological Subsidies.</w:t>
      </w:r>
    </w:p>
    <w:p w14:paraId="45F81FA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Lafage, D., E. Bergman, R. L. Eckstein, E. M. Österling, J. P. Sadler, and J. J. Piccolo. 2019. Local and landscape drivers of aquatic-to-terrestrial subsidies in riparian ecosystems: a worldwide meta-analysis. Ecosphere 10:e02697.</w:t>
      </w:r>
    </w:p>
    <w:p w14:paraId="5AE2A24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Lancaster, J., B. J. Downes, and G. K. Dwyer. 2020. Terrestrial–aquatic transitions: Local abundances and movements of mature female caddisflies are related to oviposition habits but not flight capability. Freshwater Biology 65:908–919.</w:t>
      </w:r>
    </w:p>
    <w:p w14:paraId="43778E7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Larsen, S., J. D. Muehlbauer, and E. Marti. 2016. Resource subsidies between stream and terrestrial ecosystems under global change. Global Change Biology 22:2489–2504.</w:t>
      </w:r>
    </w:p>
    <w:p w14:paraId="5CA0AEC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Lehner, B., K. Verdin, and A. Jarvis. 2008. New global Hydrography derived from spaceborne elevation data. Eos Transactions 94–94.</w:t>
      </w:r>
    </w:p>
    <w:p w14:paraId="1B5D58A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Leroux, S. J., and M. Loreau. 2008. Subsidy hypothesis and strength of trophic cascades across ecosystems. Ecology Letters 11:1147–1156.</w:t>
      </w:r>
    </w:p>
    <w:p w14:paraId="671E515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Li, H., and J. Wu. 2004. Use and misuse of landscape indices. Landscape Ecology 19:389–399.</w:t>
      </w:r>
    </w:p>
    <w:p w14:paraId="11232E3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Liaw, A., and M. Wiener. 2002. Classification and Regression by randomForest. R News 2:18–22.</w:t>
      </w:r>
    </w:p>
    <w:p w14:paraId="0DB0523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Loreau, M., N. Mouquet, and R. D. Holt. 2003. Meta-ecosystems: a theoretical framework for a spatial ecosystem ecology. Ecology Letters 6:673–679.</w:t>
      </w:r>
    </w:p>
    <w:p w14:paraId="404DD85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Maasri, A., J. H. Thorp, J. K. Gelhaus, F. Tromboni, S. Chandra, and S. J. Kenner. 2019. Communities associated with the Functional Process Zone scale: A case study of stream macroinvertebrates in endorheic drainages. Science of the Total Environment 677:184–193.</w:t>
      </w:r>
    </w:p>
    <w:p w14:paraId="0571B12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Maechler, M., P. Rousseeuw, A. Struyf, M. Hubert, K. Hornik, M. Studer, P. Roudier, J. Gonzalez, K. Kozlowski, E. Schubert, and K. Murphy. 2019. Package “cluster” for R: ‘Finding Groups in Data’: Cluster Analysis Extended. R package version 2.1.0.</w:t>
      </w:r>
    </w:p>
    <w:p w14:paraId="75A6622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Mallakpour, I., and G. Villarini. 2015. The changing nature of flooding across the central United States. Nature Climate Change 5:250–254.</w:t>
      </w:r>
    </w:p>
    <w:p w14:paraId="0B0FB64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Marcarelli, A. M., C. V. Baxter, M. M. Mineau, and R. O. J. Hall. 2011. Quantity and quality: unifying food web and ecosystem perspectives on the role of resource subsidies in freshwaters. Ecology 92:1215–1225.</w:t>
      </w:r>
    </w:p>
    <w:p w14:paraId="74D17CD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Marczak, L. B., R. M. Thompson, and J. S. Richardson. 2007. Meta-Analysis: Trophic Level, Habitat, and Productivity Shape the Food Web Effects of Resource Subsidies. Eocology 88:140–148.</w:t>
      </w:r>
    </w:p>
    <w:p w14:paraId="23B022C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Martin-Creuzburg, D., C. Kowarik, and D. Straile. 2017. Cross-ecosystem fluxes: Export of polyunsaturated fatty acids from aquatic to terrestrial ecosystems via emerging insects. Science of the Total Environment 577:174–182.</w:t>
      </w:r>
    </w:p>
    <w:p w14:paraId="3732BC6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McCabe, G. J., and D. M. Wolock. 2011. Independent effects of temperature and precipitation on modeled runoff in the conterminous United States. Water Resources Research 47:1–11.</w:t>
      </w:r>
    </w:p>
    <w:p w14:paraId="3072974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McCluney, K. E., N. L. Poff, M. A. Palmer, J. H. Thorp, G. C. Poole, B. S. Williams, M. R. Williams, and J. S. Baron. 2014. Riverine macrosystems ecology: Sensitivity, resistance, and resilience of whole river basins with human alterations. Frontiers in Ecology and the Environment 12:48–58.</w:t>
      </w:r>
    </w:p>
    <w:p w14:paraId="3722732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McElreath, R. 2016. Statistical Rethinking: A Bayesian Course with Examples in R and Stan. </w:t>
      </w:r>
      <w:r w:rsidRPr="008759C3">
        <w:rPr>
          <w:rFonts w:cs="Times New Roman"/>
          <w:noProof/>
          <w:szCs w:val="24"/>
        </w:rPr>
        <w:lastRenderedPageBreak/>
        <w:t>CRC Press, New York.</w:t>
      </w:r>
    </w:p>
    <w:p w14:paraId="3FA8A2B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McGarigal, K., S. Cushman, and E. Ene. 2012. FRAGSTATS v4: Spatial Pattern Analysis Program for Categorical and Continuous Maps.</w:t>
      </w:r>
    </w:p>
    <w:p w14:paraId="43782B5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McKay, L., T. Bondelid, T. Dewald, J. Johnston, R. Moore, and A. Rea. 2012. NHD Plus Version 2: User Guide.</w:t>
      </w:r>
    </w:p>
    <w:p w14:paraId="74246E8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McKie, B. G., L. Sandin, P. E. Carlson, and R. K. Johnson. 2018. Species traits reveal effects of land use, season and habitat on the potential subsidy of stream invertebrates to terrestrial food webs. Aquatic Sciences 80:1–12.</w:t>
      </w:r>
    </w:p>
    <w:p w14:paraId="34B1A99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McManamay, R. A., and C. R. Derolph. 2019. Data descriptor: A stream classification system for the conterminous United States. Scientific Data 6:1–18.</w:t>
      </w:r>
    </w:p>
    <w:p w14:paraId="1EC37FF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Meinshausen, N. 2006. Quantile Regression Forests. Journal of Multivariate Analysis 7:983–999.</w:t>
      </w:r>
    </w:p>
    <w:p w14:paraId="4D0FE69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Meinshausen, N. 2017. Package ‘quantregForest’: Quantile Regression Forests. R Package Documentation 1–8.</w:t>
      </w:r>
    </w:p>
    <w:p w14:paraId="760EF95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Messan, M. R., D. Kopp, D. C. Allen, and Y. Kang. 2018. Dynamical implications of bi-directional resource exchange within a meta-ecosystem. Mathematical Biosciences 301:167–184.</w:t>
      </w:r>
    </w:p>
    <w:p w14:paraId="378146F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Moglen, G. E., E. a. B. Eltahir, and R. L. Bras. 1998. On the sensitivity of drainage density to climate change. Water Resources Research 34:855.</w:t>
      </w:r>
    </w:p>
    <w:p w14:paraId="758B639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Montagano, L., S. J. Leroux, M. A. Giroux, and N. Lecomte. 2019. The strength of ecological subsidies across ecosystems: a latitudinal gradient of direct and indirect impacts on food </w:t>
      </w:r>
      <w:r w:rsidRPr="008759C3">
        <w:rPr>
          <w:rFonts w:cs="Times New Roman"/>
          <w:noProof/>
          <w:szCs w:val="24"/>
        </w:rPr>
        <w:lastRenderedPageBreak/>
        <w:t>webs. Ecology Letters 22:265–274.</w:t>
      </w:r>
    </w:p>
    <w:p w14:paraId="7F78821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Montagano, L., S. J. Leroux, M. Giroux, and N. Lecomte. 2018. The strength of ecological subsidies across ecosystems: a latitudinal gradient of direct and indirect impacts on food webs. Ecology Letters 22:265–274.</w:t>
      </w:r>
    </w:p>
    <w:p w14:paraId="4D240F2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Moore, J. W., M. P. Beakes, H. K. Nesbitt, J. D. Yeakel, D. A. Patterson, L. A. Thompson, C. C. Phillis, D. C. Braun, C. Favaro, D. Scott, C. Carr-Harris, and W. I. Atlas. 2015. Emergent stability in a large, free-flowing watershed. Ecology 96:340–347.</w:t>
      </w:r>
    </w:p>
    <w:p w14:paraId="7B66918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Moore, R. B., and T. G. Dewald. 2016. The Road to NHDPlus - Advancements in Digital Stream Networks and Associated Catchments. Journal of the American Water Resources Association 52:890–900.</w:t>
      </w:r>
    </w:p>
    <w:p w14:paraId="28E8D42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Moore, R. B., L. McKay, A. Rea, T. Bondelid, C. Price, T. Dewald, and C. Johnston. 2019. User’s guide for the national hydrography dataset plus (NHDPlus) high resolution. U.S. Geological Survey 2019–1096:66.</w:t>
      </w:r>
    </w:p>
    <w:p w14:paraId="071F074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Moriasi, D., J. Arnold, M. Van Liew, R. Bingner, R. Harmel, and T. Veith. 2007. Model evaluation guidelines for systematic quantification of accuracy in watershed simulations. American Society of Agricultural and Biological Engineers 50:885–900.</w:t>
      </w:r>
    </w:p>
    <w:p w14:paraId="4C66E9F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Morin, A., and P. Dumont. 1994. A Simple Model to Estimate Growth Rate of Lotic Insect Larvae and Its Value for Estimating Population and Community Production. Journal of the North American Benthological Society 13:357–367.</w:t>
      </w:r>
    </w:p>
    <w:p w14:paraId="232B556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Moyo, S. 2020. Preliminary estimations of insect mediated transfers of mercury and physiologically important fatty acids from water to land. Biomolecules 10:129.</w:t>
      </w:r>
    </w:p>
    <w:p w14:paraId="5078C0C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Muehlbauer, J. D., S. F. Collins, M. W. Doyle, and K. Tockner. 2014. How wide is a stream? Spatial extent of the potential “stream signature” in terrestrial food webs using meta-analysis. Ecology 95:44–55.</w:t>
      </w:r>
    </w:p>
    <w:p w14:paraId="4388D3D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Mulholland, P. J., C. S. Fellows, S. K. Hamilton, E. Marti, E. S. Division, O. Ridge, O. Ridge, N. Dame, K. B. Station, H. Corners, N. Zealand, J. Hall, and W. Hole. 2001. Inter-biome comparison of factors controlling stream metabolism.</w:t>
      </w:r>
    </w:p>
    <w:p w14:paraId="7333730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Nagy, K. A., I. A. Girard, and T. K. Brown. 1999. Energetics of free-ranging mammals, reptiles, and birds. Annual Review of Nutrition 19:247–277.</w:t>
      </w:r>
    </w:p>
    <w:p w14:paraId="17D1064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Nakano, S., and M. Murakami. 2001. Reciprocal subsidies: Dynamic interdependence between terrestrial and aquatic food webs. Proceedings of the National Academy of Sciences of the United States of America 98:166–170.</w:t>
      </w:r>
    </w:p>
    <w:p w14:paraId="48E980F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Nelson, D., J. P. Benstead, A. D. Huryn, W. F. Cross, J. M. Hood, P. W. Johnson, J. R. Junker, G. M. Gíslason, and J. S. Ólafsson. 2017. Experimental whole-stream warming alters community size structure. Global Change Biology 23:2618–2628.</w:t>
      </w:r>
    </w:p>
    <w:p w14:paraId="41057B0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O’Neill, R. V, J. R. Krummel, R. H. Gardner, G. Sugihara, B. Jackson, D. L. DeAngelis, B. T. Milne, M. G. Turner, B. Zygmunt, S. W. Christensen, V. H. Dale, and R. L. Graham. 1988. Indices of landscape pattern. Landscape Ecology 1:153–162.</w:t>
      </w:r>
    </w:p>
    <w:p w14:paraId="0A4D28E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Oksanen, J., F. G. Blanchet, M. Friendly, R. Kindt, P. Legendre, D. Mcglinn, P. R. Minchin, R. B. O’hara, G. L. Simpson, P. Solymos, M. Henry, H. Stevens, E. Szoecs, and H. W. Maintainer. 2019. Package “vegan” Community Ecology Package. R package.</w:t>
      </w:r>
    </w:p>
    <w:p w14:paraId="4D265D8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Patrick, C. J., D. J. McGarvey, J. H. Larson, W. F. Cross, D. C. Allen, A. C. Benke, T. Brey, A. </w:t>
      </w:r>
      <w:r w:rsidRPr="008759C3">
        <w:rPr>
          <w:rFonts w:cs="Times New Roman"/>
          <w:noProof/>
          <w:szCs w:val="24"/>
        </w:rPr>
        <w:lastRenderedPageBreak/>
        <w:t>D. Huryn, J. Jones, C. A. Murphy, C. Ruffing, P. Saffarinia, M. R. Whiles, J. B. Wallace, and G. Woodward. 2019. Precipitation and temperature drive continental-scale patterns in stream invertebrate production. Science Advances 5:1–10.</w:t>
      </w:r>
    </w:p>
    <w:p w14:paraId="53DF3F2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Le Pichon, C., G. Gorges, J. Baudry, F. Goreaud, and P. Boet. 2007. Spatial metrics and methods for riverscapes: quantifying variability in riverine fish habitat patterns. Environmetrics 18:697–712.</w:t>
      </w:r>
    </w:p>
    <w:p w14:paraId="368610E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Poepperl, R. 2000. Benthic secondary production and biomass of insects emerging from a northern German temperate stream. Freshwater Biology 44:199–211.</w:t>
      </w:r>
    </w:p>
    <w:p w14:paraId="5043836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Poff, N. L., B. P. Bledsoe, M. I. Pyne, C. C. Cuhaciyan, and D. M. Carlisle. 2010. Developing linkages between species traits and multiscaled environmental variation to explore vulnerability of stream benthic communities to climate change. Journal of the North American Benthological Society 29:1441–1458.</w:t>
      </w:r>
    </w:p>
    <w:p w14:paraId="4914C83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Poff, N. L., J. D. Olden, D. S. Finn, N. K. M. Vieira, M. P. Simmons, and B. C. Kondratieff. 2006. Functional trait niches of North American lotic insects: traits-based ecological applications in light of phylogenetic relationships. Journal of the North American Benthological Society 25:730–755.</w:t>
      </w:r>
    </w:p>
    <w:p w14:paraId="3D515F2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Poff, N. L. R., E. I. Larson, P. E. Salerno, S. G. Morton, B. C. Kondratieff, A. S. Flecker, K. R. Zamudio, and W. C. Funk. 2018. Extreme streams: species persistence and genomic change in montane insect populations across a flooding gradient. Ecology Letters 21:525–535.</w:t>
      </w:r>
    </w:p>
    <w:p w14:paraId="75BC93C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Polis, G. A., W. B. Anderson, and R. D. Holt. 1997. Toward an integration of landscape and food web ecology: the dynamics of spatially subsidized food webs. Annual Review of Ecology and Systematics 28:289–316.</w:t>
      </w:r>
    </w:p>
    <w:p w14:paraId="5E7E9BC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Popova, O. N., A. Y. Haritonov, N. N. Sushchik, O. N. Makhutova, G. S. Kalachova, A. A. Kolmakova, and M. I. Gladyshev. 2017. Export of aquatic productivity, including highly unsaturated fatty acids, to terrestrial ecosystems via Odonata. Science of the Total Environment 581–582:40–48.</w:t>
      </w:r>
    </w:p>
    <w:p w14:paraId="3A2BE53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Power, M. E., and W. E. Rainey. 2000. Food webs and resource sheds: towards spatially delimiting trophic interactions. Pages 291–314 </w:t>
      </w:r>
      <w:r w:rsidRPr="008759C3">
        <w:rPr>
          <w:rFonts w:cs="Times New Roman"/>
          <w:i/>
          <w:iCs/>
          <w:noProof/>
          <w:szCs w:val="24"/>
        </w:rPr>
        <w:t>in</w:t>
      </w:r>
      <w:r w:rsidRPr="008759C3">
        <w:rPr>
          <w:rFonts w:cs="Times New Roman"/>
          <w:noProof/>
          <w:szCs w:val="24"/>
        </w:rPr>
        <w:t xml:space="preserve"> E. A. J. Hutchings and A. J. A. Stewart (editors). Ecological Consequences of Habitat Heterogeneity.</w:t>
      </w:r>
    </w:p>
    <w:p w14:paraId="4105050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Qiu, Y., S. N. Teng, Y. Zhang, J. Santana, J. C. Svenning, L. Reino, S. Abades, H. Ma, L. Yang, Y. Wu, Z. Y. X. Huang, and C. Xu. 2019. The resolution-dependent role of landscape attributes in shaping macro-scale biodiversity patterns. Global Ecology and Biogeography 28:767–778.</w:t>
      </w:r>
    </w:p>
    <w:p w14:paraId="789E06F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Raitif, J., M. Plantegenest, and J. M. Roussel. 2019. From stream to land: Ecosystem services provided by stream insects to agriculture. Agriculture, Ecosystems and Environment 270–271:32–40.</w:t>
      </w:r>
    </w:p>
    <w:p w14:paraId="617F6CB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Ramey, T. L., and J. S. Richardson. 2017. Terrestrial Invertebrates in the Riparian Zone: Mechanisms Underlying Their Unique Diversity. BioScience 67.</w:t>
      </w:r>
    </w:p>
    <w:p w14:paraId="707A303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Recalde, F. C., C. P. B. Breviglieri, and G. Q. Romero. 2020. Allochthonous aquatic subsidies alleviate predation pressure in terrestrial ecosystems. Ecology 101:e03074.</w:t>
      </w:r>
    </w:p>
    <w:p w14:paraId="1A97E33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Resh, V. H., A. V Brown, A. P. Covich, M. E. Gurtz, W. Hiram, G. W. Minshall, S. R. Reice, A. L. Sheldon, J. B. Wallace, C. Robert, M. E. Gurtz, H. W. Li, and G. W. Minshall. 1988. The Role of Disturbance in Stream Ecology. Journal of the North American Benthological Society 7:433–455.</w:t>
      </w:r>
    </w:p>
    <w:p w14:paraId="4FF4113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Ribera, I., and A. P. Vogler. 2004. Speciation of Iberian diving beetles in Pleistocene refugia (Coleoptera, Dytiscidae). Molecular Ecology 13:179–193.</w:t>
      </w:r>
    </w:p>
    <w:p w14:paraId="614638B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Richardson, J. S., and T. Sato. 2015. Resource subsidy flows across freshwater-terrestrial boundaries and influence on processes linking adjacent ecosystems. Ecohydrology 8:406–415.</w:t>
      </w:r>
    </w:p>
    <w:p w14:paraId="5DFA790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Richardson, J. S., Y. Zhang, and L. B. Marczak. 2010. Resource subsidies across the land-freshwater interface and responses in recipient communities. River Research and Applications 26:55–66.</w:t>
      </w:r>
    </w:p>
    <w:p w14:paraId="6D0101D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Rüegg, J., W. K. Dodds, M. D. Daniels, K. R. Sheehan, C. L. Baker, W. B. Bowden, K. J. Farrell, M. B. Flinn, T. K. Harms, J. B. Jones, L. E. Koenig, J. S. Kominoski, W. H. McDowell, S. P. Parker, A. D. Rosemond, M. T. Trentman, M. Whiles, and W. M. Wollheim. 2016. Baseflow physical characteristics differ at multiple spatial scales in stream networks across diverse biomes. Landscape Ecology 31:119–136.</w:t>
      </w:r>
    </w:p>
    <w:p w14:paraId="5AB167B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Sabo, J. L., and E. M. Hagen. 2012. A network theory for resource exchange between rivers and their watersheds. Water Resources Research 48.</w:t>
      </w:r>
    </w:p>
    <w:p w14:paraId="62E45E4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Sabo, J. L., and M. E. Power. 2002. River-Watershed Exchange : Effects of Riverine Subsidies on Riparian Lizards and Their Terrestrial Prey. Ecology 83:1860–1869.</w:t>
      </w:r>
    </w:p>
    <w:p w14:paraId="6E0277C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Sangireddy, H., R. A. Carothers, C. P. Stark, and P. Passalacqua. 2016. Controls of Climate, Topography, Vegetation, and Lithology on Drainage Density Extracted from High Resolution Topography Data. Journal of Hydrology 537:271–282.</w:t>
      </w:r>
    </w:p>
    <w:p w14:paraId="6FB9016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Schilke, P. R., M. Bartrons, J. M. Gorzo, M. J. Vander Zanden, C. Gratton, R. W. Howe, and A. </w:t>
      </w:r>
      <w:r w:rsidRPr="008759C3">
        <w:rPr>
          <w:rFonts w:cs="Times New Roman"/>
          <w:noProof/>
          <w:szCs w:val="24"/>
        </w:rPr>
        <w:lastRenderedPageBreak/>
        <w:t>M. Pidgeon. 2020. Modeling a cross-ecosystem subsidy: forest songbird response to emergent aquatic insects. Landscape Ecology 35:1587–1604.</w:t>
      </w:r>
    </w:p>
    <w:p w14:paraId="2777A19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Schindler, D. E., and A. P. Smits. 2017. Subsidies of Aquatic Resources in Terrestrial Ecosystems. Ecosystems 20:78–93.</w:t>
      </w:r>
    </w:p>
    <w:p w14:paraId="337FCBB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Schmera, D., D. Árva, P. Boda, E. Bódis, Á. Bolgovics, G. Borics, A. Csercsa, C. Deák, E. Krasznai, B. A. Lukács, P. Mauchart, A. Móra, P. Sály, A. Specziár, K. Süveges, I. Szivák, P. Takács, M. Tóth, G. Várbíró, A. E. Vojtkó, and T. Erős. 2018. Does isolation influence the relative role of environmental and dispersal-related processes in stream networks? An empirical test of the network position hypothesis using multiple taxa. Freshwater Biology 63:74–85.</w:t>
      </w:r>
    </w:p>
    <w:p w14:paraId="48B80B5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Serra, S. R. Q., M. A. S. Graça, S. Dolédec, and M. J. Feio. 2017. Chironomidae traits and life history strategies as indicators of anthropogenic disturbance. Environmental Monitoring and Assessment 189:326.</w:t>
      </w:r>
    </w:p>
    <w:p w14:paraId="5798083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Seybold, H., D. H. Rothman, and J. W. Kirchner. 2017. Climate’s watermark in the geometry of stream networks. Geophysical Research Letters 44:2272–2280.</w:t>
      </w:r>
    </w:p>
    <w:p w14:paraId="7E7FBFE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Shangguan, W., T. Hengl, J. Mendes de Jesus, H. Yuan, and D. Yongjiu. 2017. Mapping the global depth to bedrock for land surface modeling. Journal of Advances in Modeling Earth Systems 9:65–88.</w:t>
      </w:r>
    </w:p>
    <w:p w14:paraId="05F1FB4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Shen, W., G. D. Jenerette, J. Wu, and R. H. Gardner. 2004. Evaluating empirical scaling relations of pattern metrics with simulated landscapes. Ecography 27:459–469.</w:t>
      </w:r>
    </w:p>
    <w:p w14:paraId="2F419E1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Šímová, P., and K. Gdulová. 2012. Landscape indices behavior: A review of scale effects. </w:t>
      </w:r>
      <w:r w:rsidRPr="008759C3">
        <w:rPr>
          <w:rFonts w:cs="Times New Roman"/>
          <w:noProof/>
          <w:szCs w:val="24"/>
        </w:rPr>
        <w:lastRenderedPageBreak/>
        <w:t>Applied Geography 34:385–394.</w:t>
      </w:r>
    </w:p>
    <w:p w14:paraId="035AED9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Smith, V. B., C. H. David, M. B. Cardenas, and Z. L. Yang. 2013. Climate, river network, and vegetation cover relationships across a climate gradient and their potential for predicting effects of decadal-scale climate change. Journal of Hydrology 488:101–109.</w:t>
      </w:r>
    </w:p>
    <w:p w14:paraId="525A734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Spiller, K. J., and R. Dettmers. 2019. Evidence for multiple drivers of aerial insectivore declines in North America. Condor 121:1–13.</w:t>
      </w:r>
    </w:p>
    <w:p w14:paraId="7305636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Statzner, B., S. Doledec, and B. Hugueny. 2004. Biological composition communities trait of European stream invertebrate: the effects of various trait filter assessing types. Ecography 27:470–488.</w:t>
      </w:r>
    </w:p>
    <w:p w14:paraId="30C4375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Statzner, B., and V. H. Resh. 1993. Oecologia Multiple-site and -year analyses of stream insect emergence: a test of ecological theory. Oecologia 96:65–79.</w:t>
      </w:r>
    </w:p>
    <w:p w14:paraId="728D0B3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Stenroth, K., L. E. Polvi, E. Fältström, and M. Jonsson. 2015. Land-use effects on terrestrial consumers through changed size structure of aquatic insects. Freshwater Biology 60:136–149.</w:t>
      </w:r>
    </w:p>
    <w:p w14:paraId="27F3C5F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Stepanian, P. M., S. A. Entrekin, C. E. Wainwright, D. Mirkovic, J. L. Tank, and J. F. Kelly. 2020. Declines in an abundant aquatic insect, the burrowing mayfly, across major North American waterways. Proceedings of the National Academy of Sciences of the United States of America 117:2987–2992.</w:t>
      </w:r>
    </w:p>
    <w:p w14:paraId="4DFEB38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Stoddard, J. L., A. T. Herlihy, D. V Peck, R. M. Hughes, R. Thomas, E. Tarquinio, J. L. Stoddard, A. T. Herlihy, D. V Peck, and T. R. Whittier. 2008. A process for creating multimetric indices for large-scale aquatic surveys. Journal of the North American </w:t>
      </w:r>
      <w:r w:rsidRPr="008759C3">
        <w:rPr>
          <w:rFonts w:cs="Times New Roman"/>
          <w:noProof/>
          <w:szCs w:val="24"/>
        </w:rPr>
        <w:lastRenderedPageBreak/>
        <w:t>Benthological Society 27:878–891.</w:t>
      </w:r>
    </w:p>
    <w:p w14:paraId="3F3931B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Subalusky, A. L., and D. M. Post. 2018. Context dependency of animal resource subsidies. Biological Reviews 94:517–538.</w:t>
      </w:r>
    </w:p>
    <w:p w14:paraId="1035B2E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Tanentzap, A. J., B. W. Kielstra, G. M. Wilkinson, M. Berggren, N. Craig, P. A. del Giorgio, J. Grey, J. M. Gunn, S. E. Jones, J. Karlsson, C. T. Solomon, and M. L. Pace. 2017. Terrestrial support of lake food webs: Synthesis reveals controls over cross-ecosystem resource use. Science Advances 3:e1601765.</w:t>
      </w:r>
    </w:p>
    <w:p w14:paraId="771DAEF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Thoms, M. C., and M. Parsons. 2002. Eco-geomorphology : an interdisciplinary approach to river science. The Structure, Function and Management Implications of Fluvial Sedimentary Systems (Proceedings of an international symposium held at Alice Springs, Australia, September 2002). IAHS Publ. no. 276, 2002. 113–119.</w:t>
      </w:r>
    </w:p>
    <w:p w14:paraId="48CF4D5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Thoms, M., M. Scown, and J. Flotemersch. 2018. Characterization of River Networks: A GIS Approach and Its Applications. Journal of the American Water Resources Association 54:899–913.</w:t>
      </w:r>
    </w:p>
    <w:p w14:paraId="53D7FC2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Thorp, J. H., J. E. Flotemersch, M. D. Delong, A. F. Casper, M. C. Thoms, F. Ballantyne, B. S. Williams, B. J. O’Neill, and C. S. Haase. 2010. Linking Ecosystem Services, Rehabilitation, and River Hydrogeomorphology. BioScience 60:67–74.</w:t>
      </w:r>
    </w:p>
    <w:p w14:paraId="1FF1E27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Thorp, J. H., M. C. Thoms, and M. D. Delong. 2006. The riverine ecosystem synthesis: Biocomplexity in river networks across space and time. River Research and Applications 22:123–147.</w:t>
      </w:r>
    </w:p>
    <w:p w14:paraId="1D8A288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Thorp, J., M. Thoms, and D. Michael. 2008. The Riverine Ecosystem Synthesis: towards a </w:t>
      </w:r>
      <w:r w:rsidRPr="008759C3">
        <w:rPr>
          <w:rFonts w:cs="Times New Roman"/>
          <w:noProof/>
          <w:szCs w:val="24"/>
        </w:rPr>
        <w:lastRenderedPageBreak/>
        <w:t>conceptual cohesiveness in river science. Elsevier, Oxford, UK.</w:t>
      </w:r>
    </w:p>
    <w:p w14:paraId="5841A47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Tonkin, J. D., F. Altermatt, D. S. Finn, J. Heino, J. D. Olden, S. U. Pauls, and D. A. Lytle. 2017. The role of dispersal in river network metacommunities: Patterns, processes, and pathways. Freshwater Biology 141–163.</w:t>
      </w:r>
    </w:p>
    <w:p w14:paraId="694EAEB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Tonkin, J. D., J. Heino, A. Sundermann, P. Haase, and S. C. Jähnig. 2016. Context dependency in biodiversity patterns of central German stream metacommunities. Freshwater Biology 61:607–620.</w:t>
      </w:r>
    </w:p>
    <w:p w14:paraId="0A915B4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Townsend, C. R., and A. G. Hildrew. 1994. Species Traits in relation to a habitat templet for river systems. Freshwater Biology 31:265–275.</w:t>
      </w:r>
    </w:p>
    <w:p w14:paraId="0567807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Turner, M. G. 1989. Landscape Ecology: The Effect of Pattern on Process. Annual Review of Ecology and Systematics 20:171–197.</w:t>
      </w:r>
    </w:p>
    <w:p w14:paraId="6EB9497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Turner, M. G., and F. S. Chapin. 2005. Causes and Consequences of Spatial Heterogeneity in Ecosystem Function. Pages 30–51 </w:t>
      </w:r>
      <w:r w:rsidRPr="008759C3">
        <w:rPr>
          <w:rFonts w:cs="Times New Roman"/>
          <w:i/>
          <w:iCs/>
          <w:noProof/>
          <w:szCs w:val="24"/>
        </w:rPr>
        <w:t>in</w:t>
      </w:r>
      <w:r w:rsidRPr="008759C3">
        <w:rPr>
          <w:rFonts w:cs="Times New Roman"/>
          <w:noProof/>
          <w:szCs w:val="24"/>
        </w:rPr>
        <w:t xml:space="preserve"> G. M. Lovett, C. J. Jones, M. G. Turner, and K. C. Weathers (editors). Ecosystem Function in Heterogeneous Landscapes. Springer S, New York.</w:t>
      </w:r>
    </w:p>
    <w:p w14:paraId="55448FC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Turner, M. G., and R. H. Gardner. 2015. Landscape Ecology in Theory and Practice. Second. Springer-Verlag, New York.</w:t>
      </w:r>
    </w:p>
    <w:p w14:paraId="424CC9F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Turner, M. G., R. V. O’Neill, R. H. Gardner, and B. T. Milne. 1989. Effects of changing spatial extent on landscape pattern analysis. Landscape Ecology 3:153–162.</w:t>
      </w:r>
    </w:p>
    <w:p w14:paraId="16EDE30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Twining, C. W., J. T. Brenna, P. Lawrence, D. W. Winkler, A. S. Flecker, and N. G. Hairston. 2019. Aquatic and terrestrial resources are not nutritionally reciprocal for consumers. </w:t>
      </w:r>
      <w:r w:rsidRPr="008759C3">
        <w:rPr>
          <w:rFonts w:cs="Times New Roman"/>
          <w:noProof/>
          <w:szCs w:val="24"/>
        </w:rPr>
        <w:lastRenderedPageBreak/>
        <w:t>Functional Ecology 0–2.</w:t>
      </w:r>
    </w:p>
    <w:p w14:paraId="3F2C320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Twining, C. W., J. R. Shipley, and D. W. Winkler. 2018. Aquatic insects rich in omega-3 fatty acids drive breeding success in a widespread bird. Ecology Letters 21:1812–1820.</w:t>
      </w:r>
    </w:p>
    <w:p w14:paraId="1D881B4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 EPA. 2012. Freshwater Biological Traits Database. Global Change Research Program, National Center for Environmental Assessment, Washington, DC EPA/600/R-11/038F. Washington, DC. (Available from: http://www.epa.gov/ncea)</w:t>
      </w:r>
    </w:p>
    <w:p w14:paraId="098A1E8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 EPA. 2016a. National Rivers and Streams Assessment 2008-2009: Technical Report, Office of Water and Office of Research and Development, Washington, DC EPA-841-R-16-008.</w:t>
      </w:r>
    </w:p>
    <w:p w14:paraId="12C1BDF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 EPA. 2016b. National Rivers and Streams Assessment 2008-2009: A Collaborative Survey, Office of Water and Office of Research and Development, Washington, DC EPA-841-R-16-008. Washington, DC. (Available from: http://www.epa.gov/national‐aquatic‐resource‐surveys/nrsa)</w:t>
      </w:r>
    </w:p>
    <w:p w14:paraId="2DA18AE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Uno, H. 2016. Stream thermal heterogeneity prolongs aquatic-terrestrial subsidy and enhances riparian spider growth. Ecology 97:2547–2553.</w:t>
      </w:r>
    </w:p>
    <w:p w14:paraId="295B193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Uno, H., and M. E. Power. 2015. Mainstem-tributary linkages by mayfly migration help sustain salmonids in a warming river network. Ecology Letters 18:1012–1020.</w:t>
      </w:r>
    </w:p>
    <w:p w14:paraId="26E2FD2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USGCRP. 2018. Fourth National Climate Assessment. (D. R. Reidmiller, C. W. Avery, D. R. Easterline, K. E. Kunkel, K. L. M. Lewis, T. K. Maycock, and B. C. Stewart, Eds.). U.S. Global Change Research Program, Washington, DC.</w:t>
      </w:r>
    </w:p>
    <w:p w14:paraId="6D17183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Usseglio-Polatera, P., M. Bournaud, P. Richoux, and H. Tachet. 2000. Biological and ecological traits of benthic freshwater macroinvertebrates: Relationships and definition of groups with </w:t>
      </w:r>
      <w:r w:rsidRPr="008759C3">
        <w:rPr>
          <w:rFonts w:cs="Times New Roman"/>
          <w:noProof/>
          <w:szCs w:val="24"/>
        </w:rPr>
        <w:lastRenderedPageBreak/>
        <w:t>similar traits. Freshwater Biology 43:175–205.</w:t>
      </w:r>
    </w:p>
    <w:p w14:paraId="2A08B54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Vehtari, A., A. Gelman, and J. Gabry. 2017. Practical Bayesian model evaluation using leave-one-out cross-validation and WAIC. Statistics and Computing 27:1413–1432.</w:t>
      </w:r>
    </w:p>
    <w:p w14:paraId="2B1FEAD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Verberk, W. C. E. P., C. G. E. Van Noordwijk, and A. G. Hildrew. 2013. Delivering on a promise: Integrating species traits to transform descriptive community ecology into a predictive science. Freshwater Science 32:531–547.</w:t>
      </w:r>
    </w:p>
    <w:p w14:paraId="0280355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Verberk, W. C. E. P., H. Siepel, and H. Esselink. 2008. Life-history strategies in freshwater macroinvertebrates. Freshwater Biology 53:1722–1738.</w:t>
      </w:r>
    </w:p>
    <w:p w14:paraId="0B8ADCD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Vieira, N. K. M., N. L. Poff, D. M. Carlisle, S. R. Moulton, M. L. Koski, and B. C. Kondratieff. 2006. A Database of Lotic Invertebrate Traits for North America. Data Series 187. http://pubs.water.usgs.gov/ds187i. (Available from: http://pubs.water.usgs.gov/ds187)</w:t>
      </w:r>
    </w:p>
    <w:p w14:paraId="6945F6B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Viger, R. J., A. Rea, J. D. Simley, and K. M. Hanson. 2016. NHDPlusHR: A National Geospatial Framework for Surface-Water Information. Journal of the American Water Resources Association 52:901–905.</w:t>
      </w:r>
    </w:p>
    <w:p w14:paraId="3C16FBE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Walling, D. E. 1999. Linking land use, erosion and sediment yields in river basins. Hydrobiologia 410:223–240.</w:t>
      </w:r>
    </w:p>
    <w:p w14:paraId="58CA9C4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Ward, J. V., F. Malard, and K. Tockner. 2002. Landscape ecology: a framework for integrating pattern and process in river corridors. 17:35–45.</w:t>
      </w:r>
    </w:p>
    <w:p w14:paraId="6FD9C44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Watanabe, S. 2010. Asymptotic Equivalence of Bayes Cross Validation and Widely Applicable Information Criterion in Singular Learning Theory. 11:3571–3594.</w:t>
      </w:r>
    </w:p>
    <w:p w14:paraId="104ACC8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Waters, T. F. 1977. Secondary Production in Inland Waters. Advances in Ecological Research </w:t>
      </w:r>
      <w:r w:rsidRPr="008759C3">
        <w:rPr>
          <w:rFonts w:cs="Times New Roman"/>
          <w:noProof/>
          <w:szCs w:val="24"/>
        </w:rPr>
        <w:lastRenderedPageBreak/>
        <w:t>10:91–164.</w:t>
      </w:r>
    </w:p>
    <w:p w14:paraId="2094311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Wesner, J. S., D. L. Swanson, M. D. Dixon, D. A. Soluk, D. J. Quist, L. A. Yager, J. W. Warmbold, E. Oddy, and T. C. Seidel. 2020. Loss of Potential Aquatic-Terrestrial Subsidies Along the Missouri River Floodplain. Ecosystems 23:111–123.</w:t>
      </w:r>
    </w:p>
    <w:p w14:paraId="702B994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Wesner, J., D. Walters, and R. Zuellig. 2019. Pulsed salmonfly emergence and its potential contribution to terrestrial detrital pools. Food Webs 18:e00105.</w:t>
      </w:r>
    </w:p>
    <w:p w14:paraId="53A4A19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Whiles, M. R., and J. B. Wallace. 1995. Macroinvertebrate production in a headwater stream during recovery from anthropogenic disturbance and hydrologic extremes. Canadian Journal of Fisheries and Aquatic Sciences 52:2402–2422.</w:t>
      </w:r>
    </w:p>
    <w:p w14:paraId="6DD82BD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White, M. S., B. G. Tavernia, P. B. Shafroth, T. B. Chapman, and J. S. Sanderson. 2018. Vegetative and geomorphic complexity at tributaty jusctions on Colorago and Delores Rivers: a blueprint for riparian restoration. Landscape Ecology.</w:t>
      </w:r>
    </w:p>
    <w:p w14:paraId="1916DF5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Wiens, J. A. 1989. Spatial scaling in ecology. Functional Ecology 3:385–397.</w:t>
      </w:r>
    </w:p>
    <w:p w14:paraId="1D8255A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Williams, B. S., E. D’Amico, J. H. Kastens, J. H. Thorp, J. E. Flotemersch, and M. C. Thoms. 2013. Automated riverine landscape characterization: GIS-based tools for watershed-scale research, assessment, and management. Environmental Monitoring and Assessment 185:7485–7499.</w:t>
      </w:r>
    </w:p>
    <w:p w14:paraId="2C1DEEF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Wohl, E. 2004. Limits of downstream hydraulic geometry. Geology 32:897–900.</w:t>
      </w:r>
    </w:p>
    <w:p w14:paraId="136481A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Woodward, G., D. M. Perkins, and L. E. Brown. 2010. Climate change and freshwater ecosystems: impacts across multiple levels of organization. Philosophical transactions of the Royal Society B 365:2093–2106.</w:t>
      </w:r>
    </w:p>
    <w:p w14:paraId="11CD841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Wu, J. 2004. Effects of changing scale on landscape pattern analysis: Scaling relations. Landscape Ecology 19:125–138.</w:t>
      </w:r>
    </w:p>
    <w:p w14:paraId="1450F2D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and H. Li. 2006. Concepts of scale and scaling. Scaling and Uncertainty Analysis in Ecology: Methods and Applications 3–15.</w:t>
      </w:r>
    </w:p>
    <w:p w14:paraId="0082154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and O. Loucks. 1995. From Balance of Nature to Hierarchical Patch Dynamics : A Paradigm Shift in Ecology. The Quarterly Review of Biology 70:439–466.</w:t>
      </w:r>
    </w:p>
    <w:p w14:paraId="1977FEF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W. Shen, W. Sun, and P. T. Tueller. 2002. Empirical patterns of the effects of changing scale on landscape metrics. Landscape Ecology 17:761–782.</w:t>
      </w:r>
    </w:p>
    <w:p w14:paraId="2B7D3B5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Xu, C., S. Zhao, and S. Liu. 2020. Spatial scaling of multiple landscape features in the conterminous United States. Landscape Ecology 35:223–247.</w:t>
      </w:r>
    </w:p>
    <w:p w14:paraId="7E59AC3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Yager, L. A., M. D. Dixon, T. C. Cowman, and D. A. Soluk. 2013. Historic changes (1941-2008) in side channel and backwater habitats on an unchannelized reach of the missouri river. River Research and Applications 29:493–501.</w:t>
      </w:r>
    </w:p>
    <w:p w14:paraId="51309FF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Yang, L. H., K. F. Edwards, J. E. Byrnes, J. L. Bastow, A. N. Wright, and K. O. Spence. 2010. A meta-analysis of resource pulse–consumer interactions. Ecological Monographs 80:125–151.</w:t>
      </w:r>
    </w:p>
    <w:p w14:paraId="5176CBF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Yeakel, J. D., J. W. Moore, P. R. Guimarães, and M. A. M. de Aguiar. 2014. Synchronisation and stability in river metapopulation networks. Ecology Letters 17:273–283.</w:t>
      </w:r>
    </w:p>
    <w:p w14:paraId="557C4DE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Yu, H., M. Chin, T. Yuan, H. Bian, L. A. Remer, J. M. Prospero, A. Omar, D. Winker, Y. Yang, Y. Zhang, Z. Zhang, and C. Zhao. 2015. The fertilizing role of African dust in the Amazon rainforest: A first multiyear assessment based on data from Cloud-Aerosol Lidar and </w:t>
      </w:r>
      <w:r w:rsidRPr="008759C3">
        <w:rPr>
          <w:rFonts w:cs="Times New Roman"/>
          <w:noProof/>
          <w:szCs w:val="24"/>
        </w:rPr>
        <w:lastRenderedPageBreak/>
        <w:t>Infrared Pathfinder Satellite Observations. Geophysical Research Letters 42:1984–1991.</w:t>
      </w:r>
    </w:p>
    <w:p w14:paraId="1CC64C99" w14:textId="77777777" w:rsidR="008759C3" w:rsidRPr="008759C3" w:rsidRDefault="008759C3" w:rsidP="008759C3">
      <w:pPr>
        <w:widowControl w:val="0"/>
        <w:autoSpaceDE w:val="0"/>
        <w:autoSpaceDN w:val="0"/>
        <w:adjustRightInd w:val="0"/>
        <w:spacing w:line="480" w:lineRule="auto"/>
        <w:ind w:left="480" w:hanging="480"/>
        <w:rPr>
          <w:rFonts w:cs="Times New Roman"/>
          <w:noProof/>
        </w:rPr>
      </w:pPr>
      <w:r w:rsidRPr="008759C3">
        <w:rPr>
          <w:rFonts w:cs="Times New Roman"/>
          <w:noProof/>
          <w:szCs w:val="24"/>
        </w:rPr>
        <w:t>Zhao, M., and S. W. Running. 2010. Drought-Induced Reduction in Global Terrestrial Net Primary Production from 2000 Through 2009. Science 329:940–944.</w:t>
      </w:r>
    </w:p>
    <w:p w14:paraId="2AA9F929" w14:textId="77777777" w:rsidR="00333AA3" w:rsidRPr="00CE368E" w:rsidRDefault="00333AA3" w:rsidP="0097280E">
      <w:pPr>
        <w:spacing w:line="480" w:lineRule="auto"/>
        <w:contextualSpacing/>
        <w:rPr>
          <w:rFonts w:cs="Times New Roman"/>
          <w:b/>
          <w:szCs w:val="24"/>
        </w:rPr>
        <w:sectPr w:rsidR="00333AA3" w:rsidRPr="00CE368E" w:rsidSect="00C02A3F">
          <w:footerReference w:type="default" r:id="rId19"/>
          <w:pgSz w:w="12240" w:h="15840"/>
          <w:pgMar w:top="1440" w:right="1440" w:bottom="1440" w:left="1440" w:header="720" w:footer="720" w:gutter="0"/>
          <w:cols w:space="720"/>
          <w:docGrid w:linePitch="360"/>
        </w:sectPr>
      </w:pPr>
      <w:r>
        <w:rPr>
          <w:rFonts w:cs="Times New Roman"/>
          <w:b/>
          <w:szCs w:val="24"/>
        </w:rPr>
        <w:fldChar w:fldCharType="end"/>
      </w:r>
    </w:p>
    <w:p w14:paraId="622D2B9A" w14:textId="227CA46A" w:rsidR="00333AA3" w:rsidRPr="004A70A1" w:rsidRDefault="004A70A1" w:rsidP="004A70A1">
      <w:pPr>
        <w:pStyle w:val="Caption"/>
        <w:keepNext/>
      </w:pPr>
      <w:bookmarkStart w:id="46" w:name="_Toc60480685"/>
      <w:bookmarkStart w:id="47" w:name="_Toc61883050"/>
      <w:r>
        <w:lastRenderedPageBreak/>
        <w:t xml:space="preserve">Table </w:t>
      </w:r>
      <w:fldSimple w:instr=" STYLEREF 1 \s ">
        <w:r w:rsidR="000C6138">
          <w:rPr>
            <w:noProof/>
          </w:rPr>
          <w:t>2</w:t>
        </w:r>
      </w:fldSimple>
      <w:r w:rsidR="004F311A">
        <w:t>.</w:t>
      </w:r>
      <w:fldSimple w:instr=" SEQ Table \* ARABIC \s 1 ">
        <w:r w:rsidR="000C6138">
          <w:rPr>
            <w:noProof/>
          </w:rPr>
          <w:t>1</w:t>
        </w:r>
      </w:fldSimple>
      <w:r>
        <w:t xml:space="preserve">. </w:t>
      </w:r>
      <w:r w:rsidR="00333AA3">
        <w:rPr>
          <w:rFonts w:cs="Times New Roman"/>
          <w:szCs w:val="24"/>
        </w:rPr>
        <w:t xml:space="preserve">Description of trait-states potentially effecting the spatial and temporal characteristics of aquatic insect subsidies in terrestrial ecosystems. Modified from </w:t>
      </w:r>
      <w:proofErr w:type="spellStart"/>
      <w:r w:rsidR="00333AA3" w:rsidRPr="00AE6037">
        <w:rPr>
          <w:rFonts w:cs="Times New Roman"/>
          <w:szCs w:val="24"/>
        </w:rPr>
        <w:t>McKie</w:t>
      </w:r>
      <w:proofErr w:type="spellEnd"/>
      <w:r w:rsidR="00333AA3" w:rsidRPr="00AE6037">
        <w:rPr>
          <w:rFonts w:cs="Times New Roman"/>
          <w:szCs w:val="24"/>
        </w:rPr>
        <w:t xml:space="preserve"> et al </w:t>
      </w:r>
      <w:r w:rsidR="00333AA3">
        <w:rPr>
          <w:rFonts w:cs="Times New Roman"/>
          <w:szCs w:val="24"/>
        </w:rPr>
        <w:t>(</w:t>
      </w:r>
      <w:r w:rsidR="00333AA3" w:rsidRPr="00AE6037">
        <w:rPr>
          <w:rFonts w:cs="Times New Roman"/>
          <w:szCs w:val="24"/>
        </w:rPr>
        <w:t>2018</w:t>
      </w:r>
      <w:r w:rsidR="00333AA3">
        <w:rPr>
          <w:rFonts w:cs="Times New Roman"/>
          <w:szCs w:val="24"/>
        </w:rPr>
        <w:t xml:space="preserve">) and The Freshwater Traits Database </w:t>
      </w:r>
      <w:r w:rsidR="00333AA3">
        <w:rPr>
          <w:rFonts w:cs="Times New Roman"/>
          <w:szCs w:val="24"/>
        </w:rPr>
        <w:fldChar w:fldCharType="begin" w:fldLock="1"/>
      </w:r>
      <w:r w:rsidR="00306019">
        <w:rPr>
          <w:rFonts w:cs="Times New Roman"/>
          <w:szCs w:val="24"/>
        </w:rPr>
        <w:instrText>ADDIN CSL_CITATION {"citationItems":[{"id":"ITEM-1","itemData":{"abstract":"This is the final document for the traits freshwater biological database collection. ly contains traits data for 3,857 North American macroinvertebrate taxa and includes habitat, life history, mobility, morphology, and ecological trait data. Species traits are the characteristics that explain an organisms’ relationship to the surrounding environment, including how it grows, feeds and moves. The traits data were compiled for a project on climate change effects on river and stream ecosystems that was conducted by the Global Change Research Program in the National Center for Environmental Assessment in the U.S. EPA Office of Research and Development. The traits data were gathered from multiple sources. Data gathering efforts focused on data that were published or well-documented, available, appropriate for the regions being studied, in a standardized format that could be analyzed or easily converted to a format that could be analyzed, and ecologically relevant to the gradients being considered. The database has been posted online to facilitate further research. This is intended to be a ‘living’ database, and researchers are encouraged to contribute data and provide suggestions or feedback on how the database can be expanded and improved upon in the future. Preferred","author":[{"dropping-particle":"","family":"U.S. EPA","given":"","non-dropping-particle":"","parse-names":false,"suffix":""}],"id":"ITEM-1","issued":{"date-parts":[["2012"]]},"number-of-pages":"99","publisher-place":"Washington, DC","title":"Freshwater Biological Traits Database. Global Change Research Program, National Center for Environmental Assessment, Washington, DC EPA/600/R-11/038F","type":"report"},"uris":["http://www.mendeley.com/documents/?uuid=65ec64f8-a024-419f-b631-8aa2c00e80b1"]}],"mendeley":{"formattedCitation":"(U.S. EPA 2012)","plainTextFormattedCitation":"(U.S. EPA 2012)","previouslyFormattedCitation":"(U.S. EPA 2012)"},"properties":{"noteIndex":0},"schema":"https://github.com/citation-style-language/schema/raw/master/csl-citation.json"}</w:instrText>
      </w:r>
      <w:r w:rsidR="00333AA3">
        <w:rPr>
          <w:rFonts w:cs="Times New Roman"/>
          <w:szCs w:val="24"/>
        </w:rPr>
        <w:fldChar w:fldCharType="separate"/>
      </w:r>
      <w:r w:rsidR="0034241C" w:rsidRPr="0034241C">
        <w:rPr>
          <w:rFonts w:cs="Times New Roman"/>
          <w:noProof/>
          <w:szCs w:val="24"/>
        </w:rPr>
        <w:t>(U.S. EPA 2012)</w:t>
      </w:r>
      <w:r w:rsidR="00333AA3">
        <w:rPr>
          <w:rFonts w:cs="Times New Roman"/>
          <w:szCs w:val="24"/>
        </w:rPr>
        <w:fldChar w:fldCharType="end"/>
      </w:r>
      <w:r w:rsidR="00333AA3">
        <w:rPr>
          <w:rFonts w:cs="Times New Roman"/>
          <w:szCs w:val="24"/>
        </w:rPr>
        <w:t>.</w:t>
      </w:r>
      <w:bookmarkEnd w:id="46"/>
      <w:bookmarkEnd w:id="47"/>
      <w:r w:rsidR="00333AA3">
        <w:rPr>
          <w:rFonts w:cs="Times New Roman"/>
          <w:szCs w:val="24"/>
        </w:rPr>
        <w:t xml:space="preserve"> </w:t>
      </w:r>
    </w:p>
    <w:tbl>
      <w:tblPr>
        <w:tblW w:w="4722" w:type="pct"/>
        <w:tblLayout w:type="fixed"/>
        <w:tblLook w:val="04A0" w:firstRow="1" w:lastRow="0" w:firstColumn="1" w:lastColumn="0" w:noHBand="0" w:noVBand="1"/>
      </w:tblPr>
      <w:tblGrid>
        <w:gridCol w:w="1890"/>
        <w:gridCol w:w="1170"/>
        <w:gridCol w:w="4318"/>
        <w:gridCol w:w="4861"/>
      </w:tblGrid>
      <w:tr w:rsidR="00D8422C" w:rsidRPr="00AE58D1" w14:paraId="468EC088" w14:textId="77777777" w:rsidTr="00F716D3">
        <w:trPr>
          <w:trHeight w:val="261"/>
        </w:trPr>
        <w:tc>
          <w:tcPr>
            <w:tcW w:w="772" w:type="pct"/>
            <w:tcBorders>
              <w:top w:val="nil"/>
              <w:left w:val="nil"/>
              <w:bottom w:val="single" w:sz="4" w:space="0" w:color="auto"/>
              <w:right w:val="nil"/>
            </w:tcBorders>
            <w:vAlign w:val="center"/>
          </w:tcPr>
          <w:p w14:paraId="54C61133" w14:textId="77777777" w:rsidR="00D8422C" w:rsidRPr="00D8422C" w:rsidRDefault="00D8422C" w:rsidP="00866429">
            <w:pPr>
              <w:spacing w:line="240" w:lineRule="auto"/>
              <w:contextualSpacing/>
              <w:jc w:val="center"/>
              <w:rPr>
                <w:rFonts w:eastAsia="Times New Roman" w:cs="Times New Roman"/>
                <w:b/>
                <w:bCs/>
                <w:color w:val="000000"/>
                <w:szCs w:val="24"/>
              </w:rPr>
            </w:pPr>
            <w:r w:rsidRPr="00D8422C">
              <w:rPr>
                <w:rFonts w:eastAsia="Times New Roman" w:cs="Times New Roman"/>
                <w:b/>
                <w:bCs/>
                <w:color w:val="000000"/>
                <w:szCs w:val="24"/>
              </w:rPr>
              <w:t>Trait-State</w:t>
            </w:r>
          </w:p>
        </w:tc>
        <w:tc>
          <w:tcPr>
            <w:tcW w:w="478" w:type="pct"/>
            <w:tcBorders>
              <w:top w:val="nil"/>
              <w:left w:val="nil"/>
              <w:bottom w:val="single" w:sz="4" w:space="0" w:color="auto"/>
              <w:right w:val="nil"/>
            </w:tcBorders>
            <w:shd w:val="clear" w:color="auto" w:fill="auto"/>
            <w:noWrap/>
            <w:vAlign w:val="center"/>
          </w:tcPr>
          <w:p w14:paraId="4D8EC18B" w14:textId="77777777" w:rsidR="00D8422C" w:rsidRPr="00D8422C" w:rsidRDefault="00D8422C" w:rsidP="00866429">
            <w:pPr>
              <w:spacing w:line="240" w:lineRule="auto"/>
              <w:contextualSpacing/>
              <w:jc w:val="center"/>
              <w:rPr>
                <w:rFonts w:eastAsia="Times New Roman" w:cs="Times New Roman"/>
                <w:b/>
                <w:bCs/>
                <w:color w:val="000000"/>
                <w:szCs w:val="24"/>
              </w:rPr>
            </w:pPr>
            <w:r w:rsidRPr="00D8422C">
              <w:rPr>
                <w:rFonts w:eastAsia="Times New Roman" w:cs="Times New Roman"/>
                <w:b/>
                <w:bCs/>
                <w:color w:val="000000"/>
                <w:szCs w:val="24"/>
              </w:rPr>
              <w:t>Name</w:t>
            </w:r>
          </w:p>
        </w:tc>
        <w:tc>
          <w:tcPr>
            <w:tcW w:w="1764" w:type="pct"/>
            <w:tcBorders>
              <w:top w:val="nil"/>
              <w:left w:val="nil"/>
              <w:bottom w:val="single" w:sz="4" w:space="0" w:color="auto"/>
              <w:right w:val="nil"/>
            </w:tcBorders>
            <w:shd w:val="clear" w:color="auto" w:fill="auto"/>
            <w:noWrap/>
            <w:vAlign w:val="center"/>
          </w:tcPr>
          <w:p w14:paraId="78A3E089" w14:textId="77777777" w:rsidR="00D8422C" w:rsidRPr="00D8422C" w:rsidRDefault="00D8422C" w:rsidP="00866429">
            <w:pPr>
              <w:spacing w:after="0" w:line="240" w:lineRule="auto"/>
              <w:contextualSpacing/>
              <w:jc w:val="center"/>
              <w:rPr>
                <w:rFonts w:eastAsia="Times New Roman" w:cs="Times New Roman"/>
                <w:b/>
                <w:bCs/>
                <w:color w:val="000000"/>
                <w:szCs w:val="24"/>
              </w:rPr>
            </w:pPr>
            <w:r w:rsidRPr="00D8422C">
              <w:rPr>
                <w:rFonts w:eastAsia="Times New Roman" w:cs="Times New Roman"/>
                <w:b/>
                <w:bCs/>
                <w:color w:val="000000"/>
                <w:szCs w:val="24"/>
              </w:rPr>
              <w:t>Description</w:t>
            </w:r>
          </w:p>
        </w:tc>
        <w:tc>
          <w:tcPr>
            <w:tcW w:w="1986" w:type="pct"/>
            <w:tcBorders>
              <w:top w:val="nil"/>
              <w:left w:val="nil"/>
              <w:bottom w:val="single" w:sz="4" w:space="0" w:color="auto"/>
              <w:right w:val="nil"/>
            </w:tcBorders>
            <w:shd w:val="clear" w:color="auto" w:fill="auto"/>
            <w:noWrap/>
            <w:vAlign w:val="center"/>
          </w:tcPr>
          <w:p w14:paraId="41E9EF51" w14:textId="77777777" w:rsidR="00D8422C" w:rsidRPr="00D8422C" w:rsidRDefault="00D8422C" w:rsidP="00866429">
            <w:pPr>
              <w:spacing w:after="0" w:line="240" w:lineRule="auto"/>
              <w:contextualSpacing/>
              <w:jc w:val="center"/>
              <w:rPr>
                <w:rFonts w:eastAsia="Times New Roman" w:cs="Times New Roman"/>
                <w:b/>
                <w:bCs/>
                <w:color w:val="000000"/>
                <w:szCs w:val="24"/>
              </w:rPr>
            </w:pPr>
            <w:r w:rsidRPr="00D8422C">
              <w:rPr>
                <w:rFonts w:eastAsia="Times New Roman" w:cs="Times New Roman"/>
                <w:b/>
                <w:bCs/>
                <w:color w:val="000000"/>
                <w:szCs w:val="24"/>
              </w:rPr>
              <w:t>Assumed Function</w:t>
            </w:r>
          </w:p>
        </w:tc>
      </w:tr>
      <w:tr w:rsidR="00D8422C" w:rsidRPr="00FE442E" w14:paraId="6D231B70" w14:textId="77777777" w:rsidTr="00F716D3">
        <w:trPr>
          <w:trHeight w:val="300"/>
        </w:trPr>
        <w:tc>
          <w:tcPr>
            <w:tcW w:w="772" w:type="pct"/>
            <w:tcBorders>
              <w:top w:val="single" w:sz="4" w:space="0" w:color="auto"/>
              <w:left w:val="nil"/>
              <w:bottom w:val="nil"/>
              <w:right w:val="nil"/>
            </w:tcBorders>
            <w:vAlign w:val="center"/>
          </w:tcPr>
          <w:p w14:paraId="6D7CED88"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 xml:space="preserve">Winged Adult Life </w:t>
            </w:r>
            <w:r>
              <w:rPr>
                <w:rFonts w:eastAsia="Times New Roman" w:cs="Times New Roman"/>
                <w:color w:val="000000"/>
                <w:szCs w:val="24"/>
              </w:rPr>
              <w:t>S</w:t>
            </w:r>
            <w:r w:rsidRPr="00FE442E">
              <w:rPr>
                <w:rFonts w:eastAsia="Times New Roman" w:cs="Times New Roman"/>
                <w:color w:val="000000"/>
                <w:szCs w:val="24"/>
              </w:rPr>
              <w:t>tage</w:t>
            </w:r>
          </w:p>
        </w:tc>
        <w:tc>
          <w:tcPr>
            <w:tcW w:w="478" w:type="pct"/>
            <w:tcBorders>
              <w:top w:val="single" w:sz="4" w:space="0" w:color="auto"/>
              <w:left w:val="nil"/>
              <w:bottom w:val="nil"/>
              <w:right w:val="nil"/>
            </w:tcBorders>
            <w:shd w:val="clear" w:color="auto" w:fill="auto"/>
            <w:noWrap/>
            <w:vAlign w:val="center"/>
          </w:tcPr>
          <w:p w14:paraId="6CB16939"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Flying</w:t>
            </w:r>
          </w:p>
        </w:tc>
        <w:tc>
          <w:tcPr>
            <w:tcW w:w="1764" w:type="pct"/>
            <w:tcBorders>
              <w:top w:val="single" w:sz="4" w:space="0" w:color="auto"/>
              <w:left w:val="nil"/>
              <w:bottom w:val="nil"/>
              <w:right w:val="nil"/>
            </w:tcBorders>
            <w:shd w:val="clear" w:color="auto" w:fill="auto"/>
            <w:noWrap/>
            <w:vAlign w:val="center"/>
          </w:tcPr>
          <w:p w14:paraId="6D1EA26B"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Proportion of flying individuals (</w:t>
            </w:r>
            <w:proofErr w:type="spellStart"/>
            <w:r w:rsidRPr="00FE442E">
              <w:rPr>
                <w:rFonts w:eastAsia="Times New Roman" w:cs="Times New Roman"/>
                <w:color w:val="000000"/>
                <w:szCs w:val="24"/>
              </w:rPr>
              <w:t>Diptera</w:t>
            </w:r>
            <w:proofErr w:type="spellEnd"/>
            <w:r w:rsidRPr="00FE442E">
              <w:rPr>
                <w:rFonts w:eastAsia="Times New Roman" w:cs="Times New Roman"/>
                <w:color w:val="000000"/>
                <w:szCs w:val="24"/>
              </w:rPr>
              <w:t xml:space="preserve">, </w:t>
            </w:r>
            <w:proofErr w:type="spellStart"/>
            <w:r w:rsidRPr="00D8422C">
              <w:rPr>
                <w:rFonts w:eastAsia="Times New Roman" w:cs="Times New Roman"/>
                <w:color w:val="000000"/>
                <w:szCs w:val="24"/>
              </w:rPr>
              <w:t>Ephemeroptera</w:t>
            </w:r>
            <w:proofErr w:type="spellEnd"/>
            <w:r w:rsidRPr="00D8422C">
              <w:rPr>
                <w:rFonts w:eastAsia="Times New Roman" w:cs="Times New Roman"/>
                <w:color w:val="000000"/>
                <w:szCs w:val="24"/>
              </w:rPr>
              <w:t xml:space="preserve">, </w:t>
            </w:r>
            <w:proofErr w:type="spellStart"/>
            <w:r w:rsidRPr="00D8422C">
              <w:rPr>
                <w:rFonts w:eastAsia="Times New Roman" w:cs="Times New Roman"/>
                <w:color w:val="000000"/>
                <w:szCs w:val="24"/>
              </w:rPr>
              <w:t>Plecoptera</w:t>
            </w:r>
            <w:proofErr w:type="spellEnd"/>
            <w:r w:rsidRPr="00D8422C">
              <w:rPr>
                <w:rFonts w:eastAsia="Times New Roman" w:cs="Times New Roman"/>
                <w:color w:val="000000"/>
                <w:szCs w:val="24"/>
              </w:rPr>
              <w:t xml:space="preserve">, </w:t>
            </w:r>
            <w:proofErr w:type="spellStart"/>
            <w:r w:rsidRPr="00D8422C">
              <w:rPr>
                <w:rFonts w:eastAsia="Times New Roman" w:cs="Times New Roman"/>
                <w:color w:val="000000"/>
                <w:szCs w:val="24"/>
              </w:rPr>
              <w:t>Odonta</w:t>
            </w:r>
            <w:proofErr w:type="spellEnd"/>
            <w:r w:rsidRPr="00D8422C">
              <w:rPr>
                <w:rFonts w:eastAsia="Times New Roman" w:cs="Times New Roman"/>
                <w:color w:val="000000"/>
                <w:szCs w:val="24"/>
              </w:rPr>
              <w:t xml:space="preserve"> and </w:t>
            </w:r>
            <w:proofErr w:type="spellStart"/>
            <w:r w:rsidRPr="00D8422C">
              <w:rPr>
                <w:rFonts w:eastAsia="Times New Roman" w:cs="Times New Roman"/>
                <w:color w:val="000000"/>
                <w:szCs w:val="24"/>
              </w:rPr>
              <w:t>Trichoptera</w:t>
            </w:r>
            <w:proofErr w:type="spellEnd"/>
            <w:r w:rsidRPr="00D8422C">
              <w:rPr>
                <w:rFonts w:eastAsia="Times New Roman" w:cs="Times New Roman"/>
                <w:color w:val="000000"/>
                <w:szCs w:val="24"/>
              </w:rPr>
              <w:t>) in benthic communities</w:t>
            </w:r>
          </w:p>
        </w:tc>
        <w:tc>
          <w:tcPr>
            <w:tcW w:w="1986" w:type="pct"/>
            <w:tcBorders>
              <w:top w:val="single" w:sz="4" w:space="0" w:color="auto"/>
              <w:left w:val="nil"/>
              <w:bottom w:val="nil"/>
              <w:right w:val="nil"/>
            </w:tcBorders>
            <w:shd w:val="clear" w:color="auto" w:fill="auto"/>
            <w:noWrap/>
            <w:vAlign w:val="center"/>
          </w:tcPr>
          <w:p w14:paraId="4B49E6AB"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Individuals with flying adult life stages can exit the aquatic ecosystem, while non-flying individuals cannot</w:t>
            </w:r>
          </w:p>
        </w:tc>
      </w:tr>
      <w:tr w:rsidR="00D8422C" w:rsidRPr="00FE442E" w14:paraId="7C91F9B7" w14:textId="77777777" w:rsidTr="00F716D3">
        <w:trPr>
          <w:trHeight w:val="300"/>
        </w:trPr>
        <w:tc>
          <w:tcPr>
            <w:tcW w:w="772" w:type="pct"/>
            <w:tcBorders>
              <w:top w:val="nil"/>
              <w:left w:val="nil"/>
              <w:bottom w:val="nil"/>
              <w:right w:val="nil"/>
            </w:tcBorders>
            <w:vAlign w:val="center"/>
          </w:tcPr>
          <w:p w14:paraId="76E09869"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Stream Signature Distance</w:t>
            </w:r>
          </w:p>
        </w:tc>
        <w:tc>
          <w:tcPr>
            <w:tcW w:w="478" w:type="pct"/>
            <w:tcBorders>
              <w:top w:val="nil"/>
              <w:left w:val="nil"/>
              <w:bottom w:val="nil"/>
              <w:right w:val="nil"/>
            </w:tcBorders>
            <w:shd w:val="clear" w:color="auto" w:fill="auto"/>
            <w:noWrap/>
            <w:vAlign w:val="center"/>
          </w:tcPr>
          <w:p w14:paraId="2143F6BF"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SS25</w:t>
            </w:r>
          </w:p>
        </w:tc>
        <w:tc>
          <w:tcPr>
            <w:tcW w:w="1764" w:type="pct"/>
            <w:tcBorders>
              <w:top w:val="nil"/>
              <w:left w:val="nil"/>
              <w:bottom w:val="nil"/>
              <w:right w:val="nil"/>
            </w:tcBorders>
            <w:shd w:val="clear" w:color="auto" w:fill="auto"/>
            <w:noWrap/>
            <w:vAlign w:val="center"/>
          </w:tcPr>
          <w:p w14:paraId="475DC7F1"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 xml:space="preserve">Community weighted 25% stream signature distance (m) </w:t>
            </w:r>
          </w:p>
        </w:tc>
        <w:tc>
          <w:tcPr>
            <w:tcW w:w="1986" w:type="pct"/>
            <w:tcBorders>
              <w:top w:val="nil"/>
              <w:left w:val="nil"/>
              <w:bottom w:val="nil"/>
              <w:right w:val="nil"/>
            </w:tcBorders>
            <w:shd w:val="clear" w:color="auto" w:fill="auto"/>
            <w:noWrap/>
            <w:vAlign w:val="center"/>
          </w:tcPr>
          <w:p w14:paraId="73CC381F"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Stream signature could reflect the lateral distance aquatic insects could travel from the stream</w:t>
            </w:r>
          </w:p>
        </w:tc>
      </w:tr>
      <w:tr w:rsidR="00D8422C" w:rsidRPr="00FE442E" w14:paraId="4A7D166C" w14:textId="77777777" w:rsidTr="00F716D3">
        <w:trPr>
          <w:trHeight w:val="300"/>
        </w:trPr>
        <w:tc>
          <w:tcPr>
            <w:tcW w:w="772" w:type="pct"/>
            <w:tcBorders>
              <w:top w:val="nil"/>
              <w:left w:val="nil"/>
              <w:bottom w:val="nil"/>
              <w:right w:val="nil"/>
            </w:tcBorders>
            <w:vAlign w:val="center"/>
          </w:tcPr>
          <w:p w14:paraId="0725D673"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Body Size (Large)</w:t>
            </w:r>
          </w:p>
        </w:tc>
        <w:tc>
          <w:tcPr>
            <w:tcW w:w="478" w:type="pct"/>
            <w:tcBorders>
              <w:top w:val="nil"/>
              <w:left w:val="nil"/>
              <w:bottom w:val="nil"/>
              <w:right w:val="nil"/>
            </w:tcBorders>
            <w:shd w:val="clear" w:color="auto" w:fill="auto"/>
            <w:noWrap/>
            <w:vAlign w:val="center"/>
          </w:tcPr>
          <w:p w14:paraId="51A09BB8"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BSL</w:t>
            </w:r>
          </w:p>
        </w:tc>
        <w:tc>
          <w:tcPr>
            <w:tcW w:w="1764" w:type="pct"/>
            <w:tcBorders>
              <w:top w:val="nil"/>
              <w:left w:val="nil"/>
              <w:bottom w:val="nil"/>
              <w:right w:val="nil"/>
            </w:tcBorders>
            <w:shd w:val="clear" w:color="auto" w:fill="auto"/>
            <w:noWrap/>
            <w:vAlign w:val="center"/>
          </w:tcPr>
          <w:p w14:paraId="1982C68D"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Large Body Size. Proportion of flying individuals having a maximal body size &gt; 9mm</w:t>
            </w:r>
          </w:p>
        </w:tc>
        <w:tc>
          <w:tcPr>
            <w:tcW w:w="1986" w:type="pct"/>
            <w:tcBorders>
              <w:top w:val="nil"/>
              <w:left w:val="nil"/>
              <w:bottom w:val="nil"/>
              <w:right w:val="nil"/>
            </w:tcBorders>
            <w:shd w:val="clear" w:color="auto" w:fill="auto"/>
            <w:noWrap/>
            <w:vAlign w:val="center"/>
          </w:tcPr>
          <w:p w14:paraId="4907C77E"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 xml:space="preserve">Large body size could correspond to more energy reserves that allow individuals to disperse further from the stream </w:t>
            </w:r>
          </w:p>
        </w:tc>
      </w:tr>
      <w:tr w:rsidR="00D8422C" w:rsidRPr="00FE442E" w14:paraId="2BF585C3" w14:textId="77777777" w:rsidTr="00F716D3">
        <w:trPr>
          <w:trHeight w:val="300"/>
        </w:trPr>
        <w:tc>
          <w:tcPr>
            <w:tcW w:w="772" w:type="pct"/>
            <w:tcBorders>
              <w:top w:val="nil"/>
              <w:left w:val="nil"/>
              <w:bottom w:val="nil"/>
              <w:right w:val="nil"/>
            </w:tcBorders>
            <w:vAlign w:val="center"/>
          </w:tcPr>
          <w:p w14:paraId="3BD20B6B"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Life Span (Long)</w:t>
            </w:r>
          </w:p>
        </w:tc>
        <w:tc>
          <w:tcPr>
            <w:tcW w:w="478" w:type="pct"/>
            <w:tcBorders>
              <w:top w:val="nil"/>
              <w:left w:val="nil"/>
              <w:bottom w:val="nil"/>
              <w:right w:val="nil"/>
            </w:tcBorders>
            <w:shd w:val="clear" w:color="auto" w:fill="auto"/>
            <w:noWrap/>
            <w:vAlign w:val="center"/>
          </w:tcPr>
          <w:p w14:paraId="040CEE14" w14:textId="77777777" w:rsidR="00D8422C" w:rsidRPr="00FE442E" w:rsidRDefault="00D8422C" w:rsidP="00866429">
            <w:pPr>
              <w:spacing w:line="240" w:lineRule="auto"/>
              <w:contextualSpacing/>
              <w:jc w:val="center"/>
              <w:rPr>
                <w:rFonts w:eastAsia="Times New Roman" w:cs="Times New Roman"/>
                <w:color w:val="000000"/>
                <w:szCs w:val="24"/>
              </w:rPr>
            </w:pPr>
            <w:r w:rsidRPr="00FE442E">
              <w:rPr>
                <w:rFonts w:eastAsia="Times New Roman" w:cs="Times New Roman"/>
                <w:color w:val="000000"/>
                <w:szCs w:val="24"/>
              </w:rPr>
              <w:t>LSL</w:t>
            </w:r>
          </w:p>
        </w:tc>
        <w:tc>
          <w:tcPr>
            <w:tcW w:w="1764" w:type="pct"/>
            <w:tcBorders>
              <w:top w:val="nil"/>
              <w:left w:val="nil"/>
              <w:bottom w:val="nil"/>
              <w:right w:val="nil"/>
            </w:tcBorders>
            <w:shd w:val="clear" w:color="auto" w:fill="auto"/>
            <w:noWrap/>
            <w:vAlign w:val="center"/>
          </w:tcPr>
          <w:p w14:paraId="7F161F72"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Long Life Span. Proportion of flying individuals having an adult life span &gt; 1week</w:t>
            </w:r>
          </w:p>
        </w:tc>
        <w:tc>
          <w:tcPr>
            <w:tcW w:w="1986" w:type="pct"/>
            <w:tcBorders>
              <w:top w:val="nil"/>
              <w:left w:val="nil"/>
              <w:bottom w:val="nil"/>
              <w:right w:val="nil"/>
            </w:tcBorders>
            <w:shd w:val="clear" w:color="auto" w:fill="auto"/>
            <w:noWrap/>
            <w:vAlign w:val="center"/>
          </w:tcPr>
          <w:p w14:paraId="0EC162BC" w14:textId="77777777" w:rsidR="00D8422C" w:rsidRPr="00FE442E" w:rsidRDefault="00D8422C" w:rsidP="00866429">
            <w:pPr>
              <w:spacing w:after="0" w:line="240" w:lineRule="auto"/>
              <w:contextualSpacing/>
              <w:jc w:val="center"/>
              <w:rPr>
                <w:rFonts w:eastAsia="Times New Roman" w:cs="Times New Roman"/>
                <w:color w:val="000000"/>
                <w:szCs w:val="24"/>
              </w:rPr>
            </w:pPr>
            <w:r w:rsidRPr="00FE442E">
              <w:rPr>
                <w:rFonts w:eastAsia="Times New Roman" w:cs="Times New Roman"/>
                <w:color w:val="000000"/>
                <w:szCs w:val="24"/>
              </w:rPr>
              <w:t xml:space="preserve">Long adult life span could correspond to individuals that have more time in the terrestrial environment to disperse further from the stream </w:t>
            </w:r>
          </w:p>
        </w:tc>
      </w:tr>
      <w:tr w:rsidR="00D8422C" w:rsidRPr="00FE442E" w14:paraId="1F88EA58" w14:textId="77777777" w:rsidTr="00F716D3">
        <w:trPr>
          <w:trHeight w:val="300"/>
        </w:trPr>
        <w:tc>
          <w:tcPr>
            <w:tcW w:w="772" w:type="pct"/>
            <w:tcBorders>
              <w:top w:val="nil"/>
              <w:left w:val="nil"/>
              <w:bottom w:val="nil"/>
              <w:right w:val="nil"/>
            </w:tcBorders>
            <w:vAlign w:val="center"/>
          </w:tcPr>
          <w:p w14:paraId="05195DEA"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Flight Strength (Strong)</w:t>
            </w:r>
          </w:p>
        </w:tc>
        <w:tc>
          <w:tcPr>
            <w:tcW w:w="478" w:type="pct"/>
            <w:tcBorders>
              <w:top w:val="nil"/>
              <w:left w:val="nil"/>
              <w:bottom w:val="nil"/>
              <w:right w:val="nil"/>
            </w:tcBorders>
            <w:shd w:val="clear" w:color="auto" w:fill="auto"/>
            <w:noWrap/>
            <w:vAlign w:val="center"/>
          </w:tcPr>
          <w:p w14:paraId="393485D7"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FSS</w:t>
            </w:r>
          </w:p>
        </w:tc>
        <w:tc>
          <w:tcPr>
            <w:tcW w:w="1764" w:type="pct"/>
            <w:tcBorders>
              <w:top w:val="nil"/>
              <w:left w:val="nil"/>
              <w:bottom w:val="nil"/>
              <w:right w:val="nil"/>
            </w:tcBorders>
            <w:shd w:val="clear" w:color="auto" w:fill="auto"/>
            <w:noWrap/>
            <w:vAlign w:val="center"/>
          </w:tcPr>
          <w:p w14:paraId="2EFF6CE9"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Proportion of flying individuals that can fly into a light breeze</w:t>
            </w:r>
          </w:p>
        </w:tc>
        <w:tc>
          <w:tcPr>
            <w:tcW w:w="1986" w:type="pct"/>
            <w:tcBorders>
              <w:top w:val="nil"/>
              <w:left w:val="nil"/>
              <w:bottom w:val="nil"/>
              <w:right w:val="nil"/>
            </w:tcBorders>
            <w:shd w:val="clear" w:color="auto" w:fill="auto"/>
            <w:noWrap/>
            <w:vAlign w:val="center"/>
          </w:tcPr>
          <w:p w14:paraId="1801FE63"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 xml:space="preserve">Strong flight strength could correspond to individuals that have innate abilities (e.g. wing morphologies) that allow them to disperse further from the stream </w:t>
            </w:r>
          </w:p>
        </w:tc>
      </w:tr>
      <w:tr w:rsidR="00D8422C" w:rsidRPr="00FE442E" w14:paraId="3E90D008" w14:textId="77777777" w:rsidTr="00F716D3">
        <w:trPr>
          <w:trHeight w:val="300"/>
        </w:trPr>
        <w:tc>
          <w:tcPr>
            <w:tcW w:w="772" w:type="pct"/>
            <w:tcBorders>
              <w:top w:val="nil"/>
              <w:left w:val="nil"/>
              <w:bottom w:val="nil"/>
              <w:right w:val="nil"/>
            </w:tcBorders>
            <w:vAlign w:val="center"/>
          </w:tcPr>
          <w:p w14:paraId="6292E54B"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Female Dispersal (High)</w:t>
            </w:r>
          </w:p>
        </w:tc>
        <w:tc>
          <w:tcPr>
            <w:tcW w:w="478" w:type="pct"/>
            <w:tcBorders>
              <w:top w:val="nil"/>
              <w:left w:val="nil"/>
              <w:bottom w:val="nil"/>
              <w:right w:val="nil"/>
            </w:tcBorders>
            <w:shd w:val="clear" w:color="auto" w:fill="auto"/>
            <w:noWrap/>
            <w:vAlign w:val="center"/>
          </w:tcPr>
          <w:p w14:paraId="38735858"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FDH</w:t>
            </w:r>
          </w:p>
        </w:tc>
        <w:tc>
          <w:tcPr>
            <w:tcW w:w="1764" w:type="pct"/>
            <w:tcBorders>
              <w:top w:val="nil"/>
              <w:left w:val="nil"/>
              <w:bottom w:val="nil"/>
              <w:right w:val="nil"/>
            </w:tcBorders>
            <w:shd w:val="clear" w:color="auto" w:fill="auto"/>
            <w:noWrap/>
            <w:vAlign w:val="center"/>
          </w:tcPr>
          <w:p w14:paraId="3C11099A"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Proportion of flying individuals having females capable of flying &gt;1km before laying eggs</w:t>
            </w:r>
          </w:p>
        </w:tc>
        <w:tc>
          <w:tcPr>
            <w:tcW w:w="1986" w:type="pct"/>
            <w:tcBorders>
              <w:top w:val="nil"/>
              <w:left w:val="nil"/>
              <w:bottom w:val="nil"/>
              <w:right w:val="nil"/>
            </w:tcBorders>
            <w:shd w:val="clear" w:color="auto" w:fill="auto"/>
            <w:noWrap/>
            <w:vAlign w:val="center"/>
          </w:tcPr>
          <w:p w14:paraId="74AA266B"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 xml:space="preserve">High female dispersal could correspond to females that disperse further from the stream in search of a suitable </w:t>
            </w:r>
            <w:proofErr w:type="spellStart"/>
            <w:r w:rsidRPr="00FE442E">
              <w:rPr>
                <w:rFonts w:eastAsia="Times New Roman" w:cs="Times New Roman"/>
                <w:color w:val="000000"/>
                <w:szCs w:val="24"/>
              </w:rPr>
              <w:t>oviposition</w:t>
            </w:r>
            <w:proofErr w:type="spellEnd"/>
            <w:r w:rsidRPr="00FE442E">
              <w:rPr>
                <w:rFonts w:eastAsia="Times New Roman" w:cs="Times New Roman"/>
                <w:color w:val="000000"/>
                <w:szCs w:val="24"/>
              </w:rPr>
              <w:t xml:space="preserve"> sites </w:t>
            </w:r>
          </w:p>
        </w:tc>
      </w:tr>
      <w:tr w:rsidR="00D8422C" w:rsidRPr="00FE442E" w14:paraId="1A634BC3" w14:textId="77777777" w:rsidTr="00F716D3">
        <w:trPr>
          <w:trHeight w:val="300"/>
        </w:trPr>
        <w:tc>
          <w:tcPr>
            <w:tcW w:w="772" w:type="pct"/>
            <w:tcBorders>
              <w:top w:val="nil"/>
              <w:left w:val="nil"/>
              <w:bottom w:val="nil"/>
              <w:right w:val="nil"/>
            </w:tcBorders>
            <w:vAlign w:val="center"/>
          </w:tcPr>
          <w:p w14:paraId="548991CE"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Development Speed (Fast)</w:t>
            </w:r>
          </w:p>
        </w:tc>
        <w:tc>
          <w:tcPr>
            <w:tcW w:w="478" w:type="pct"/>
            <w:tcBorders>
              <w:top w:val="nil"/>
              <w:left w:val="nil"/>
              <w:bottom w:val="nil"/>
              <w:right w:val="nil"/>
            </w:tcBorders>
            <w:shd w:val="clear" w:color="auto" w:fill="auto"/>
            <w:noWrap/>
            <w:vAlign w:val="center"/>
          </w:tcPr>
          <w:p w14:paraId="3CAB6FF1"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DSF</w:t>
            </w:r>
          </w:p>
        </w:tc>
        <w:tc>
          <w:tcPr>
            <w:tcW w:w="1764" w:type="pct"/>
            <w:tcBorders>
              <w:top w:val="nil"/>
              <w:left w:val="nil"/>
              <w:bottom w:val="nil"/>
              <w:right w:val="nil"/>
            </w:tcBorders>
            <w:shd w:val="clear" w:color="auto" w:fill="auto"/>
            <w:noWrap/>
            <w:vAlign w:val="center"/>
          </w:tcPr>
          <w:p w14:paraId="17F23DCE"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Proportion of flying individuals having fast development occurring over spring/summer</w:t>
            </w:r>
          </w:p>
        </w:tc>
        <w:tc>
          <w:tcPr>
            <w:tcW w:w="1986" w:type="pct"/>
            <w:tcBorders>
              <w:top w:val="nil"/>
              <w:left w:val="nil"/>
              <w:bottom w:val="nil"/>
              <w:right w:val="nil"/>
            </w:tcBorders>
            <w:shd w:val="clear" w:color="auto" w:fill="auto"/>
            <w:noWrap/>
            <w:vAlign w:val="center"/>
          </w:tcPr>
          <w:p w14:paraId="4339C5BA"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 xml:space="preserve">Fast development could correspond to taxa that have multiple emergence events throughout the season and extend the duration of subsidies. </w:t>
            </w:r>
          </w:p>
        </w:tc>
      </w:tr>
      <w:tr w:rsidR="00D8422C" w:rsidRPr="00FE442E" w14:paraId="77C2126A" w14:textId="77777777" w:rsidTr="00F716D3">
        <w:trPr>
          <w:trHeight w:val="300"/>
        </w:trPr>
        <w:tc>
          <w:tcPr>
            <w:tcW w:w="772" w:type="pct"/>
            <w:tcBorders>
              <w:top w:val="nil"/>
              <w:left w:val="nil"/>
              <w:bottom w:val="nil"/>
              <w:right w:val="nil"/>
            </w:tcBorders>
            <w:vAlign w:val="center"/>
          </w:tcPr>
          <w:p w14:paraId="6E5E2D7C"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Emergency Synchrony (Poor)</w:t>
            </w:r>
          </w:p>
        </w:tc>
        <w:tc>
          <w:tcPr>
            <w:tcW w:w="478" w:type="pct"/>
            <w:tcBorders>
              <w:top w:val="nil"/>
              <w:left w:val="nil"/>
              <w:bottom w:val="nil"/>
              <w:right w:val="nil"/>
            </w:tcBorders>
            <w:shd w:val="clear" w:color="auto" w:fill="auto"/>
            <w:noWrap/>
            <w:vAlign w:val="center"/>
          </w:tcPr>
          <w:p w14:paraId="2E03F059"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ESP</w:t>
            </w:r>
          </w:p>
        </w:tc>
        <w:tc>
          <w:tcPr>
            <w:tcW w:w="1764" w:type="pct"/>
            <w:tcBorders>
              <w:top w:val="nil"/>
              <w:left w:val="nil"/>
              <w:bottom w:val="nil"/>
              <w:right w:val="nil"/>
            </w:tcBorders>
            <w:shd w:val="clear" w:color="auto" w:fill="auto"/>
            <w:noWrap/>
            <w:vAlign w:val="center"/>
          </w:tcPr>
          <w:p w14:paraId="68285B60"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Proportion of flying individuals having poorly synchronized emergence</w:t>
            </w:r>
          </w:p>
        </w:tc>
        <w:tc>
          <w:tcPr>
            <w:tcW w:w="1986" w:type="pct"/>
            <w:tcBorders>
              <w:top w:val="nil"/>
              <w:left w:val="nil"/>
              <w:bottom w:val="nil"/>
              <w:right w:val="nil"/>
            </w:tcBorders>
            <w:shd w:val="clear" w:color="auto" w:fill="auto"/>
            <w:noWrap/>
            <w:vAlign w:val="center"/>
          </w:tcPr>
          <w:p w14:paraId="6F4651EE"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Poorly synchronized emergence could correspond to individuals that emerge from the stream at different times and extend the duration of subsidies</w:t>
            </w:r>
          </w:p>
        </w:tc>
      </w:tr>
      <w:tr w:rsidR="00D8422C" w:rsidRPr="00FE442E" w14:paraId="3138DB45" w14:textId="77777777" w:rsidTr="00F716D3">
        <w:trPr>
          <w:trHeight w:val="300"/>
        </w:trPr>
        <w:tc>
          <w:tcPr>
            <w:tcW w:w="772" w:type="pct"/>
            <w:tcBorders>
              <w:top w:val="nil"/>
              <w:left w:val="nil"/>
              <w:bottom w:val="nil"/>
              <w:right w:val="nil"/>
            </w:tcBorders>
            <w:vAlign w:val="center"/>
          </w:tcPr>
          <w:p w14:paraId="6B496F8E" w14:textId="77777777" w:rsidR="00D8422C" w:rsidRPr="00FE442E" w:rsidRDefault="00D8422C" w:rsidP="00D8422C">
            <w:pPr>
              <w:jc w:val="center"/>
              <w:rPr>
                <w:rFonts w:eastAsia="Times New Roman" w:cs="Times New Roman"/>
                <w:color w:val="000000"/>
                <w:szCs w:val="24"/>
              </w:rPr>
            </w:pPr>
            <w:proofErr w:type="spellStart"/>
            <w:r w:rsidRPr="00FE442E">
              <w:rPr>
                <w:rFonts w:eastAsia="Times New Roman" w:cs="Times New Roman"/>
                <w:color w:val="000000"/>
                <w:szCs w:val="24"/>
              </w:rPr>
              <w:t>Voltinism</w:t>
            </w:r>
            <w:proofErr w:type="spellEnd"/>
            <w:r w:rsidRPr="00FE442E">
              <w:rPr>
                <w:rFonts w:eastAsia="Times New Roman" w:cs="Times New Roman"/>
                <w:color w:val="000000"/>
                <w:szCs w:val="24"/>
              </w:rPr>
              <w:t xml:space="preserve"> (Multi)</w:t>
            </w:r>
          </w:p>
        </w:tc>
        <w:tc>
          <w:tcPr>
            <w:tcW w:w="478" w:type="pct"/>
            <w:tcBorders>
              <w:top w:val="nil"/>
              <w:left w:val="nil"/>
              <w:bottom w:val="nil"/>
              <w:right w:val="nil"/>
            </w:tcBorders>
            <w:shd w:val="clear" w:color="auto" w:fill="auto"/>
            <w:noWrap/>
            <w:vAlign w:val="center"/>
          </w:tcPr>
          <w:p w14:paraId="7B498EF2" w14:textId="77777777" w:rsidR="00D8422C" w:rsidRPr="00FE442E" w:rsidRDefault="00D8422C" w:rsidP="00D8422C">
            <w:pPr>
              <w:jc w:val="center"/>
              <w:rPr>
                <w:rFonts w:eastAsia="Times New Roman" w:cs="Times New Roman"/>
                <w:color w:val="000000"/>
                <w:szCs w:val="24"/>
              </w:rPr>
            </w:pPr>
            <w:r w:rsidRPr="00FE442E">
              <w:rPr>
                <w:rFonts w:eastAsia="Times New Roman" w:cs="Times New Roman"/>
                <w:color w:val="000000"/>
                <w:szCs w:val="24"/>
              </w:rPr>
              <w:t>VOM</w:t>
            </w:r>
          </w:p>
        </w:tc>
        <w:tc>
          <w:tcPr>
            <w:tcW w:w="1764" w:type="pct"/>
            <w:tcBorders>
              <w:top w:val="nil"/>
              <w:left w:val="nil"/>
              <w:bottom w:val="nil"/>
              <w:right w:val="nil"/>
            </w:tcBorders>
            <w:shd w:val="clear" w:color="auto" w:fill="auto"/>
            <w:noWrap/>
            <w:vAlign w:val="center"/>
          </w:tcPr>
          <w:p w14:paraId="4FFDDD90" w14:textId="77777777" w:rsidR="00D8422C" w:rsidRPr="00FE442E" w:rsidRDefault="00D8422C" w:rsidP="00D8422C">
            <w:pPr>
              <w:spacing w:after="0" w:line="240" w:lineRule="auto"/>
              <w:jc w:val="center"/>
              <w:rPr>
                <w:rFonts w:eastAsia="Times New Roman" w:cs="Times New Roman"/>
                <w:color w:val="000000"/>
                <w:szCs w:val="24"/>
              </w:rPr>
            </w:pPr>
            <w:r w:rsidRPr="00FE442E">
              <w:rPr>
                <w:rFonts w:eastAsia="Times New Roman" w:cs="Times New Roman"/>
                <w:color w:val="000000"/>
                <w:szCs w:val="24"/>
              </w:rPr>
              <w:t>Proportion of flying individuals having &gt; 1 generation per year</w:t>
            </w:r>
          </w:p>
        </w:tc>
        <w:tc>
          <w:tcPr>
            <w:tcW w:w="1986" w:type="pct"/>
            <w:tcBorders>
              <w:top w:val="nil"/>
              <w:left w:val="nil"/>
              <w:bottom w:val="nil"/>
              <w:right w:val="nil"/>
            </w:tcBorders>
            <w:shd w:val="clear" w:color="auto" w:fill="auto"/>
            <w:noWrap/>
            <w:vAlign w:val="center"/>
          </w:tcPr>
          <w:p w14:paraId="5929BCB2" w14:textId="77777777" w:rsidR="00D8422C" w:rsidRPr="00FE442E" w:rsidRDefault="00D8422C" w:rsidP="00D8422C">
            <w:pPr>
              <w:spacing w:after="0" w:line="240" w:lineRule="auto"/>
              <w:jc w:val="center"/>
              <w:rPr>
                <w:rFonts w:eastAsia="Times New Roman" w:cs="Times New Roman"/>
                <w:color w:val="000000"/>
                <w:szCs w:val="24"/>
              </w:rPr>
            </w:pPr>
            <w:proofErr w:type="spellStart"/>
            <w:r w:rsidRPr="00FE442E">
              <w:rPr>
                <w:rFonts w:eastAsia="Times New Roman" w:cs="Times New Roman"/>
                <w:color w:val="000000"/>
                <w:szCs w:val="24"/>
              </w:rPr>
              <w:t>Multivoltinism</w:t>
            </w:r>
            <w:proofErr w:type="spellEnd"/>
            <w:r w:rsidRPr="00FE442E">
              <w:rPr>
                <w:rFonts w:eastAsia="Times New Roman" w:cs="Times New Roman"/>
                <w:color w:val="000000"/>
                <w:szCs w:val="24"/>
              </w:rPr>
              <w:t xml:space="preserve"> could correspond to taxa that reach adult life stages and emerge from the stream multiple times during the year and extend the duration of subsidies</w:t>
            </w:r>
          </w:p>
        </w:tc>
      </w:tr>
    </w:tbl>
    <w:p w14:paraId="62D8FC80" w14:textId="77777777" w:rsidR="00D8422C" w:rsidRDefault="00D8422C" w:rsidP="00866429">
      <w:pPr>
        <w:rPr>
          <w:rFonts w:eastAsia="Times New Roman" w:cs="Times New Roman"/>
          <w:color w:val="000000"/>
          <w:szCs w:val="24"/>
        </w:rPr>
        <w:sectPr w:rsidR="00D8422C" w:rsidSect="00F716D3">
          <w:pgSz w:w="15840" w:h="12240" w:orient="landscape"/>
          <w:pgMar w:top="1440" w:right="1440" w:bottom="1440" w:left="1440" w:header="720" w:footer="720" w:gutter="0"/>
          <w:cols w:space="720"/>
          <w:docGrid w:linePitch="360"/>
        </w:sectPr>
      </w:pPr>
    </w:p>
    <w:p w14:paraId="7B17E878" w14:textId="5BE2CFF3" w:rsidR="00333AA3" w:rsidRPr="00FE442E" w:rsidRDefault="004A70A1" w:rsidP="004A70A1">
      <w:pPr>
        <w:pStyle w:val="Caption"/>
        <w:keepNext/>
        <w:rPr>
          <w:rFonts w:cs="Times New Roman"/>
          <w:szCs w:val="24"/>
        </w:rPr>
      </w:pPr>
      <w:bookmarkStart w:id="48" w:name="_Toc60480686"/>
      <w:bookmarkStart w:id="49" w:name="_Toc61883051"/>
      <w:r>
        <w:lastRenderedPageBreak/>
        <w:t xml:space="preserve">Table </w:t>
      </w:r>
      <w:fldSimple w:instr=" STYLEREF 1 \s ">
        <w:r w:rsidR="000C6138">
          <w:rPr>
            <w:noProof/>
          </w:rPr>
          <w:t>2</w:t>
        </w:r>
      </w:fldSimple>
      <w:r w:rsidR="004F311A">
        <w:t>.</w:t>
      </w:r>
      <w:fldSimple w:instr=" SEQ Table \* ARABIC \s 1 ">
        <w:r w:rsidR="000C6138">
          <w:rPr>
            <w:noProof/>
          </w:rPr>
          <w:t>2</w:t>
        </w:r>
      </w:fldSimple>
      <w:r>
        <w:rPr>
          <w:rFonts w:cs="Times New Roman"/>
          <w:iCs w:val="0"/>
          <w:szCs w:val="24"/>
        </w:rPr>
        <w:t xml:space="preserve">. </w:t>
      </w:r>
      <w:r w:rsidR="00333AA3" w:rsidRPr="00FE442E">
        <w:rPr>
          <w:rFonts w:cs="Times New Roman"/>
          <w:szCs w:val="24"/>
        </w:rPr>
        <w:t>Predictor variable</w:t>
      </w:r>
      <w:r w:rsidR="00333AA3">
        <w:rPr>
          <w:rFonts w:cs="Times New Roman"/>
          <w:szCs w:val="24"/>
        </w:rPr>
        <w:t xml:space="preserve"> used in our analysis</w:t>
      </w:r>
      <w:r w:rsidR="00866429">
        <w:rPr>
          <w:rFonts w:cs="Times New Roman"/>
          <w:szCs w:val="24"/>
        </w:rPr>
        <w:t xml:space="preserve"> and their</w:t>
      </w:r>
      <w:r w:rsidR="00866429" w:rsidRPr="00FE442E">
        <w:rPr>
          <w:rFonts w:cs="Times New Roman"/>
          <w:szCs w:val="24"/>
        </w:rPr>
        <w:t xml:space="preserve"> descriptions</w:t>
      </w:r>
      <w:r w:rsidR="00333AA3" w:rsidRPr="00FE442E">
        <w:rPr>
          <w:rFonts w:cs="Times New Roman"/>
          <w:szCs w:val="24"/>
        </w:rPr>
        <w:t>.</w:t>
      </w:r>
      <w:bookmarkEnd w:id="48"/>
      <w:bookmarkEnd w:id="49"/>
      <w:r w:rsidR="00333AA3" w:rsidRPr="00FE442E">
        <w:rPr>
          <w:rFonts w:cs="Times New Roman"/>
          <w:szCs w:val="24"/>
        </w:rPr>
        <w:t xml:space="preserve"> </w:t>
      </w:r>
    </w:p>
    <w:tbl>
      <w:tblPr>
        <w:tblW w:w="8460" w:type="dxa"/>
        <w:tblLayout w:type="fixed"/>
        <w:tblLook w:val="04A0" w:firstRow="1" w:lastRow="0" w:firstColumn="1" w:lastColumn="0" w:noHBand="0" w:noVBand="1"/>
      </w:tblPr>
      <w:tblGrid>
        <w:gridCol w:w="1080"/>
        <w:gridCol w:w="1890"/>
        <w:gridCol w:w="3690"/>
        <w:gridCol w:w="1800"/>
      </w:tblGrid>
      <w:tr w:rsidR="00333AA3" w:rsidRPr="00FE442E" w14:paraId="0D20DF14" w14:textId="77777777" w:rsidTr="00333AA3">
        <w:trPr>
          <w:trHeight w:val="261"/>
        </w:trPr>
        <w:tc>
          <w:tcPr>
            <w:tcW w:w="1080" w:type="dxa"/>
            <w:tcBorders>
              <w:bottom w:val="single" w:sz="4" w:space="0" w:color="auto"/>
            </w:tcBorders>
            <w:vAlign w:val="center"/>
          </w:tcPr>
          <w:p w14:paraId="5F3E3CD3"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Gradient</w:t>
            </w:r>
          </w:p>
        </w:tc>
        <w:tc>
          <w:tcPr>
            <w:tcW w:w="1890" w:type="dxa"/>
            <w:tcBorders>
              <w:bottom w:val="single" w:sz="4" w:space="0" w:color="auto"/>
            </w:tcBorders>
            <w:shd w:val="clear" w:color="auto" w:fill="auto"/>
            <w:noWrap/>
            <w:vAlign w:val="center"/>
            <w:hideMark/>
          </w:tcPr>
          <w:p w14:paraId="71B066F5" w14:textId="77777777" w:rsidR="00333AA3" w:rsidRPr="00FE442E" w:rsidRDefault="00333AA3" w:rsidP="00333AA3">
            <w:pPr>
              <w:spacing w:after="0" w:line="240" w:lineRule="auto"/>
              <w:rPr>
                <w:rFonts w:eastAsia="Times New Roman" w:cs="Times New Roman"/>
                <w:color w:val="000000"/>
                <w:szCs w:val="24"/>
              </w:rPr>
            </w:pPr>
            <w:proofErr w:type="spellStart"/>
            <w:r w:rsidRPr="00FE442E">
              <w:rPr>
                <w:rFonts w:eastAsia="Times New Roman" w:cs="Times New Roman"/>
                <w:color w:val="000000"/>
                <w:szCs w:val="24"/>
              </w:rPr>
              <w:t>Abrev</w:t>
            </w:r>
            <w:proofErr w:type="spellEnd"/>
            <w:r w:rsidRPr="00FE442E">
              <w:rPr>
                <w:rFonts w:eastAsia="Times New Roman" w:cs="Times New Roman"/>
                <w:color w:val="000000"/>
                <w:szCs w:val="24"/>
              </w:rPr>
              <w:t>.</w:t>
            </w:r>
          </w:p>
        </w:tc>
        <w:tc>
          <w:tcPr>
            <w:tcW w:w="3690" w:type="dxa"/>
            <w:tcBorders>
              <w:bottom w:val="single" w:sz="4" w:space="0" w:color="auto"/>
            </w:tcBorders>
            <w:shd w:val="clear" w:color="auto" w:fill="auto"/>
            <w:noWrap/>
            <w:vAlign w:val="center"/>
            <w:hideMark/>
          </w:tcPr>
          <w:p w14:paraId="176AABF5"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Description</w:t>
            </w:r>
          </w:p>
        </w:tc>
        <w:tc>
          <w:tcPr>
            <w:tcW w:w="1800" w:type="dxa"/>
            <w:tcBorders>
              <w:bottom w:val="single" w:sz="4" w:space="0" w:color="auto"/>
            </w:tcBorders>
            <w:shd w:val="clear" w:color="auto" w:fill="auto"/>
            <w:noWrap/>
            <w:vAlign w:val="center"/>
            <w:hideMark/>
          </w:tcPr>
          <w:p w14:paraId="72539FA8"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Data Source</w:t>
            </w:r>
          </w:p>
        </w:tc>
      </w:tr>
      <w:tr w:rsidR="00333AA3" w:rsidRPr="00FE442E" w14:paraId="03D641B8" w14:textId="77777777" w:rsidTr="00333AA3">
        <w:trPr>
          <w:trHeight w:val="341"/>
        </w:trPr>
        <w:tc>
          <w:tcPr>
            <w:tcW w:w="1080" w:type="dxa"/>
            <w:tcBorders>
              <w:top w:val="single" w:sz="4" w:space="0" w:color="auto"/>
            </w:tcBorders>
            <w:vAlign w:val="center"/>
          </w:tcPr>
          <w:p w14:paraId="411ABD3C" w14:textId="77777777" w:rsidR="00333AA3" w:rsidRPr="00FE442E" w:rsidRDefault="00333AA3" w:rsidP="00333AA3">
            <w:pPr>
              <w:spacing w:after="0" w:line="240" w:lineRule="auto"/>
              <w:jc w:val="center"/>
              <w:rPr>
                <w:rFonts w:eastAsia="Times New Roman" w:cs="Times New Roman"/>
                <w:color w:val="000000"/>
                <w:szCs w:val="24"/>
              </w:rPr>
            </w:pPr>
            <w:r w:rsidRPr="00FE442E">
              <w:rPr>
                <w:rFonts w:eastAsia="Times New Roman" w:cs="Times New Roman"/>
                <w:color w:val="000000"/>
                <w:szCs w:val="24"/>
              </w:rPr>
              <w:t>Region</w:t>
            </w:r>
          </w:p>
        </w:tc>
        <w:tc>
          <w:tcPr>
            <w:tcW w:w="1890" w:type="dxa"/>
            <w:tcBorders>
              <w:top w:val="single" w:sz="4" w:space="0" w:color="auto"/>
              <w:bottom w:val="single" w:sz="4" w:space="0" w:color="auto"/>
            </w:tcBorders>
            <w:shd w:val="clear" w:color="auto" w:fill="auto"/>
            <w:noWrap/>
            <w:vAlign w:val="center"/>
          </w:tcPr>
          <w:p w14:paraId="39DA7EC3"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REGION</w:t>
            </w:r>
          </w:p>
        </w:tc>
        <w:tc>
          <w:tcPr>
            <w:tcW w:w="3690" w:type="dxa"/>
            <w:tcBorders>
              <w:top w:val="single" w:sz="4" w:space="0" w:color="auto"/>
              <w:bottom w:val="single" w:sz="4" w:space="0" w:color="auto"/>
            </w:tcBorders>
            <w:shd w:val="clear" w:color="auto" w:fill="auto"/>
            <w:noWrap/>
            <w:vAlign w:val="center"/>
          </w:tcPr>
          <w:p w14:paraId="0E3DE220"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Major hydrologic region</w:t>
            </w:r>
          </w:p>
        </w:tc>
        <w:tc>
          <w:tcPr>
            <w:tcW w:w="1800" w:type="dxa"/>
            <w:tcBorders>
              <w:top w:val="single" w:sz="4" w:space="0" w:color="auto"/>
              <w:bottom w:val="single" w:sz="4" w:space="0" w:color="auto"/>
            </w:tcBorders>
            <w:shd w:val="clear" w:color="auto" w:fill="auto"/>
            <w:noWrap/>
            <w:vAlign w:val="center"/>
          </w:tcPr>
          <w:p w14:paraId="77188C96"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4838995C" w14:textId="77777777" w:rsidTr="00333AA3">
        <w:trPr>
          <w:trHeight w:val="64"/>
        </w:trPr>
        <w:tc>
          <w:tcPr>
            <w:tcW w:w="1080" w:type="dxa"/>
            <w:vMerge w:val="restart"/>
            <w:vAlign w:val="center"/>
          </w:tcPr>
          <w:p w14:paraId="4DA3E09F" w14:textId="77777777" w:rsidR="00333AA3" w:rsidRPr="00FE442E" w:rsidRDefault="00333AA3" w:rsidP="00333AA3">
            <w:pPr>
              <w:spacing w:after="0" w:line="240" w:lineRule="auto"/>
              <w:jc w:val="center"/>
              <w:rPr>
                <w:rFonts w:eastAsia="Times New Roman" w:cs="Times New Roman"/>
                <w:color w:val="000000"/>
                <w:szCs w:val="24"/>
              </w:rPr>
            </w:pPr>
            <w:r w:rsidRPr="00FE442E">
              <w:rPr>
                <w:rFonts w:eastAsia="Times New Roman" w:cs="Times New Roman"/>
                <w:color w:val="000000"/>
                <w:szCs w:val="24"/>
              </w:rPr>
              <w:t>Habitat</w:t>
            </w:r>
          </w:p>
        </w:tc>
        <w:tc>
          <w:tcPr>
            <w:tcW w:w="1890" w:type="dxa"/>
            <w:tcBorders>
              <w:top w:val="single" w:sz="4" w:space="0" w:color="auto"/>
            </w:tcBorders>
            <w:shd w:val="clear" w:color="auto" w:fill="auto"/>
            <w:noWrap/>
            <w:vAlign w:val="center"/>
            <w:hideMark/>
          </w:tcPr>
          <w:p w14:paraId="22ED171E"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EMBED</w:t>
            </w:r>
          </w:p>
        </w:tc>
        <w:tc>
          <w:tcPr>
            <w:tcW w:w="3690" w:type="dxa"/>
            <w:tcBorders>
              <w:top w:val="single" w:sz="4" w:space="0" w:color="auto"/>
            </w:tcBorders>
            <w:shd w:val="clear" w:color="auto" w:fill="auto"/>
            <w:noWrap/>
            <w:vAlign w:val="center"/>
            <w:hideMark/>
          </w:tcPr>
          <w:p w14:paraId="7C9CAE30"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Embeddedness (%)</w:t>
            </w:r>
          </w:p>
        </w:tc>
        <w:tc>
          <w:tcPr>
            <w:tcW w:w="1800" w:type="dxa"/>
            <w:tcBorders>
              <w:top w:val="single" w:sz="4" w:space="0" w:color="auto"/>
            </w:tcBorders>
            <w:shd w:val="clear" w:color="auto" w:fill="auto"/>
            <w:noWrap/>
            <w:vAlign w:val="center"/>
            <w:hideMark/>
          </w:tcPr>
          <w:p w14:paraId="21D374E7"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NRSA</w:t>
            </w:r>
          </w:p>
        </w:tc>
      </w:tr>
      <w:tr w:rsidR="00333AA3" w:rsidRPr="00FE442E" w14:paraId="5F3A4299" w14:textId="77777777" w:rsidTr="00333AA3">
        <w:trPr>
          <w:trHeight w:val="288"/>
        </w:trPr>
        <w:tc>
          <w:tcPr>
            <w:tcW w:w="1080" w:type="dxa"/>
            <w:vMerge/>
            <w:vAlign w:val="center"/>
          </w:tcPr>
          <w:p w14:paraId="3E60374A" w14:textId="77777777" w:rsidR="00333AA3" w:rsidRPr="00FE442E" w:rsidRDefault="00333AA3" w:rsidP="00333AA3">
            <w:pPr>
              <w:spacing w:after="0" w:line="240" w:lineRule="auto"/>
              <w:jc w:val="center"/>
              <w:rPr>
                <w:rFonts w:eastAsia="Times New Roman" w:cs="Times New Roman"/>
                <w:color w:val="000000"/>
                <w:szCs w:val="24"/>
              </w:rPr>
            </w:pPr>
          </w:p>
        </w:tc>
        <w:tc>
          <w:tcPr>
            <w:tcW w:w="1890" w:type="dxa"/>
            <w:shd w:val="clear" w:color="auto" w:fill="auto"/>
            <w:noWrap/>
            <w:vAlign w:val="center"/>
          </w:tcPr>
          <w:p w14:paraId="0C35D5B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FINES</w:t>
            </w:r>
          </w:p>
        </w:tc>
        <w:tc>
          <w:tcPr>
            <w:tcW w:w="3690" w:type="dxa"/>
            <w:shd w:val="clear" w:color="auto" w:fill="auto"/>
            <w:noWrap/>
            <w:vAlign w:val="center"/>
          </w:tcPr>
          <w:p w14:paraId="0853CFE8"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Substrate &lt;16mm in diameter (%)</w:t>
            </w:r>
          </w:p>
        </w:tc>
        <w:tc>
          <w:tcPr>
            <w:tcW w:w="1800" w:type="dxa"/>
            <w:shd w:val="clear" w:color="auto" w:fill="auto"/>
            <w:noWrap/>
            <w:vAlign w:val="center"/>
          </w:tcPr>
          <w:p w14:paraId="125B9A47"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 xml:space="preserve">NRSA </w:t>
            </w:r>
          </w:p>
        </w:tc>
      </w:tr>
      <w:tr w:rsidR="00333AA3" w:rsidRPr="00FE442E" w14:paraId="7A793335" w14:textId="77777777" w:rsidTr="00333AA3">
        <w:trPr>
          <w:trHeight w:val="81"/>
        </w:trPr>
        <w:tc>
          <w:tcPr>
            <w:tcW w:w="1080" w:type="dxa"/>
            <w:vMerge/>
            <w:vAlign w:val="center"/>
          </w:tcPr>
          <w:p w14:paraId="5919D93F" w14:textId="77777777" w:rsidR="00333AA3" w:rsidRPr="00FE442E" w:rsidRDefault="00333AA3" w:rsidP="00333AA3">
            <w:pPr>
              <w:spacing w:after="0" w:line="240" w:lineRule="auto"/>
              <w:jc w:val="center"/>
              <w:rPr>
                <w:rFonts w:eastAsia="Times New Roman" w:cs="Times New Roman"/>
                <w:color w:val="000000"/>
                <w:szCs w:val="24"/>
              </w:rPr>
            </w:pPr>
          </w:p>
        </w:tc>
        <w:tc>
          <w:tcPr>
            <w:tcW w:w="1890" w:type="dxa"/>
            <w:tcBorders>
              <w:bottom w:val="single" w:sz="4" w:space="0" w:color="auto"/>
            </w:tcBorders>
            <w:shd w:val="clear" w:color="auto" w:fill="auto"/>
            <w:noWrap/>
            <w:vAlign w:val="center"/>
          </w:tcPr>
          <w:p w14:paraId="4FB034C8"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SLOPE</w:t>
            </w:r>
          </w:p>
        </w:tc>
        <w:tc>
          <w:tcPr>
            <w:tcW w:w="3690" w:type="dxa"/>
            <w:tcBorders>
              <w:bottom w:val="single" w:sz="4" w:space="0" w:color="auto"/>
            </w:tcBorders>
            <w:shd w:val="clear" w:color="auto" w:fill="auto"/>
            <w:noWrap/>
            <w:vAlign w:val="center"/>
          </w:tcPr>
          <w:p w14:paraId="35E5AFE7"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Slope of channel (%)</w:t>
            </w:r>
          </w:p>
        </w:tc>
        <w:tc>
          <w:tcPr>
            <w:tcW w:w="1800" w:type="dxa"/>
            <w:tcBorders>
              <w:bottom w:val="single" w:sz="4" w:space="0" w:color="auto"/>
            </w:tcBorders>
            <w:shd w:val="clear" w:color="auto" w:fill="auto"/>
            <w:noWrap/>
            <w:vAlign w:val="center"/>
          </w:tcPr>
          <w:p w14:paraId="479A0330"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7235E597" w14:textId="77777777" w:rsidTr="00333AA3">
        <w:trPr>
          <w:trHeight w:val="188"/>
        </w:trPr>
        <w:tc>
          <w:tcPr>
            <w:tcW w:w="1080" w:type="dxa"/>
            <w:vMerge w:val="restart"/>
            <w:vAlign w:val="center"/>
          </w:tcPr>
          <w:p w14:paraId="16AE723D" w14:textId="77777777" w:rsidR="00333AA3" w:rsidRPr="00FE442E" w:rsidRDefault="00333AA3" w:rsidP="00333AA3">
            <w:pPr>
              <w:spacing w:after="0" w:line="240" w:lineRule="auto"/>
              <w:jc w:val="center"/>
              <w:rPr>
                <w:rFonts w:eastAsia="Times New Roman" w:cs="Times New Roman"/>
                <w:color w:val="000000"/>
                <w:szCs w:val="24"/>
              </w:rPr>
            </w:pPr>
            <w:r w:rsidRPr="00FE442E">
              <w:rPr>
                <w:rFonts w:eastAsia="Times New Roman" w:cs="Times New Roman"/>
                <w:color w:val="000000"/>
                <w:szCs w:val="24"/>
              </w:rPr>
              <w:t>Network Positon</w:t>
            </w:r>
          </w:p>
        </w:tc>
        <w:tc>
          <w:tcPr>
            <w:tcW w:w="1890" w:type="dxa"/>
            <w:tcBorders>
              <w:top w:val="single" w:sz="4" w:space="0" w:color="auto"/>
            </w:tcBorders>
            <w:shd w:val="clear" w:color="auto" w:fill="auto"/>
            <w:noWrap/>
            <w:vAlign w:val="center"/>
            <w:hideMark/>
          </w:tcPr>
          <w:p w14:paraId="3D615CE9"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ELEV</w:t>
            </w:r>
          </w:p>
        </w:tc>
        <w:tc>
          <w:tcPr>
            <w:tcW w:w="3690" w:type="dxa"/>
            <w:tcBorders>
              <w:top w:val="single" w:sz="4" w:space="0" w:color="auto"/>
            </w:tcBorders>
            <w:shd w:val="clear" w:color="auto" w:fill="auto"/>
            <w:noWrap/>
            <w:vAlign w:val="center"/>
            <w:hideMark/>
          </w:tcPr>
          <w:p w14:paraId="5B362CD0"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Elevation (m)</w:t>
            </w:r>
          </w:p>
        </w:tc>
        <w:tc>
          <w:tcPr>
            <w:tcW w:w="1800" w:type="dxa"/>
            <w:tcBorders>
              <w:top w:val="single" w:sz="4" w:space="0" w:color="auto"/>
            </w:tcBorders>
            <w:shd w:val="clear" w:color="auto" w:fill="auto"/>
            <w:noWrap/>
            <w:vAlign w:val="center"/>
            <w:hideMark/>
          </w:tcPr>
          <w:p w14:paraId="4861FD0E"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4DA4A28C" w14:textId="77777777" w:rsidTr="00333AA3">
        <w:trPr>
          <w:trHeight w:val="74"/>
        </w:trPr>
        <w:tc>
          <w:tcPr>
            <w:tcW w:w="1080" w:type="dxa"/>
            <w:vMerge/>
            <w:vAlign w:val="center"/>
          </w:tcPr>
          <w:p w14:paraId="18B5B417" w14:textId="77777777" w:rsidR="00333AA3" w:rsidRPr="00FE442E" w:rsidRDefault="00333AA3" w:rsidP="00333AA3">
            <w:pPr>
              <w:spacing w:after="0" w:line="240" w:lineRule="auto"/>
              <w:jc w:val="center"/>
              <w:rPr>
                <w:rFonts w:eastAsia="Times New Roman" w:cs="Times New Roman"/>
                <w:color w:val="000000"/>
                <w:szCs w:val="24"/>
              </w:rPr>
            </w:pPr>
          </w:p>
        </w:tc>
        <w:tc>
          <w:tcPr>
            <w:tcW w:w="1890" w:type="dxa"/>
            <w:tcBorders>
              <w:bottom w:val="single" w:sz="4" w:space="0" w:color="auto"/>
            </w:tcBorders>
            <w:shd w:val="clear" w:color="auto" w:fill="auto"/>
            <w:noWrap/>
            <w:vAlign w:val="center"/>
            <w:hideMark/>
          </w:tcPr>
          <w:p w14:paraId="0DCA8EEE"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AREA</w:t>
            </w:r>
          </w:p>
        </w:tc>
        <w:tc>
          <w:tcPr>
            <w:tcW w:w="3690" w:type="dxa"/>
            <w:tcBorders>
              <w:bottom w:val="single" w:sz="4" w:space="0" w:color="auto"/>
            </w:tcBorders>
            <w:shd w:val="clear" w:color="auto" w:fill="auto"/>
            <w:noWrap/>
            <w:vAlign w:val="center"/>
            <w:hideMark/>
          </w:tcPr>
          <w:p w14:paraId="2ED9F94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Log of catchment area (km</w:t>
            </w:r>
            <w:r w:rsidRPr="00FE442E">
              <w:rPr>
                <w:rFonts w:eastAsia="Times New Roman" w:cs="Times New Roman"/>
                <w:color w:val="000000"/>
                <w:szCs w:val="24"/>
                <w:vertAlign w:val="superscript"/>
              </w:rPr>
              <w:t>2</w:t>
            </w:r>
            <w:r w:rsidRPr="00FE442E">
              <w:rPr>
                <w:rFonts w:eastAsia="Times New Roman" w:cs="Times New Roman"/>
                <w:color w:val="000000"/>
                <w:szCs w:val="24"/>
              </w:rPr>
              <w:t>)</w:t>
            </w:r>
          </w:p>
        </w:tc>
        <w:tc>
          <w:tcPr>
            <w:tcW w:w="1800" w:type="dxa"/>
            <w:tcBorders>
              <w:bottom w:val="single" w:sz="4" w:space="0" w:color="auto"/>
            </w:tcBorders>
            <w:shd w:val="clear" w:color="auto" w:fill="auto"/>
            <w:noWrap/>
            <w:vAlign w:val="center"/>
            <w:hideMark/>
          </w:tcPr>
          <w:p w14:paraId="7B3C26AD"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2D7135A3" w14:textId="77777777" w:rsidTr="00333AA3">
        <w:trPr>
          <w:trHeight w:val="206"/>
        </w:trPr>
        <w:tc>
          <w:tcPr>
            <w:tcW w:w="1080" w:type="dxa"/>
            <w:vMerge w:val="restart"/>
            <w:vAlign w:val="center"/>
          </w:tcPr>
          <w:p w14:paraId="3FFCBDAF" w14:textId="77777777" w:rsidR="00333AA3" w:rsidRPr="00FE442E" w:rsidRDefault="00333AA3" w:rsidP="00333AA3">
            <w:pPr>
              <w:spacing w:after="0" w:line="240" w:lineRule="auto"/>
              <w:jc w:val="center"/>
              <w:rPr>
                <w:rFonts w:eastAsia="Times New Roman" w:cs="Times New Roman"/>
                <w:color w:val="000000"/>
                <w:szCs w:val="24"/>
              </w:rPr>
            </w:pPr>
            <w:r w:rsidRPr="00FE442E">
              <w:rPr>
                <w:rFonts w:eastAsia="Times New Roman" w:cs="Times New Roman"/>
                <w:color w:val="000000"/>
                <w:szCs w:val="24"/>
              </w:rPr>
              <w:t>Land Use</w:t>
            </w:r>
          </w:p>
        </w:tc>
        <w:tc>
          <w:tcPr>
            <w:tcW w:w="1890" w:type="dxa"/>
            <w:tcBorders>
              <w:top w:val="single" w:sz="4" w:space="0" w:color="auto"/>
            </w:tcBorders>
            <w:shd w:val="clear" w:color="auto" w:fill="auto"/>
            <w:noWrap/>
            <w:vAlign w:val="center"/>
            <w:hideMark/>
          </w:tcPr>
          <w:p w14:paraId="5E05C0D5"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AGRI</w:t>
            </w:r>
          </w:p>
        </w:tc>
        <w:tc>
          <w:tcPr>
            <w:tcW w:w="3690" w:type="dxa"/>
            <w:tcBorders>
              <w:top w:val="single" w:sz="4" w:space="0" w:color="auto"/>
            </w:tcBorders>
            <w:shd w:val="clear" w:color="auto" w:fill="auto"/>
            <w:noWrap/>
            <w:vAlign w:val="center"/>
            <w:hideMark/>
          </w:tcPr>
          <w:p w14:paraId="1DC3988D"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Agricultural land cover (%)</w:t>
            </w:r>
          </w:p>
        </w:tc>
        <w:tc>
          <w:tcPr>
            <w:tcW w:w="1800" w:type="dxa"/>
            <w:tcBorders>
              <w:top w:val="single" w:sz="4" w:space="0" w:color="auto"/>
            </w:tcBorders>
            <w:shd w:val="clear" w:color="auto" w:fill="auto"/>
            <w:noWrap/>
            <w:vAlign w:val="center"/>
            <w:hideMark/>
          </w:tcPr>
          <w:p w14:paraId="73C025A6"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3E105450" w14:textId="77777777" w:rsidTr="00333AA3">
        <w:trPr>
          <w:trHeight w:val="126"/>
        </w:trPr>
        <w:tc>
          <w:tcPr>
            <w:tcW w:w="1080" w:type="dxa"/>
            <w:vMerge/>
            <w:vAlign w:val="center"/>
          </w:tcPr>
          <w:p w14:paraId="6B236A15" w14:textId="77777777" w:rsidR="00333AA3" w:rsidRPr="00FE442E" w:rsidRDefault="00333AA3" w:rsidP="00333AA3">
            <w:pPr>
              <w:spacing w:after="0" w:line="240" w:lineRule="auto"/>
              <w:jc w:val="center"/>
              <w:rPr>
                <w:rFonts w:eastAsia="Times New Roman" w:cs="Times New Roman"/>
                <w:color w:val="000000"/>
                <w:szCs w:val="24"/>
              </w:rPr>
            </w:pPr>
          </w:p>
        </w:tc>
        <w:tc>
          <w:tcPr>
            <w:tcW w:w="1890" w:type="dxa"/>
            <w:tcBorders>
              <w:bottom w:val="single" w:sz="4" w:space="0" w:color="auto"/>
            </w:tcBorders>
            <w:shd w:val="clear" w:color="auto" w:fill="auto"/>
            <w:noWrap/>
            <w:vAlign w:val="center"/>
            <w:hideMark/>
          </w:tcPr>
          <w:p w14:paraId="48A9867D"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URBAN</w:t>
            </w:r>
          </w:p>
        </w:tc>
        <w:tc>
          <w:tcPr>
            <w:tcW w:w="3690" w:type="dxa"/>
            <w:tcBorders>
              <w:bottom w:val="single" w:sz="4" w:space="0" w:color="auto"/>
            </w:tcBorders>
            <w:shd w:val="clear" w:color="auto" w:fill="auto"/>
            <w:noWrap/>
            <w:vAlign w:val="center"/>
            <w:hideMark/>
          </w:tcPr>
          <w:p w14:paraId="2A9941C1"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Urban land cover (%)</w:t>
            </w:r>
          </w:p>
        </w:tc>
        <w:tc>
          <w:tcPr>
            <w:tcW w:w="1800" w:type="dxa"/>
            <w:tcBorders>
              <w:bottom w:val="single" w:sz="4" w:space="0" w:color="auto"/>
            </w:tcBorders>
            <w:shd w:val="clear" w:color="auto" w:fill="auto"/>
            <w:noWrap/>
            <w:vAlign w:val="center"/>
            <w:hideMark/>
          </w:tcPr>
          <w:p w14:paraId="547C428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2709EF32" w14:textId="77777777" w:rsidTr="00333AA3">
        <w:trPr>
          <w:trHeight w:val="116"/>
        </w:trPr>
        <w:tc>
          <w:tcPr>
            <w:tcW w:w="1080" w:type="dxa"/>
            <w:vMerge w:val="restart"/>
            <w:vAlign w:val="center"/>
          </w:tcPr>
          <w:p w14:paraId="137F47CC" w14:textId="77777777" w:rsidR="00333AA3" w:rsidRPr="00FE442E" w:rsidRDefault="00333AA3" w:rsidP="00333AA3">
            <w:pPr>
              <w:spacing w:after="0" w:line="240" w:lineRule="auto"/>
              <w:jc w:val="center"/>
              <w:rPr>
                <w:rFonts w:eastAsia="Times New Roman" w:cs="Times New Roman"/>
                <w:color w:val="000000"/>
                <w:szCs w:val="24"/>
              </w:rPr>
            </w:pPr>
            <w:r w:rsidRPr="00FE442E">
              <w:rPr>
                <w:rFonts w:eastAsia="Times New Roman" w:cs="Times New Roman"/>
                <w:color w:val="000000"/>
                <w:szCs w:val="24"/>
              </w:rPr>
              <w:t>Hydro-climate</w:t>
            </w:r>
          </w:p>
        </w:tc>
        <w:tc>
          <w:tcPr>
            <w:tcW w:w="1890" w:type="dxa"/>
            <w:tcBorders>
              <w:top w:val="single" w:sz="4" w:space="0" w:color="auto"/>
            </w:tcBorders>
            <w:shd w:val="clear" w:color="auto" w:fill="auto"/>
            <w:noWrap/>
            <w:vAlign w:val="center"/>
          </w:tcPr>
          <w:p w14:paraId="14F2229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PRECIP</w:t>
            </w:r>
          </w:p>
        </w:tc>
        <w:tc>
          <w:tcPr>
            <w:tcW w:w="3690" w:type="dxa"/>
            <w:tcBorders>
              <w:top w:val="single" w:sz="4" w:space="0" w:color="auto"/>
            </w:tcBorders>
            <w:shd w:val="clear" w:color="auto" w:fill="auto"/>
            <w:noWrap/>
            <w:vAlign w:val="center"/>
          </w:tcPr>
          <w:p w14:paraId="2824FD21"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 xml:space="preserve">Mean annual precipitation (mm) </w:t>
            </w:r>
          </w:p>
        </w:tc>
        <w:tc>
          <w:tcPr>
            <w:tcW w:w="1800" w:type="dxa"/>
            <w:tcBorders>
              <w:top w:val="single" w:sz="4" w:space="0" w:color="auto"/>
            </w:tcBorders>
            <w:shd w:val="clear" w:color="auto" w:fill="auto"/>
            <w:noWrap/>
            <w:vAlign w:val="center"/>
          </w:tcPr>
          <w:p w14:paraId="2E0F9668"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1D83323E" w14:textId="77777777" w:rsidTr="00333AA3">
        <w:trPr>
          <w:trHeight w:val="350"/>
        </w:trPr>
        <w:tc>
          <w:tcPr>
            <w:tcW w:w="1080" w:type="dxa"/>
            <w:vMerge/>
          </w:tcPr>
          <w:p w14:paraId="432A1BB8"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tcPr>
          <w:p w14:paraId="4176316B"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TEMP_MA</w:t>
            </w:r>
            <w:r w:rsidRPr="00FE442E">
              <w:rPr>
                <w:rFonts w:eastAsia="Times New Roman" w:cs="Times New Roman"/>
                <w:color w:val="000000"/>
                <w:szCs w:val="24"/>
              </w:rPr>
              <w:softHyphen/>
            </w:r>
          </w:p>
        </w:tc>
        <w:tc>
          <w:tcPr>
            <w:tcW w:w="3690" w:type="dxa"/>
            <w:shd w:val="clear" w:color="auto" w:fill="auto"/>
            <w:noWrap/>
            <w:vAlign w:val="center"/>
          </w:tcPr>
          <w:p w14:paraId="6E52ABF6"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Mean annual temperature (</w:t>
            </w:r>
            <w:proofErr w:type="spellStart"/>
            <w:r w:rsidRPr="00FE442E">
              <w:rPr>
                <w:rFonts w:eastAsia="Times New Roman" w:cs="Times New Roman"/>
                <w:color w:val="000000"/>
                <w:szCs w:val="24"/>
              </w:rPr>
              <w:t>degC</w:t>
            </w:r>
            <w:proofErr w:type="spellEnd"/>
            <w:r w:rsidRPr="00FE442E">
              <w:rPr>
                <w:rFonts w:eastAsia="Times New Roman" w:cs="Times New Roman"/>
                <w:color w:val="000000"/>
                <w:szCs w:val="24"/>
              </w:rPr>
              <w:t xml:space="preserve">) </w:t>
            </w:r>
          </w:p>
        </w:tc>
        <w:tc>
          <w:tcPr>
            <w:tcW w:w="1800" w:type="dxa"/>
            <w:shd w:val="clear" w:color="auto" w:fill="auto"/>
            <w:noWrap/>
            <w:vAlign w:val="center"/>
          </w:tcPr>
          <w:p w14:paraId="749BF141"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4982D28D" w14:textId="77777777" w:rsidTr="00333AA3">
        <w:trPr>
          <w:trHeight w:val="441"/>
        </w:trPr>
        <w:tc>
          <w:tcPr>
            <w:tcW w:w="1080" w:type="dxa"/>
            <w:vMerge/>
          </w:tcPr>
          <w:p w14:paraId="4D2B3017"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tcPr>
          <w:p w14:paraId="0CE0CBB5"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TEMP_JA</w:t>
            </w:r>
          </w:p>
        </w:tc>
        <w:tc>
          <w:tcPr>
            <w:tcW w:w="3690" w:type="dxa"/>
            <w:shd w:val="clear" w:color="auto" w:fill="auto"/>
            <w:noWrap/>
            <w:vAlign w:val="center"/>
          </w:tcPr>
          <w:p w14:paraId="26F3A111"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Mean July August temperature (</w:t>
            </w:r>
            <w:proofErr w:type="spellStart"/>
            <w:r w:rsidRPr="00FE442E">
              <w:rPr>
                <w:rFonts w:eastAsia="Times New Roman" w:cs="Times New Roman"/>
                <w:color w:val="000000"/>
                <w:szCs w:val="24"/>
              </w:rPr>
              <w:t>degC</w:t>
            </w:r>
            <w:proofErr w:type="spellEnd"/>
            <w:r w:rsidRPr="00FE442E">
              <w:rPr>
                <w:rFonts w:eastAsia="Times New Roman" w:cs="Times New Roman"/>
                <w:color w:val="000000"/>
                <w:szCs w:val="24"/>
              </w:rPr>
              <w:t>)</w:t>
            </w:r>
          </w:p>
        </w:tc>
        <w:tc>
          <w:tcPr>
            <w:tcW w:w="1800" w:type="dxa"/>
            <w:shd w:val="clear" w:color="auto" w:fill="auto"/>
            <w:noWrap/>
            <w:vAlign w:val="center"/>
          </w:tcPr>
          <w:p w14:paraId="6B76D97F" w14:textId="77777777" w:rsidR="00333AA3" w:rsidRPr="00FE442E" w:rsidRDefault="00333AA3" w:rsidP="00333AA3">
            <w:pPr>
              <w:spacing w:after="0" w:line="240" w:lineRule="auto"/>
              <w:rPr>
                <w:rFonts w:eastAsia="Times New Roman" w:cs="Times New Roman"/>
                <w:color w:val="000000"/>
                <w:szCs w:val="24"/>
              </w:rPr>
            </w:pPr>
            <w:proofErr w:type="spellStart"/>
            <w:r w:rsidRPr="00FE442E">
              <w:rPr>
                <w:rFonts w:eastAsia="Times New Roman" w:cs="Times New Roman"/>
                <w:color w:val="000000"/>
                <w:szCs w:val="24"/>
              </w:rPr>
              <w:t>McManamay</w:t>
            </w:r>
            <w:proofErr w:type="spellEnd"/>
            <w:r w:rsidRPr="00FE442E">
              <w:rPr>
                <w:rFonts w:eastAsia="Times New Roman" w:cs="Times New Roman"/>
                <w:color w:val="000000"/>
                <w:szCs w:val="24"/>
              </w:rPr>
              <w:t xml:space="preserve"> and </w:t>
            </w:r>
            <w:proofErr w:type="spellStart"/>
            <w:r w:rsidRPr="00FE442E">
              <w:rPr>
                <w:rFonts w:eastAsia="Times New Roman" w:cs="Times New Roman"/>
                <w:color w:val="000000"/>
                <w:szCs w:val="24"/>
              </w:rPr>
              <w:t>Derolph</w:t>
            </w:r>
            <w:proofErr w:type="spellEnd"/>
            <w:r w:rsidRPr="00FE442E">
              <w:rPr>
                <w:rFonts w:eastAsia="Times New Roman" w:cs="Times New Roman"/>
                <w:color w:val="000000"/>
                <w:szCs w:val="24"/>
              </w:rPr>
              <w:t xml:space="preserve"> (2019)</w:t>
            </w:r>
          </w:p>
        </w:tc>
      </w:tr>
      <w:tr w:rsidR="00333AA3" w:rsidRPr="00FE442E" w14:paraId="5B4ED742" w14:textId="77777777" w:rsidTr="00333AA3">
        <w:trPr>
          <w:trHeight w:val="368"/>
        </w:trPr>
        <w:tc>
          <w:tcPr>
            <w:tcW w:w="1080" w:type="dxa"/>
            <w:vMerge/>
          </w:tcPr>
          <w:p w14:paraId="3AD436FA"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hideMark/>
          </w:tcPr>
          <w:p w14:paraId="7A4DE0CB" w14:textId="77777777" w:rsidR="00333AA3" w:rsidRPr="00FE442E" w:rsidRDefault="00333AA3" w:rsidP="00333AA3">
            <w:pPr>
              <w:spacing w:after="0" w:line="240" w:lineRule="auto"/>
              <w:rPr>
                <w:rFonts w:eastAsia="Times New Roman" w:cs="Times New Roman"/>
                <w:color w:val="000000"/>
                <w:szCs w:val="24"/>
              </w:rPr>
            </w:pPr>
            <w:proofErr w:type="spellStart"/>
            <w:r w:rsidRPr="00FE442E">
              <w:rPr>
                <w:rFonts w:eastAsia="Times New Roman" w:cs="Times New Roman"/>
                <w:color w:val="000000"/>
                <w:szCs w:val="24"/>
              </w:rPr>
              <w:t>TEMP_CoV</w:t>
            </w:r>
            <w:proofErr w:type="spellEnd"/>
          </w:p>
        </w:tc>
        <w:tc>
          <w:tcPr>
            <w:tcW w:w="3690" w:type="dxa"/>
            <w:shd w:val="clear" w:color="auto" w:fill="auto"/>
            <w:noWrap/>
            <w:vAlign w:val="center"/>
            <w:hideMark/>
          </w:tcPr>
          <w:p w14:paraId="18B5D2FF"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Mean monthly temperature coefficient of variation</w:t>
            </w:r>
          </w:p>
        </w:tc>
        <w:tc>
          <w:tcPr>
            <w:tcW w:w="1800" w:type="dxa"/>
            <w:shd w:val="clear" w:color="auto" w:fill="auto"/>
            <w:noWrap/>
            <w:vAlign w:val="center"/>
            <w:hideMark/>
          </w:tcPr>
          <w:p w14:paraId="126C2EDF"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46ACF80C" w14:textId="77777777" w:rsidTr="00333AA3">
        <w:trPr>
          <w:trHeight w:val="368"/>
        </w:trPr>
        <w:tc>
          <w:tcPr>
            <w:tcW w:w="1080" w:type="dxa"/>
            <w:vMerge/>
          </w:tcPr>
          <w:p w14:paraId="7AA4EC4B"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tcPr>
          <w:p w14:paraId="2409F9FA" w14:textId="77777777" w:rsidR="00333AA3" w:rsidRPr="00FE442E" w:rsidRDefault="00333AA3" w:rsidP="00333AA3">
            <w:pPr>
              <w:spacing w:after="0" w:line="240" w:lineRule="auto"/>
              <w:rPr>
                <w:rFonts w:eastAsia="Times New Roman" w:cs="Times New Roman"/>
                <w:color w:val="000000"/>
                <w:szCs w:val="24"/>
              </w:rPr>
            </w:pPr>
            <w:proofErr w:type="spellStart"/>
            <w:r w:rsidRPr="00FE442E">
              <w:rPr>
                <w:rFonts w:eastAsia="Times New Roman" w:cs="Times New Roman"/>
                <w:color w:val="000000"/>
                <w:szCs w:val="24"/>
              </w:rPr>
              <w:t>PRECIP_CoV</w:t>
            </w:r>
            <w:proofErr w:type="spellEnd"/>
          </w:p>
        </w:tc>
        <w:tc>
          <w:tcPr>
            <w:tcW w:w="3690" w:type="dxa"/>
            <w:shd w:val="clear" w:color="auto" w:fill="auto"/>
            <w:noWrap/>
            <w:vAlign w:val="center"/>
          </w:tcPr>
          <w:p w14:paraId="2DC7A1B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Mean monthly precipitation coefficient of variation</w:t>
            </w:r>
          </w:p>
        </w:tc>
        <w:tc>
          <w:tcPr>
            <w:tcW w:w="1800" w:type="dxa"/>
            <w:shd w:val="clear" w:color="auto" w:fill="auto"/>
            <w:noWrap/>
            <w:vAlign w:val="center"/>
          </w:tcPr>
          <w:p w14:paraId="5E92F424"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57B4BA38" w14:textId="77777777" w:rsidTr="00333AA3">
        <w:trPr>
          <w:trHeight w:val="74"/>
        </w:trPr>
        <w:tc>
          <w:tcPr>
            <w:tcW w:w="1080" w:type="dxa"/>
            <w:vMerge/>
          </w:tcPr>
          <w:p w14:paraId="74B4BE92"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tcPr>
          <w:p w14:paraId="54FFDB8D"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WIDTH</w:t>
            </w:r>
          </w:p>
        </w:tc>
        <w:tc>
          <w:tcPr>
            <w:tcW w:w="3690" w:type="dxa"/>
            <w:shd w:val="clear" w:color="auto" w:fill="auto"/>
            <w:noWrap/>
            <w:vAlign w:val="center"/>
          </w:tcPr>
          <w:p w14:paraId="76969B71"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Mean channel width (m)</w:t>
            </w:r>
          </w:p>
        </w:tc>
        <w:tc>
          <w:tcPr>
            <w:tcW w:w="1800" w:type="dxa"/>
            <w:shd w:val="clear" w:color="auto" w:fill="auto"/>
            <w:noWrap/>
            <w:vAlign w:val="center"/>
          </w:tcPr>
          <w:p w14:paraId="0AD63B7C"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 xml:space="preserve">NRSA </w:t>
            </w:r>
          </w:p>
        </w:tc>
      </w:tr>
      <w:tr w:rsidR="00333AA3" w:rsidRPr="00FE442E" w14:paraId="37E5ACB1" w14:textId="77777777" w:rsidTr="00333AA3">
        <w:trPr>
          <w:trHeight w:val="368"/>
        </w:trPr>
        <w:tc>
          <w:tcPr>
            <w:tcW w:w="1080" w:type="dxa"/>
            <w:vMerge/>
          </w:tcPr>
          <w:p w14:paraId="4B58DCB2"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tcPr>
          <w:p w14:paraId="2B177726"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DEPTH</w:t>
            </w:r>
          </w:p>
        </w:tc>
        <w:tc>
          <w:tcPr>
            <w:tcW w:w="3690" w:type="dxa"/>
            <w:shd w:val="clear" w:color="auto" w:fill="auto"/>
            <w:noWrap/>
            <w:vAlign w:val="center"/>
          </w:tcPr>
          <w:p w14:paraId="3E42C884"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 xml:space="preserve">Mean </w:t>
            </w:r>
            <w:proofErr w:type="spellStart"/>
            <w:r w:rsidRPr="00FE442E">
              <w:rPr>
                <w:rFonts w:eastAsia="Times New Roman" w:cs="Times New Roman"/>
                <w:color w:val="000000"/>
                <w:szCs w:val="24"/>
              </w:rPr>
              <w:t>thawleg</w:t>
            </w:r>
            <w:proofErr w:type="spellEnd"/>
            <w:r w:rsidRPr="00FE442E">
              <w:rPr>
                <w:rFonts w:eastAsia="Times New Roman" w:cs="Times New Roman"/>
                <w:color w:val="000000"/>
                <w:szCs w:val="24"/>
              </w:rPr>
              <w:t xml:space="preserve"> depth (cm)</w:t>
            </w:r>
          </w:p>
        </w:tc>
        <w:tc>
          <w:tcPr>
            <w:tcW w:w="1800" w:type="dxa"/>
            <w:shd w:val="clear" w:color="auto" w:fill="auto"/>
            <w:noWrap/>
            <w:vAlign w:val="center"/>
          </w:tcPr>
          <w:p w14:paraId="2313566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 xml:space="preserve">NRSA </w:t>
            </w:r>
          </w:p>
        </w:tc>
      </w:tr>
      <w:tr w:rsidR="00333AA3" w:rsidRPr="00FE442E" w14:paraId="2678832B" w14:textId="77777777" w:rsidTr="00333AA3">
        <w:trPr>
          <w:trHeight w:val="368"/>
        </w:trPr>
        <w:tc>
          <w:tcPr>
            <w:tcW w:w="1080" w:type="dxa"/>
            <w:vMerge/>
          </w:tcPr>
          <w:p w14:paraId="011ED9E5" w14:textId="77777777" w:rsidR="00333AA3" w:rsidRPr="00FE442E" w:rsidRDefault="00333AA3" w:rsidP="00333AA3">
            <w:pPr>
              <w:spacing w:after="0" w:line="240" w:lineRule="auto"/>
              <w:rPr>
                <w:rFonts w:eastAsia="Times New Roman" w:cs="Times New Roman"/>
                <w:color w:val="000000"/>
                <w:szCs w:val="24"/>
              </w:rPr>
            </w:pPr>
          </w:p>
        </w:tc>
        <w:tc>
          <w:tcPr>
            <w:tcW w:w="1890" w:type="dxa"/>
            <w:shd w:val="clear" w:color="auto" w:fill="auto"/>
            <w:noWrap/>
            <w:vAlign w:val="center"/>
          </w:tcPr>
          <w:p w14:paraId="1799E6A2"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DISCHARGE</w:t>
            </w:r>
          </w:p>
        </w:tc>
        <w:tc>
          <w:tcPr>
            <w:tcW w:w="3690" w:type="dxa"/>
            <w:shd w:val="clear" w:color="auto" w:fill="auto"/>
            <w:noWrap/>
            <w:vAlign w:val="center"/>
          </w:tcPr>
          <w:p w14:paraId="0631906D"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Mean annual discharge (m</w:t>
            </w:r>
            <w:r w:rsidRPr="00FE442E">
              <w:rPr>
                <w:rFonts w:eastAsia="Times New Roman" w:cs="Times New Roman"/>
                <w:color w:val="000000"/>
                <w:szCs w:val="24"/>
                <w:vertAlign w:val="superscript"/>
              </w:rPr>
              <w:t>3</w:t>
            </w:r>
            <w:r w:rsidRPr="00FE442E">
              <w:rPr>
                <w:rFonts w:eastAsia="Times New Roman" w:cs="Times New Roman"/>
                <w:color w:val="000000"/>
                <w:szCs w:val="24"/>
              </w:rPr>
              <w:t xml:space="preserve"> s</w:t>
            </w:r>
            <w:r w:rsidRPr="00FE442E">
              <w:rPr>
                <w:rFonts w:eastAsia="Times New Roman" w:cs="Times New Roman"/>
                <w:color w:val="000000"/>
                <w:szCs w:val="24"/>
                <w:vertAlign w:val="superscript"/>
              </w:rPr>
              <w:t>-1</w:t>
            </w:r>
            <w:r w:rsidRPr="00FE442E">
              <w:rPr>
                <w:rFonts w:eastAsia="Times New Roman" w:cs="Times New Roman"/>
                <w:color w:val="000000"/>
                <w:szCs w:val="24"/>
              </w:rPr>
              <w:t>)</w:t>
            </w:r>
          </w:p>
        </w:tc>
        <w:tc>
          <w:tcPr>
            <w:tcW w:w="1800" w:type="dxa"/>
            <w:shd w:val="clear" w:color="auto" w:fill="auto"/>
            <w:noWrap/>
            <w:vAlign w:val="center"/>
          </w:tcPr>
          <w:p w14:paraId="367E4DB9"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NHDPlusV2</w:t>
            </w:r>
          </w:p>
        </w:tc>
      </w:tr>
      <w:tr w:rsidR="00333AA3" w:rsidRPr="00FE442E" w14:paraId="2C374947" w14:textId="77777777" w:rsidTr="00333AA3">
        <w:trPr>
          <w:trHeight w:val="368"/>
        </w:trPr>
        <w:tc>
          <w:tcPr>
            <w:tcW w:w="1080" w:type="dxa"/>
            <w:vMerge/>
          </w:tcPr>
          <w:p w14:paraId="784CD964" w14:textId="77777777" w:rsidR="00333AA3" w:rsidRPr="00FE442E" w:rsidRDefault="00333AA3" w:rsidP="00333AA3">
            <w:pPr>
              <w:spacing w:after="0" w:line="240" w:lineRule="auto"/>
              <w:rPr>
                <w:rFonts w:eastAsia="Times New Roman" w:cs="Times New Roman"/>
                <w:color w:val="000000"/>
                <w:szCs w:val="24"/>
              </w:rPr>
            </w:pPr>
          </w:p>
        </w:tc>
        <w:tc>
          <w:tcPr>
            <w:tcW w:w="1890" w:type="dxa"/>
            <w:tcBorders>
              <w:bottom w:val="single" w:sz="4" w:space="0" w:color="auto"/>
            </w:tcBorders>
            <w:shd w:val="clear" w:color="auto" w:fill="auto"/>
            <w:noWrap/>
            <w:vAlign w:val="center"/>
          </w:tcPr>
          <w:p w14:paraId="373CCA30"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HYDROCLASS</w:t>
            </w:r>
          </w:p>
        </w:tc>
        <w:tc>
          <w:tcPr>
            <w:tcW w:w="3690" w:type="dxa"/>
            <w:tcBorders>
              <w:bottom w:val="single" w:sz="4" w:space="0" w:color="auto"/>
            </w:tcBorders>
            <w:shd w:val="clear" w:color="auto" w:fill="auto"/>
            <w:noWrap/>
            <w:vAlign w:val="center"/>
          </w:tcPr>
          <w:p w14:paraId="32256CD4" w14:textId="77777777" w:rsidR="00333AA3" w:rsidRPr="00FE442E" w:rsidRDefault="00333AA3" w:rsidP="00333AA3">
            <w:pPr>
              <w:spacing w:after="0" w:line="240" w:lineRule="auto"/>
              <w:rPr>
                <w:rFonts w:eastAsia="Times New Roman" w:cs="Times New Roman"/>
                <w:color w:val="000000"/>
                <w:szCs w:val="24"/>
              </w:rPr>
            </w:pPr>
            <w:r w:rsidRPr="00FE442E">
              <w:rPr>
                <w:rFonts w:eastAsia="Times New Roman" w:cs="Times New Roman"/>
                <w:color w:val="000000"/>
                <w:szCs w:val="24"/>
              </w:rPr>
              <w:t>Hydrological Class</w:t>
            </w:r>
          </w:p>
        </w:tc>
        <w:tc>
          <w:tcPr>
            <w:tcW w:w="1800" w:type="dxa"/>
            <w:tcBorders>
              <w:bottom w:val="single" w:sz="4" w:space="0" w:color="auto"/>
            </w:tcBorders>
            <w:shd w:val="clear" w:color="auto" w:fill="auto"/>
            <w:noWrap/>
            <w:vAlign w:val="center"/>
          </w:tcPr>
          <w:p w14:paraId="60CCCF3D" w14:textId="77777777" w:rsidR="00333AA3" w:rsidRPr="00FE442E" w:rsidRDefault="00333AA3" w:rsidP="00333AA3">
            <w:pPr>
              <w:spacing w:after="0" w:line="240" w:lineRule="auto"/>
              <w:rPr>
                <w:rFonts w:eastAsia="Times New Roman" w:cs="Times New Roman"/>
                <w:color w:val="000000"/>
                <w:szCs w:val="24"/>
              </w:rPr>
            </w:pPr>
            <w:proofErr w:type="spellStart"/>
            <w:r w:rsidRPr="00FE442E">
              <w:rPr>
                <w:rFonts w:eastAsia="Times New Roman" w:cs="Times New Roman"/>
                <w:color w:val="000000"/>
                <w:szCs w:val="24"/>
              </w:rPr>
              <w:t>McManamay</w:t>
            </w:r>
            <w:proofErr w:type="spellEnd"/>
            <w:r w:rsidRPr="00FE442E">
              <w:rPr>
                <w:rFonts w:eastAsia="Times New Roman" w:cs="Times New Roman"/>
                <w:color w:val="000000"/>
                <w:szCs w:val="24"/>
              </w:rPr>
              <w:t xml:space="preserve"> and </w:t>
            </w:r>
            <w:proofErr w:type="spellStart"/>
            <w:r w:rsidRPr="00FE442E">
              <w:rPr>
                <w:rFonts w:eastAsia="Times New Roman" w:cs="Times New Roman"/>
                <w:color w:val="000000"/>
                <w:szCs w:val="24"/>
              </w:rPr>
              <w:t>Derolph</w:t>
            </w:r>
            <w:proofErr w:type="spellEnd"/>
            <w:r w:rsidRPr="00FE442E">
              <w:rPr>
                <w:rFonts w:eastAsia="Times New Roman" w:cs="Times New Roman"/>
                <w:color w:val="000000"/>
                <w:szCs w:val="24"/>
              </w:rPr>
              <w:t xml:space="preserve"> (2019)</w:t>
            </w:r>
          </w:p>
        </w:tc>
      </w:tr>
      <w:tr w:rsidR="00333AA3" w:rsidRPr="00AF7CA1" w14:paraId="43DCFFB1" w14:textId="77777777" w:rsidTr="00333AA3">
        <w:trPr>
          <w:trHeight w:val="368"/>
        </w:trPr>
        <w:tc>
          <w:tcPr>
            <w:tcW w:w="1080" w:type="dxa"/>
            <w:vAlign w:val="center"/>
          </w:tcPr>
          <w:p w14:paraId="6002F4C5" w14:textId="77777777" w:rsidR="00333AA3" w:rsidRPr="00BA64ED" w:rsidRDefault="00333AA3" w:rsidP="00333AA3">
            <w:pPr>
              <w:spacing w:after="0" w:line="240" w:lineRule="auto"/>
              <w:jc w:val="center"/>
              <w:rPr>
                <w:rFonts w:eastAsia="Times New Roman" w:cs="Times New Roman"/>
                <w:color w:val="000000"/>
              </w:rPr>
            </w:pPr>
          </w:p>
        </w:tc>
        <w:tc>
          <w:tcPr>
            <w:tcW w:w="1890" w:type="dxa"/>
            <w:tcBorders>
              <w:top w:val="single" w:sz="4" w:space="0" w:color="auto"/>
            </w:tcBorders>
            <w:shd w:val="clear" w:color="auto" w:fill="auto"/>
            <w:noWrap/>
            <w:vAlign w:val="center"/>
          </w:tcPr>
          <w:p w14:paraId="6C750A72" w14:textId="77777777" w:rsidR="00333AA3" w:rsidRPr="00BA64ED" w:rsidRDefault="00333AA3" w:rsidP="00333AA3">
            <w:pPr>
              <w:spacing w:after="0" w:line="240" w:lineRule="auto"/>
              <w:jc w:val="center"/>
              <w:rPr>
                <w:rFonts w:eastAsia="Times New Roman" w:cs="Times New Roman"/>
                <w:color w:val="000000"/>
              </w:rPr>
            </w:pPr>
          </w:p>
        </w:tc>
        <w:tc>
          <w:tcPr>
            <w:tcW w:w="3690" w:type="dxa"/>
            <w:tcBorders>
              <w:top w:val="single" w:sz="4" w:space="0" w:color="auto"/>
            </w:tcBorders>
            <w:shd w:val="clear" w:color="auto" w:fill="auto"/>
            <w:noWrap/>
            <w:vAlign w:val="center"/>
          </w:tcPr>
          <w:p w14:paraId="611EB24B" w14:textId="77777777" w:rsidR="00333AA3" w:rsidRPr="00BA64ED" w:rsidRDefault="00333AA3" w:rsidP="00333AA3">
            <w:pPr>
              <w:spacing w:after="0" w:line="240" w:lineRule="auto"/>
              <w:jc w:val="center"/>
              <w:rPr>
                <w:rFonts w:eastAsia="Times New Roman" w:cs="Times New Roman"/>
                <w:color w:val="000000"/>
              </w:rPr>
            </w:pPr>
          </w:p>
        </w:tc>
        <w:tc>
          <w:tcPr>
            <w:tcW w:w="1800" w:type="dxa"/>
            <w:tcBorders>
              <w:top w:val="single" w:sz="4" w:space="0" w:color="auto"/>
            </w:tcBorders>
            <w:shd w:val="clear" w:color="auto" w:fill="auto"/>
            <w:noWrap/>
            <w:vAlign w:val="center"/>
          </w:tcPr>
          <w:p w14:paraId="71AAE340" w14:textId="77777777" w:rsidR="00333AA3" w:rsidRPr="00BA64ED" w:rsidRDefault="00333AA3" w:rsidP="00333AA3">
            <w:pPr>
              <w:spacing w:after="0" w:line="240" w:lineRule="auto"/>
              <w:jc w:val="center"/>
              <w:rPr>
                <w:rFonts w:eastAsia="Times New Roman" w:cs="Times New Roman"/>
                <w:color w:val="000000"/>
              </w:rPr>
            </w:pPr>
          </w:p>
        </w:tc>
      </w:tr>
    </w:tbl>
    <w:p w14:paraId="104A0371" w14:textId="77777777" w:rsidR="00333AA3" w:rsidRDefault="00333AA3" w:rsidP="00333AA3">
      <w:pPr>
        <w:spacing w:line="480" w:lineRule="auto"/>
        <w:contextualSpacing/>
        <w:rPr>
          <w:rFonts w:cs="Times New Roman"/>
          <w:szCs w:val="24"/>
        </w:rPr>
      </w:pPr>
    </w:p>
    <w:p w14:paraId="0272CD3D" w14:textId="77777777" w:rsidR="00333AA3" w:rsidRDefault="00333AA3" w:rsidP="00333AA3">
      <w:pPr>
        <w:spacing w:line="480" w:lineRule="auto"/>
        <w:contextualSpacing/>
        <w:rPr>
          <w:rFonts w:cs="Times New Roman"/>
          <w:szCs w:val="24"/>
        </w:rPr>
      </w:pPr>
    </w:p>
    <w:p w14:paraId="09383FB5" w14:textId="77777777" w:rsidR="00333AA3" w:rsidRDefault="00333AA3" w:rsidP="00333AA3">
      <w:pPr>
        <w:spacing w:line="480" w:lineRule="auto"/>
        <w:contextualSpacing/>
        <w:rPr>
          <w:rFonts w:cs="Times New Roman"/>
          <w:szCs w:val="24"/>
        </w:rPr>
      </w:pPr>
    </w:p>
    <w:p w14:paraId="4DF0AC1E" w14:textId="77777777" w:rsidR="00333AA3" w:rsidRDefault="00333AA3" w:rsidP="00333AA3">
      <w:pPr>
        <w:spacing w:line="480" w:lineRule="auto"/>
        <w:contextualSpacing/>
        <w:rPr>
          <w:rFonts w:cs="Times New Roman"/>
          <w:szCs w:val="24"/>
        </w:rPr>
      </w:pPr>
    </w:p>
    <w:p w14:paraId="2507CF8F" w14:textId="77777777" w:rsidR="00333AA3" w:rsidRDefault="00333AA3" w:rsidP="00333AA3">
      <w:pPr>
        <w:spacing w:line="480" w:lineRule="auto"/>
        <w:contextualSpacing/>
        <w:rPr>
          <w:rFonts w:cs="Times New Roman"/>
          <w:szCs w:val="24"/>
        </w:rPr>
      </w:pPr>
    </w:p>
    <w:p w14:paraId="37B2753F" w14:textId="77777777" w:rsidR="00333AA3" w:rsidRDefault="00333AA3" w:rsidP="00333AA3">
      <w:pPr>
        <w:spacing w:line="480" w:lineRule="auto"/>
        <w:contextualSpacing/>
        <w:rPr>
          <w:rFonts w:cs="Times New Roman"/>
          <w:szCs w:val="24"/>
        </w:rPr>
      </w:pPr>
    </w:p>
    <w:p w14:paraId="5448B2A0" w14:textId="77777777" w:rsidR="00333AA3" w:rsidRDefault="00333AA3" w:rsidP="00333AA3">
      <w:pPr>
        <w:spacing w:line="480" w:lineRule="auto"/>
        <w:contextualSpacing/>
        <w:rPr>
          <w:rFonts w:cs="Times New Roman"/>
          <w:szCs w:val="24"/>
        </w:rPr>
      </w:pPr>
    </w:p>
    <w:p w14:paraId="03F97B92" w14:textId="77777777" w:rsidR="00333AA3" w:rsidRDefault="00333AA3" w:rsidP="00333AA3">
      <w:pPr>
        <w:spacing w:line="480" w:lineRule="auto"/>
        <w:contextualSpacing/>
        <w:rPr>
          <w:rFonts w:cs="Times New Roman"/>
          <w:szCs w:val="24"/>
        </w:rPr>
      </w:pPr>
    </w:p>
    <w:p w14:paraId="1506428B" w14:textId="77777777" w:rsidR="00333AA3" w:rsidRDefault="00333AA3" w:rsidP="00333AA3">
      <w:pPr>
        <w:spacing w:line="480" w:lineRule="auto"/>
        <w:contextualSpacing/>
        <w:rPr>
          <w:rFonts w:cs="Times New Roman"/>
          <w:szCs w:val="24"/>
        </w:rPr>
      </w:pPr>
    </w:p>
    <w:p w14:paraId="4EF79A8B" w14:textId="77777777" w:rsidR="00333AA3" w:rsidRPr="004A70A1" w:rsidRDefault="00333AA3" w:rsidP="00333AA3">
      <w:pPr>
        <w:spacing w:line="480" w:lineRule="auto"/>
        <w:contextualSpacing/>
        <w:rPr>
          <w:rFonts w:cs="Times New Roman"/>
          <w:bCs/>
          <w:szCs w:val="24"/>
        </w:rPr>
      </w:pPr>
      <w:r w:rsidRPr="004A70A1">
        <w:rPr>
          <w:rFonts w:cs="Times New Roman"/>
          <w:bCs/>
          <w:szCs w:val="24"/>
        </w:rPr>
        <w:lastRenderedPageBreak/>
        <w:t>Figure Captions</w:t>
      </w:r>
    </w:p>
    <w:p w14:paraId="0BF099AC" w14:textId="77777777" w:rsidR="00333AA3" w:rsidRDefault="00333AA3" w:rsidP="00333AA3">
      <w:pPr>
        <w:spacing w:line="480" w:lineRule="auto"/>
        <w:contextualSpacing/>
        <w:rPr>
          <w:rFonts w:cs="Times New Roman"/>
          <w:szCs w:val="24"/>
        </w:rPr>
      </w:pPr>
      <w:r>
        <w:rPr>
          <w:rFonts w:cs="Times New Roman"/>
          <w:szCs w:val="24"/>
        </w:rPr>
        <w:t>Figure 1: Partial dependence plots for random forest models with &gt; 10% proportion of variation explained. (A) proportion of flying individuals, “Flying”; (B) 25% stream signature distance, “SS25”; (C)</w:t>
      </w:r>
      <w:r w:rsidRPr="0013002A">
        <w:rPr>
          <w:rFonts w:cs="Times New Roman"/>
          <w:szCs w:val="24"/>
        </w:rPr>
        <w:t xml:space="preserve"> </w:t>
      </w:r>
      <w:r>
        <w:rPr>
          <w:rFonts w:cs="Times New Roman"/>
          <w:szCs w:val="24"/>
        </w:rPr>
        <w:t xml:space="preserve">poorly synchronized emergence, “ESP”; (D) </w:t>
      </w:r>
      <w:proofErr w:type="spellStart"/>
      <w:r>
        <w:rPr>
          <w:rFonts w:cs="Times New Roman"/>
          <w:szCs w:val="24"/>
        </w:rPr>
        <w:t>multivoltinism</w:t>
      </w:r>
      <w:proofErr w:type="spellEnd"/>
      <w:r>
        <w:rPr>
          <w:rFonts w:cs="Times New Roman"/>
          <w:szCs w:val="24"/>
        </w:rPr>
        <w:t>, “VOM”; (E) fast development speed, “DSF”; (F)</w:t>
      </w:r>
      <w:r w:rsidRPr="0013002A">
        <w:rPr>
          <w:rFonts w:cs="Times New Roman"/>
          <w:szCs w:val="24"/>
        </w:rPr>
        <w:t xml:space="preserve"> </w:t>
      </w:r>
      <w:r>
        <w:rPr>
          <w:rFonts w:cs="Times New Roman"/>
          <w:szCs w:val="24"/>
        </w:rPr>
        <w:t>large body size, “BSL”; (G)</w:t>
      </w:r>
      <w:r w:rsidRPr="0013002A">
        <w:rPr>
          <w:rFonts w:cs="Times New Roman"/>
          <w:szCs w:val="24"/>
        </w:rPr>
        <w:t xml:space="preserve"> </w:t>
      </w:r>
      <w:r>
        <w:rPr>
          <w:rFonts w:cs="Times New Roman"/>
          <w:szCs w:val="24"/>
        </w:rPr>
        <w:t>high female dispersal, “FDH</w:t>
      </w:r>
      <w:proofErr w:type="gramStart"/>
      <w:r>
        <w:rPr>
          <w:rFonts w:cs="Times New Roman"/>
          <w:szCs w:val="24"/>
        </w:rPr>
        <w:t>”;  (</w:t>
      </w:r>
      <w:proofErr w:type="gramEnd"/>
      <w:r>
        <w:rPr>
          <w:rFonts w:cs="Times New Roman"/>
          <w:szCs w:val="24"/>
        </w:rPr>
        <w:t>H)</w:t>
      </w:r>
      <w:r w:rsidRPr="0013002A">
        <w:rPr>
          <w:rFonts w:cs="Times New Roman"/>
          <w:szCs w:val="24"/>
        </w:rPr>
        <w:t xml:space="preserve"> </w:t>
      </w:r>
      <w:r>
        <w:rPr>
          <w:rFonts w:cs="Times New Roman"/>
          <w:szCs w:val="24"/>
        </w:rPr>
        <w:t xml:space="preserve">long life span, “LSL”. AREA = Catchment area, ELEV = Elevation, SLOPE = Channel Slope, FINES = Percent Fine Substrate, EMBED = Percent Embeddedness, AGRI = Percent Agricultural Land Cover, URBAN = Percent Urban Land Cover, PRECIP = Mean Annual Precipitation, </w:t>
      </w:r>
      <w:proofErr w:type="spellStart"/>
      <w:r>
        <w:rPr>
          <w:rFonts w:cs="Times New Roman"/>
          <w:szCs w:val="24"/>
        </w:rPr>
        <w:t>TEMP_CoV</w:t>
      </w:r>
      <w:proofErr w:type="spellEnd"/>
      <w:r>
        <w:rPr>
          <w:rFonts w:cs="Times New Roman"/>
          <w:szCs w:val="24"/>
        </w:rPr>
        <w:t xml:space="preserve"> = Mean Annual Temperature Coefficient of Variation, </w:t>
      </w:r>
      <w:proofErr w:type="spellStart"/>
      <w:r>
        <w:rPr>
          <w:rFonts w:cs="Times New Roman"/>
          <w:szCs w:val="24"/>
        </w:rPr>
        <w:t>PRECIP_CoV</w:t>
      </w:r>
      <w:proofErr w:type="spellEnd"/>
      <w:r>
        <w:rPr>
          <w:rFonts w:cs="Times New Roman"/>
          <w:szCs w:val="24"/>
        </w:rPr>
        <w:t xml:space="preserve"> = Mean Annual Precipitation Coefficient of Variation.  For hydrological class, “</w:t>
      </w:r>
      <w:r w:rsidRPr="00985E16">
        <w:rPr>
          <w:rFonts w:cs="Times New Roman"/>
          <w:szCs w:val="24"/>
        </w:rPr>
        <w:t>H</w:t>
      </w:r>
      <w:r>
        <w:rPr>
          <w:rFonts w:cs="Times New Roman"/>
          <w:szCs w:val="24"/>
        </w:rPr>
        <w:t>YDROCLASS”</w:t>
      </w:r>
      <w:r w:rsidRPr="00985E16">
        <w:rPr>
          <w:rFonts w:cs="Times New Roman"/>
          <w:szCs w:val="24"/>
        </w:rPr>
        <w:t xml:space="preserve">:  1 = “Intermittent Flashy 1”, 2 = “Late Timing Runoff”, 3 = “Perennial Runoff 1”, 4 = “Perennial Runoff 2”, 5 = “Super Stable Groundwater”, 6 = “Stable High </w:t>
      </w:r>
      <w:proofErr w:type="spellStart"/>
      <w:r w:rsidRPr="00985E16">
        <w:rPr>
          <w:rFonts w:cs="Times New Roman"/>
          <w:szCs w:val="24"/>
        </w:rPr>
        <w:t>Baseflow</w:t>
      </w:r>
      <w:proofErr w:type="spellEnd"/>
      <w:r w:rsidRPr="00985E16">
        <w:rPr>
          <w:rFonts w:cs="Times New Roman"/>
          <w:szCs w:val="24"/>
        </w:rPr>
        <w:t>”, 7 = “Intermittent Flashy SW”, 8 = “Snowmelt 2”, 9 = “Perennial Flashy”, 10 = “Intermittent Flashy 2”, 11 = “Western Coastal Runoff”, 12 = “Stable High Runoff”, 13 = “Harsh Intermittent”, 14 = “Snowmelt 1”, 15 = “Glacial High Runo</w:t>
      </w:r>
      <w:r>
        <w:rPr>
          <w:rFonts w:cs="Times New Roman"/>
          <w:szCs w:val="24"/>
        </w:rPr>
        <w:t xml:space="preserve">ff” (see </w:t>
      </w:r>
      <w:proofErr w:type="spellStart"/>
      <w:r>
        <w:rPr>
          <w:rFonts w:cs="Times New Roman"/>
          <w:szCs w:val="24"/>
        </w:rPr>
        <w:t>McManamay</w:t>
      </w:r>
      <w:proofErr w:type="spellEnd"/>
      <w:r>
        <w:rPr>
          <w:rFonts w:cs="Times New Roman"/>
          <w:szCs w:val="24"/>
        </w:rPr>
        <w:t xml:space="preserve"> and </w:t>
      </w:r>
      <w:proofErr w:type="spellStart"/>
      <w:r>
        <w:rPr>
          <w:rFonts w:cs="Times New Roman"/>
          <w:szCs w:val="24"/>
        </w:rPr>
        <w:t>Derolph</w:t>
      </w:r>
      <w:proofErr w:type="spellEnd"/>
      <w:r>
        <w:rPr>
          <w:rFonts w:cs="Times New Roman"/>
          <w:szCs w:val="24"/>
        </w:rPr>
        <w:t xml:space="preserve"> </w:t>
      </w:r>
      <w:r w:rsidRPr="00985E16">
        <w:rPr>
          <w:rFonts w:cs="Times New Roman"/>
          <w:szCs w:val="24"/>
        </w:rPr>
        <w:t xml:space="preserve">2019). All predictor variables were mean-centered and scaled by their standard deviation prior to analysis. </w:t>
      </w:r>
      <w:r>
        <w:rPr>
          <w:rFonts w:cs="Times New Roman"/>
          <w:szCs w:val="24"/>
        </w:rPr>
        <w:t>L</w:t>
      </w:r>
      <w:r w:rsidRPr="00985E16">
        <w:rPr>
          <w:rFonts w:cs="Times New Roman"/>
          <w:szCs w:val="24"/>
        </w:rPr>
        <w:t>ine widths represent ranked importance</w:t>
      </w:r>
      <w:r>
        <w:rPr>
          <w:rFonts w:cs="Times New Roman"/>
          <w:szCs w:val="24"/>
        </w:rPr>
        <w:t xml:space="preserve"> of each variable</w:t>
      </w:r>
      <w:r w:rsidRPr="00985E16">
        <w:rPr>
          <w:rFonts w:cs="Times New Roman"/>
          <w:szCs w:val="24"/>
        </w:rPr>
        <w:t>.</w:t>
      </w:r>
    </w:p>
    <w:p w14:paraId="2844006D" w14:textId="77777777" w:rsidR="00333AA3" w:rsidRDefault="00333AA3" w:rsidP="00333AA3">
      <w:pPr>
        <w:spacing w:line="480" w:lineRule="auto"/>
        <w:rPr>
          <w:rFonts w:cs="Times New Roman"/>
          <w:szCs w:val="24"/>
        </w:rPr>
      </w:pPr>
    </w:p>
    <w:p w14:paraId="53D11E21" w14:textId="77777777" w:rsidR="00333AA3" w:rsidRDefault="00333AA3" w:rsidP="00333AA3">
      <w:pPr>
        <w:spacing w:line="480" w:lineRule="auto"/>
        <w:rPr>
          <w:rFonts w:cs="Times New Roman"/>
          <w:szCs w:val="24"/>
        </w:rPr>
      </w:pPr>
      <w:r>
        <w:rPr>
          <w:rFonts w:cs="Times New Roman"/>
          <w:szCs w:val="24"/>
        </w:rPr>
        <w:t>Figure 2: Regional variability in benthic macroinvertebrate traits displayed as marginal effects of hydrologic region. A) hydrologic regions; B) proportion of flying individuals, “Flying”; C) 25% stream signature distance, “SS25”; D)</w:t>
      </w:r>
      <w:r w:rsidRPr="0013002A">
        <w:rPr>
          <w:rFonts w:cs="Times New Roman"/>
          <w:szCs w:val="24"/>
        </w:rPr>
        <w:t xml:space="preserve"> </w:t>
      </w:r>
      <w:r>
        <w:rPr>
          <w:rFonts w:cs="Times New Roman"/>
          <w:szCs w:val="24"/>
        </w:rPr>
        <w:t xml:space="preserve">poorly synchronized emergence, “ESP”; E) </w:t>
      </w:r>
      <w:proofErr w:type="spellStart"/>
      <w:r>
        <w:rPr>
          <w:rFonts w:cs="Times New Roman"/>
          <w:szCs w:val="24"/>
        </w:rPr>
        <w:t>multivoltinism</w:t>
      </w:r>
      <w:proofErr w:type="spellEnd"/>
      <w:r>
        <w:rPr>
          <w:rFonts w:cs="Times New Roman"/>
          <w:szCs w:val="24"/>
        </w:rPr>
        <w:t>, “VOM”; F) fast development speed, “DSF”; G)</w:t>
      </w:r>
      <w:r w:rsidRPr="0013002A">
        <w:rPr>
          <w:rFonts w:cs="Times New Roman"/>
          <w:szCs w:val="24"/>
        </w:rPr>
        <w:t xml:space="preserve"> </w:t>
      </w:r>
      <w:r>
        <w:rPr>
          <w:rFonts w:cs="Times New Roman"/>
          <w:szCs w:val="24"/>
        </w:rPr>
        <w:t>large body size, “BSL”; H)</w:t>
      </w:r>
      <w:r w:rsidRPr="0013002A">
        <w:rPr>
          <w:rFonts w:cs="Times New Roman"/>
          <w:szCs w:val="24"/>
        </w:rPr>
        <w:t xml:space="preserve"> </w:t>
      </w:r>
      <w:r>
        <w:rPr>
          <w:rFonts w:cs="Times New Roman"/>
          <w:szCs w:val="24"/>
        </w:rPr>
        <w:t>high female dispersal, “FDH</w:t>
      </w:r>
      <w:proofErr w:type="gramStart"/>
      <w:r>
        <w:rPr>
          <w:rFonts w:cs="Times New Roman"/>
          <w:szCs w:val="24"/>
        </w:rPr>
        <w:t>”;  I</w:t>
      </w:r>
      <w:proofErr w:type="gramEnd"/>
      <w:r>
        <w:rPr>
          <w:rFonts w:cs="Times New Roman"/>
          <w:szCs w:val="24"/>
        </w:rPr>
        <w:t>)</w:t>
      </w:r>
      <w:r w:rsidRPr="0013002A">
        <w:rPr>
          <w:rFonts w:cs="Times New Roman"/>
          <w:szCs w:val="24"/>
        </w:rPr>
        <w:t xml:space="preserve"> </w:t>
      </w:r>
      <w:r>
        <w:rPr>
          <w:rFonts w:cs="Times New Roman"/>
          <w:szCs w:val="24"/>
        </w:rPr>
        <w:t xml:space="preserve">long life span, “LSL”. Trait definitions are provided in Table 1. </w:t>
      </w:r>
      <w:r>
        <w:rPr>
          <w:rFonts w:cs="Times New Roman"/>
          <w:szCs w:val="24"/>
        </w:rPr>
        <w:lastRenderedPageBreak/>
        <w:t xml:space="preserve">Legend shows hydrologic region codes and “rank” indicates the ranked importance of hydrologic region relative to other variables in the random forest models. </w:t>
      </w:r>
    </w:p>
    <w:p w14:paraId="187DAB3D" w14:textId="77777777" w:rsidR="00333AA3" w:rsidRDefault="00333AA3" w:rsidP="00333AA3">
      <w:pPr>
        <w:spacing w:line="480" w:lineRule="auto"/>
        <w:rPr>
          <w:rFonts w:cs="Times New Roman"/>
          <w:szCs w:val="24"/>
        </w:rPr>
      </w:pPr>
    </w:p>
    <w:p w14:paraId="4CF3AF24" w14:textId="77777777" w:rsidR="00333AA3" w:rsidRDefault="00333AA3" w:rsidP="00333AA3">
      <w:pPr>
        <w:spacing w:line="480" w:lineRule="auto"/>
        <w:contextualSpacing/>
        <w:rPr>
          <w:rFonts w:cs="Times New Roman"/>
          <w:szCs w:val="24"/>
        </w:rPr>
      </w:pPr>
      <w:r>
        <w:rPr>
          <w:rFonts w:cs="Times New Roman"/>
          <w:szCs w:val="24"/>
        </w:rPr>
        <w:t xml:space="preserve">Figure 3: Posterior distributions of the mean for each response variable and for each habitat condition class. White is least disturbed, gray is intermediate and black is most disturbed. Flying = proportion of flying taxa; SS25 = 25% Stream Signature Distance; FDH = Female Dispersal (High), BSL = Body Size (Large), LSL = Life Span (Long), FSS= Flight Strength (Strong); ESP = Emergence Synchrony Poor; DSF = Development Speed (Fast) and VOM = </w:t>
      </w:r>
      <w:proofErr w:type="spellStart"/>
      <w:r>
        <w:rPr>
          <w:rFonts w:cs="Times New Roman"/>
          <w:szCs w:val="24"/>
        </w:rPr>
        <w:t>Voltinism</w:t>
      </w:r>
      <w:proofErr w:type="spellEnd"/>
      <w:r>
        <w:rPr>
          <w:rFonts w:cs="Times New Roman"/>
          <w:szCs w:val="24"/>
        </w:rPr>
        <w:t xml:space="preserve"> (Multi); Trait definitions are provided in Table </w:t>
      </w:r>
    </w:p>
    <w:p w14:paraId="30E0DC6D" w14:textId="12FA57C3" w:rsidR="004A70A1" w:rsidRDefault="00A1291B" w:rsidP="00333AA3">
      <w:pPr>
        <w:spacing w:line="480" w:lineRule="auto"/>
        <w:contextualSpacing/>
        <w:rPr>
          <w:rFonts w:cs="Times New Roman"/>
          <w:szCs w:val="24"/>
        </w:rPr>
      </w:pPr>
      <w:r>
        <w:rPr>
          <w:rFonts w:cs="Times New Roman"/>
          <w:noProof/>
          <w:szCs w:val="24"/>
        </w:rPr>
        <w:lastRenderedPageBreak/>
        <w:drawing>
          <wp:inline distT="0" distB="0" distL="0" distR="0" wp14:anchorId="2905994D" wp14:editId="5F905A78">
            <wp:extent cx="5100439" cy="5506948"/>
            <wp:effectExtent l="0" t="0" r="508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115820" cy="5523555"/>
                    </a:xfrm>
                    <a:prstGeom prst="rect">
                      <a:avLst/>
                    </a:prstGeom>
                  </pic:spPr>
                </pic:pic>
              </a:graphicData>
            </a:graphic>
          </wp:inline>
        </w:drawing>
      </w:r>
    </w:p>
    <w:p w14:paraId="1B791F5E" w14:textId="76DBE77C" w:rsidR="004A70A1" w:rsidRDefault="004A70A1" w:rsidP="004A70A1">
      <w:pPr>
        <w:pStyle w:val="Caption"/>
        <w:rPr>
          <w:rFonts w:cs="Times New Roman"/>
          <w:szCs w:val="24"/>
        </w:rPr>
      </w:pPr>
      <w:bookmarkStart w:id="50" w:name="_Toc60480649"/>
      <w:r>
        <w:t xml:space="preserve">Figure </w:t>
      </w:r>
      <w:fldSimple w:instr=" STYLEREF 1 \s ">
        <w:r w:rsidR="000C6138">
          <w:rPr>
            <w:noProof/>
          </w:rPr>
          <w:t>2</w:t>
        </w:r>
      </w:fldSimple>
      <w:r w:rsidR="004F311A">
        <w:t>.</w:t>
      </w:r>
      <w:fldSimple w:instr=" SEQ Figure \* ARABIC \s 1 ">
        <w:r w:rsidR="000C6138">
          <w:rPr>
            <w:noProof/>
          </w:rPr>
          <w:t>1</w:t>
        </w:r>
      </w:fldSimple>
      <w:bookmarkEnd w:id="50"/>
    </w:p>
    <w:p w14:paraId="7459EB32" w14:textId="77777777" w:rsidR="00934556" w:rsidRDefault="004A70A1" w:rsidP="004A70A1">
      <w:pPr>
        <w:spacing w:line="480" w:lineRule="auto"/>
        <w:contextualSpacing/>
      </w:pPr>
      <w:r>
        <w:rPr>
          <w:rFonts w:cs="Times New Roman"/>
          <w:noProof/>
          <w:szCs w:val="24"/>
        </w:rPr>
        <w:lastRenderedPageBreak/>
        <w:drawing>
          <wp:inline distT="0" distB="0" distL="0" distR="0" wp14:anchorId="1550664F" wp14:editId="72A23402">
            <wp:extent cx="5503178" cy="3341299"/>
            <wp:effectExtent l="0" t="0" r="254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05575" cy="3342754"/>
                    </a:xfrm>
                    <a:prstGeom prst="rect">
                      <a:avLst/>
                    </a:prstGeom>
                  </pic:spPr>
                </pic:pic>
              </a:graphicData>
            </a:graphic>
          </wp:inline>
        </w:drawing>
      </w:r>
    </w:p>
    <w:p w14:paraId="19028171" w14:textId="40D2ED0E" w:rsidR="004A70A1" w:rsidRDefault="004A70A1" w:rsidP="004A70A1">
      <w:pPr>
        <w:spacing w:line="480" w:lineRule="auto"/>
        <w:contextualSpacing/>
        <w:rPr>
          <w:rFonts w:cs="Times New Roman"/>
          <w:szCs w:val="24"/>
        </w:rPr>
      </w:pPr>
      <w:bookmarkStart w:id="51" w:name="_Toc60480650"/>
      <w:r>
        <w:t xml:space="preserve">Figure </w:t>
      </w:r>
      <w:fldSimple w:instr=" STYLEREF 1 \s ">
        <w:r w:rsidR="000C6138">
          <w:rPr>
            <w:noProof/>
          </w:rPr>
          <w:t>2</w:t>
        </w:r>
      </w:fldSimple>
      <w:r w:rsidR="004F311A">
        <w:t>.</w:t>
      </w:r>
      <w:fldSimple w:instr=" SEQ Figure \* ARABIC \s 1 ">
        <w:r w:rsidR="000C6138">
          <w:rPr>
            <w:noProof/>
          </w:rPr>
          <w:t>2</w:t>
        </w:r>
      </w:fldSimple>
      <w:bookmarkEnd w:id="51"/>
    </w:p>
    <w:p w14:paraId="76666AF1" w14:textId="77777777" w:rsidR="004A70A1" w:rsidRDefault="004A70A1" w:rsidP="004A70A1">
      <w:pPr>
        <w:keepNext/>
        <w:spacing w:line="480" w:lineRule="auto"/>
        <w:contextualSpacing/>
        <w:jc w:val="center"/>
      </w:pPr>
      <w:r>
        <w:rPr>
          <w:rFonts w:cs="Times New Roman"/>
          <w:noProof/>
          <w:szCs w:val="24"/>
        </w:rPr>
        <w:drawing>
          <wp:inline distT="0" distB="0" distL="0" distR="0" wp14:anchorId="7B237913" wp14:editId="3516E175">
            <wp:extent cx="3908903" cy="3825380"/>
            <wp:effectExtent l="0" t="0" r="0" b="381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911190" cy="3827618"/>
                    </a:xfrm>
                    <a:prstGeom prst="rect">
                      <a:avLst/>
                    </a:prstGeom>
                  </pic:spPr>
                </pic:pic>
              </a:graphicData>
            </a:graphic>
          </wp:inline>
        </w:drawing>
      </w:r>
    </w:p>
    <w:p w14:paraId="38BD142B" w14:textId="6BBAB11E" w:rsidR="007B4B12" w:rsidRDefault="004A70A1" w:rsidP="004A70A1">
      <w:pPr>
        <w:pStyle w:val="Caption"/>
        <w:rPr>
          <w:rFonts w:cs="Times New Roman"/>
          <w:szCs w:val="24"/>
        </w:rPr>
      </w:pPr>
      <w:bookmarkStart w:id="52" w:name="_Toc60480651"/>
      <w:r>
        <w:t xml:space="preserve">Figure </w:t>
      </w:r>
      <w:fldSimple w:instr=" STYLEREF 1 \s ">
        <w:r w:rsidR="000C6138">
          <w:rPr>
            <w:noProof/>
          </w:rPr>
          <w:t>2</w:t>
        </w:r>
      </w:fldSimple>
      <w:r w:rsidR="004F311A">
        <w:t>.</w:t>
      </w:r>
      <w:fldSimple w:instr=" SEQ Figure \* ARABIC \s 1 ">
        <w:r w:rsidR="000C6138">
          <w:rPr>
            <w:noProof/>
          </w:rPr>
          <w:t>3</w:t>
        </w:r>
      </w:fldSimple>
      <w:bookmarkEnd w:id="52"/>
    </w:p>
    <w:p w14:paraId="6D341960" w14:textId="27E817C2" w:rsidR="007B4B12" w:rsidRPr="00934556" w:rsidRDefault="007B4B12" w:rsidP="00934556">
      <w:pPr>
        <w:pStyle w:val="Heading2"/>
      </w:pPr>
      <w:bookmarkStart w:id="53" w:name="_Toc60841225"/>
      <w:r>
        <w:lastRenderedPageBreak/>
        <w:t>Appendix S1. Supporting Information</w:t>
      </w:r>
      <w:bookmarkEnd w:id="53"/>
    </w:p>
    <w:p w14:paraId="02BE5B02" w14:textId="77777777" w:rsidR="007B4B12" w:rsidRDefault="007B4B12" w:rsidP="007B4B12">
      <w:pPr>
        <w:contextualSpacing/>
        <w:rPr>
          <w:rFonts w:cs="Times New Roman"/>
          <w:szCs w:val="24"/>
        </w:rPr>
      </w:pPr>
    </w:p>
    <w:p w14:paraId="5BB61B31" w14:textId="26E63784" w:rsidR="007B4B12" w:rsidRPr="00934556" w:rsidRDefault="00934556" w:rsidP="00934556">
      <w:pPr>
        <w:pStyle w:val="Caption"/>
        <w:keepNext/>
      </w:pPr>
      <w:bookmarkStart w:id="54" w:name="_Toc60480687"/>
      <w:bookmarkStart w:id="55" w:name="_Toc61883052"/>
      <w:r>
        <w:t xml:space="preserve">Table </w:t>
      </w:r>
      <w:r w:rsidR="007B4B12">
        <w:rPr>
          <w:rFonts w:cs="Times New Roman"/>
          <w:szCs w:val="24"/>
        </w:rPr>
        <w:t>S</w:t>
      </w:r>
      <w:r w:rsidR="00A409BB">
        <w:rPr>
          <w:rFonts w:cs="Times New Roman"/>
          <w:szCs w:val="24"/>
        </w:rPr>
        <w:t>2.1</w:t>
      </w:r>
      <w:r w:rsidR="007B4B12">
        <w:rPr>
          <w:rFonts w:cs="Times New Roman"/>
          <w:szCs w:val="24"/>
        </w:rPr>
        <w:t>. Number of sites exceeding a threshold indicating the proportion of flying individuals with trait data for each hydrologic region. For this analysis we chose &gt; 0.5 to maintain a minimum sample size (n ≥ 3) for all hydrologic regions.</w:t>
      </w:r>
      <w:bookmarkEnd w:id="54"/>
      <w:bookmarkEnd w:id="55"/>
      <w:r w:rsidR="007B4B12">
        <w:rPr>
          <w:rFonts w:cs="Times New Roman"/>
          <w:szCs w:val="24"/>
        </w:rPr>
        <w:t xml:space="preserve">  </w:t>
      </w:r>
    </w:p>
    <w:p w14:paraId="743DFADF" w14:textId="77777777" w:rsidR="007B4B12" w:rsidRPr="006A3CAB" w:rsidRDefault="007B4B12" w:rsidP="007B4B12">
      <w:pPr>
        <w:contextualSpacing/>
        <w:rPr>
          <w:rFonts w:cs="Times New Roman"/>
          <w:szCs w:val="24"/>
        </w:rPr>
      </w:pPr>
    </w:p>
    <w:tbl>
      <w:tblPr>
        <w:tblpPr w:leftFromText="180" w:rightFromText="180" w:vertAnchor="text" w:tblpXSpec="center" w:tblpY="1"/>
        <w:tblOverlap w:val="never"/>
        <w:tblW w:w="7431" w:type="dxa"/>
        <w:tblLook w:val="04A0" w:firstRow="1" w:lastRow="0" w:firstColumn="1" w:lastColumn="0" w:noHBand="0" w:noVBand="1"/>
      </w:tblPr>
      <w:tblGrid>
        <w:gridCol w:w="1550"/>
        <w:gridCol w:w="772"/>
        <w:gridCol w:w="772"/>
        <w:gridCol w:w="772"/>
        <w:gridCol w:w="714"/>
        <w:gridCol w:w="714"/>
        <w:gridCol w:w="714"/>
        <w:gridCol w:w="714"/>
        <w:gridCol w:w="714"/>
        <w:gridCol w:w="714"/>
      </w:tblGrid>
      <w:tr w:rsidR="007B4B12" w:rsidRPr="006A3CAB" w14:paraId="038C3BA1" w14:textId="77777777" w:rsidTr="006A3CAB">
        <w:trPr>
          <w:trHeight w:val="300"/>
        </w:trPr>
        <w:tc>
          <w:tcPr>
            <w:tcW w:w="831" w:type="dxa"/>
            <w:shd w:val="clear" w:color="auto" w:fill="auto"/>
            <w:noWrap/>
            <w:vAlign w:val="bottom"/>
          </w:tcPr>
          <w:p w14:paraId="08CE2637" w14:textId="77777777" w:rsidR="007B4B12" w:rsidRPr="006A3CAB" w:rsidRDefault="007B4B12" w:rsidP="00FD42FE">
            <w:pPr>
              <w:spacing w:after="0" w:line="240" w:lineRule="auto"/>
              <w:rPr>
                <w:rFonts w:eastAsia="Times New Roman" w:cs="Times New Roman"/>
                <w:b/>
                <w:color w:val="000000"/>
              </w:rPr>
            </w:pPr>
          </w:p>
        </w:tc>
        <w:tc>
          <w:tcPr>
            <w:tcW w:w="6600" w:type="dxa"/>
            <w:gridSpan w:val="9"/>
            <w:shd w:val="clear" w:color="auto" w:fill="auto"/>
            <w:noWrap/>
            <w:vAlign w:val="bottom"/>
          </w:tcPr>
          <w:p w14:paraId="679CC05A" w14:textId="77777777" w:rsidR="007B4B12" w:rsidRPr="006A3CAB" w:rsidRDefault="007B4B12" w:rsidP="00FD42FE">
            <w:pPr>
              <w:spacing w:after="0" w:line="240" w:lineRule="auto"/>
              <w:jc w:val="center"/>
              <w:rPr>
                <w:rFonts w:eastAsia="Times New Roman" w:cs="Times New Roman"/>
                <w:b/>
                <w:color w:val="000000"/>
              </w:rPr>
            </w:pPr>
            <w:r w:rsidRPr="006A3CAB">
              <w:rPr>
                <w:rFonts w:eastAsia="Times New Roman" w:cs="Times New Roman"/>
                <w:b/>
                <w:color w:val="000000"/>
              </w:rPr>
              <w:t>Threshold for Inclusion in Traits Analysis</w:t>
            </w:r>
          </w:p>
        </w:tc>
      </w:tr>
      <w:tr w:rsidR="007B4B12" w:rsidRPr="006A3CAB" w14:paraId="6CF9FB30" w14:textId="77777777" w:rsidTr="006A3CAB">
        <w:trPr>
          <w:trHeight w:val="300"/>
        </w:trPr>
        <w:tc>
          <w:tcPr>
            <w:tcW w:w="831" w:type="dxa"/>
            <w:tcBorders>
              <w:bottom w:val="single" w:sz="4" w:space="0" w:color="auto"/>
            </w:tcBorders>
            <w:shd w:val="clear" w:color="auto" w:fill="auto"/>
            <w:noWrap/>
            <w:vAlign w:val="bottom"/>
            <w:hideMark/>
          </w:tcPr>
          <w:p w14:paraId="35D8376D" w14:textId="77777777" w:rsidR="007B4B12" w:rsidRPr="006A3CAB" w:rsidRDefault="007B4B12" w:rsidP="00FD42FE">
            <w:pPr>
              <w:spacing w:after="0" w:line="240" w:lineRule="auto"/>
              <w:rPr>
                <w:rFonts w:eastAsia="Times New Roman" w:cs="Times New Roman"/>
                <w:b/>
                <w:color w:val="000000"/>
              </w:rPr>
            </w:pPr>
            <w:r w:rsidRPr="006A3CAB">
              <w:rPr>
                <w:rFonts w:eastAsia="Times New Roman" w:cs="Times New Roman"/>
                <w:b/>
                <w:color w:val="000000"/>
              </w:rPr>
              <w:t>Hydrological</w:t>
            </w:r>
          </w:p>
          <w:p w14:paraId="42D32352" w14:textId="77777777" w:rsidR="007B4B12" w:rsidRPr="006A3CAB" w:rsidRDefault="007B4B12" w:rsidP="00FD42FE">
            <w:pPr>
              <w:spacing w:after="0" w:line="240" w:lineRule="auto"/>
              <w:rPr>
                <w:rFonts w:eastAsia="Times New Roman" w:cs="Times New Roman"/>
                <w:b/>
                <w:color w:val="000000"/>
              </w:rPr>
            </w:pPr>
            <w:r w:rsidRPr="006A3CAB">
              <w:rPr>
                <w:rFonts w:eastAsia="Times New Roman" w:cs="Times New Roman"/>
                <w:b/>
                <w:color w:val="000000"/>
              </w:rPr>
              <w:t>Region</w:t>
            </w:r>
          </w:p>
        </w:tc>
        <w:tc>
          <w:tcPr>
            <w:tcW w:w="772" w:type="dxa"/>
            <w:tcBorders>
              <w:bottom w:val="single" w:sz="4" w:space="0" w:color="auto"/>
            </w:tcBorders>
            <w:shd w:val="clear" w:color="auto" w:fill="auto"/>
            <w:noWrap/>
            <w:vAlign w:val="bottom"/>
            <w:hideMark/>
          </w:tcPr>
          <w:p w14:paraId="38FEC8A5"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&gt;0.1</w:t>
            </w:r>
          </w:p>
        </w:tc>
        <w:tc>
          <w:tcPr>
            <w:tcW w:w="772" w:type="dxa"/>
            <w:tcBorders>
              <w:bottom w:val="single" w:sz="4" w:space="0" w:color="auto"/>
            </w:tcBorders>
            <w:shd w:val="clear" w:color="auto" w:fill="auto"/>
            <w:noWrap/>
            <w:vAlign w:val="bottom"/>
            <w:hideMark/>
          </w:tcPr>
          <w:p w14:paraId="21644333"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&gt;0.2</w:t>
            </w:r>
          </w:p>
        </w:tc>
        <w:tc>
          <w:tcPr>
            <w:tcW w:w="772" w:type="dxa"/>
            <w:tcBorders>
              <w:bottom w:val="single" w:sz="4" w:space="0" w:color="auto"/>
            </w:tcBorders>
            <w:shd w:val="clear" w:color="auto" w:fill="auto"/>
            <w:noWrap/>
            <w:vAlign w:val="bottom"/>
            <w:hideMark/>
          </w:tcPr>
          <w:p w14:paraId="1E72CC87"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&gt;0.3</w:t>
            </w:r>
          </w:p>
        </w:tc>
        <w:tc>
          <w:tcPr>
            <w:tcW w:w="714" w:type="dxa"/>
            <w:tcBorders>
              <w:bottom w:val="single" w:sz="4" w:space="0" w:color="auto"/>
            </w:tcBorders>
            <w:shd w:val="clear" w:color="auto" w:fill="auto"/>
            <w:noWrap/>
            <w:vAlign w:val="bottom"/>
            <w:hideMark/>
          </w:tcPr>
          <w:p w14:paraId="351D1815"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&gt;0.4</w:t>
            </w:r>
          </w:p>
        </w:tc>
        <w:tc>
          <w:tcPr>
            <w:tcW w:w="714" w:type="dxa"/>
            <w:tcBorders>
              <w:bottom w:val="single" w:sz="4" w:space="0" w:color="auto"/>
            </w:tcBorders>
            <w:shd w:val="clear" w:color="auto" w:fill="auto"/>
            <w:noWrap/>
            <w:vAlign w:val="bottom"/>
            <w:hideMark/>
          </w:tcPr>
          <w:p w14:paraId="3831AA95"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&gt;0.5</w:t>
            </w:r>
          </w:p>
        </w:tc>
        <w:tc>
          <w:tcPr>
            <w:tcW w:w="714" w:type="dxa"/>
            <w:tcBorders>
              <w:bottom w:val="single" w:sz="4" w:space="0" w:color="auto"/>
            </w:tcBorders>
            <w:shd w:val="clear" w:color="auto" w:fill="auto"/>
            <w:noWrap/>
            <w:vAlign w:val="bottom"/>
            <w:hideMark/>
          </w:tcPr>
          <w:p w14:paraId="6469DE82"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&gt;0.6</w:t>
            </w:r>
          </w:p>
        </w:tc>
        <w:tc>
          <w:tcPr>
            <w:tcW w:w="714" w:type="dxa"/>
            <w:tcBorders>
              <w:bottom w:val="single" w:sz="4" w:space="0" w:color="auto"/>
            </w:tcBorders>
            <w:shd w:val="clear" w:color="auto" w:fill="auto"/>
            <w:noWrap/>
            <w:vAlign w:val="bottom"/>
            <w:hideMark/>
          </w:tcPr>
          <w:p w14:paraId="4C8A0CE6"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&gt;0.7</w:t>
            </w:r>
          </w:p>
        </w:tc>
        <w:tc>
          <w:tcPr>
            <w:tcW w:w="714" w:type="dxa"/>
            <w:tcBorders>
              <w:bottom w:val="single" w:sz="4" w:space="0" w:color="auto"/>
            </w:tcBorders>
            <w:shd w:val="clear" w:color="auto" w:fill="auto"/>
            <w:noWrap/>
            <w:vAlign w:val="bottom"/>
            <w:hideMark/>
          </w:tcPr>
          <w:p w14:paraId="671DAE11"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&gt;0.8</w:t>
            </w:r>
          </w:p>
        </w:tc>
        <w:tc>
          <w:tcPr>
            <w:tcW w:w="714" w:type="dxa"/>
            <w:tcBorders>
              <w:bottom w:val="single" w:sz="4" w:space="0" w:color="auto"/>
            </w:tcBorders>
            <w:shd w:val="clear" w:color="auto" w:fill="auto"/>
            <w:noWrap/>
            <w:vAlign w:val="bottom"/>
            <w:hideMark/>
          </w:tcPr>
          <w:p w14:paraId="78ABAC32" w14:textId="77777777" w:rsidR="007B4B12" w:rsidRPr="006A3CAB" w:rsidRDefault="007B4B12" w:rsidP="00FD42FE">
            <w:pPr>
              <w:spacing w:after="0" w:line="240" w:lineRule="auto"/>
              <w:jc w:val="right"/>
              <w:rPr>
                <w:rFonts w:eastAsia="Times New Roman" w:cs="Times New Roman"/>
                <w:b/>
                <w:color w:val="000000"/>
              </w:rPr>
            </w:pPr>
            <w:r w:rsidRPr="006A3CAB">
              <w:rPr>
                <w:rFonts w:eastAsia="Times New Roman" w:cs="Times New Roman"/>
                <w:b/>
                <w:color w:val="000000"/>
              </w:rPr>
              <w:t>&gt;0.9</w:t>
            </w:r>
          </w:p>
        </w:tc>
      </w:tr>
      <w:tr w:rsidR="007B4B12" w:rsidRPr="006A3CAB" w14:paraId="26AED9EB" w14:textId="77777777" w:rsidTr="006A3CAB">
        <w:trPr>
          <w:trHeight w:val="300"/>
        </w:trPr>
        <w:tc>
          <w:tcPr>
            <w:tcW w:w="831" w:type="dxa"/>
            <w:tcBorders>
              <w:top w:val="single" w:sz="4" w:space="0" w:color="auto"/>
            </w:tcBorders>
            <w:shd w:val="clear" w:color="auto" w:fill="auto"/>
            <w:noWrap/>
            <w:vAlign w:val="bottom"/>
            <w:hideMark/>
          </w:tcPr>
          <w:p w14:paraId="4D26588C"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01</w:t>
            </w:r>
          </w:p>
        </w:tc>
        <w:tc>
          <w:tcPr>
            <w:tcW w:w="772" w:type="dxa"/>
            <w:tcBorders>
              <w:top w:val="single" w:sz="4" w:space="0" w:color="auto"/>
            </w:tcBorders>
            <w:shd w:val="clear" w:color="auto" w:fill="auto"/>
            <w:noWrap/>
            <w:vAlign w:val="bottom"/>
            <w:hideMark/>
          </w:tcPr>
          <w:p w14:paraId="531FD34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84</w:t>
            </w:r>
          </w:p>
        </w:tc>
        <w:tc>
          <w:tcPr>
            <w:tcW w:w="772" w:type="dxa"/>
            <w:tcBorders>
              <w:top w:val="single" w:sz="4" w:space="0" w:color="auto"/>
            </w:tcBorders>
            <w:shd w:val="clear" w:color="auto" w:fill="auto"/>
            <w:noWrap/>
            <w:vAlign w:val="bottom"/>
            <w:hideMark/>
          </w:tcPr>
          <w:p w14:paraId="06F9B55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64</w:t>
            </w:r>
          </w:p>
        </w:tc>
        <w:tc>
          <w:tcPr>
            <w:tcW w:w="772" w:type="dxa"/>
            <w:tcBorders>
              <w:top w:val="single" w:sz="4" w:space="0" w:color="auto"/>
            </w:tcBorders>
            <w:shd w:val="clear" w:color="auto" w:fill="auto"/>
            <w:noWrap/>
            <w:vAlign w:val="bottom"/>
            <w:hideMark/>
          </w:tcPr>
          <w:p w14:paraId="34ADD2C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52</w:t>
            </w:r>
          </w:p>
        </w:tc>
        <w:tc>
          <w:tcPr>
            <w:tcW w:w="714" w:type="dxa"/>
            <w:tcBorders>
              <w:top w:val="single" w:sz="4" w:space="0" w:color="auto"/>
            </w:tcBorders>
            <w:shd w:val="clear" w:color="auto" w:fill="auto"/>
            <w:noWrap/>
            <w:vAlign w:val="bottom"/>
            <w:hideMark/>
          </w:tcPr>
          <w:p w14:paraId="0B7CA4F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39</w:t>
            </w:r>
          </w:p>
        </w:tc>
        <w:tc>
          <w:tcPr>
            <w:tcW w:w="714" w:type="dxa"/>
            <w:tcBorders>
              <w:top w:val="single" w:sz="4" w:space="0" w:color="auto"/>
            </w:tcBorders>
            <w:shd w:val="clear" w:color="auto" w:fill="auto"/>
            <w:noWrap/>
            <w:vAlign w:val="bottom"/>
            <w:hideMark/>
          </w:tcPr>
          <w:p w14:paraId="47D07A4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32</w:t>
            </w:r>
          </w:p>
        </w:tc>
        <w:tc>
          <w:tcPr>
            <w:tcW w:w="714" w:type="dxa"/>
            <w:tcBorders>
              <w:top w:val="single" w:sz="4" w:space="0" w:color="auto"/>
            </w:tcBorders>
            <w:shd w:val="clear" w:color="auto" w:fill="auto"/>
            <w:noWrap/>
            <w:vAlign w:val="bottom"/>
            <w:hideMark/>
          </w:tcPr>
          <w:p w14:paraId="23F0EA7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21</w:t>
            </w:r>
          </w:p>
        </w:tc>
        <w:tc>
          <w:tcPr>
            <w:tcW w:w="714" w:type="dxa"/>
            <w:tcBorders>
              <w:top w:val="single" w:sz="4" w:space="0" w:color="auto"/>
            </w:tcBorders>
            <w:shd w:val="clear" w:color="auto" w:fill="auto"/>
            <w:noWrap/>
            <w:vAlign w:val="bottom"/>
            <w:hideMark/>
          </w:tcPr>
          <w:p w14:paraId="6C60835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11</w:t>
            </w:r>
          </w:p>
        </w:tc>
        <w:tc>
          <w:tcPr>
            <w:tcW w:w="714" w:type="dxa"/>
            <w:tcBorders>
              <w:top w:val="single" w:sz="4" w:space="0" w:color="auto"/>
            </w:tcBorders>
            <w:shd w:val="clear" w:color="auto" w:fill="auto"/>
            <w:noWrap/>
            <w:vAlign w:val="bottom"/>
            <w:hideMark/>
          </w:tcPr>
          <w:p w14:paraId="4D9AA65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w:t>
            </w:r>
          </w:p>
        </w:tc>
        <w:tc>
          <w:tcPr>
            <w:tcW w:w="714" w:type="dxa"/>
            <w:tcBorders>
              <w:top w:val="single" w:sz="4" w:space="0" w:color="auto"/>
            </w:tcBorders>
            <w:shd w:val="clear" w:color="auto" w:fill="auto"/>
            <w:noWrap/>
            <w:vAlign w:val="bottom"/>
            <w:hideMark/>
          </w:tcPr>
          <w:p w14:paraId="40EB873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1EA0B010" w14:textId="77777777" w:rsidTr="006A3CAB">
        <w:trPr>
          <w:trHeight w:val="300"/>
        </w:trPr>
        <w:tc>
          <w:tcPr>
            <w:tcW w:w="831" w:type="dxa"/>
            <w:shd w:val="clear" w:color="auto" w:fill="auto"/>
            <w:noWrap/>
            <w:vAlign w:val="bottom"/>
            <w:hideMark/>
          </w:tcPr>
          <w:p w14:paraId="1CEAC1CC"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02</w:t>
            </w:r>
          </w:p>
        </w:tc>
        <w:tc>
          <w:tcPr>
            <w:tcW w:w="772" w:type="dxa"/>
            <w:shd w:val="clear" w:color="auto" w:fill="auto"/>
            <w:noWrap/>
            <w:vAlign w:val="bottom"/>
            <w:hideMark/>
          </w:tcPr>
          <w:p w14:paraId="7519762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103</w:t>
            </w:r>
          </w:p>
        </w:tc>
        <w:tc>
          <w:tcPr>
            <w:tcW w:w="772" w:type="dxa"/>
            <w:shd w:val="clear" w:color="auto" w:fill="auto"/>
            <w:noWrap/>
            <w:vAlign w:val="bottom"/>
            <w:hideMark/>
          </w:tcPr>
          <w:p w14:paraId="6CD6246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93</w:t>
            </w:r>
          </w:p>
        </w:tc>
        <w:tc>
          <w:tcPr>
            <w:tcW w:w="772" w:type="dxa"/>
            <w:shd w:val="clear" w:color="auto" w:fill="auto"/>
            <w:noWrap/>
            <w:vAlign w:val="bottom"/>
            <w:hideMark/>
          </w:tcPr>
          <w:p w14:paraId="6E3FA82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77</w:t>
            </w:r>
          </w:p>
        </w:tc>
        <w:tc>
          <w:tcPr>
            <w:tcW w:w="714" w:type="dxa"/>
            <w:shd w:val="clear" w:color="auto" w:fill="auto"/>
            <w:noWrap/>
            <w:vAlign w:val="bottom"/>
            <w:hideMark/>
          </w:tcPr>
          <w:p w14:paraId="1B23FD6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56</w:t>
            </w:r>
          </w:p>
        </w:tc>
        <w:tc>
          <w:tcPr>
            <w:tcW w:w="714" w:type="dxa"/>
            <w:shd w:val="clear" w:color="auto" w:fill="auto"/>
            <w:noWrap/>
            <w:vAlign w:val="bottom"/>
            <w:hideMark/>
          </w:tcPr>
          <w:p w14:paraId="4EBD024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42</w:t>
            </w:r>
          </w:p>
        </w:tc>
        <w:tc>
          <w:tcPr>
            <w:tcW w:w="714" w:type="dxa"/>
            <w:shd w:val="clear" w:color="auto" w:fill="auto"/>
            <w:noWrap/>
            <w:vAlign w:val="bottom"/>
            <w:hideMark/>
          </w:tcPr>
          <w:p w14:paraId="440E326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19</w:t>
            </w:r>
          </w:p>
        </w:tc>
        <w:tc>
          <w:tcPr>
            <w:tcW w:w="714" w:type="dxa"/>
            <w:shd w:val="clear" w:color="auto" w:fill="auto"/>
            <w:noWrap/>
            <w:vAlign w:val="bottom"/>
            <w:hideMark/>
          </w:tcPr>
          <w:p w14:paraId="6FB102A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w:t>
            </w:r>
          </w:p>
        </w:tc>
        <w:tc>
          <w:tcPr>
            <w:tcW w:w="714" w:type="dxa"/>
            <w:shd w:val="clear" w:color="auto" w:fill="auto"/>
            <w:noWrap/>
            <w:vAlign w:val="bottom"/>
            <w:hideMark/>
          </w:tcPr>
          <w:p w14:paraId="74C0451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w:t>
            </w:r>
          </w:p>
        </w:tc>
        <w:tc>
          <w:tcPr>
            <w:tcW w:w="714" w:type="dxa"/>
            <w:shd w:val="clear" w:color="auto" w:fill="auto"/>
            <w:noWrap/>
            <w:vAlign w:val="bottom"/>
            <w:hideMark/>
          </w:tcPr>
          <w:p w14:paraId="0F28786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6CE4DB9F" w14:textId="77777777" w:rsidTr="006A3CAB">
        <w:trPr>
          <w:trHeight w:val="300"/>
        </w:trPr>
        <w:tc>
          <w:tcPr>
            <w:tcW w:w="831" w:type="dxa"/>
            <w:shd w:val="clear" w:color="auto" w:fill="auto"/>
            <w:noWrap/>
            <w:vAlign w:val="bottom"/>
            <w:hideMark/>
          </w:tcPr>
          <w:p w14:paraId="158F0DB6"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03N</w:t>
            </w:r>
          </w:p>
        </w:tc>
        <w:tc>
          <w:tcPr>
            <w:tcW w:w="772" w:type="dxa"/>
            <w:shd w:val="clear" w:color="auto" w:fill="auto"/>
            <w:noWrap/>
            <w:vAlign w:val="bottom"/>
            <w:hideMark/>
          </w:tcPr>
          <w:p w14:paraId="2C0DC5E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53</w:t>
            </w:r>
          </w:p>
        </w:tc>
        <w:tc>
          <w:tcPr>
            <w:tcW w:w="772" w:type="dxa"/>
            <w:shd w:val="clear" w:color="auto" w:fill="auto"/>
            <w:noWrap/>
            <w:vAlign w:val="bottom"/>
            <w:hideMark/>
          </w:tcPr>
          <w:p w14:paraId="276EE18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38</w:t>
            </w:r>
          </w:p>
        </w:tc>
        <w:tc>
          <w:tcPr>
            <w:tcW w:w="772" w:type="dxa"/>
            <w:shd w:val="clear" w:color="auto" w:fill="auto"/>
            <w:noWrap/>
            <w:vAlign w:val="bottom"/>
            <w:hideMark/>
          </w:tcPr>
          <w:p w14:paraId="63CEB60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25</w:t>
            </w:r>
          </w:p>
        </w:tc>
        <w:tc>
          <w:tcPr>
            <w:tcW w:w="714" w:type="dxa"/>
            <w:shd w:val="clear" w:color="auto" w:fill="auto"/>
            <w:noWrap/>
            <w:vAlign w:val="bottom"/>
            <w:hideMark/>
          </w:tcPr>
          <w:p w14:paraId="0C294CE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w:t>
            </w:r>
          </w:p>
        </w:tc>
        <w:tc>
          <w:tcPr>
            <w:tcW w:w="714" w:type="dxa"/>
            <w:shd w:val="clear" w:color="auto" w:fill="auto"/>
            <w:noWrap/>
            <w:vAlign w:val="bottom"/>
            <w:hideMark/>
          </w:tcPr>
          <w:p w14:paraId="277751F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w:t>
            </w:r>
          </w:p>
        </w:tc>
        <w:tc>
          <w:tcPr>
            <w:tcW w:w="714" w:type="dxa"/>
            <w:shd w:val="clear" w:color="auto" w:fill="auto"/>
            <w:noWrap/>
            <w:vAlign w:val="bottom"/>
            <w:hideMark/>
          </w:tcPr>
          <w:p w14:paraId="2791599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w:t>
            </w:r>
          </w:p>
        </w:tc>
        <w:tc>
          <w:tcPr>
            <w:tcW w:w="714" w:type="dxa"/>
            <w:shd w:val="clear" w:color="auto" w:fill="auto"/>
            <w:noWrap/>
            <w:vAlign w:val="bottom"/>
            <w:hideMark/>
          </w:tcPr>
          <w:p w14:paraId="0E26A0F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c>
          <w:tcPr>
            <w:tcW w:w="714" w:type="dxa"/>
            <w:shd w:val="clear" w:color="auto" w:fill="auto"/>
            <w:noWrap/>
            <w:vAlign w:val="bottom"/>
            <w:hideMark/>
          </w:tcPr>
          <w:p w14:paraId="7AF9020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c>
          <w:tcPr>
            <w:tcW w:w="714" w:type="dxa"/>
            <w:shd w:val="clear" w:color="auto" w:fill="auto"/>
            <w:noWrap/>
            <w:vAlign w:val="bottom"/>
            <w:hideMark/>
          </w:tcPr>
          <w:p w14:paraId="3DCFEDD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12126073" w14:textId="77777777" w:rsidTr="006A3CAB">
        <w:trPr>
          <w:trHeight w:val="300"/>
        </w:trPr>
        <w:tc>
          <w:tcPr>
            <w:tcW w:w="831" w:type="dxa"/>
            <w:shd w:val="clear" w:color="auto" w:fill="auto"/>
            <w:noWrap/>
            <w:vAlign w:val="bottom"/>
            <w:hideMark/>
          </w:tcPr>
          <w:p w14:paraId="22CA66A3"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03S</w:t>
            </w:r>
          </w:p>
        </w:tc>
        <w:tc>
          <w:tcPr>
            <w:tcW w:w="772" w:type="dxa"/>
            <w:shd w:val="clear" w:color="auto" w:fill="auto"/>
            <w:noWrap/>
            <w:vAlign w:val="bottom"/>
            <w:hideMark/>
          </w:tcPr>
          <w:p w14:paraId="49D0491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17</w:t>
            </w:r>
          </w:p>
        </w:tc>
        <w:tc>
          <w:tcPr>
            <w:tcW w:w="772" w:type="dxa"/>
            <w:shd w:val="clear" w:color="auto" w:fill="auto"/>
            <w:noWrap/>
            <w:vAlign w:val="bottom"/>
            <w:hideMark/>
          </w:tcPr>
          <w:p w14:paraId="568FE07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8</w:t>
            </w:r>
          </w:p>
        </w:tc>
        <w:tc>
          <w:tcPr>
            <w:tcW w:w="772" w:type="dxa"/>
            <w:shd w:val="clear" w:color="auto" w:fill="auto"/>
            <w:noWrap/>
            <w:vAlign w:val="bottom"/>
            <w:hideMark/>
          </w:tcPr>
          <w:p w14:paraId="68A27C5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w:t>
            </w:r>
          </w:p>
        </w:tc>
        <w:tc>
          <w:tcPr>
            <w:tcW w:w="714" w:type="dxa"/>
            <w:shd w:val="clear" w:color="auto" w:fill="auto"/>
            <w:noWrap/>
            <w:vAlign w:val="bottom"/>
            <w:hideMark/>
          </w:tcPr>
          <w:p w14:paraId="3C89B46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w:t>
            </w:r>
          </w:p>
        </w:tc>
        <w:tc>
          <w:tcPr>
            <w:tcW w:w="714" w:type="dxa"/>
            <w:shd w:val="clear" w:color="auto" w:fill="auto"/>
            <w:noWrap/>
            <w:vAlign w:val="bottom"/>
            <w:hideMark/>
          </w:tcPr>
          <w:p w14:paraId="09DBC61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c>
          <w:tcPr>
            <w:tcW w:w="714" w:type="dxa"/>
            <w:shd w:val="clear" w:color="auto" w:fill="auto"/>
            <w:noWrap/>
            <w:vAlign w:val="bottom"/>
            <w:hideMark/>
          </w:tcPr>
          <w:p w14:paraId="4F4B29E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c>
          <w:tcPr>
            <w:tcW w:w="714" w:type="dxa"/>
            <w:shd w:val="clear" w:color="auto" w:fill="auto"/>
            <w:noWrap/>
            <w:vAlign w:val="bottom"/>
            <w:hideMark/>
          </w:tcPr>
          <w:p w14:paraId="11949DE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w:t>
            </w:r>
          </w:p>
        </w:tc>
        <w:tc>
          <w:tcPr>
            <w:tcW w:w="714" w:type="dxa"/>
            <w:shd w:val="clear" w:color="auto" w:fill="auto"/>
            <w:noWrap/>
            <w:vAlign w:val="bottom"/>
            <w:hideMark/>
          </w:tcPr>
          <w:p w14:paraId="0D7A65D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c>
          <w:tcPr>
            <w:tcW w:w="714" w:type="dxa"/>
            <w:shd w:val="clear" w:color="auto" w:fill="auto"/>
            <w:noWrap/>
            <w:vAlign w:val="bottom"/>
            <w:hideMark/>
          </w:tcPr>
          <w:p w14:paraId="2BA2729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047F8A79" w14:textId="77777777" w:rsidTr="006A3CAB">
        <w:trPr>
          <w:trHeight w:val="300"/>
        </w:trPr>
        <w:tc>
          <w:tcPr>
            <w:tcW w:w="831" w:type="dxa"/>
            <w:shd w:val="clear" w:color="auto" w:fill="auto"/>
            <w:noWrap/>
            <w:vAlign w:val="bottom"/>
            <w:hideMark/>
          </w:tcPr>
          <w:p w14:paraId="660AD698"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03W</w:t>
            </w:r>
          </w:p>
        </w:tc>
        <w:tc>
          <w:tcPr>
            <w:tcW w:w="772" w:type="dxa"/>
            <w:shd w:val="clear" w:color="auto" w:fill="auto"/>
            <w:noWrap/>
            <w:vAlign w:val="bottom"/>
            <w:hideMark/>
          </w:tcPr>
          <w:p w14:paraId="48D7759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51</w:t>
            </w:r>
          </w:p>
        </w:tc>
        <w:tc>
          <w:tcPr>
            <w:tcW w:w="772" w:type="dxa"/>
            <w:shd w:val="clear" w:color="auto" w:fill="auto"/>
            <w:noWrap/>
            <w:vAlign w:val="bottom"/>
            <w:hideMark/>
          </w:tcPr>
          <w:p w14:paraId="0CC7CD3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43</w:t>
            </w:r>
          </w:p>
        </w:tc>
        <w:tc>
          <w:tcPr>
            <w:tcW w:w="772" w:type="dxa"/>
            <w:shd w:val="clear" w:color="auto" w:fill="auto"/>
            <w:noWrap/>
            <w:vAlign w:val="bottom"/>
            <w:hideMark/>
          </w:tcPr>
          <w:p w14:paraId="6817C3B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29</w:t>
            </w:r>
          </w:p>
        </w:tc>
        <w:tc>
          <w:tcPr>
            <w:tcW w:w="714" w:type="dxa"/>
            <w:shd w:val="clear" w:color="auto" w:fill="auto"/>
            <w:noWrap/>
            <w:vAlign w:val="bottom"/>
            <w:hideMark/>
          </w:tcPr>
          <w:p w14:paraId="72BD1BE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18</w:t>
            </w:r>
          </w:p>
        </w:tc>
        <w:tc>
          <w:tcPr>
            <w:tcW w:w="714" w:type="dxa"/>
            <w:shd w:val="clear" w:color="auto" w:fill="auto"/>
            <w:noWrap/>
            <w:vAlign w:val="bottom"/>
            <w:hideMark/>
          </w:tcPr>
          <w:p w14:paraId="5BE52D0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13</w:t>
            </w:r>
          </w:p>
        </w:tc>
        <w:tc>
          <w:tcPr>
            <w:tcW w:w="714" w:type="dxa"/>
            <w:shd w:val="clear" w:color="auto" w:fill="auto"/>
            <w:noWrap/>
            <w:vAlign w:val="bottom"/>
            <w:hideMark/>
          </w:tcPr>
          <w:p w14:paraId="01FCA4B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w:t>
            </w:r>
          </w:p>
        </w:tc>
        <w:tc>
          <w:tcPr>
            <w:tcW w:w="714" w:type="dxa"/>
            <w:shd w:val="clear" w:color="auto" w:fill="auto"/>
            <w:noWrap/>
            <w:vAlign w:val="bottom"/>
            <w:hideMark/>
          </w:tcPr>
          <w:p w14:paraId="54486F3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c>
          <w:tcPr>
            <w:tcW w:w="714" w:type="dxa"/>
            <w:shd w:val="clear" w:color="auto" w:fill="auto"/>
            <w:noWrap/>
            <w:vAlign w:val="bottom"/>
            <w:hideMark/>
          </w:tcPr>
          <w:p w14:paraId="79DEEC7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c>
          <w:tcPr>
            <w:tcW w:w="714" w:type="dxa"/>
            <w:shd w:val="clear" w:color="auto" w:fill="auto"/>
            <w:noWrap/>
            <w:vAlign w:val="bottom"/>
            <w:hideMark/>
          </w:tcPr>
          <w:p w14:paraId="78237D0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3D1055F1" w14:textId="77777777" w:rsidTr="006A3CAB">
        <w:trPr>
          <w:trHeight w:val="300"/>
        </w:trPr>
        <w:tc>
          <w:tcPr>
            <w:tcW w:w="831" w:type="dxa"/>
            <w:shd w:val="clear" w:color="auto" w:fill="auto"/>
            <w:noWrap/>
            <w:vAlign w:val="bottom"/>
            <w:hideMark/>
          </w:tcPr>
          <w:p w14:paraId="2BF00838"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04</w:t>
            </w:r>
          </w:p>
        </w:tc>
        <w:tc>
          <w:tcPr>
            <w:tcW w:w="772" w:type="dxa"/>
            <w:shd w:val="clear" w:color="auto" w:fill="auto"/>
            <w:noWrap/>
            <w:vAlign w:val="bottom"/>
            <w:hideMark/>
          </w:tcPr>
          <w:p w14:paraId="3278120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75</w:t>
            </w:r>
          </w:p>
        </w:tc>
        <w:tc>
          <w:tcPr>
            <w:tcW w:w="772" w:type="dxa"/>
            <w:shd w:val="clear" w:color="auto" w:fill="auto"/>
            <w:noWrap/>
            <w:vAlign w:val="bottom"/>
            <w:hideMark/>
          </w:tcPr>
          <w:p w14:paraId="43586D8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54</w:t>
            </w:r>
          </w:p>
        </w:tc>
        <w:tc>
          <w:tcPr>
            <w:tcW w:w="772" w:type="dxa"/>
            <w:shd w:val="clear" w:color="auto" w:fill="auto"/>
            <w:noWrap/>
            <w:vAlign w:val="bottom"/>
            <w:hideMark/>
          </w:tcPr>
          <w:p w14:paraId="326EF63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44</w:t>
            </w:r>
          </w:p>
        </w:tc>
        <w:tc>
          <w:tcPr>
            <w:tcW w:w="714" w:type="dxa"/>
            <w:shd w:val="clear" w:color="auto" w:fill="auto"/>
            <w:noWrap/>
            <w:vAlign w:val="bottom"/>
            <w:hideMark/>
          </w:tcPr>
          <w:p w14:paraId="65E76BF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36</w:t>
            </w:r>
          </w:p>
        </w:tc>
        <w:tc>
          <w:tcPr>
            <w:tcW w:w="714" w:type="dxa"/>
            <w:shd w:val="clear" w:color="auto" w:fill="auto"/>
            <w:noWrap/>
            <w:vAlign w:val="bottom"/>
            <w:hideMark/>
          </w:tcPr>
          <w:p w14:paraId="7A2615C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27</w:t>
            </w:r>
          </w:p>
        </w:tc>
        <w:tc>
          <w:tcPr>
            <w:tcW w:w="714" w:type="dxa"/>
            <w:shd w:val="clear" w:color="auto" w:fill="auto"/>
            <w:noWrap/>
            <w:vAlign w:val="bottom"/>
            <w:hideMark/>
          </w:tcPr>
          <w:p w14:paraId="221F84B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19</w:t>
            </w:r>
          </w:p>
        </w:tc>
        <w:tc>
          <w:tcPr>
            <w:tcW w:w="714" w:type="dxa"/>
            <w:shd w:val="clear" w:color="auto" w:fill="auto"/>
            <w:noWrap/>
            <w:vAlign w:val="bottom"/>
            <w:hideMark/>
          </w:tcPr>
          <w:p w14:paraId="2E32095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8</w:t>
            </w:r>
          </w:p>
        </w:tc>
        <w:tc>
          <w:tcPr>
            <w:tcW w:w="714" w:type="dxa"/>
            <w:shd w:val="clear" w:color="auto" w:fill="auto"/>
            <w:noWrap/>
            <w:vAlign w:val="bottom"/>
            <w:hideMark/>
          </w:tcPr>
          <w:p w14:paraId="509DFBD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c>
          <w:tcPr>
            <w:tcW w:w="714" w:type="dxa"/>
            <w:shd w:val="clear" w:color="auto" w:fill="auto"/>
            <w:noWrap/>
            <w:vAlign w:val="bottom"/>
            <w:hideMark/>
          </w:tcPr>
          <w:p w14:paraId="57D2624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241A9A69" w14:textId="77777777" w:rsidTr="006A3CAB">
        <w:trPr>
          <w:trHeight w:val="300"/>
        </w:trPr>
        <w:tc>
          <w:tcPr>
            <w:tcW w:w="831" w:type="dxa"/>
            <w:shd w:val="clear" w:color="auto" w:fill="auto"/>
            <w:noWrap/>
            <w:vAlign w:val="bottom"/>
            <w:hideMark/>
          </w:tcPr>
          <w:p w14:paraId="36BDE1D5"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05</w:t>
            </w:r>
          </w:p>
        </w:tc>
        <w:tc>
          <w:tcPr>
            <w:tcW w:w="772" w:type="dxa"/>
            <w:shd w:val="clear" w:color="auto" w:fill="auto"/>
            <w:noWrap/>
            <w:vAlign w:val="bottom"/>
            <w:hideMark/>
          </w:tcPr>
          <w:p w14:paraId="2D8D75B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102</w:t>
            </w:r>
          </w:p>
        </w:tc>
        <w:tc>
          <w:tcPr>
            <w:tcW w:w="772" w:type="dxa"/>
            <w:shd w:val="clear" w:color="auto" w:fill="auto"/>
            <w:noWrap/>
            <w:vAlign w:val="bottom"/>
            <w:hideMark/>
          </w:tcPr>
          <w:p w14:paraId="26E9659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79</w:t>
            </w:r>
          </w:p>
        </w:tc>
        <w:tc>
          <w:tcPr>
            <w:tcW w:w="772" w:type="dxa"/>
            <w:shd w:val="clear" w:color="auto" w:fill="auto"/>
            <w:noWrap/>
            <w:vAlign w:val="bottom"/>
            <w:hideMark/>
          </w:tcPr>
          <w:p w14:paraId="62EC0F1A"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63</w:t>
            </w:r>
          </w:p>
        </w:tc>
        <w:tc>
          <w:tcPr>
            <w:tcW w:w="714" w:type="dxa"/>
            <w:shd w:val="clear" w:color="auto" w:fill="auto"/>
            <w:noWrap/>
            <w:vAlign w:val="bottom"/>
            <w:hideMark/>
          </w:tcPr>
          <w:p w14:paraId="150C34D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42</w:t>
            </w:r>
          </w:p>
        </w:tc>
        <w:tc>
          <w:tcPr>
            <w:tcW w:w="714" w:type="dxa"/>
            <w:shd w:val="clear" w:color="auto" w:fill="auto"/>
            <w:noWrap/>
            <w:vAlign w:val="bottom"/>
            <w:hideMark/>
          </w:tcPr>
          <w:p w14:paraId="1053A7C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30</w:t>
            </w:r>
          </w:p>
        </w:tc>
        <w:tc>
          <w:tcPr>
            <w:tcW w:w="714" w:type="dxa"/>
            <w:shd w:val="clear" w:color="auto" w:fill="auto"/>
            <w:noWrap/>
            <w:vAlign w:val="bottom"/>
            <w:hideMark/>
          </w:tcPr>
          <w:p w14:paraId="7458FD7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16</w:t>
            </w:r>
          </w:p>
        </w:tc>
        <w:tc>
          <w:tcPr>
            <w:tcW w:w="714" w:type="dxa"/>
            <w:shd w:val="clear" w:color="auto" w:fill="auto"/>
            <w:noWrap/>
            <w:vAlign w:val="bottom"/>
            <w:hideMark/>
          </w:tcPr>
          <w:p w14:paraId="1500E5E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8</w:t>
            </w:r>
          </w:p>
        </w:tc>
        <w:tc>
          <w:tcPr>
            <w:tcW w:w="714" w:type="dxa"/>
            <w:shd w:val="clear" w:color="auto" w:fill="auto"/>
            <w:noWrap/>
            <w:vAlign w:val="bottom"/>
            <w:hideMark/>
          </w:tcPr>
          <w:p w14:paraId="5E8155F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c>
          <w:tcPr>
            <w:tcW w:w="714" w:type="dxa"/>
            <w:shd w:val="clear" w:color="auto" w:fill="auto"/>
            <w:noWrap/>
            <w:vAlign w:val="bottom"/>
            <w:hideMark/>
          </w:tcPr>
          <w:p w14:paraId="22CCC12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1B9747FF" w14:textId="77777777" w:rsidTr="006A3CAB">
        <w:trPr>
          <w:trHeight w:val="300"/>
        </w:trPr>
        <w:tc>
          <w:tcPr>
            <w:tcW w:w="831" w:type="dxa"/>
            <w:shd w:val="clear" w:color="auto" w:fill="auto"/>
            <w:noWrap/>
            <w:vAlign w:val="bottom"/>
            <w:hideMark/>
          </w:tcPr>
          <w:p w14:paraId="2BA26C30"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06</w:t>
            </w:r>
          </w:p>
        </w:tc>
        <w:tc>
          <w:tcPr>
            <w:tcW w:w="772" w:type="dxa"/>
            <w:shd w:val="clear" w:color="auto" w:fill="auto"/>
            <w:noWrap/>
            <w:vAlign w:val="bottom"/>
            <w:hideMark/>
          </w:tcPr>
          <w:p w14:paraId="111D303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30</w:t>
            </w:r>
          </w:p>
        </w:tc>
        <w:tc>
          <w:tcPr>
            <w:tcW w:w="772" w:type="dxa"/>
            <w:shd w:val="clear" w:color="auto" w:fill="auto"/>
            <w:noWrap/>
            <w:vAlign w:val="bottom"/>
            <w:hideMark/>
          </w:tcPr>
          <w:p w14:paraId="27CEE84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23</w:t>
            </w:r>
          </w:p>
        </w:tc>
        <w:tc>
          <w:tcPr>
            <w:tcW w:w="772" w:type="dxa"/>
            <w:shd w:val="clear" w:color="auto" w:fill="auto"/>
            <w:noWrap/>
            <w:vAlign w:val="bottom"/>
            <w:hideMark/>
          </w:tcPr>
          <w:p w14:paraId="47B2884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17</w:t>
            </w:r>
          </w:p>
        </w:tc>
        <w:tc>
          <w:tcPr>
            <w:tcW w:w="714" w:type="dxa"/>
            <w:shd w:val="clear" w:color="auto" w:fill="auto"/>
            <w:noWrap/>
            <w:vAlign w:val="bottom"/>
            <w:hideMark/>
          </w:tcPr>
          <w:p w14:paraId="2723998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w:t>
            </w:r>
          </w:p>
        </w:tc>
        <w:tc>
          <w:tcPr>
            <w:tcW w:w="714" w:type="dxa"/>
            <w:shd w:val="clear" w:color="auto" w:fill="auto"/>
            <w:noWrap/>
            <w:vAlign w:val="bottom"/>
            <w:hideMark/>
          </w:tcPr>
          <w:p w14:paraId="1BC5F30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w:t>
            </w:r>
          </w:p>
        </w:tc>
        <w:tc>
          <w:tcPr>
            <w:tcW w:w="714" w:type="dxa"/>
            <w:shd w:val="clear" w:color="auto" w:fill="auto"/>
            <w:noWrap/>
            <w:vAlign w:val="bottom"/>
            <w:hideMark/>
          </w:tcPr>
          <w:p w14:paraId="1408968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w:t>
            </w:r>
          </w:p>
        </w:tc>
        <w:tc>
          <w:tcPr>
            <w:tcW w:w="714" w:type="dxa"/>
            <w:shd w:val="clear" w:color="auto" w:fill="auto"/>
            <w:noWrap/>
            <w:vAlign w:val="bottom"/>
            <w:hideMark/>
          </w:tcPr>
          <w:p w14:paraId="28847E9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c>
          <w:tcPr>
            <w:tcW w:w="714" w:type="dxa"/>
            <w:shd w:val="clear" w:color="auto" w:fill="auto"/>
            <w:noWrap/>
            <w:vAlign w:val="bottom"/>
            <w:hideMark/>
          </w:tcPr>
          <w:p w14:paraId="7DF9E2E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c>
          <w:tcPr>
            <w:tcW w:w="714" w:type="dxa"/>
            <w:shd w:val="clear" w:color="auto" w:fill="auto"/>
            <w:noWrap/>
            <w:vAlign w:val="bottom"/>
            <w:hideMark/>
          </w:tcPr>
          <w:p w14:paraId="7683065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0C1146CF" w14:textId="77777777" w:rsidTr="006A3CAB">
        <w:trPr>
          <w:trHeight w:val="300"/>
        </w:trPr>
        <w:tc>
          <w:tcPr>
            <w:tcW w:w="831" w:type="dxa"/>
            <w:shd w:val="clear" w:color="auto" w:fill="auto"/>
            <w:noWrap/>
            <w:vAlign w:val="bottom"/>
            <w:hideMark/>
          </w:tcPr>
          <w:p w14:paraId="15B1B604"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07</w:t>
            </w:r>
          </w:p>
        </w:tc>
        <w:tc>
          <w:tcPr>
            <w:tcW w:w="772" w:type="dxa"/>
            <w:shd w:val="clear" w:color="auto" w:fill="auto"/>
            <w:noWrap/>
            <w:vAlign w:val="bottom"/>
            <w:hideMark/>
          </w:tcPr>
          <w:p w14:paraId="5DA069A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124</w:t>
            </w:r>
          </w:p>
        </w:tc>
        <w:tc>
          <w:tcPr>
            <w:tcW w:w="772" w:type="dxa"/>
            <w:shd w:val="clear" w:color="auto" w:fill="auto"/>
            <w:noWrap/>
            <w:vAlign w:val="bottom"/>
            <w:hideMark/>
          </w:tcPr>
          <w:p w14:paraId="6E02205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95</w:t>
            </w:r>
          </w:p>
        </w:tc>
        <w:tc>
          <w:tcPr>
            <w:tcW w:w="772" w:type="dxa"/>
            <w:shd w:val="clear" w:color="auto" w:fill="auto"/>
            <w:noWrap/>
            <w:vAlign w:val="bottom"/>
            <w:hideMark/>
          </w:tcPr>
          <w:p w14:paraId="629F2F9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77</w:t>
            </w:r>
          </w:p>
        </w:tc>
        <w:tc>
          <w:tcPr>
            <w:tcW w:w="714" w:type="dxa"/>
            <w:shd w:val="clear" w:color="auto" w:fill="auto"/>
            <w:noWrap/>
            <w:vAlign w:val="bottom"/>
            <w:hideMark/>
          </w:tcPr>
          <w:p w14:paraId="0FF1EEC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51</w:t>
            </w:r>
          </w:p>
        </w:tc>
        <w:tc>
          <w:tcPr>
            <w:tcW w:w="714" w:type="dxa"/>
            <w:shd w:val="clear" w:color="auto" w:fill="auto"/>
            <w:noWrap/>
            <w:vAlign w:val="bottom"/>
            <w:hideMark/>
          </w:tcPr>
          <w:p w14:paraId="4F630FB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31</w:t>
            </w:r>
          </w:p>
        </w:tc>
        <w:tc>
          <w:tcPr>
            <w:tcW w:w="714" w:type="dxa"/>
            <w:shd w:val="clear" w:color="auto" w:fill="auto"/>
            <w:noWrap/>
            <w:vAlign w:val="bottom"/>
            <w:hideMark/>
          </w:tcPr>
          <w:p w14:paraId="265F49E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22</w:t>
            </w:r>
          </w:p>
        </w:tc>
        <w:tc>
          <w:tcPr>
            <w:tcW w:w="714" w:type="dxa"/>
            <w:shd w:val="clear" w:color="auto" w:fill="auto"/>
            <w:noWrap/>
            <w:vAlign w:val="bottom"/>
            <w:hideMark/>
          </w:tcPr>
          <w:p w14:paraId="30A416D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13</w:t>
            </w:r>
          </w:p>
        </w:tc>
        <w:tc>
          <w:tcPr>
            <w:tcW w:w="714" w:type="dxa"/>
            <w:shd w:val="clear" w:color="auto" w:fill="auto"/>
            <w:noWrap/>
            <w:vAlign w:val="bottom"/>
            <w:hideMark/>
          </w:tcPr>
          <w:p w14:paraId="220DE93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w:t>
            </w:r>
          </w:p>
        </w:tc>
        <w:tc>
          <w:tcPr>
            <w:tcW w:w="714" w:type="dxa"/>
            <w:shd w:val="clear" w:color="auto" w:fill="auto"/>
            <w:noWrap/>
            <w:vAlign w:val="bottom"/>
            <w:hideMark/>
          </w:tcPr>
          <w:p w14:paraId="0AB9918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r>
      <w:tr w:rsidR="007B4B12" w:rsidRPr="006A3CAB" w14:paraId="68D4D9B1" w14:textId="77777777" w:rsidTr="006A3CAB">
        <w:trPr>
          <w:trHeight w:val="300"/>
        </w:trPr>
        <w:tc>
          <w:tcPr>
            <w:tcW w:w="831" w:type="dxa"/>
            <w:shd w:val="clear" w:color="auto" w:fill="auto"/>
            <w:noWrap/>
            <w:vAlign w:val="bottom"/>
            <w:hideMark/>
          </w:tcPr>
          <w:p w14:paraId="0DD6275A"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08</w:t>
            </w:r>
          </w:p>
        </w:tc>
        <w:tc>
          <w:tcPr>
            <w:tcW w:w="772" w:type="dxa"/>
            <w:shd w:val="clear" w:color="auto" w:fill="auto"/>
            <w:noWrap/>
            <w:vAlign w:val="bottom"/>
            <w:hideMark/>
          </w:tcPr>
          <w:p w14:paraId="6BB06B5A"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79</w:t>
            </w:r>
          </w:p>
        </w:tc>
        <w:tc>
          <w:tcPr>
            <w:tcW w:w="772" w:type="dxa"/>
            <w:shd w:val="clear" w:color="auto" w:fill="auto"/>
            <w:noWrap/>
            <w:vAlign w:val="bottom"/>
            <w:hideMark/>
          </w:tcPr>
          <w:p w14:paraId="6A135CB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59</w:t>
            </w:r>
          </w:p>
        </w:tc>
        <w:tc>
          <w:tcPr>
            <w:tcW w:w="772" w:type="dxa"/>
            <w:shd w:val="clear" w:color="auto" w:fill="auto"/>
            <w:noWrap/>
            <w:vAlign w:val="bottom"/>
            <w:hideMark/>
          </w:tcPr>
          <w:p w14:paraId="03D8F6F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44</w:t>
            </w:r>
          </w:p>
        </w:tc>
        <w:tc>
          <w:tcPr>
            <w:tcW w:w="714" w:type="dxa"/>
            <w:shd w:val="clear" w:color="auto" w:fill="auto"/>
            <w:noWrap/>
            <w:vAlign w:val="bottom"/>
            <w:hideMark/>
          </w:tcPr>
          <w:p w14:paraId="3586CF0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30</w:t>
            </w:r>
          </w:p>
        </w:tc>
        <w:tc>
          <w:tcPr>
            <w:tcW w:w="714" w:type="dxa"/>
            <w:shd w:val="clear" w:color="auto" w:fill="auto"/>
            <w:noWrap/>
            <w:vAlign w:val="bottom"/>
            <w:hideMark/>
          </w:tcPr>
          <w:p w14:paraId="0FBFFD1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22</w:t>
            </w:r>
          </w:p>
        </w:tc>
        <w:tc>
          <w:tcPr>
            <w:tcW w:w="714" w:type="dxa"/>
            <w:shd w:val="clear" w:color="auto" w:fill="auto"/>
            <w:noWrap/>
            <w:vAlign w:val="bottom"/>
            <w:hideMark/>
          </w:tcPr>
          <w:p w14:paraId="535DC0E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13</w:t>
            </w:r>
          </w:p>
        </w:tc>
        <w:tc>
          <w:tcPr>
            <w:tcW w:w="714" w:type="dxa"/>
            <w:shd w:val="clear" w:color="auto" w:fill="auto"/>
            <w:noWrap/>
            <w:vAlign w:val="bottom"/>
            <w:hideMark/>
          </w:tcPr>
          <w:p w14:paraId="4EBF7FA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8</w:t>
            </w:r>
          </w:p>
        </w:tc>
        <w:tc>
          <w:tcPr>
            <w:tcW w:w="714" w:type="dxa"/>
            <w:shd w:val="clear" w:color="auto" w:fill="auto"/>
            <w:noWrap/>
            <w:vAlign w:val="bottom"/>
            <w:hideMark/>
          </w:tcPr>
          <w:p w14:paraId="2390A93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c>
          <w:tcPr>
            <w:tcW w:w="714" w:type="dxa"/>
            <w:shd w:val="clear" w:color="auto" w:fill="auto"/>
            <w:noWrap/>
            <w:vAlign w:val="bottom"/>
            <w:hideMark/>
          </w:tcPr>
          <w:p w14:paraId="7FB89FB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r>
      <w:tr w:rsidR="007B4B12" w:rsidRPr="006A3CAB" w14:paraId="1F8011CE" w14:textId="77777777" w:rsidTr="006A3CAB">
        <w:trPr>
          <w:trHeight w:val="300"/>
        </w:trPr>
        <w:tc>
          <w:tcPr>
            <w:tcW w:w="831" w:type="dxa"/>
            <w:shd w:val="clear" w:color="auto" w:fill="auto"/>
            <w:noWrap/>
            <w:vAlign w:val="bottom"/>
            <w:hideMark/>
          </w:tcPr>
          <w:p w14:paraId="48B058CE"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09</w:t>
            </w:r>
          </w:p>
        </w:tc>
        <w:tc>
          <w:tcPr>
            <w:tcW w:w="772" w:type="dxa"/>
            <w:shd w:val="clear" w:color="auto" w:fill="auto"/>
            <w:noWrap/>
            <w:vAlign w:val="bottom"/>
            <w:hideMark/>
          </w:tcPr>
          <w:p w14:paraId="304BBA3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23</w:t>
            </w:r>
          </w:p>
        </w:tc>
        <w:tc>
          <w:tcPr>
            <w:tcW w:w="772" w:type="dxa"/>
            <w:shd w:val="clear" w:color="auto" w:fill="auto"/>
            <w:noWrap/>
            <w:vAlign w:val="bottom"/>
            <w:hideMark/>
          </w:tcPr>
          <w:p w14:paraId="6432BE1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18</w:t>
            </w:r>
          </w:p>
        </w:tc>
        <w:tc>
          <w:tcPr>
            <w:tcW w:w="772" w:type="dxa"/>
            <w:shd w:val="clear" w:color="auto" w:fill="auto"/>
            <w:noWrap/>
            <w:vAlign w:val="bottom"/>
            <w:hideMark/>
          </w:tcPr>
          <w:p w14:paraId="09B385D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w:t>
            </w:r>
          </w:p>
        </w:tc>
        <w:tc>
          <w:tcPr>
            <w:tcW w:w="714" w:type="dxa"/>
            <w:shd w:val="clear" w:color="auto" w:fill="auto"/>
            <w:noWrap/>
            <w:vAlign w:val="bottom"/>
            <w:hideMark/>
          </w:tcPr>
          <w:p w14:paraId="4721A0B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w:t>
            </w:r>
          </w:p>
        </w:tc>
        <w:tc>
          <w:tcPr>
            <w:tcW w:w="714" w:type="dxa"/>
            <w:shd w:val="clear" w:color="auto" w:fill="auto"/>
            <w:noWrap/>
            <w:vAlign w:val="bottom"/>
            <w:hideMark/>
          </w:tcPr>
          <w:p w14:paraId="701FFEC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w:t>
            </w:r>
          </w:p>
        </w:tc>
        <w:tc>
          <w:tcPr>
            <w:tcW w:w="714" w:type="dxa"/>
            <w:shd w:val="clear" w:color="auto" w:fill="auto"/>
            <w:noWrap/>
            <w:vAlign w:val="bottom"/>
            <w:hideMark/>
          </w:tcPr>
          <w:p w14:paraId="167EC24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c>
          <w:tcPr>
            <w:tcW w:w="714" w:type="dxa"/>
            <w:shd w:val="clear" w:color="auto" w:fill="auto"/>
            <w:noWrap/>
            <w:vAlign w:val="bottom"/>
            <w:hideMark/>
          </w:tcPr>
          <w:p w14:paraId="17F02CD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w:t>
            </w:r>
          </w:p>
        </w:tc>
        <w:tc>
          <w:tcPr>
            <w:tcW w:w="714" w:type="dxa"/>
            <w:shd w:val="clear" w:color="auto" w:fill="auto"/>
            <w:noWrap/>
            <w:vAlign w:val="bottom"/>
            <w:hideMark/>
          </w:tcPr>
          <w:p w14:paraId="73F4B7B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c>
          <w:tcPr>
            <w:tcW w:w="714" w:type="dxa"/>
            <w:shd w:val="clear" w:color="auto" w:fill="auto"/>
            <w:noWrap/>
            <w:vAlign w:val="bottom"/>
            <w:hideMark/>
          </w:tcPr>
          <w:p w14:paraId="0E38437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5F3063A8" w14:textId="77777777" w:rsidTr="006A3CAB">
        <w:trPr>
          <w:trHeight w:val="300"/>
        </w:trPr>
        <w:tc>
          <w:tcPr>
            <w:tcW w:w="831" w:type="dxa"/>
            <w:shd w:val="clear" w:color="auto" w:fill="auto"/>
            <w:noWrap/>
            <w:vAlign w:val="bottom"/>
            <w:hideMark/>
          </w:tcPr>
          <w:p w14:paraId="0F37D7D1"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10L</w:t>
            </w:r>
          </w:p>
        </w:tc>
        <w:tc>
          <w:tcPr>
            <w:tcW w:w="772" w:type="dxa"/>
            <w:shd w:val="clear" w:color="auto" w:fill="auto"/>
            <w:noWrap/>
            <w:vAlign w:val="bottom"/>
            <w:hideMark/>
          </w:tcPr>
          <w:p w14:paraId="6C5F277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93</w:t>
            </w:r>
          </w:p>
        </w:tc>
        <w:tc>
          <w:tcPr>
            <w:tcW w:w="772" w:type="dxa"/>
            <w:shd w:val="clear" w:color="auto" w:fill="auto"/>
            <w:noWrap/>
            <w:vAlign w:val="bottom"/>
            <w:hideMark/>
          </w:tcPr>
          <w:p w14:paraId="197914F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78</w:t>
            </w:r>
          </w:p>
        </w:tc>
        <w:tc>
          <w:tcPr>
            <w:tcW w:w="772" w:type="dxa"/>
            <w:shd w:val="clear" w:color="auto" w:fill="auto"/>
            <w:noWrap/>
            <w:vAlign w:val="bottom"/>
            <w:hideMark/>
          </w:tcPr>
          <w:p w14:paraId="5524EA7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63</w:t>
            </w:r>
          </w:p>
        </w:tc>
        <w:tc>
          <w:tcPr>
            <w:tcW w:w="714" w:type="dxa"/>
            <w:shd w:val="clear" w:color="auto" w:fill="auto"/>
            <w:noWrap/>
            <w:vAlign w:val="bottom"/>
            <w:hideMark/>
          </w:tcPr>
          <w:p w14:paraId="0443C8A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50</w:t>
            </w:r>
          </w:p>
        </w:tc>
        <w:tc>
          <w:tcPr>
            <w:tcW w:w="714" w:type="dxa"/>
            <w:shd w:val="clear" w:color="auto" w:fill="auto"/>
            <w:noWrap/>
            <w:vAlign w:val="bottom"/>
            <w:hideMark/>
          </w:tcPr>
          <w:p w14:paraId="3776487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31</w:t>
            </w:r>
          </w:p>
        </w:tc>
        <w:tc>
          <w:tcPr>
            <w:tcW w:w="714" w:type="dxa"/>
            <w:shd w:val="clear" w:color="auto" w:fill="auto"/>
            <w:noWrap/>
            <w:vAlign w:val="bottom"/>
            <w:hideMark/>
          </w:tcPr>
          <w:p w14:paraId="4FC7299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26</w:t>
            </w:r>
          </w:p>
        </w:tc>
        <w:tc>
          <w:tcPr>
            <w:tcW w:w="714" w:type="dxa"/>
            <w:shd w:val="clear" w:color="auto" w:fill="auto"/>
            <w:noWrap/>
            <w:vAlign w:val="bottom"/>
            <w:hideMark/>
          </w:tcPr>
          <w:p w14:paraId="269270D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20</w:t>
            </w:r>
          </w:p>
        </w:tc>
        <w:tc>
          <w:tcPr>
            <w:tcW w:w="714" w:type="dxa"/>
            <w:shd w:val="clear" w:color="auto" w:fill="auto"/>
            <w:noWrap/>
            <w:vAlign w:val="bottom"/>
            <w:hideMark/>
          </w:tcPr>
          <w:p w14:paraId="5AFF1DA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14</w:t>
            </w:r>
          </w:p>
        </w:tc>
        <w:tc>
          <w:tcPr>
            <w:tcW w:w="714" w:type="dxa"/>
            <w:shd w:val="clear" w:color="auto" w:fill="auto"/>
            <w:noWrap/>
            <w:vAlign w:val="bottom"/>
            <w:hideMark/>
          </w:tcPr>
          <w:p w14:paraId="08206E3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w:t>
            </w:r>
          </w:p>
        </w:tc>
      </w:tr>
      <w:tr w:rsidR="007B4B12" w:rsidRPr="006A3CAB" w14:paraId="11579644" w14:textId="77777777" w:rsidTr="006A3CAB">
        <w:trPr>
          <w:trHeight w:val="300"/>
        </w:trPr>
        <w:tc>
          <w:tcPr>
            <w:tcW w:w="831" w:type="dxa"/>
            <w:shd w:val="clear" w:color="auto" w:fill="auto"/>
            <w:noWrap/>
            <w:vAlign w:val="bottom"/>
            <w:hideMark/>
          </w:tcPr>
          <w:p w14:paraId="5E6C08A9"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10U</w:t>
            </w:r>
          </w:p>
        </w:tc>
        <w:tc>
          <w:tcPr>
            <w:tcW w:w="772" w:type="dxa"/>
            <w:shd w:val="clear" w:color="auto" w:fill="auto"/>
            <w:noWrap/>
            <w:vAlign w:val="bottom"/>
            <w:hideMark/>
          </w:tcPr>
          <w:p w14:paraId="7195130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180</w:t>
            </w:r>
          </w:p>
        </w:tc>
        <w:tc>
          <w:tcPr>
            <w:tcW w:w="772" w:type="dxa"/>
            <w:shd w:val="clear" w:color="auto" w:fill="auto"/>
            <w:noWrap/>
            <w:vAlign w:val="bottom"/>
            <w:hideMark/>
          </w:tcPr>
          <w:p w14:paraId="7F09143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161</w:t>
            </w:r>
          </w:p>
        </w:tc>
        <w:tc>
          <w:tcPr>
            <w:tcW w:w="772" w:type="dxa"/>
            <w:shd w:val="clear" w:color="auto" w:fill="auto"/>
            <w:noWrap/>
            <w:vAlign w:val="bottom"/>
            <w:hideMark/>
          </w:tcPr>
          <w:p w14:paraId="1A59863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143</w:t>
            </w:r>
          </w:p>
        </w:tc>
        <w:tc>
          <w:tcPr>
            <w:tcW w:w="714" w:type="dxa"/>
            <w:shd w:val="clear" w:color="auto" w:fill="auto"/>
            <w:noWrap/>
            <w:vAlign w:val="bottom"/>
            <w:hideMark/>
          </w:tcPr>
          <w:p w14:paraId="777F4FD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122</w:t>
            </w:r>
          </w:p>
        </w:tc>
        <w:tc>
          <w:tcPr>
            <w:tcW w:w="714" w:type="dxa"/>
            <w:shd w:val="clear" w:color="auto" w:fill="auto"/>
            <w:noWrap/>
            <w:vAlign w:val="bottom"/>
            <w:hideMark/>
          </w:tcPr>
          <w:p w14:paraId="6A26ACB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98</w:t>
            </w:r>
          </w:p>
        </w:tc>
        <w:tc>
          <w:tcPr>
            <w:tcW w:w="714" w:type="dxa"/>
            <w:shd w:val="clear" w:color="auto" w:fill="auto"/>
            <w:noWrap/>
            <w:vAlign w:val="bottom"/>
            <w:hideMark/>
          </w:tcPr>
          <w:p w14:paraId="68BDD35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79</w:t>
            </w:r>
          </w:p>
        </w:tc>
        <w:tc>
          <w:tcPr>
            <w:tcW w:w="714" w:type="dxa"/>
            <w:shd w:val="clear" w:color="auto" w:fill="auto"/>
            <w:noWrap/>
            <w:vAlign w:val="bottom"/>
            <w:hideMark/>
          </w:tcPr>
          <w:p w14:paraId="55623E3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51</w:t>
            </w:r>
          </w:p>
        </w:tc>
        <w:tc>
          <w:tcPr>
            <w:tcW w:w="714" w:type="dxa"/>
            <w:shd w:val="clear" w:color="auto" w:fill="auto"/>
            <w:noWrap/>
            <w:vAlign w:val="bottom"/>
            <w:hideMark/>
          </w:tcPr>
          <w:p w14:paraId="34F8F2D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28</w:t>
            </w:r>
          </w:p>
        </w:tc>
        <w:tc>
          <w:tcPr>
            <w:tcW w:w="714" w:type="dxa"/>
            <w:shd w:val="clear" w:color="auto" w:fill="auto"/>
            <w:noWrap/>
            <w:vAlign w:val="bottom"/>
            <w:hideMark/>
          </w:tcPr>
          <w:p w14:paraId="4D88BA1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w:t>
            </w:r>
          </w:p>
        </w:tc>
      </w:tr>
      <w:tr w:rsidR="007B4B12" w:rsidRPr="006A3CAB" w14:paraId="2155F01F" w14:textId="77777777" w:rsidTr="006A3CAB">
        <w:trPr>
          <w:trHeight w:val="300"/>
        </w:trPr>
        <w:tc>
          <w:tcPr>
            <w:tcW w:w="831" w:type="dxa"/>
            <w:shd w:val="clear" w:color="auto" w:fill="auto"/>
            <w:noWrap/>
            <w:vAlign w:val="bottom"/>
            <w:hideMark/>
          </w:tcPr>
          <w:p w14:paraId="682C71FD"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11</w:t>
            </w:r>
          </w:p>
        </w:tc>
        <w:tc>
          <w:tcPr>
            <w:tcW w:w="772" w:type="dxa"/>
            <w:shd w:val="clear" w:color="auto" w:fill="auto"/>
            <w:noWrap/>
            <w:vAlign w:val="bottom"/>
            <w:hideMark/>
          </w:tcPr>
          <w:p w14:paraId="0C1DD51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111</w:t>
            </w:r>
          </w:p>
        </w:tc>
        <w:tc>
          <w:tcPr>
            <w:tcW w:w="772" w:type="dxa"/>
            <w:shd w:val="clear" w:color="auto" w:fill="auto"/>
            <w:noWrap/>
            <w:vAlign w:val="bottom"/>
            <w:hideMark/>
          </w:tcPr>
          <w:p w14:paraId="6F84DFE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91</w:t>
            </w:r>
          </w:p>
        </w:tc>
        <w:tc>
          <w:tcPr>
            <w:tcW w:w="772" w:type="dxa"/>
            <w:shd w:val="clear" w:color="auto" w:fill="auto"/>
            <w:noWrap/>
            <w:vAlign w:val="bottom"/>
            <w:hideMark/>
          </w:tcPr>
          <w:p w14:paraId="578F314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71</w:t>
            </w:r>
          </w:p>
        </w:tc>
        <w:tc>
          <w:tcPr>
            <w:tcW w:w="714" w:type="dxa"/>
            <w:shd w:val="clear" w:color="auto" w:fill="auto"/>
            <w:noWrap/>
            <w:vAlign w:val="bottom"/>
            <w:hideMark/>
          </w:tcPr>
          <w:p w14:paraId="2B627B3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50</w:t>
            </w:r>
          </w:p>
        </w:tc>
        <w:tc>
          <w:tcPr>
            <w:tcW w:w="714" w:type="dxa"/>
            <w:shd w:val="clear" w:color="auto" w:fill="auto"/>
            <w:noWrap/>
            <w:vAlign w:val="bottom"/>
            <w:hideMark/>
          </w:tcPr>
          <w:p w14:paraId="7C1CA6B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37</w:t>
            </w:r>
          </w:p>
        </w:tc>
        <w:tc>
          <w:tcPr>
            <w:tcW w:w="714" w:type="dxa"/>
            <w:shd w:val="clear" w:color="auto" w:fill="auto"/>
            <w:noWrap/>
            <w:vAlign w:val="bottom"/>
            <w:hideMark/>
          </w:tcPr>
          <w:p w14:paraId="7234C93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22</w:t>
            </w:r>
          </w:p>
        </w:tc>
        <w:tc>
          <w:tcPr>
            <w:tcW w:w="714" w:type="dxa"/>
            <w:shd w:val="clear" w:color="auto" w:fill="auto"/>
            <w:noWrap/>
            <w:vAlign w:val="bottom"/>
            <w:hideMark/>
          </w:tcPr>
          <w:p w14:paraId="6E18443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w:t>
            </w:r>
          </w:p>
        </w:tc>
        <w:tc>
          <w:tcPr>
            <w:tcW w:w="714" w:type="dxa"/>
            <w:shd w:val="clear" w:color="auto" w:fill="auto"/>
            <w:noWrap/>
            <w:vAlign w:val="bottom"/>
            <w:hideMark/>
          </w:tcPr>
          <w:p w14:paraId="33FE720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w:t>
            </w:r>
          </w:p>
        </w:tc>
        <w:tc>
          <w:tcPr>
            <w:tcW w:w="714" w:type="dxa"/>
            <w:shd w:val="clear" w:color="auto" w:fill="auto"/>
            <w:noWrap/>
            <w:vAlign w:val="bottom"/>
            <w:hideMark/>
          </w:tcPr>
          <w:p w14:paraId="4368AA3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2868CDD5" w14:textId="77777777" w:rsidTr="006A3CAB">
        <w:trPr>
          <w:trHeight w:val="300"/>
        </w:trPr>
        <w:tc>
          <w:tcPr>
            <w:tcW w:w="831" w:type="dxa"/>
            <w:shd w:val="clear" w:color="auto" w:fill="auto"/>
            <w:noWrap/>
            <w:vAlign w:val="bottom"/>
            <w:hideMark/>
          </w:tcPr>
          <w:p w14:paraId="78E99253"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12</w:t>
            </w:r>
          </w:p>
        </w:tc>
        <w:tc>
          <w:tcPr>
            <w:tcW w:w="772" w:type="dxa"/>
            <w:shd w:val="clear" w:color="auto" w:fill="auto"/>
            <w:noWrap/>
            <w:vAlign w:val="bottom"/>
            <w:hideMark/>
          </w:tcPr>
          <w:p w14:paraId="339F7BC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33</w:t>
            </w:r>
          </w:p>
        </w:tc>
        <w:tc>
          <w:tcPr>
            <w:tcW w:w="772" w:type="dxa"/>
            <w:shd w:val="clear" w:color="auto" w:fill="auto"/>
            <w:noWrap/>
            <w:vAlign w:val="bottom"/>
            <w:hideMark/>
          </w:tcPr>
          <w:p w14:paraId="085C646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31</w:t>
            </w:r>
          </w:p>
        </w:tc>
        <w:tc>
          <w:tcPr>
            <w:tcW w:w="772" w:type="dxa"/>
            <w:shd w:val="clear" w:color="auto" w:fill="auto"/>
            <w:noWrap/>
            <w:vAlign w:val="bottom"/>
            <w:hideMark/>
          </w:tcPr>
          <w:p w14:paraId="5B8568F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29</w:t>
            </w:r>
          </w:p>
        </w:tc>
        <w:tc>
          <w:tcPr>
            <w:tcW w:w="714" w:type="dxa"/>
            <w:shd w:val="clear" w:color="auto" w:fill="auto"/>
            <w:noWrap/>
            <w:vAlign w:val="bottom"/>
            <w:hideMark/>
          </w:tcPr>
          <w:p w14:paraId="28197F0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21</w:t>
            </w:r>
          </w:p>
        </w:tc>
        <w:tc>
          <w:tcPr>
            <w:tcW w:w="714" w:type="dxa"/>
            <w:shd w:val="clear" w:color="auto" w:fill="auto"/>
            <w:noWrap/>
            <w:vAlign w:val="bottom"/>
            <w:hideMark/>
          </w:tcPr>
          <w:p w14:paraId="752A6C68"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17</w:t>
            </w:r>
          </w:p>
        </w:tc>
        <w:tc>
          <w:tcPr>
            <w:tcW w:w="714" w:type="dxa"/>
            <w:shd w:val="clear" w:color="auto" w:fill="auto"/>
            <w:noWrap/>
            <w:vAlign w:val="bottom"/>
            <w:hideMark/>
          </w:tcPr>
          <w:p w14:paraId="778DB53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w:t>
            </w:r>
          </w:p>
        </w:tc>
        <w:tc>
          <w:tcPr>
            <w:tcW w:w="714" w:type="dxa"/>
            <w:shd w:val="clear" w:color="auto" w:fill="auto"/>
            <w:noWrap/>
            <w:vAlign w:val="bottom"/>
            <w:hideMark/>
          </w:tcPr>
          <w:p w14:paraId="126DB3F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w:t>
            </w:r>
          </w:p>
        </w:tc>
        <w:tc>
          <w:tcPr>
            <w:tcW w:w="714" w:type="dxa"/>
            <w:shd w:val="clear" w:color="auto" w:fill="auto"/>
            <w:noWrap/>
            <w:vAlign w:val="bottom"/>
            <w:hideMark/>
          </w:tcPr>
          <w:p w14:paraId="159D81A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w:t>
            </w:r>
          </w:p>
        </w:tc>
        <w:tc>
          <w:tcPr>
            <w:tcW w:w="714" w:type="dxa"/>
            <w:shd w:val="clear" w:color="auto" w:fill="auto"/>
            <w:noWrap/>
            <w:vAlign w:val="bottom"/>
            <w:hideMark/>
          </w:tcPr>
          <w:p w14:paraId="5684316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r>
      <w:tr w:rsidR="007B4B12" w:rsidRPr="006A3CAB" w14:paraId="103A4C5B" w14:textId="77777777" w:rsidTr="006A3CAB">
        <w:trPr>
          <w:trHeight w:val="300"/>
        </w:trPr>
        <w:tc>
          <w:tcPr>
            <w:tcW w:w="831" w:type="dxa"/>
            <w:shd w:val="clear" w:color="auto" w:fill="auto"/>
            <w:noWrap/>
            <w:vAlign w:val="bottom"/>
            <w:hideMark/>
          </w:tcPr>
          <w:p w14:paraId="57AD36CD"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13</w:t>
            </w:r>
          </w:p>
        </w:tc>
        <w:tc>
          <w:tcPr>
            <w:tcW w:w="772" w:type="dxa"/>
            <w:shd w:val="clear" w:color="auto" w:fill="auto"/>
            <w:noWrap/>
            <w:vAlign w:val="bottom"/>
            <w:hideMark/>
          </w:tcPr>
          <w:p w14:paraId="2B1C28D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21</w:t>
            </w:r>
          </w:p>
        </w:tc>
        <w:tc>
          <w:tcPr>
            <w:tcW w:w="772" w:type="dxa"/>
            <w:shd w:val="clear" w:color="auto" w:fill="auto"/>
            <w:noWrap/>
            <w:vAlign w:val="bottom"/>
            <w:hideMark/>
          </w:tcPr>
          <w:p w14:paraId="7256CBAA"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20</w:t>
            </w:r>
          </w:p>
        </w:tc>
        <w:tc>
          <w:tcPr>
            <w:tcW w:w="772" w:type="dxa"/>
            <w:shd w:val="clear" w:color="auto" w:fill="auto"/>
            <w:noWrap/>
            <w:vAlign w:val="bottom"/>
            <w:hideMark/>
          </w:tcPr>
          <w:p w14:paraId="06D02EA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17</w:t>
            </w:r>
          </w:p>
        </w:tc>
        <w:tc>
          <w:tcPr>
            <w:tcW w:w="714" w:type="dxa"/>
            <w:shd w:val="clear" w:color="auto" w:fill="auto"/>
            <w:noWrap/>
            <w:vAlign w:val="bottom"/>
            <w:hideMark/>
          </w:tcPr>
          <w:p w14:paraId="7B9958F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16</w:t>
            </w:r>
          </w:p>
        </w:tc>
        <w:tc>
          <w:tcPr>
            <w:tcW w:w="714" w:type="dxa"/>
            <w:shd w:val="clear" w:color="auto" w:fill="auto"/>
            <w:noWrap/>
            <w:vAlign w:val="bottom"/>
            <w:hideMark/>
          </w:tcPr>
          <w:p w14:paraId="44F6AEF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14</w:t>
            </w:r>
          </w:p>
        </w:tc>
        <w:tc>
          <w:tcPr>
            <w:tcW w:w="714" w:type="dxa"/>
            <w:shd w:val="clear" w:color="auto" w:fill="auto"/>
            <w:noWrap/>
            <w:vAlign w:val="bottom"/>
            <w:hideMark/>
          </w:tcPr>
          <w:p w14:paraId="46A3B65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11</w:t>
            </w:r>
          </w:p>
        </w:tc>
        <w:tc>
          <w:tcPr>
            <w:tcW w:w="714" w:type="dxa"/>
            <w:shd w:val="clear" w:color="auto" w:fill="auto"/>
            <w:noWrap/>
            <w:vAlign w:val="bottom"/>
            <w:hideMark/>
          </w:tcPr>
          <w:p w14:paraId="119600D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w:t>
            </w:r>
          </w:p>
        </w:tc>
        <w:tc>
          <w:tcPr>
            <w:tcW w:w="714" w:type="dxa"/>
            <w:shd w:val="clear" w:color="auto" w:fill="auto"/>
            <w:noWrap/>
            <w:vAlign w:val="bottom"/>
            <w:hideMark/>
          </w:tcPr>
          <w:p w14:paraId="42AA1F0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w:t>
            </w:r>
          </w:p>
        </w:tc>
        <w:tc>
          <w:tcPr>
            <w:tcW w:w="714" w:type="dxa"/>
            <w:shd w:val="clear" w:color="auto" w:fill="auto"/>
            <w:noWrap/>
            <w:vAlign w:val="bottom"/>
            <w:hideMark/>
          </w:tcPr>
          <w:p w14:paraId="137525D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w:t>
            </w:r>
          </w:p>
        </w:tc>
      </w:tr>
      <w:tr w:rsidR="007B4B12" w:rsidRPr="006A3CAB" w14:paraId="0E222B4E" w14:textId="77777777" w:rsidTr="006A3CAB">
        <w:trPr>
          <w:trHeight w:val="300"/>
        </w:trPr>
        <w:tc>
          <w:tcPr>
            <w:tcW w:w="831" w:type="dxa"/>
            <w:shd w:val="clear" w:color="auto" w:fill="auto"/>
            <w:noWrap/>
            <w:vAlign w:val="bottom"/>
            <w:hideMark/>
          </w:tcPr>
          <w:p w14:paraId="278FF3F6"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14</w:t>
            </w:r>
          </w:p>
        </w:tc>
        <w:tc>
          <w:tcPr>
            <w:tcW w:w="772" w:type="dxa"/>
            <w:shd w:val="clear" w:color="auto" w:fill="auto"/>
            <w:noWrap/>
            <w:vAlign w:val="bottom"/>
            <w:hideMark/>
          </w:tcPr>
          <w:p w14:paraId="588EE0F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53</w:t>
            </w:r>
          </w:p>
        </w:tc>
        <w:tc>
          <w:tcPr>
            <w:tcW w:w="772" w:type="dxa"/>
            <w:shd w:val="clear" w:color="auto" w:fill="auto"/>
            <w:noWrap/>
            <w:vAlign w:val="bottom"/>
            <w:hideMark/>
          </w:tcPr>
          <w:p w14:paraId="7C59FB5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50</w:t>
            </w:r>
          </w:p>
        </w:tc>
        <w:tc>
          <w:tcPr>
            <w:tcW w:w="772" w:type="dxa"/>
            <w:shd w:val="clear" w:color="auto" w:fill="auto"/>
            <w:noWrap/>
            <w:vAlign w:val="bottom"/>
            <w:hideMark/>
          </w:tcPr>
          <w:p w14:paraId="230CF42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47</w:t>
            </w:r>
          </w:p>
        </w:tc>
        <w:tc>
          <w:tcPr>
            <w:tcW w:w="714" w:type="dxa"/>
            <w:shd w:val="clear" w:color="auto" w:fill="auto"/>
            <w:noWrap/>
            <w:vAlign w:val="bottom"/>
            <w:hideMark/>
          </w:tcPr>
          <w:p w14:paraId="42FE6BA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38</w:t>
            </w:r>
          </w:p>
        </w:tc>
        <w:tc>
          <w:tcPr>
            <w:tcW w:w="714" w:type="dxa"/>
            <w:shd w:val="clear" w:color="auto" w:fill="auto"/>
            <w:noWrap/>
            <w:vAlign w:val="bottom"/>
            <w:hideMark/>
          </w:tcPr>
          <w:p w14:paraId="3573F0E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32</w:t>
            </w:r>
          </w:p>
        </w:tc>
        <w:tc>
          <w:tcPr>
            <w:tcW w:w="714" w:type="dxa"/>
            <w:shd w:val="clear" w:color="auto" w:fill="auto"/>
            <w:noWrap/>
            <w:vAlign w:val="bottom"/>
            <w:hideMark/>
          </w:tcPr>
          <w:p w14:paraId="3BEEB47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25</w:t>
            </w:r>
          </w:p>
        </w:tc>
        <w:tc>
          <w:tcPr>
            <w:tcW w:w="714" w:type="dxa"/>
            <w:shd w:val="clear" w:color="auto" w:fill="auto"/>
            <w:noWrap/>
            <w:vAlign w:val="bottom"/>
            <w:hideMark/>
          </w:tcPr>
          <w:p w14:paraId="4F8D7F6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19</w:t>
            </w:r>
          </w:p>
        </w:tc>
        <w:tc>
          <w:tcPr>
            <w:tcW w:w="714" w:type="dxa"/>
            <w:shd w:val="clear" w:color="auto" w:fill="auto"/>
            <w:noWrap/>
            <w:vAlign w:val="bottom"/>
            <w:hideMark/>
          </w:tcPr>
          <w:p w14:paraId="025CCA1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w:t>
            </w:r>
          </w:p>
        </w:tc>
        <w:tc>
          <w:tcPr>
            <w:tcW w:w="714" w:type="dxa"/>
            <w:shd w:val="clear" w:color="auto" w:fill="auto"/>
            <w:noWrap/>
            <w:vAlign w:val="bottom"/>
            <w:hideMark/>
          </w:tcPr>
          <w:p w14:paraId="3CC2898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w:t>
            </w:r>
          </w:p>
        </w:tc>
      </w:tr>
      <w:tr w:rsidR="007B4B12" w:rsidRPr="006A3CAB" w14:paraId="133CC398" w14:textId="77777777" w:rsidTr="006A3CAB">
        <w:trPr>
          <w:trHeight w:val="300"/>
        </w:trPr>
        <w:tc>
          <w:tcPr>
            <w:tcW w:w="831" w:type="dxa"/>
            <w:shd w:val="clear" w:color="auto" w:fill="auto"/>
            <w:noWrap/>
            <w:vAlign w:val="bottom"/>
            <w:hideMark/>
          </w:tcPr>
          <w:p w14:paraId="4FE4091B"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15</w:t>
            </w:r>
          </w:p>
        </w:tc>
        <w:tc>
          <w:tcPr>
            <w:tcW w:w="772" w:type="dxa"/>
            <w:shd w:val="clear" w:color="auto" w:fill="auto"/>
            <w:noWrap/>
            <w:vAlign w:val="bottom"/>
            <w:hideMark/>
          </w:tcPr>
          <w:p w14:paraId="7A3E2C5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38</w:t>
            </w:r>
          </w:p>
        </w:tc>
        <w:tc>
          <w:tcPr>
            <w:tcW w:w="772" w:type="dxa"/>
            <w:shd w:val="clear" w:color="auto" w:fill="auto"/>
            <w:noWrap/>
            <w:vAlign w:val="bottom"/>
            <w:hideMark/>
          </w:tcPr>
          <w:p w14:paraId="3E39110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35</w:t>
            </w:r>
          </w:p>
        </w:tc>
        <w:tc>
          <w:tcPr>
            <w:tcW w:w="772" w:type="dxa"/>
            <w:shd w:val="clear" w:color="auto" w:fill="auto"/>
            <w:noWrap/>
            <w:vAlign w:val="bottom"/>
            <w:hideMark/>
          </w:tcPr>
          <w:p w14:paraId="2E4E1AC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31</w:t>
            </w:r>
          </w:p>
        </w:tc>
        <w:tc>
          <w:tcPr>
            <w:tcW w:w="714" w:type="dxa"/>
            <w:shd w:val="clear" w:color="auto" w:fill="auto"/>
            <w:noWrap/>
            <w:vAlign w:val="bottom"/>
            <w:hideMark/>
          </w:tcPr>
          <w:p w14:paraId="0565D56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25</w:t>
            </w:r>
          </w:p>
        </w:tc>
        <w:tc>
          <w:tcPr>
            <w:tcW w:w="714" w:type="dxa"/>
            <w:shd w:val="clear" w:color="auto" w:fill="auto"/>
            <w:noWrap/>
            <w:vAlign w:val="bottom"/>
            <w:hideMark/>
          </w:tcPr>
          <w:p w14:paraId="2EB7AD9A"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21</w:t>
            </w:r>
          </w:p>
        </w:tc>
        <w:tc>
          <w:tcPr>
            <w:tcW w:w="714" w:type="dxa"/>
            <w:shd w:val="clear" w:color="auto" w:fill="auto"/>
            <w:noWrap/>
            <w:vAlign w:val="bottom"/>
            <w:hideMark/>
          </w:tcPr>
          <w:p w14:paraId="578BABB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17</w:t>
            </w:r>
          </w:p>
        </w:tc>
        <w:tc>
          <w:tcPr>
            <w:tcW w:w="714" w:type="dxa"/>
            <w:shd w:val="clear" w:color="auto" w:fill="auto"/>
            <w:noWrap/>
            <w:vAlign w:val="bottom"/>
            <w:hideMark/>
          </w:tcPr>
          <w:p w14:paraId="24482D6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11</w:t>
            </w:r>
          </w:p>
        </w:tc>
        <w:tc>
          <w:tcPr>
            <w:tcW w:w="714" w:type="dxa"/>
            <w:shd w:val="clear" w:color="auto" w:fill="auto"/>
            <w:noWrap/>
            <w:vAlign w:val="bottom"/>
            <w:hideMark/>
          </w:tcPr>
          <w:p w14:paraId="0001B32A"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w:t>
            </w:r>
          </w:p>
        </w:tc>
        <w:tc>
          <w:tcPr>
            <w:tcW w:w="714" w:type="dxa"/>
            <w:shd w:val="clear" w:color="auto" w:fill="auto"/>
            <w:noWrap/>
            <w:vAlign w:val="bottom"/>
            <w:hideMark/>
          </w:tcPr>
          <w:p w14:paraId="5C430C5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w:t>
            </w:r>
          </w:p>
        </w:tc>
      </w:tr>
      <w:tr w:rsidR="007B4B12" w:rsidRPr="006A3CAB" w14:paraId="39C763E8" w14:textId="77777777" w:rsidTr="006A3CAB">
        <w:trPr>
          <w:trHeight w:val="300"/>
        </w:trPr>
        <w:tc>
          <w:tcPr>
            <w:tcW w:w="831" w:type="dxa"/>
            <w:shd w:val="clear" w:color="auto" w:fill="auto"/>
            <w:noWrap/>
            <w:vAlign w:val="bottom"/>
            <w:hideMark/>
          </w:tcPr>
          <w:p w14:paraId="1D284DBA"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16</w:t>
            </w:r>
          </w:p>
        </w:tc>
        <w:tc>
          <w:tcPr>
            <w:tcW w:w="772" w:type="dxa"/>
            <w:shd w:val="clear" w:color="auto" w:fill="auto"/>
            <w:noWrap/>
            <w:vAlign w:val="bottom"/>
            <w:hideMark/>
          </w:tcPr>
          <w:p w14:paraId="2E3A923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44</w:t>
            </w:r>
          </w:p>
        </w:tc>
        <w:tc>
          <w:tcPr>
            <w:tcW w:w="772" w:type="dxa"/>
            <w:shd w:val="clear" w:color="auto" w:fill="auto"/>
            <w:noWrap/>
            <w:vAlign w:val="bottom"/>
            <w:hideMark/>
          </w:tcPr>
          <w:p w14:paraId="18072F6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37</w:t>
            </w:r>
          </w:p>
        </w:tc>
        <w:tc>
          <w:tcPr>
            <w:tcW w:w="772" w:type="dxa"/>
            <w:shd w:val="clear" w:color="auto" w:fill="auto"/>
            <w:noWrap/>
            <w:vAlign w:val="bottom"/>
            <w:hideMark/>
          </w:tcPr>
          <w:p w14:paraId="66B3495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34</w:t>
            </w:r>
          </w:p>
        </w:tc>
        <w:tc>
          <w:tcPr>
            <w:tcW w:w="714" w:type="dxa"/>
            <w:shd w:val="clear" w:color="auto" w:fill="auto"/>
            <w:noWrap/>
            <w:vAlign w:val="bottom"/>
            <w:hideMark/>
          </w:tcPr>
          <w:p w14:paraId="0711087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33</w:t>
            </w:r>
          </w:p>
        </w:tc>
        <w:tc>
          <w:tcPr>
            <w:tcW w:w="714" w:type="dxa"/>
            <w:shd w:val="clear" w:color="auto" w:fill="auto"/>
            <w:noWrap/>
            <w:vAlign w:val="bottom"/>
            <w:hideMark/>
          </w:tcPr>
          <w:p w14:paraId="337E74C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22</w:t>
            </w:r>
          </w:p>
        </w:tc>
        <w:tc>
          <w:tcPr>
            <w:tcW w:w="714" w:type="dxa"/>
            <w:shd w:val="clear" w:color="auto" w:fill="auto"/>
            <w:noWrap/>
            <w:vAlign w:val="bottom"/>
            <w:hideMark/>
          </w:tcPr>
          <w:p w14:paraId="1551DA7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16</w:t>
            </w:r>
          </w:p>
        </w:tc>
        <w:tc>
          <w:tcPr>
            <w:tcW w:w="714" w:type="dxa"/>
            <w:shd w:val="clear" w:color="auto" w:fill="auto"/>
            <w:noWrap/>
            <w:vAlign w:val="bottom"/>
            <w:hideMark/>
          </w:tcPr>
          <w:p w14:paraId="0036021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w:t>
            </w:r>
          </w:p>
        </w:tc>
        <w:tc>
          <w:tcPr>
            <w:tcW w:w="714" w:type="dxa"/>
            <w:shd w:val="clear" w:color="auto" w:fill="auto"/>
            <w:noWrap/>
            <w:vAlign w:val="bottom"/>
            <w:hideMark/>
          </w:tcPr>
          <w:p w14:paraId="32FAC216"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w:t>
            </w:r>
          </w:p>
        </w:tc>
        <w:tc>
          <w:tcPr>
            <w:tcW w:w="714" w:type="dxa"/>
            <w:shd w:val="clear" w:color="auto" w:fill="auto"/>
            <w:noWrap/>
            <w:vAlign w:val="bottom"/>
            <w:hideMark/>
          </w:tcPr>
          <w:p w14:paraId="58F4936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0</w:t>
            </w:r>
          </w:p>
        </w:tc>
      </w:tr>
      <w:tr w:rsidR="007B4B12" w:rsidRPr="006A3CAB" w14:paraId="2F6A5198" w14:textId="77777777" w:rsidTr="006A3CAB">
        <w:trPr>
          <w:trHeight w:val="300"/>
        </w:trPr>
        <w:tc>
          <w:tcPr>
            <w:tcW w:w="831" w:type="dxa"/>
            <w:shd w:val="clear" w:color="auto" w:fill="auto"/>
            <w:noWrap/>
            <w:vAlign w:val="bottom"/>
            <w:hideMark/>
          </w:tcPr>
          <w:p w14:paraId="3150896F"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17</w:t>
            </w:r>
          </w:p>
        </w:tc>
        <w:tc>
          <w:tcPr>
            <w:tcW w:w="772" w:type="dxa"/>
            <w:shd w:val="clear" w:color="auto" w:fill="auto"/>
            <w:noWrap/>
            <w:vAlign w:val="bottom"/>
            <w:hideMark/>
          </w:tcPr>
          <w:p w14:paraId="79B52C1B"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117</w:t>
            </w:r>
          </w:p>
        </w:tc>
        <w:tc>
          <w:tcPr>
            <w:tcW w:w="772" w:type="dxa"/>
            <w:shd w:val="clear" w:color="auto" w:fill="auto"/>
            <w:noWrap/>
            <w:vAlign w:val="bottom"/>
            <w:hideMark/>
          </w:tcPr>
          <w:p w14:paraId="3669FE4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103</w:t>
            </w:r>
          </w:p>
        </w:tc>
        <w:tc>
          <w:tcPr>
            <w:tcW w:w="772" w:type="dxa"/>
            <w:shd w:val="clear" w:color="auto" w:fill="auto"/>
            <w:noWrap/>
            <w:vAlign w:val="bottom"/>
            <w:hideMark/>
          </w:tcPr>
          <w:p w14:paraId="1B4C7DA7"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89</w:t>
            </w:r>
          </w:p>
        </w:tc>
        <w:tc>
          <w:tcPr>
            <w:tcW w:w="714" w:type="dxa"/>
            <w:shd w:val="clear" w:color="auto" w:fill="auto"/>
            <w:noWrap/>
            <w:vAlign w:val="bottom"/>
            <w:hideMark/>
          </w:tcPr>
          <w:p w14:paraId="607D285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74</w:t>
            </w:r>
          </w:p>
        </w:tc>
        <w:tc>
          <w:tcPr>
            <w:tcW w:w="714" w:type="dxa"/>
            <w:shd w:val="clear" w:color="auto" w:fill="auto"/>
            <w:noWrap/>
            <w:vAlign w:val="bottom"/>
            <w:hideMark/>
          </w:tcPr>
          <w:p w14:paraId="3C806B3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61</w:t>
            </w:r>
          </w:p>
        </w:tc>
        <w:tc>
          <w:tcPr>
            <w:tcW w:w="714" w:type="dxa"/>
            <w:shd w:val="clear" w:color="auto" w:fill="auto"/>
            <w:noWrap/>
            <w:vAlign w:val="bottom"/>
            <w:hideMark/>
          </w:tcPr>
          <w:p w14:paraId="259D006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42</w:t>
            </w:r>
          </w:p>
        </w:tc>
        <w:tc>
          <w:tcPr>
            <w:tcW w:w="714" w:type="dxa"/>
            <w:shd w:val="clear" w:color="auto" w:fill="auto"/>
            <w:noWrap/>
            <w:vAlign w:val="bottom"/>
            <w:hideMark/>
          </w:tcPr>
          <w:p w14:paraId="1324715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26</w:t>
            </w:r>
          </w:p>
        </w:tc>
        <w:tc>
          <w:tcPr>
            <w:tcW w:w="714" w:type="dxa"/>
            <w:shd w:val="clear" w:color="auto" w:fill="auto"/>
            <w:noWrap/>
            <w:vAlign w:val="bottom"/>
            <w:hideMark/>
          </w:tcPr>
          <w:p w14:paraId="781BEF5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14</w:t>
            </w:r>
          </w:p>
        </w:tc>
        <w:tc>
          <w:tcPr>
            <w:tcW w:w="714" w:type="dxa"/>
            <w:shd w:val="clear" w:color="auto" w:fill="auto"/>
            <w:noWrap/>
            <w:vAlign w:val="bottom"/>
            <w:hideMark/>
          </w:tcPr>
          <w:p w14:paraId="62BAB2C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r>
      <w:tr w:rsidR="007B4B12" w:rsidRPr="006A3CAB" w14:paraId="6DF7B104" w14:textId="77777777" w:rsidTr="006A3CAB">
        <w:trPr>
          <w:trHeight w:val="300"/>
        </w:trPr>
        <w:tc>
          <w:tcPr>
            <w:tcW w:w="831" w:type="dxa"/>
            <w:shd w:val="clear" w:color="auto" w:fill="auto"/>
            <w:noWrap/>
            <w:vAlign w:val="bottom"/>
            <w:hideMark/>
          </w:tcPr>
          <w:p w14:paraId="1CC8F602"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18</w:t>
            </w:r>
          </w:p>
        </w:tc>
        <w:tc>
          <w:tcPr>
            <w:tcW w:w="772" w:type="dxa"/>
            <w:shd w:val="clear" w:color="auto" w:fill="auto"/>
            <w:noWrap/>
            <w:vAlign w:val="bottom"/>
            <w:hideMark/>
          </w:tcPr>
          <w:p w14:paraId="649270A2"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39</w:t>
            </w:r>
          </w:p>
        </w:tc>
        <w:tc>
          <w:tcPr>
            <w:tcW w:w="772" w:type="dxa"/>
            <w:shd w:val="clear" w:color="auto" w:fill="auto"/>
            <w:noWrap/>
            <w:vAlign w:val="bottom"/>
            <w:hideMark/>
          </w:tcPr>
          <w:p w14:paraId="60F7E2B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35</w:t>
            </w:r>
          </w:p>
        </w:tc>
        <w:tc>
          <w:tcPr>
            <w:tcW w:w="772" w:type="dxa"/>
            <w:shd w:val="clear" w:color="auto" w:fill="auto"/>
            <w:noWrap/>
            <w:vAlign w:val="bottom"/>
            <w:hideMark/>
          </w:tcPr>
          <w:p w14:paraId="20C2A8C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32</w:t>
            </w:r>
          </w:p>
        </w:tc>
        <w:tc>
          <w:tcPr>
            <w:tcW w:w="714" w:type="dxa"/>
            <w:shd w:val="clear" w:color="auto" w:fill="auto"/>
            <w:noWrap/>
            <w:vAlign w:val="bottom"/>
            <w:hideMark/>
          </w:tcPr>
          <w:p w14:paraId="66D2C47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29</w:t>
            </w:r>
          </w:p>
        </w:tc>
        <w:tc>
          <w:tcPr>
            <w:tcW w:w="714" w:type="dxa"/>
            <w:shd w:val="clear" w:color="auto" w:fill="auto"/>
            <w:noWrap/>
            <w:vAlign w:val="bottom"/>
            <w:hideMark/>
          </w:tcPr>
          <w:p w14:paraId="3EC917ED"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22</w:t>
            </w:r>
          </w:p>
        </w:tc>
        <w:tc>
          <w:tcPr>
            <w:tcW w:w="714" w:type="dxa"/>
            <w:shd w:val="clear" w:color="auto" w:fill="auto"/>
            <w:noWrap/>
            <w:vAlign w:val="bottom"/>
            <w:hideMark/>
          </w:tcPr>
          <w:p w14:paraId="43A7A62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15</w:t>
            </w:r>
          </w:p>
        </w:tc>
        <w:tc>
          <w:tcPr>
            <w:tcW w:w="714" w:type="dxa"/>
            <w:shd w:val="clear" w:color="auto" w:fill="auto"/>
            <w:noWrap/>
            <w:vAlign w:val="bottom"/>
            <w:hideMark/>
          </w:tcPr>
          <w:p w14:paraId="119D215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9</w:t>
            </w:r>
          </w:p>
        </w:tc>
        <w:tc>
          <w:tcPr>
            <w:tcW w:w="714" w:type="dxa"/>
            <w:shd w:val="clear" w:color="auto" w:fill="auto"/>
            <w:noWrap/>
            <w:vAlign w:val="bottom"/>
            <w:hideMark/>
          </w:tcPr>
          <w:p w14:paraId="54141EC1"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w:t>
            </w:r>
          </w:p>
        </w:tc>
        <w:tc>
          <w:tcPr>
            <w:tcW w:w="714" w:type="dxa"/>
            <w:shd w:val="clear" w:color="auto" w:fill="auto"/>
            <w:noWrap/>
            <w:vAlign w:val="bottom"/>
            <w:hideMark/>
          </w:tcPr>
          <w:p w14:paraId="22ECB565"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w:t>
            </w:r>
          </w:p>
        </w:tc>
      </w:tr>
      <w:tr w:rsidR="007B4B12" w:rsidRPr="006A3CAB" w14:paraId="4E7890A7" w14:textId="77777777" w:rsidTr="006A3CAB">
        <w:trPr>
          <w:trHeight w:val="300"/>
        </w:trPr>
        <w:tc>
          <w:tcPr>
            <w:tcW w:w="831" w:type="dxa"/>
            <w:shd w:val="clear" w:color="auto" w:fill="auto"/>
            <w:noWrap/>
            <w:vAlign w:val="bottom"/>
            <w:hideMark/>
          </w:tcPr>
          <w:p w14:paraId="524ED1AD" w14:textId="77777777" w:rsidR="007B4B12" w:rsidRPr="006A3CAB" w:rsidRDefault="007B4B12" w:rsidP="00FD42FE">
            <w:pPr>
              <w:spacing w:after="0" w:line="240" w:lineRule="auto"/>
              <w:rPr>
                <w:rFonts w:eastAsia="Times New Roman" w:cs="Times New Roman"/>
                <w:color w:val="000000"/>
              </w:rPr>
            </w:pPr>
            <w:r w:rsidRPr="006A3CAB">
              <w:rPr>
                <w:rFonts w:eastAsia="Times New Roman" w:cs="Times New Roman"/>
                <w:color w:val="000000"/>
              </w:rPr>
              <w:t>Total</w:t>
            </w:r>
          </w:p>
        </w:tc>
        <w:tc>
          <w:tcPr>
            <w:tcW w:w="772" w:type="dxa"/>
            <w:shd w:val="clear" w:color="auto" w:fill="auto"/>
            <w:noWrap/>
            <w:vAlign w:val="bottom"/>
            <w:hideMark/>
          </w:tcPr>
          <w:p w14:paraId="34CEB0FE"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1470</w:t>
            </w:r>
          </w:p>
        </w:tc>
        <w:tc>
          <w:tcPr>
            <w:tcW w:w="772" w:type="dxa"/>
            <w:shd w:val="clear" w:color="auto" w:fill="auto"/>
            <w:noWrap/>
            <w:vAlign w:val="bottom"/>
            <w:hideMark/>
          </w:tcPr>
          <w:p w14:paraId="7868BD43"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1215</w:t>
            </w:r>
          </w:p>
        </w:tc>
        <w:tc>
          <w:tcPr>
            <w:tcW w:w="772" w:type="dxa"/>
            <w:shd w:val="clear" w:color="auto" w:fill="auto"/>
            <w:noWrap/>
            <w:vAlign w:val="bottom"/>
            <w:hideMark/>
          </w:tcPr>
          <w:p w14:paraId="6531ADFF"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1001</w:t>
            </w:r>
          </w:p>
        </w:tc>
        <w:tc>
          <w:tcPr>
            <w:tcW w:w="714" w:type="dxa"/>
            <w:shd w:val="clear" w:color="auto" w:fill="auto"/>
            <w:noWrap/>
            <w:vAlign w:val="bottom"/>
            <w:hideMark/>
          </w:tcPr>
          <w:p w14:paraId="3DECF6D0"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765</w:t>
            </w:r>
          </w:p>
        </w:tc>
        <w:tc>
          <w:tcPr>
            <w:tcW w:w="714" w:type="dxa"/>
            <w:shd w:val="clear" w:color="auto" w:fill="auto"/>
            <w:noWrap/>
            <w:vAlign w:val="bottom"/>
            <w:hideMark/>
          </w:tcPr>
          <w:p w14:paraId="46C567F9"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574</w:t>
            </w:r>
          </w:p>
        </w:tc>
        <w:tc>
          <w:tcPr>
            <w:tcW w:w="714" w:type="dxa"/>
            <w:shd w:val="clear" w:color="auto" w:fill="auto"/>
            <w:noWrap/>
            <w:vAlign w:val="bottom"/>
            <w:hideMark/>
          </w:tcPr>
          <w:p w14:paraId="1E32903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390</w:t>
            </w:r>
          </w:p>
        </w:tc>
        <w:tc>
          <w:tcPr>
            <w:tcW w:w="714" w:type="dxa"/>
            <w:shd w:val="clear" w:color="auto" w:fill="auto"/>
            <w:noWrap/>
            <w:vAlign w:val="bottom"/>
            <w:hideMark/>
          </w:tcPr>
          <w:p w14:paraId="14D2DF14"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238</w:t>
            </w:r>
          </w:p>
        </w:tc>
        <w:tc>
          <w:tcPr>
            <w:tcW w:w="714" w:type="dxa"/>
            <w:shd w:val="clear" w:color="auto" w:fill="auto"/>
            <w:noWrap/>
            <w:vAlign w:val="bottom"/>
            <w:hideMark/>
          </w:tcPr>
          <w:p w14:paraId="78C4C0FA"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121</w:t>
            </w:r>
          </w:p>
        </w:tc>
        <w:tc>
          <w:tcPr>
            <w:tcW w:w="714" w:type="dxa"/>
            <w:shd w:val="clear" w:color="auto" w:fill="auto"/>
            <w:noWrap/>
            <w:vAlign w:val="bottom"/>
            <w:hideMark/>
          </w:tcPr>
          <w:p w14:paraId="2F2C384C" w14:textId="77777777" w:rsidR="007B4B12" w:rsidRPr="006A3CAB" w:rsidRDefault="007B4B12" w:rsidP="00FD42FE">
            <w:pPr>
              <w:spacing w:after="0" w:line="240" w:lineRule="auto"/>
              <w:jc w:val="right"/>
              <w:rPr>
                <w:rFonts w:eastAsia="Times New Roman" w:cs="Times New Roman"/>
                <w:color w:val="000000"/>
              </w:rPr>
            </w:pPr>
            <w:r w:rsidRPr="006A3CAB">
              <w:rPr>
                <w:rFonts w:eastAsia="Times New Roman" w:cs="Times New Roman"/>
                <w:color w:val="000000"/>
              </w:rPr>
              <w:t>38</w:t>
            </w:r>
          </w:p>
        </w:tc>
      </w:tr>
    </w:tbl>
    <w:p w14:paraId="025236BB" w14:textId="77777777" w:rsidR="007B4B12" w:rsidRDefault="007B4B12" w:rsidP="007B4B12">
      <w:pPr>
        <w:contextualSpacing/>
        <w:jc w:val="both"/>
        <w:rPr>
          <w:rFonts w:cs="Times New Roman"/>
          <w:szCs w:val="24"/>
        </w:rPr>
        <w:sectPr w:rsidR="007B4B12" w:rsidSect="00C02A3F">
          <w:pgSz w:w="12240" w:h="15840"/>
          <w:pgMar w:top="1440" w:right="1440" w:bottom="1440" w:left="1440" w:header="720" w:footer="720" w:gutter="0"/>
          <w:cols w:space="720"/>
          <w:docGrid w:linePitch="360"/>
        </w:sectPr>
      </w:pPr>
    </w:p>
    <w:p w14:paraId="51FEF1DF" w14:textId="6D8C8D1B" w:rsidR="007B4B12" w:rsidRPr="00934556" w:rsidRDefault="00934556" w:rsidP="00934556">
      <w:pPr>
        <w:pStyle w:val="Caption"/>
        <w:keepNext/>
      </w:pPr>
      <w:bookmarkStart w:id="56" w:name="_Toc60480688"/>
      <w:bookmarkStart w:id="57" w:name="_Toc61883053"/>
      <w:r>
        <w:lastRenderedPageBreak/>
        <w:t>Table</w:t>
      </w:r>
      <w:r w:rsidR="00A409BB">
        <w:rPr>
          <w:rFonts w:cs="Times New Roman"/>
          <w:szCs w:val="24"/>
        </w:rPr>
        <w:t xml:space="preserve"> </w:t>
      </w:r>
      <w:r w:rsidR="007B4B12">
        <w:rPr>
          <w:rFonts w:cs="Times New Roman"/>
          <w:szCs w:val="24"/>
        </w:rPr>
        <w:t>S2.</w:t>
      </w:r>
      <w:r w:rsidR="00A409BB">
        <w:rPr>
          <w:rFonts w:cs="Times New Roman"/>
          <w:szCs w:val="24"/>
        </w:rPr>
        <w:t>2</w:t>
      </w:r>
      <w:r w:rsidR="00B06ABD">
        <w:rPr>
          <w:rFonts w:cs="Times New Roman"/>
          <w:szCs w:val="24"/>
        </w:rPr>
        <w:t>.</w:t>
      </w:r>
      <w:r w:rsidR="007B4B12">
        <w:rPr>
          <w:rFonts w:cs="Times New Roman"/>
          <w:szCs w:val="24"/>
        </w:rPr>
        <w:t xml:space="preserve"> Variable importance rankings for duration and extent traits using sites </w:t>
      </w:r>
      <w:r w:rsidR="00196999">
        <w:rPr>
          <w:rFonts w:cs="Times New Roman"/>
          <w:szCs w:val="24"/>
        </w:rPr>
        <w:t>at</w:t>
      </w:r>
      <w:r w:rsidR="007B4B12">
        <w:rPr>
          <w:rFonts w:cs="Times New Roman"/>
          <w:szCs w:val="24"/>
        </w:rPr>
        <w:t xml:space="preserve"> threshold values for community traits data. At the 50% threshold </w:t>
      </w:r>
      <w:r w:rsidR="00196999">
        <w:rPr>
          <w:rFonts w:cs="Times New Roman"/>
          <w:szCs w:val="24"/>
        </w:rPr>
        <w:t>only</w:t>
      </w:r>
      <w:r w:rsidR="007B4B12">
        <w:rPr>
          <w:rFonts w:cs="Times New Roman"/>
          <w:szCs w:val="24"/>
        </w:rPr>
        <w:t xml:space="preserve"> sites with &gt; 50% of their flying taxa have traits data are included in the analysis. Predictor variables are: AREA = Catchment area, ELEV = Elevation, SLOPE = Channel Slope, FINES = Percent Fine Substrate, EMBED = Percent Embeddedness, AGRI = Percent Agricultural Land Cover, URBAN = Percent Urban Land Cover, PRECIP = Mean Annual Precipitation, TEMP_MA = Mean Annual Temperature, </w:t>
      </w:r>
      <w:proofErr w:type="spellStart"/>
      <w:r w:rsidR="007B4B12">
        <w:rPr>
          <w:rFonts w:cs="Times New Roman"/>
          <w:szCs w:val="24"/>
        </w:rPr>
        <w:t>TEMP_CoV</w:t>
      </w:r>
      <w:proofErr w:type="spellEnd"/>
      <w:r w:rsidR="007B4B12">
        <w:rPr>
          <w:rFonts w:cs="Times New Roman"/>
          <w:szCs w:val="24"/>
        </w:rPr>
        <w:t xml:space="preserve"> = Mean Annual Temperature Coefficient of Variation, </w:t>
      </w:r>
      <w:proofErr w:type="spellStart"/>
      <w:r w:rsidR="007B4B12">
        <w:rPr>
          <w:rFonts w:cs="Times New Roman"/>
          <w:szCs w:val="24"/>
        </w:rPr>
        <w:t>PRECIP_CoV</w:t>
      </w:r>
      <w:proofErr w:type="spellEnd"/>
      <w:r w:rsidR="007B4B12">
        <w:rPr>
          <w:rFonts w:cs="Times New Roman"/>
          <w:szCs w:val="24"/>
        </w:rPr>
        <w:t xml:space="preserve"> = Mean Annual Precipitation Coefficient of Variation, HYDROCLASS = hydrological class. </w:t>
      </w:r>
      <w:r w:rsidR="00196999">
        <w:rPr>
          <w:rFonts w:cs="Times New Roman"/>
          <w:szCs w:val="24"/>
        </w:rPr>
        <w:t xml:space="preserve">Note, many thresholds have similar important </w:t>
      </w:r>
      <w:r w:rsidR="006A3CAB">
        <w:rPr>
          <w:rFonts w:cs="Times New Roman"/>
          <w:szCs w:val="24"/>
        </w:rPr>
        <w:t>variables,</w:t>
      </w:r>
      <w:r w:rsidR="00196999">
        <w:rPr>
          <w:rFonts w:cs="Times New Roman"/>
          <w:szCs w:val="24"/>
        </w:rPr>
        <w:t xml:space="preserve"> but the percent variation explained (PVE) decreases with more conservative threshold values.</w:t>
      </w:r>
      <w:bookmarkEnd w:id="56"/>
      <w:bookmarkEnd w:id="57"/>
    </w:p>
    <w:tbl>
      <w:tblPr>
        <w:tblStyle w:val="TableGrid"/>
        <w:tblW w:w="12625" w:type="dxa"/>
        <w:tblLook w:val="04A0" w:firstRow="1" w:lastRow="0" w:firstColumn="1" w:lastColumn="0" w:noHBand="0" w:noVBand="1"/>
      </w:tblPr>
      <w:tblGrid>
        <w:gridCol w:w="1417"/>
        <w:gridCol w:w="679"/>
        <w:gridCol w:w="679"/>
        <w:gridCol w:w="679"/>
        <w:gridCol w:w="776"/>
        <w:gridCol w:w="679"/>
        <w:gridCol w:w="679"/>
        <w:gridCol w:w="679"/>
        <w:gridCol w:w="802"/>
        <w:gridCol w:w="751"/>
        <w:gridCol w:w="679"/>
        <w:gridCol w:w="679"/>
        <w:gridCol w:w="729"/>
        <w:gridCol w:w="232"/>
        <w:gridCol w:w="448"/>
        <w:gridCol w:w="679"/>
        <w:gridCol w:w="679"/>
        <w:gridCol w:w="680"/>
      </w:tblGrid>
      <w:tr w:rsidR="007B4B12" w:rsidRPr="0085566C" w14:paraId="258F0D69" w14:textId="77777777" w:rsidTr="00F716D3">
        <w:trPr>
          <w:gridAfter w:val="2"/>
          <w:wAfter w:w="1359" w:type="dxa"/>
          <w:trHeight w:val="300"/>
        </w:trPr>
        <w:tc>
          <w:tcPr>
            <w:tcW w:w="1417" w:type="dxa"/>
            <w:vMerge w:val="restart"/>
            <w:tcBorders>
              <w:top w:val="nil"/>
              <w:left w:val="nil"/>
              <w:right w:val="nil"/>
            </w:tcBorders>
            <w:noWrap/>
            <w:vAlign w:val="bottom"/>
            <w:hideMark/>
          </w:tcPr>
          <w:p w14:paraId="3C91D5F9" w14:textId="77777777" w:rsidR="007B4B12" w:rsidRPr="00B409DC" w:rsidRDefault="007B4B12" w:rsidP="00FD42FE">
            <w:pPr>
              <w:rPr>
                <w:rFonts w:eastAsia="Times New Roman" w:cs="Times New Roman"/>
                <w:b/>
                <w:color w:val="000000"/>
                <w:sz w:val="18"/>
                <w:szCs w:val="18"/>
              </w:rPr>
            </w:pPr>
            <w:r w:rsidRPr="00B409DC">
              <w:rPr>
                <w:rFonts w:eastAsia="Times New Roman" w:cs="Times New Roman"/>
                <w:b/>
                <w:color w:val="000000"/>
                <w:sz w:val="18"/>
                <w:szCs w:val="18"/>
              </w:rPr>
              <w:t>Predictor Variable</w:t>
            </w:r>
          </w:p>
        </w:tc>
        <w:tc>
          <w:tcPr>
            <w:tcW w:w="2813" w:type="dxa"/>
            <w:gridSpan w:val="4"/>
            <w:tcBorders>
              <w:top w:val="nil"/>
              <w:left w:val="nil"/>
              <w:bottom w:val="nil"/>
              <w:right w:val="single" w:sz="4" w:space="0" w:color="auto"/>
            </w:tcBorders>
            <w:noWrap/>
            <w:vAlign w:val="bottom"/>
            <w:hideMark/>
          </w:tcPr>
          <w:p w14:paraId="11070307" w14:textId="341CC39D" w:rsidR="007B4B12" w:rsidRPr="006A3CAB" w:rsidRDefault="00196999" w:rsidP="00FD42FE">
            <w:pPr>
              <w:jc w:val="center"/>
              <w:rPr>
                <w:rFonts w:eastAsia="Times New Roman" w:cs="Times New Roman"/>
                <w:b/>
                <w:color w:val="000000"/>
                <w:sz w:val="18"/>
                <w:szCs w:val="18"/>
              </w:rPr>
            </w:pPr>
            <w:r w:rsidRPr="006A3CAB">
              <w:rPr>
                <w:rFonts w:cs="Times New Roman"/>
                <w:sz w:val="18"/>
                <w:szCs w:val="18"/>
              </w:rPr>
              <w:t xml:space="preserve">Development Speed (Fast) </w:t>
            </w:r>
            <w:r w:rsidR="007B4B12" w:rsidRPr="006A3CAB">
              <w:rPr>
                <w:rFonts w:eastAsia="Times New Roman" w:cs="Times New Roman"/>
                <w:b/>
                <w:color w:val="000000"/>
                <w:sz w:val="18"/>
                <w:szCs w:val="18"/>
              </w:rPr>
              <w:t>Threshold</w:t>
            </w:r>
          </w:p>
        </w:tc>
        <w:tc>
          <w:tcPr>
            <w:tcW w:w="2839" w:type="dxa"/>
            <w:gridSpan w:val="4"/>
            <w:tcBorders>
              <w:top w:val="nil"/>
              <w:left w:val="single" w:sz="4" w:space="0" w:color="auto"/>
              <w:bottom w:val="nil"/>
              <w:right w:val="single" w:sz="4" w:space="0" w:color="auto"/>
            </w:tcBorders>
            <w:noWrap/>
            <w:vAlign w:val="bottom"/>
            <w:hideMark/>
          </w:tcPr>
          <w:p w14:paraId="550BE002" w14:textId="7B41B42D" w:rsidR="007B4B12" w:rsidRPr="006A3CAB" w:rsidRDefault="00196999" w:rsidP="00FD42FE">
            <w:pPr>
              <w:jc w:val="center"/>
              <w:rPr>
                <w:rFonts w:eastAsia="Times New Roman" w:cs="Times New Roman"/>
                <w:b/>
                <w:color w:val="000000"/>
                <w:sz w:val="18"/>
                <w:szCs w:val="18"/>
              </w:rPr>
            </w:pPr>
            <w:proofErr w:type="spellStart"/>
            <w:r w:rsidRPr="006A3CAB">
              <w:rPr>
                <w:rFonts w:cs="Times New Roman"/>
                <w:sz w:val="18"/>
                <w:szCs w:val="18"/>
              </w:rPr>
              <w:t>Voltinism</w:t>
            </w:r>
            <w:proofErr w:type="spellEnd"/>
            <w:r w:rsidRPr="006A3CAB">
              <w:rPr>
                <w:rFonts w:cs="Times New Roman"/>
                <w:sz w:val="18"/>
                <w:szCs w:val="18"/>
              </w:rPr>
              <w:t xml:space="preserve"> (Multi)</w:t>
            </w:r>
          </w:p>
          <w:p w14:paraId="439D9CF8" w14:textId="77777777" w:rsidR="007B4B12" w:rsidRPr="006A3CAB" w:rsidRDefault="007B4B12" w:rsidP="00FD42FE">
            <w:pPr>
              <w:jc w:val="center"/>
              <w:rPr>
                <w:rFonts w:eastAsia="Times New Roman" w:cs="Times New Roman"/>
                <w:b/>
                <w:color w:val="000000"/>
                <w:sz w:val="18"/>
                <w:szCs w:val="18"/>
              </w:rPr>
            </w:pPr>
            <w:r w:rsidRPr="006A3CAB">
              <w:rPr>
                <w:rFonts w:eastAsia="Times New Roman" w:cs="Times New Roman"/>
                <w:b/>
                <w:color w:val="000000"/>
                <w:sz w:val="18"/>
                <w:szCs w:val="18"/>
              </w:rPr>
              <w:t>Threshold</w:t>
            </w:r>
          </w:p>
        </w:tc>
        <w:tc>
          <w:tcPr>
            <w:tcW w:w="3070" w:type="dxa"/>
            <w:gridSpan w:val="5"/>
            <w:tcBorders>
              <w:top w:val="nil"/>
              <w:left w:val="single" w:sz="4" w:space="0" w:color="auto"/>
              <w:bottom w:val="nil"/>
              <w:right w:val="nil"/>
            </w:tcBorders>
            <w:noWrap/>
            <w:vAlign w:val="bottom"/>
            <w:hideMark/>
          </w:tcPr>
          <w:p w14:paraId="4048EF08" w14:textId="6B5A1CB8" w:rsidR="007B4B12" w:rsidRPr="006A3CAB" w:rsidRDefault="00196999" w:rsidP="00FD42FE">
            <w:pPr>
              <w:jc w:val="center"/>
              <w:rPr>
                <w:rFonts w:eastAsia="Times New Roman" w:cs="Times New Roman"/>
                <w:b/>
                <w:sz w:val="18"/>
                <w:szCs w:val="18"/>
              </w:rPr>
            </w:pPr>
            <w:r w:rsidRPr="006A3CAB">
              <w:rPr>
                <w:rFonts w:cs="Times New Roman"/>
                <w:sz w:val="18"/>
                <w:szCs w:val="18"/>
              </w:rPr>
              <w:t>Emergence Synchrony (Poor)</w:t>
            </w:r>
            <w:r w:rsidRPr="006A3CAB">
              <w:rPr>
                <w:rFonts w:eastAsia="Times New Roman" w:cs="Times New Roman"/>
                <w:b/>
                <w:color w:val="000000"/>
                <w:sz w:val="18"/>
                <w:szCs w:val="18"/>
              </w:rPr>
              <w:t xml:space="preserve"> </w:t>
            </w:r>
            <w:r w:rsidR="007B4B12" w:rsidRPr="006A3CAB">
              <w:rPr>
                <w:rFonts w:eastAsia="Times New Roman" w:cs="Times New Roman"/>
                <w:b/>
                <w:color w:val="000000"/>
                <w:sz w:val="18"/>
                <w:szCs w:val="18"/>
              </w:rPr>
              <w:t>Threshold</w:t>
            </w:r>
          </w:p>
        </w:tc>
        <w:tc>
          <w:tcPr>
            <w:tcW w:w="1127" w:type="dxa"/>
            <w:gridSpan w:val="2"/>
            <w:tcBorders>
              <w:top w:val="nil"/>
              <w:left w:val="nil"/>
              <w:bottom w:val="nil"/>
              <w:right w:val="nil"/>
            </w:tcBorders>
            <w:noWrap/>
            <w:vAlign w:val="bottom"/>
            <w:hideMark/>
          </w:tcPr>
          <w:p w14:paraId="4906D10F" w14:textId="77777777" w:rsidR="007B4B12" w:rsidRPr="0085566C" w:rsidRDefault="007B4B12" w:rsidP="00FD42FE">
            <w:pPr>
              <w:jc w:val="center"/>
              <w:rPr>
                <w:rFonts w:eastAsia="Times New Roman" w:cs="Times New Roman"/>
                <w:sz w:val="18"/>
                <w:szCs w:val="18"/>
              </w:rPr>
            </w:pPr>
          </w:p>
        </w:tc>
      </w:tr>
      <w:tr w:rsidR="00F716D3" w:rsidRPr="0085566C" w14:paraId="459A4C0F" w14:textId="77777777" w:rsidTr="00F716D3">
        <w:trPr>
          <w:trHeight w:val="20"/>
        </w:trPr>
        <w:tc>
          <w:tcPr>
            <w:tcW w:w="1417" w:type="dxa"/>
            <w:vMerge/>
            <w:tcBorders>
              <w:left w:val="nil"/>
              <w:bottom w:val="single" w:sz="4" w:space="0" w:color="auto"/>
              <w:right w:val="nil"/>
            </w:tcBorders>
            <w:noWrap/>
            <w:hideMark/>
          </w:tcPr>
          <w:p w14:paraId="7C022A44" w14:textId="77777777" w:rsidR="00F716D3" w:rsidRPr="0085566C" w:rsidRDefault="00F716D3" w:rsidP="00FD42FE">
            <w:pPr>
              <w:rPr>
                <w:rFonts w:eastAsia="Times New Roman" w:cs="Times New Roman"/>
                <w:color w:val="000000"/>
                <w:sz w:val="18"/>
                <w:szCs w:val="18"/>
              </w:rPr>
            </w:pPr>
          </w:p>
        </w:tc>
        <w:tc>
          <w:tcPr>
            <w:tcW w:w="679" w:type="dxa"/>
            <w:tcBorders>
              <w:top w:val="nil"/>
              <w:left w:val="nil"/>
              <w:bottom w:val="single" w:sz="4" w:space="0" w:color="auto"/>
              <w:right w:val="nil"/>
            </w:tcBorders>
            <w:noWrap/>
            <w:vAlign w:val="bottom"/>
            <w:hideMark/>
          </w:tcPr>
          <w:p w14:paraId="7A1C6A96"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vAlign w:val="bottom"/>
            <w:hideMark/>
          </w:tcPr>
          <w:p w14:paraId="2F31EE4F"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vAlign w:val="bottom"/>
            <w:hideMark/>
          </w:tcPr>
          <w:p w14:paraId="2990233E"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&gt;70%</w:t>
            </w:r>
          </w:p>
        </w:tc>
        <w:tc>
          <w:tcPr>
            <w:tcW w:w="776" w:type="dxa"/>
            <w:tcBorders>
              <w:top w:val="nil"/>
              <w:left w:val="nil"/>
              <w:bottom w:val="single" w:sz="4" w:space="0" w:color="auto"/>
              <w:right w:val="single" w:sz="4" w:space="0" w:color="auto"/>
            </w:tcBorders>
            <w:noWrap/>
            <w:vAlign w:val="bottom"/>
            <w:hideMark/>
          </w:tcPr>
          <w:p w14:paraId="19A4D37F"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&gt;80%</w:t>
            </w:r>
          </w:p>
        </w:tc>
        <w:tc>
          <w:tcPr>
            <w:tcW w:w="679" w:type="dxa"/>
            <w:tcBorders>
              <w:top w:val="nil"/>
              <w:left w:val="single" w:sz="4" w:space="0" w:color="auto"/>
              <w:bottom w:val="single" w:sz="4" w:space="0" w:color="auto"/>
              <w:right w:val="nil"/>
            </w:tcBorders>
            <w:noWrap/>
            <w:vAlign w:val="bottom"/>
            <w:hideMark/>
          </w:tcPr>
          <w:p w14:paraId="63527E09"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vAlign w:val="bottom"/>
            <w:hideMark/>
          </w:tcPr>
          <w:p w14:paraId="6EBA035F"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vAlign w:val="bottom"/>
            <w:hideMark/>
          </w:tcPr>
          <w:p w14:paraId="71204720"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&gt;70%</w:t>
            </w:r>
          </w:p>
        </w:tc>
        <w:tc>
          <w:tcPr>
            <w:tcW w:w="802" w:type="dxa"/>
            <w:tcBorders>
              <w:top w:val="nil"/>
              <w:left w:val="nil"/>
              <w:bottom w:val="single" w:sz="4" w:space="0" w:color="auto"/>
              <w:right w:val="single" w:sz="4" w:space="0" w:color="auto"/>
            </w:tcBorders>
            <w:noWrap/>
            <w:vAlign w:val="bottom"/>
            <w:hideMark/>
          </w:tcPr>
          <w:p w14:paraId="7E557AF3"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&gt;80%</w:t>
            </w:r>
          </w:p>
        </w:tc>
        <w:tc>
          <w:tcPr>
            <w:tcW w:w="751" w:type="dxa"/>
            <w:tcBorders>
              <w:top w:val="nil"/>
              <w:left w:val="single" w:sz="4" w:space="0" w:color="auto"/>
              <w:bottom w:val="single" w:sz="4" w:space="0" w:color="auto"/>
              <w:right w:val="nil"/>
            </w:tcBorders>
            <w:noWrap/>
            <w:vAlign w:val="bottom"/>
            <w:hideMark/>
          </w:tcPr>
          <w:p w14:paraId="305AC4DF"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vAlign w:val="bottom"/>
            <w:hideMark/>
          </w:tcPr>
          <w:p w14:paraId="253F7DF3"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vAlign w:val="bottom"/>
            <w:hideMark/>
          </w:tcPr>
          <w:p w14:paraId="0FCF8C14"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&gt;70%</w:t>
            </w:r>
          </w:p>
        </w:tc>
        <w:tc>
          <w:tcPr>
            <w:tcW w:w="729" w:type="dxa"/>
            <w:tcBorders>
              <w:top w:val="nil"/>
              <w:left w:val="nil"/>
              <w:bottom w:val="single" w:sz="4" w:space="0" w:color="auto"/>
              <w:right w:val="single" w:sz="4" w:space="0" w:color="auto"/>
            </w:tcBorders>
            <w:noWrap/>
            <w:vAlign w:val="bottom"/>
            <w:hideMark/>
          </w:tcPr>
          <w:p w14:paraId="283D829B" w14:textId="77777777" w:rsidR="00F716D3" w:rsidRPr="0085566C" w:rsidRDefault="00F716D3" w:rsidP="00FD42FE">
            <w:pPr>
              <w:jc w:val="center"/>
              <w:rPr>
                <w:rFonts w:eastAsia="Times New Roman" w:cs="Times New Roman"/>
                <w:b/>
                <w:color w:val="000000"/>
                <w:sz w:val="18"/>
                <w:szCs w:val="18"/>
              </w:rPr>
            </w:pPr>
            <w:r w:rsidRPr="0085566C">
              <w:rPr>
                <w:rFonts w:eastAsia="Times New Roman" w:cs="Times New Roman"/>
                <w:b/>
                <w:color w:val="000000"/>
                <w:sz w:val="18"/>
                <w:szCs w:val="18"/>
              </w:rPr>
              <w:t>&gt;80%</w:t>
            </w:r>
          </w:p>
        </w:tc>
        <w:tc>
          <w:tcPr>
            <w:tcW w:w="680" w:type="dxa"/>
            <w:gridSpan w:val="2"/>
            <w:tcBorders>
              <w:top w:val="nil"/>
              <w:left w:val="single" w:sz="4" w:space="0" w:color="auto"/>
              <w:bottom w:val="single" w:sz="4" w:space="0" w:color="auto"/>
              <w:right w:val="nil"/>
            </w:tcBorders>
            <w:noWrap/>
            <w:vAlign w:val="bottom"/>
            <w:hideMark/>
          </w:tcPr>
          <w:p w14:paraId="5AC835A5" w14:textId="77777777" w:rsidR="00F716D3" w:rsidRPr="0085566C" w:rsidRDefault="00F716D3" w:rsidP="00FD42FE">
            <w:pPr>
              <w:jc w:val="center"/>
              <w:rPr>
                <w:rFonts w:eastAsia="Times New Roman" w:cs="Times New Roman"/>
                <w:color w:val="000000"/>
                <w:sz w:val="18"/>
                <w:szCs w:val="18"/>
              </w:rPr>
            </w:pPr>
          </w:p>
        </w:tc>
        <w:tc>
          <w:tcPr>
            <w:tcW w:w="1358" w:type="dxa"/>
            <w:gridSpan w:val="2"/>
            <w:tcBorders>
              <w:top w:val="nil"/>
              <w:left w:val="nil"/>
              <w:bottom w:val="nil"/>
              <w:right w:val="nil"/>
            </w:tcBorders>
            <w:noWrap/>
            <w:hideMark/>
          </w:tcPr>
          <w:p w14:paraId="4DBEE3C4" w14:textId="77777777" w:rsidR="00F716D3" w:rsidRPr="0085566C" w:rsidRDefault="00F716D3"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2F34B477" w14:textId="77777777" w:rsidR="00F716D3" w:rsidRPr="0085566C" w:rsidRDefault="00F716D3" w:rsidP="00FD42FE">
            <w:pPr>
              <w:jc w:val="center"/>
              <w:rPr>
                <w:rFonts w:eastAsia="Times New Roman" w:cs="Times New Roman"/>
                <w:sz w:val="18"/>
                <w:szCs w:val="18"/>
              </w:rPr>
            </w:pPr>
          </w:p>
        </w:tc>
      </w:tr>
      <w:tr w:rsidR="007B4B12" w:rsidRPr="0085566C" w14:paraId="479B598F" w14:textId="77777777" w:rsidTr="00F716D3">
        <w:trPr>
          <w:trHeight w:val="20"/>
        </w:trPr>
        <w:tc>
          <w:tcPr>
            <w:tcW w:w="1417" w:type="dxa"/>
            <w:tcBorders>
              <w:top w:val="single" w:sz="4" w:space="0" w:color="auto"/>
              <w:left w:val="nil"/>
              <w:bottom w:val="nil"/>
              <w:right w:val="nil"/>
            </w:tcBorders>
            <w:noWrap/>
            <w:hideMark/>
          </w:tcPr>
          <w:p w14:paraId="4B64BFC7"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AGRI</w:t>
            </w:r>
          </w:p>
        </w:tc>
        <w:tc>
          <w:tcPr>
            <w:tcW w:w="679" w:type="dxa"/>
            <w:tcBorders>
              <w:top w:val="single" w:sz="4" w:space="0" w:color="auto"/>
              <w:left w:val="nil"/>
              <w:bottom w:val="nil"/>
              <w:right w:val="nil"/>
            </w:tcBorders>
            <w:noWrap/>
            <w:hideMark/>
          </w:tcPr>
          <w:p w14:paraId="731E1772"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64766EA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single" w:sz="4" w:space="0" w:color="auto"/>
              <w:left w:val="nil"/>
              <w:bottom w:val="nil"/>
              <w:right w:val="nil"/>
            </w:tcBorders>
            <w:noWrap/>
            <w:hideMark/>
          </w:tcPr>
          <w:p w14:paraId="2E80728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776" w:type="dxa"/>
            <w:tcBorders>
              <w:top w:val="single" w:sz="4" w:space="0" w:color="auto"/>
              <w:left w:val="nil"/>
              <w:bottom w:val="nil"/>
              <w:right w:val="single" w:sz="4" w:space="0" w:color="auto"/>
            </w:tcBorders>
            <w:noWrap/>
            <w:hideMark/>
          </w:tcPr>
          <w:p w14:paraId="10B5BDA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single" w:sz="4" w:space="0" w:color="auto"/>
              <w:left w:val="single" w:sz="4" w:space="0" w:color="auto"/>
              <w:bottom w:val="nil"/>
              <w:right w:val="nil"/>
            </w:tcBorders>
            <w:noWrap/>
            <w:hideMark/>
          </w:tcPr>
          <w:p w14:paraId="2739234F"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560C424C"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2F584B15" w14:textId="77777777" w:rsidR="007B4B12" w:rsidRPr="0085566C" w:rsidRDefault="007B4B12" w:rsidP="00FD42FE">
            <w:pPr>
              <w:jc w:val="center"/>
              <w:rPr>
                <w:rFonts w:eastAsia="Times New Roman" w:cs="Times New Roman"/>
                <w:color w:val="000000"/>
                <w:sz w:val="18"/>
                <w:szCs w:val="18"/>
              </w:rPr>
            </w:pPr>
          </w:p>
        </w:tc>
        <w:tc>
          <w:tcPr>
            <w:tcW w:w="802" w:type="dxa"/>
            <w:tcBorders>
              <w:top w:val="single" w:sz="4" w:space="0" w:color="auto"/>
              <w:left w:val="nil"/>
              <w:bottom w:val="nil"/>
              <w:right w:val="single" w:sz="4" w:space="0" w:color="auto"/>
            </w:tcBorders>
            <w:noWrap/>
            <w:hideMark/>
          </w:tcPr>
          <w:p w14:paraId="69452690" w14:textId="77777777" w:rsidR="007B4B12" w:rsidRPr="0085566C" w:rsidRDefault="007B4B12" w:rsidP="00FD42FE">
            <w:pPr>
              <w:jc w:val="center"/>
              <w:rPr>
                <w:rFonts w:eastAsia="Times New Roman" w:cs="Times New Roman"/>
                <w:color w:val="000000"/>
                <w:sz w:val="18"/>
                <w:szCs w:val="18"/>
              </w:rPr>
            </w:pPr>
          </w:p>
        </w:tc>
        <w:tc>
          <w:tcPr>
            <w:tcW w:w="751" w:type="dxa"/>
            <w:tcBorders>
              <w:top w:val="single" w:sz="4" w:space="0" w:color="auto"/>
              <w:left w:val="single" w:sz="4" w:space="0" w:color="auto"/>
              <w:bottom w:val="nil"/>
              <w:right w:val="nil"/>
            </w:tcBorders>
            <w:noWrap/>
            <w:hideMark/>
          </w:tcPr>
          <w:p w14:paraId="1CE55C86"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261B3DF9"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7E254342" w14:textId="77777777" w:rsidR="007B4B12" w:rsidRPr="0085566C" w:rsidRDefault="007B4B12" w:rsidP="00FD42FE">
            <w:pPr>
              <w:jc w:val="center"/>
              <w:rPr>
                <w:rFonts w:eastAsia="Times New Roman" w:cs="Times New Roman"/>
                <w:color w:val="000000"/>
                <w:sz w:val="18"/>
                <w:szCs w:val="18"/>
              </w:rPr>
            </w:pPr>
          </w:p>
        </w:tc>
        <w:tc>
          <w:tcPr>
            <w:tcW w:w="729" w:type="dxa"/>
            <w:tcBorders>
              <w:top w:val="single" w:sz="4" w:space="0" w:color="auto"/>
              <w:left w:val="nil"/>
              <w:bottom w:val="nil"/>
              <w:right w:val="single" w:sz="4" w:space="0" w:color="auto"/>
            </w:tcBorders>
            <w:noWrap/>
            <w:hideMark/>
          </w:tcPr>
          <w:p w14:paraId="769237F4"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single" w:sz="4" w:space="0" w:color="auto"/>
              <w:left w:val="single" w:sz="4" w:space="0" w:color="auto"/>
              <w:bottom w:val="nil"/>
              <w:right w:val="nil"/>
            </w:tcBorders>
            <w:noWrap/>
            <w:hideMark/>
          </w:tcPr>
          <w:p w14:paraId="62798AF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BD430C4"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465FBAA6"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61885E6D" w14:textId="77777777" w:rsidR="007B4B12" w:rsidRPr="0085566C" w:rsidRDefault="007B4B12" w:rsidP="00FD42FE">
            <w:pPr>
              <w:jc w:val="center"/>
              <w:rPr>
                <w:rFonts w:eastAsia="Times New Roman" w:cs="Times New Roman"/>
                <w:sz w:val="18"/>
                <w:szCs w:val="18"/>
              </w:rPr>
            </w:pPr>
          </w:p>
        </w:tc>
      </w:tr>
      <w:tr w:rsidR="007B4B12" w:rsidRPr="0085566C" w14:paraId="402BEA05" w14:textId="77777777" w:rsidTr="00F716D3">
        <w:trPr>
          <w:trHeight w:val="20"/>
        </w:trPr>
        <w:tc>
          <w:tcPr>
            <w:tcW w:w="1417" w:type="dxa"/>
            <w:tcBorders>
              <w:top w:val="nil"/>
              <w:left w:val="nil"/>
              <w:bottom w:val="nil"/>
              <w:right w:val="nil"/>
            </w:tcBorders>
            <w:noWrap/>
            <w:hideMark/>
          </w:tcPr>
          <w:p w14:paraId="2DC7943F"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FINES</w:t>
            </w:r>
          </w:p>
        </w:tc>
        <w:tc>
          <w:tcPr>
            <w:tcW w:w="679" w:type="dxa"/>
            <w:tcBorders>
              <w:top w:val="nil"/>
              <w:left w:val="nil"/>
              <w:bottom w:val="nil"/>
              <w:right w:val="nil"/>
            </w:tcBorders>
            <w:noWrap/>
            <w:hideMark/>
          </w:tcPr>
          <w:p w14:paraId="5C8F11C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7AAA1F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813646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776" w:type="dxa"/>
            <w:tcBorders>
              <w:top w:val="nil"/>
              <w:left w:val="nil"/>
              <w:bottom w:val="nil"/>
              <w:right w:val="single" w:sz="4" w:space="0" w:color="auto"/>
            </w:tcBorders>
            <w:noWrap/>
            <w:hideMark/>
          </w:tcPr>
          <w:p w14:paraId="4B00ADB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single" w:sz="4" w:space="0" w:color="auto"/>
              <w:bottom w:val="nil"/>
              <w:right w:val="nil"/>
            </w:tcBorders>
            <w:noWrap/>
            <w:hideMark/>
          </w:tcPr>
          <w:p w14:paraId="7414686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DF6BA2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D4FFF3A"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50FF091E"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630DB4D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FDE858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6B45598"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3F4476BE"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408C3EA6"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F4C4829"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0C792F47"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20177D3A" w14:textId="77777777" w:rsidR="007B4B12" w:rsidRPr="0085566C" w:rsidRDefault="007B4B12" w:rsidP="00FD42FE">
            <w:pPr>
              <w:jc w:val="center"/>
              <w:rPr>
                <w:rFonts w:eastAsia="Times New Roman" w:cs="Times New Roman"/>
                <w:sz w:val="18"/>
                <w:szCs w:val="18"/>
              </w:rPr>
            </w:pPr>
          </w:p>
        </w:tc>
      </w:tr>
      <w:tr w:rsidR="007B4B12" w:rsidRPr="0085566C" w14:paraId="71B34000" w14:textId="77777777" w:rsidTr="00F716D3">
        <w:trPr>
          <w:trHeight w:val="20"/>
        </w:trPr>
        <w:tc>
          <w:tcPr>
            <w:tcW w:w="1417" w:type="dxa"/>
            <w:tcBorders>
              <w:top w:val="nil"/>
              <w:left w:val="nil"/>
              <w:bottom w:val="nil"/>
              <w:right w:val="nil"/>
            </w:tcBorders>
            <w:noWrap/>
            <w:hideMark/>
          </w:tcPr>
          <w:p w14:paraId="6FBD9463"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SLOPE</w:t>
            </w:r>
          </w:p>
        </w:tc>
        <w:tc>
          <w:tcPr>
            <w:tcW w:w="679" w:type="dxa"/>
            <w:tcBorders>
              <w:top w:val="nil"/>
              <w:left w:val="nil"/>
              <w:bottom w:val="nil"/>
              <w:right w:val="nil"/>
            </w:tcBorders>
            <w:noWrap/>
            <w:hideMark/>
          </w:tcPr>
          <w:p w14:paraId="56F27A3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F48AC76"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20D0216"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1815C9F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16F165D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5DBC40A"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AFC878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802" w:type="dxa"/>
            <w:tcBorders>
              <w:top w:val="nil"/>
              <w:left w:val="nil"/>
              <w:bottom w:val="nil"/>
              <w:right w:val="single" w:sz="4" w:space="0" w:color="auto"/>
            </w:tcBorders>
            <w:noWrap/>
            <w:hideMark/>
          </w:tcPr>
          <w:p w14:paraId="64E916D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751" w:type="dxa"/>
            <w:tcBorders>
              <w:top w:val="nil"/>
              <w:left w:val="single" w:sz="4" w:space="0" w:color="auto"/>
              <w:bottom w:val="nil"/>
              <w:right w:val="nil"/>
            </w:tcBorders>
            <w:noWrap/>
            <w:hideMark/>
          </w:tcPr>
          <w:p w14:paraId="5D1E488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DD0C6F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D6D0754"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5ABF246A"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71E4DCE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3FCA246"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3DEA5589"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61E03738" w14:textId="77777777" w:rsidR="007B4B12" w:rsidRPr="0085566C" w:rsidRDefault="007B4B12" w:rsidP="00FD42FE">
            <w:pPr>
              <w:jc w:val="center"/>
              <w:rPr>
                <w:rFonts w:eastAsia="Times New Roman" w:cs="Times New Roman"/>
                <w:sz w:val="18"/>
                <w:szCs w:val="18"/>
              </w:rPr>
            </w:pPr>
          </w:p>
        </w:tc>
      </w:tr>
      <w:tr w:rsidR="007B4B12" w:rsidRPr="0085566C" w14:paraId="63C01EB0" w14:textId="77777777" w:rsidTr="00F716D3">
        <w:trPr>
          <w:trHeight w:val="20"/>
        </w:trPr>
        <w:tc>
          <w:tcPr>
            <w:tcW w:w="1417" w:type="dxa"/>
            <w:tcBorders>
              <w:top w:val="nil"/>
              <w:left w:val="nil"/>
              <w:bottom w:val="nil"/>
              <w:right w:val="nil"/>
            </w:tcBorders>
            <w:noWrap/>
            <w:hideMark/>
          </w:tcPr>
          <w:p w14:paraId="04AB25FB"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TEMP_MA</w:t>
            </w:r>
          </w:p>
        </w:tc>
        <w:tc>
          <w:tcPr>
            <w:tcW w:w="679" w:type="dxa"/>
            <w:tcBorders>
              <w:top w:val="nil"/>
              <w:left w:val="nil"/>
              <w:bottom w:val="nil"/>
              <w:right w:val="nil"/>
            </w:tcBorders>
            <w:noWrap/>
            <w:hideMark/>
          </w:tcPr>
          <w:p w14:paraId="34DCC9E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153A73D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7E7ADF8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776" w:type="dxa"/>
            <w:tcBorders>
              <w:top w:val="nil"/>
              <w:left w:val="nil"/>
              <w:bottom w:val="nil"/>
              <w:right w:val="single" w:sz="4" w:space="0" w:color="auto"/>
            </w:tcBorders>
            <w:noWrap/>
            <w:hideMark/>
          </w:tcPr>
          <w:p w14:paraId="4ADE823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single" w:sz="4" w:space="0" w:color="auto"/>
              <w:bottom w:val="nil"/>
              <w:right w:val="nil"/>
            </w:tcBorders>
            <w:noWrap/>
            <w:hideMark/>
          </w:tcPr>
          <w:p w14:paraId="5535F36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1C7D9EA"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AFFA686"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7CA4253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751" w:type="dxa"/>
            <w:tcBorders>
              <w:top w:val="nil"/>
              <w:left w:val="single" w:sz="4" w:space="0" w:color="auto"/>
              <w:bottom w:val="nil"/>
              <w:right w:val="nil"/>
            </w:tcBorders>
            <w:noWrap/>
            <w:hideMark/>
          </w:tcPr>
          <w:p w14:paraId="4034943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3C269E6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3096C30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729" w:type="dxa"/>
            <w:tcBorders>
              <w:top w:val="nil"/>
              <w:left w:val="nil"/>
              <w:bottom w:val="nil"/>
              <w:right w:val="single" w:sz="4" w:space="0" w:color="auto"/>
            </w:tcBorders>
            <w:noWrap/>
            <w:hideMark/>
          </w:tcPr>
          <w:p w14:paraId="22C4006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80" w:type="dxa"/>
            <w:gridSpan w:val="2"/>
            <w:tcBorders>
              <w:top w:val="nil"/>
              <w:left w:val="single" w:sz="4" w:space="0" w:color="auto"/>
              <w:bottom w:val="nil"/>
              <w:right w:val="nil"/>
            </w:tcBorders>
            <w:noWrap/>
            <w:hideMark/>
          </w:tcPr>
          <w:p w14:paraId="5450B06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68D6891"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69F15F23"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6BDBA119" w14:textId="77777777" w:rsidR="007B4B12" w:rsidRPr="0085566C" w:rsidRDefault="007B4B12" w:rsidP="00FD42FE">
            <w:pPr>
              <w:jc w:val="center"/>
              <w:rPr>
                <w:rFonts w:eastAsia="Times New Roman" w:cs="Times New Roman"/>
                <w:sz w:val="18"/>
                <w:szCs w:val="18"/>
              </w:rPr>
            </w:pPr>
          </w:p>
        </w:tc>
      </w:tr>
      <w:tr w:rsidR="007B4B12" w:rsidRPr="0085566C" w14:paraId="7B81AB62" w14:textId="77777777" w:rsidTr="00F716D3">
        <w:trPr>
          <w:trHeight w:val="20"/>
        </w:trPr>
        <w:tc>
          <w:tcPr>
            <w:tcW w:w="1417" w:type="dxa"/>
            <w:tcBorders>
              <w:top w:val="nil"/>
              <w:left w:val="nil"/>
              <w:bottom w:val="nil"/>
              <w:right w:val="nil"/>
            </w:tcBorders>
            <w:noWrap/>
            <w:hideMark/>
          </w:tcPr>
          <w:p w14:paraId="5C662146" w14:textId="77777777" w:rsidR="007B4B12" w:rsidRPr="0085566C" w:rsidRDefault="007B4B12" w:rsidP="00FD42FE">
            <w:pPr>
              <w:rPr>
                <w:rFonts w:eastAsia="Times New Roman" w:cs="Times New Roman"/>
                <w:color w:val="000000"/>
                <w:sz w:val="18"/>
                <w:szCs w:val="18"/>
              </w:rPr>
            </w:pPr>
            <w:proofErr w:type="spellStart"/>
            <w:r w:rsidRPr="0085566C">
              <w:rPr>
                <w:rFonts w:eastAsia="Times New Roman" w:cs="Times New Roman"/>
                <w:color w:val="000000"/>
                <w:sz w:val="18"/>
                <w:szCs w:val="18"/>
              </w:rPr>
              <w:t>TEMP_CoV</w:t>
            </w:r>
            <w:proofErr w:type="spellEnd"/>
          </w:p>
        </w:tc>
        <w:tc>
          <w:tcPr>
            <w:tcW w:w="679" w:type="dxa"/>
            <w:tcBorders>
              <w:top w:val="nil"/>
              <w:left w:val="nil"/>
              <w:bottom w:val="nil"/>
              <w:right w:val="nil"/>
            </w:tcBorders>
            <w:noWrap/>
            <w:hideMark/>
          </w:tcPr>
          <w:p w14:paraId="5517646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7D72B0E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33FA968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776" w:type="dxa"/>
            <w:tcBorders>
              <w:top w:val="nil"/>
              <w:left w:val="nil"/>
              <w:bottom w:val="nil"/>
              <w:right w:val="single" w:sz="4" w:space="0" w:color="auto"/>
            </w:tcBorders>
            <w:noWrap/>
            <w:hideMark/>
          </w:tcPr>
          <w:p w14:paraId="2F6E248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2F7CBE5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5F9FD5C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11D8B43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802" w:type="dxa"/>
            <w:tcBorders>
              <w:top w:val="nil"/>
              <w:left w:val="nil"/>
              <w:bottom w:val="nil"/>
              <w:right w:val="single" w:sz="4" w:space="0" w:color="auto"/>
            </w:tcBorders>
            <w:noWrap/>
            <w:hideMark/>
          </w:tcPr>
          <w:p w14:paraId="41859C8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751" w:type="dxa"/>
            <w:tcBorders>
              <w:top w:val="nil"/>
              <w:left w:val="single" w:sz="4" w:space="0" w:color="auto"/>
              <w:bottom w:val="nil"/>
              <w:right w:val="nil"/>
            </w:tcBorders>
            <w:noWrap/>
            <w:hideMark/>
          </w:tcPr>
          <w:p w14:paraId="3DD2FA5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61DB2C9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304A1A7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729" w:type="dxa"/>
            <w:tcBorders>
              <w:top w:val="nil"/>
              <w:left w:val="nil"/>
              <w:bottom w:val="nil"/>
              <w:right w:val="single" w:sz="4" w:space="0" w:color="auto"/>
            </w:tcBorders>
            <w:noWrap/>
            <w:hideMark/>
          </w:tcPr>
          <w:p w14:paraId="25E5DB8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80" w:type="dxa"/>
            <w:gridSpan w:val="2"/>
            <w:tcBorders>
              <w:top w:val="nil"/>
              <w:left w:val="single" w:sz="4" w:space="0" w:color="auto"/>
              <w:bottom w:val="nil"/>
              <w:right w:val="nil"/>
            </w:tcBorders>
            <w:noWrap/>
            <w:hideMark/>
          </w:tcPr>
          <w:p w14:paraId="7E23F93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51CF379"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02B534DD"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7CB9B5D5" w14:textId="77777777" w:rsidR="007B4B12" w:rsidRPr="0085566C" w:rsidRDefault="007B4B12" w:rsidP="00FD42FE">
            <w:pPr>
              <w:jc w:val="center"/>
              <w:rPr>
                <w:rFonts w:eastAsia="Times New Roman" w:cs="Times New Roman"/>
                <w:sz w:val="18"/>
                <w:szCs w:val="18"/>
              </w:rPr>
            </w:pPr>
          </w:p>
        </w:tc>
      </w:tr>
      <w:tr w:rsidR="007B4B12" w:rsidRPr="0085566C" w14:paraId="7F932725" w14:textId="77777777" w:rsidTr="00F716D3">
        <w:trPr>
          <w:trHeight w:val="20"/>
        </w:trPr>
        <w:tc>
          <w:tcPr>
            <w:tcW w:w="1417" w:type="dxa"/>
            <w:tcBorders>
              <w:top w:val="nil"/>
              <w:left w:val="nil"/>
              <w:bottom w:val="nil"/>
              <w:right w:val="nil"/>
            </w:tcBorders>
            <w:noWrap/>
            <w:hideMark/>
          </w:tcPr>
          <w:p w14:paraId="3898BAE0"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EMBED</w:t>
            </w:r>
          </w:p>
        </w:tc>
        <w:tc>
          <w:tcPr>
            <w:tcW w:w="679" w:type="dxa"/>
            <w:tcBorders>
              <w:top w:val="nil"/>
              <w:left w:val="nil"/>
              <w:bottom w:val="nil"/>
              <w:right w:val="nil"/>
            </w:tcBorders>
            <w:noWrap/>
            <w:hideMark/>
          </w:tcPr>
          <w:p w14:paraId="5645E8F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307DB92"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F7F4993"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776" w:type="dxa"/>
            <w:tcBorders>
              <w:top w:val="nil"/>
              <w:left w:val="nil"/>
              <w:bottom w:val="nil"/>
              <w:right w:val="single" w:sz="4" w:space="0" w:color="auto"/>
            </w:tcBorders>
            <w:noWrap/>
            <w:hideMark/>
          </w:tcPr>
          <w:p w14:paraId="01368EEE"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2516042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8A8F3E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4A2A832"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4F1B6745"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6955AB7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6A0CA0E"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174474A"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54DFB14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80" w:type="dxa"/>
            <w:gridSpan w:val="2"/>
            <w:tcBorders>
              <w:top w:val="nil"/>
              <w:left w:val="single" w:sz="4" w:space="0" w:color="auto"/>
              <w:bottom w:val="nil"/>
              <w:right w:val="nil"/>
            </w:tcBorders>
            <w:noWrap/>
            <w:hideMark/>
          </w:tcPr>
          <w:p w14:paraId="24A1EBD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2E20753"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643FE207"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01CF0F86" w14:textId="77777777" w:rsidR="007B4B12" w:rsidRPr="0085566C" w:rsidRDefault="007B4B12" w:rsidP="00FD42FE">
            <w:pPr>
              <w:jc w:val="center"/>
              <w:rPr>
                <w:rFonts w:eastAsia="Times New Roman" w:cs="Times New Roman"/>
                <w:sz w:val="18"/>
                <w:szCs w:val="18"/>
              </w:rPr>
            </w:pPr>
          </w:p>
        </w:tc>
      </w:tr>
      <w:tr w:rsidR="007B4B12" w:rsidRPr="0085566C" w14:paraId="13D7110A" w14:textId="77777777" w:rsidTr="00F716D3">
        <w:trPr>
          <w:trHeight w:val="20"/>
        </w:trPr>
        <w:tc>
          <w:tcPr>
            <w:tcW w:w="1417" w:type="dxa"/>
            <w:tcBorders>
              <w:top w:val="nil"/>
              <w:left w:val="nil"/>
              <w:bottom w:val="nil"/>
              <w:right w:val="nil"/>
            </w:tcBorders>
            <w:noWrap/>
            <w:hideMark/>
          </w:tcPr>
          <w:p w14:paraId="4B51C1BC"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ELEV</w:t>
            </w:r>
          </w:p>
        </w:tc>
        <w:tc>
          <w:tcPr>
            <w:tcW w:w="679" w:type="dxa"/>
            <w:tcBorders>
              <w:top w:val="nil"/>
              <w:left w:val="nil"/>
              <w:bottom w:val="nil"/>
              <w:right w:val="nil"/>
            </w:tcBorders>
            <w:noWrap/>
            <w:hideMark/>
          </w:tcPr>
          <w:p w14:paraId="1A822D7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0F17758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12050F4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776" w:type="dxa"/>
            <w:tcBorders>
              <w:top w:val="nil"/>
              <w:left w:val="nil"/>
              <w:bottom w:val="nil"/>
              <w:right w:val="single" w:sz="4" w:space="0" w:color="auto"/>
            </w:tcBorders>
            <w:noWrap/>
            <w:hideMark/>
          </w:tcPr>
          <w:p w14:paraId="67277F43"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single" w:sz="4" w:space="0" w:color="auto"/>
              <w:bottom w:val="nil"/>
              <w:right w:val="nil"/>
            </w:tcBorders>
            <w:noWrap/>
            <w:hideMark/>
          </w:tcPr>
          <w:p w14:paraId="714A2C3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58E417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D737BFA"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526813AA"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7DC745A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0C93E1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360BBF9"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5118065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80" w:type="dxa"/>
            <w:gridSpan w:val="2"/>
            <w:tcBorders>
              <w:top w:val="nil"/>
              <w:left w:val="single" w:sz="4" w:space="0" w:color="auto"/>
              <w:bottom w:val="nil"/>
              <w:right w:val="nil"/>
            </w:tcBorders>
            <w:noWrap/>
            <w:hideMark/>
          </w:tcPr>
          <w:p w14:paraId="21B80B0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C8ADF36"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66A1D6C8"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69B9B163" w14:textId="77777777" w:rsidR="007B4B12" w:rsidRPr="0085566C" w:rsidRDefault="007B4B12" w:rsidP="00FD42FE">
            <w:pPr>
              <w:jc w:val="center"/>
              <w:rPr>
                <w:rFonts w:eastAsia="Times New Roman" w:cs="Times New Roman"/>
                <w:sz w:val="18"/>
                <w:szCs w:val="18"/>
              </w:rPr>
            </w:pPr>
          </w:p>
        </w:tc>
      </w:tr>
      <w:tr w:rsidR="007B4B12" w:rsidRPr="0085566C" w14:paraId="6CC98475" w14:textId="77777777" w:rsidTr="00F716D3">
        <w:trPr>
          <w:trHeight w:val="20"/>
        </w:trPr>
        <w:tc>
          <w:tcPr>
            <w:tcW w:w="1417" w:type="dxa"/>
            <w:tcBorders>
              <w:top w:val="nil"/>
              <w:left w:val="nil"/>
              <w:bottom w:val="nil"/>
              <w:right w:val="nil"/>
            </w:tcBorders>
            <w:noWrap/>
            <w:hideMark/>
          </w:tcPr>
          <w:p w14:paraId="3CB55997"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HY</w:t>
            </w:r>
            <w:r>
              <w:rPr>
                <w:rFonts w:eastAsia="Times New Roman" w:cs="Times New Roman"/>
                <w:color w:val="000000"/>
                <w:sz w:val="18"/>
                <w:szCs w:val="18"/>
              </w:rPr>
              <w:t>D</w:t>
            </w:r>
            <w:r w:rsidRPr="0085566C">
              <w:rPr>
                <w:rFonts w:eastAsia="Times New Roman" w:cs="Times New Roman"/>
                <w:color w:val="000000"/>
                <w:sz w:val="18"/>
                <w:szCs w:val="18"/>
              </w:rPr>
              <w:t>ROCLASS</w:t>
            </w:r>
          </w:p>
        </w:tc>
        <w:tc>
          <w:tcPr>
            <w:tcW w:w="679" w:type="dxa"/>
            <w:tcBorders>
              <w:top w:val="nil"/>
              <w:left w:val="nil"/>
              <w:bottom w:val="nil"/>
              <w:right w:val="nil"/>
            </w:tcBorders>
            <w:noWrap/>
            <w:hideMark/>
          </w:tcPr>
          <w:p w14:paraId="143ACF1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2F27B25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20F2BA82"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1AE9D87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1821C21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621EDD8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5525EF6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802" w:type="dxa"/>
            <w:tcBorders>
              <w:top w:val="nil"/>
              <w:left w:val="nil"/>
              <w:bottom w:val="nil"/>
              <w:right w:val="single" w:sz="4" w:space="0" w:color="auto"/>
            </w:tcBorders>
            <w:noWrap/>
            <w:hideMark/>
          </w:tcPr>
          <w:p w14:paraId="2B5DBDA0"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464064F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2F6F0ACA"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1FDA8CB"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0B41638B"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66947F4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9E3679C"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540ABAF1"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3AB27F46" w14:textId="77777777" w:rsidR="007B4B12" w:rsidRPr="0085566C" w:rsidRDefault="007B4B12" w:rsidP="00FD42FE">
            <w:pPr>
              <w:jc w:val="center"/>
              <w:rPr>
                <w:rFonts w:eastAsia="Times New Roman" w:cs="Times New Roman"/>
                <w:sz w:val="18"/>
                <w:szCs w:val="18"/>
              </w:rPr>
            </w:pPr>
          </w:p>
        </w:tc>
      </w:tr>
      <w:tr w:rsidR="007B4B12" w:rsidRPr="0085566C" w14:paraId="36020F12" w14:textId="77777777" w:rsidTr="00F716D3">
        <w:trPr>
          <w:trHeight w:val="20"/>
        </w:trPr>
        <w:tc>
          <w:tcPr>
            <w:tcW w:w="1417" w:type="dxa"/>
            <w:tcBorders>
              <w:top w:val="nil"/>
              <w:left w:val="nil"/>
              <w:bottom w:val="nil"/>
              <w:right w:val="nil"/>
            </w:tcBorders>
            <w:noWrap/>
            <w:hideMark/>
          </w:tcPr>
          <w:p w14:paraId="09EB6927" w14:textId="77777777" w:rsidR="007B4B12" w:rsidRPr="0085566C" w:rsidRDefault="007B4B12" w:rsidP="00FD42FE">
            <w:pPr>
              <w:rPr>
                <w:rFonts w:eastAsia="Times New Roman" w:cs="Times New Roman"/>
                <w:color w:val="000000"/>
                <w:sz w:val="18"/>
                <w:szCs w:val="18"/>
              </w:rPr>
            </w:pPr>
            <w:proofErr w:type="spellStart"/>
            <w:r w:rsidRPr="0085566C">
              <w:rPr>
                <w:rFonts w:eastAsia="Times New Roman" w:cs="Times New Roman"/>
                <w:color w:val="000000"/>
                <w:sz w:val="18"/>
                <w:szCs w:val="18"/>
              </w:rPr>
              <w:t>PRECIP_CoV</w:t>
            </w:r>
            <w:proofErr w:type="spellEnd"/>
          </w:p>
        </w:tc>
        <w:tc>
          <w:tcPr>
            <w:tcW w:w="679" w:type="dxa"/>
            <w:tcBorders>
              <w:top w:val="nil"/>
              <w:left w:val="nil"/>
              <w:bottom w:val="nil"/>
              <w:right w:val="nil"/>
            </w:tcBorders>
            <w:noWrap/>
            <w:hideMark/>
          </w:tcPr>
          <w:p w14:paraId="272DBF5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111E24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62221FF"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267EFE9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single" w:sz="4" w:space="0" w:color="auto"/>
              <w:bottom w:val="nil"/>
              <w:right w:val="nil"/>
            </w:tcBorders>
            <w:noWrap/>
            <w:hideMark/>
          </w:tcPr>
          <w:p w14:paraId="70F8CCB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13D2E36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1C6B76C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802" w:type="dxa"/>
            <w:tcBorders>
              <w:top w:val="nil"/>
              <w:left w:val="nil"/>
              <w:bottom w:val="nil"/>
              <w:right w:val="single" w:sz="4" w:space="0" w:color="auto"/>
            </w:tcBorders>
            <w:noWrap/>
            <w:hideMark/>
          </w:tcPr>
          <w:p w14:paraId="61B8BA9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751" w:type="dxa"/>
            <w:tcBorders>
              <w:top w:val="nil"/>
              <w:left w:val="single" w:sz="4" w:space="0" w:color="auto"/>
              <w:bottom w:val="nil"/>
              <w:right w:val="nil"/>
            </w:tcBorders>
            <w:noWrap/>
            <w:hideMark/>
          </w:tcPr>
          <w:p w14:paraId="06DBD85A"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B07BAD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3297317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729" w:type="dxa"/>
            <w:tcBorders>
              <w:top w:val="nil"/>
              <w:left w:val="nil"/>
              <w:bottom w:val="nil"/>
              <w:right w:val="single" w:sz="4" w:space="0" w:color="auto"/>
            </w:tcBorders>
            <w:noWrap/>
            <w:hideMark/>
          </w:tcPr>
          <w:p w14:paraId="6D511232"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5A33E6F2"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42FC994"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0854E951"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3C8784E5" w14:textId="77777777" w:rsidR="007B4B12" w:rsidRPr="0085566C" w:rsidRDefault="007B4B12" w:rsidP="00FD42FE">
            <w:pPr>
              <w:jc w:val="center"/>
              <w:rPr>
                <w:rFonts w:eastAsia="Times New Roman" w:cs="Times New Roman"/>
                <w:sz w:val="18"/>
                <w:szCs w:val="18"/>
              </w:rPr>
            </w:pPr>
          </w:p>
        </w:tc>
      </w:tr>
      <w:tr w:rsidR="007B4B12" w:rsidRPr="0085566C" w14:paraId="0BB90714" w14:textId="77777777" w:rsidTr="00F716D3">
        <w:trPr>
          <w:trHeight w:val="20"/>
        </w:trPr>
        <w:tc>
          <w:tcPr>
            <w:tcW w:w="1417" w:type="dxa"/>
            <w:tcBorders>
              <w:top w:val="nil"/>
              <w:left w:val="nil"/>
              <w:bottom w:val="nil"/>
              <w:right w:val="nil"/>
            </w:tcBorders>
            <w:noWrap/>
            <w:hideMark/>
          </w:tcPr>
          <w:p w14:paraId="08090321"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PRECIP</w:t>
            </w:r>
          </w:p>
        </w:tc>
        <w:tc>
          <w:tcPr>
            <w:tcW w:w="679" w:type="dxa"/>
            <w:tcBorders>
              <w:top w:val="nil"/>
              <w:left w:val="nil"/>
              <w:bottom w:val="nil"/>
              <w:right w:val="nil"/>
            </w:tcBorders>
            <w:noWrap/>
            <w:hideMark/>
          </w:tcPr>
          <w:p w14:paraId="5CC9B77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418F5B9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3B8AAA2"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4E76E45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single" w:sz="4" w:space="0" w:color="auto"/>
              <w:bottom w:val="nil"/>
              <w:right w:val="nil"/>
            </w:tcBorders>
            <w:noWrap/>
            <w:hideMark/>
          </w:tcPr>
          <w:p w14:paraId="4222AF2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47A5507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2C0BD58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802" w:type="dxa"/>
            <w:tcBorders>
              <w:top w:val="nil"/>
              <w:left w:val="nil"/>
              <w:bottom w:val="nil"/>
              <w:right w:val="single" w:sz="4" w:space="0" w:color="auto"/>
            </w:tcBorders>
            <w:noWrap/>
            <w:hideMark/>
          </w:tcPr>
          <w:p w14:paraId="5D0B1A5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751" w:type="dxa"/>
            <w:tcBorders>
              <w:top w:val="nil"/>
              <w:left w:val="single" w:sz="4" w:space="0" w:color="auto"/>
              <w:bottom w:val="nil"/>
              <w:right w:val="nil"/>
            </w:tcBorders>
            <w:noWrap/>
            <w:hideMark/>
          </w:tcPr>
          <w:p w14:paraId="0DFD8ED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535C7EE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1E7E413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729" w:type="dxa"/>
            <w:tcBorders>
              <w:top w:val="nil"/>
              <w:left w:val="nil"/>
              <w:bottom w:val="nil"/>
              <w:right w:val="single" w:sz="4" w:space="0" w:color="auto"/>
            </w:tcBorders>
            <w:noWrap/>
            <w:hideMark/>
          </w:tcPr>
          <w:p w14:paraId="6C996D4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80" w:type="dxa"/>
            <w:gridSpan w:val="2"/>
            <w:tcBorders>
              <w:top w:val="nil"/>
              <w:left w:val="single" w:sz="4" w:space="0" w:color="auto"/>
              <w:bottom w:val="nil"/>
              <w:right w:val="nil"/>
            </w:tcBorders>
            <w:noWrap/>
            <w:hideMark/>
          </w:tcPr>
          <w:p w14:paraId="5502AF8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315EE91"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5B6E26E9"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2BD7AA9D" w14:textId="77777777" w:rsidR="007B4B12" w:rsidRPr="0085566C" w:rsidRDefault="007B4B12" w:rsidP="00FD42FE">
            <w:pPr>
              <w:jc w:val="center"/>
              <w:rPr>
                <w:rFonts w:eastAsia="Times New Roman" w:cs="Times New Roman"/>
                <w:sz w:val="18"/>
                <w:szCs w:val="18"/>
              </w:rPr>
            </w:pPr>
          </w:p>
        </w:tc>
      </w:tr>
      <w:tr w:rsidR="007B4B12" w:rsidRPr="0085566C" w14:paraId="48231570" w14:textId="77777777" w:rsidTr="00F716D3">
        <w:trPr>
          <w:trHeight w:val="20"/>
        </w:trPr>
        <w:tc>
          <w:tcPr>
            <w:tcW w:w="1417" w:type="dxa"/>
            <w:tcBorders>
              <w:top w:val="nil"/>
              <w:left w:val="nil"/>
              <w:bottom w:val="nil"/>
              <w:right w:val="nil"/>
            </w:tcBorders>
            <w:noWrap/>
            <w:hideMark/>
          </w:tcPr>
          <w:p w14:paraId="54514D07"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REGION</w:t>
            </w:r>
          </w:p>
        </w:tc>
        <w:tc>
          <w:tcPr>
            <w:tcW w:w="679" w:type="dxa"/>
            <w:tcBorders>
              <w:top w:val="nil"/>
              <w:left w:val="nil"/>
              <w:bottom w:val="nil"/>
              <w:right w:val="nil"/>
            </w:tcBorders>
            <w:noWrap/>
            <w:hideMark/>
          </w:tcPr>
          <w:p w14:paraId="4E04D95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2B11AEC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069C9AC"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556AC817"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7C8AF6D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7A2B8F4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7425AC6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802" w:type="dxa"/>
            <w:tcBorders>
              <w:top w:val="nil"/>
              <w:left w:val="nil"/>
              <w:bottom w:val="nil"/>
              <w:right w:val="single" w:sz="4" w:space="0" w:color="auto"/>
            </w:tcBorders>
            <w:noWrap/>
            <w:hideMark/>
          </w:tcPr>
          <w:p w14:paraId="6452E79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751" w:type="dxa"/>
            <w:tcBorders>
              <w:top w:val="nil"/>
              <w:left w:val="single" w:sz="4" w:space="0" w:color="auto"/>
              <w:bottom w:val="nil"/>
              <w:right w:val="nil"/>
            </w:tcBorders>
            <w:noWrap/>
            <w:hideMark/>
          </w:tcPr>
          <w:p w14:paraId="5B8C854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38E17EF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3DD157F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729" w:type="dxa"/>
            <w:tcBorders>
              <w:top w:val="nil"/>
              <w:left w:val="nil"/>
              <w:bottom w:val="nil"/>
              <w:right w:val="single" w:sz="4" w:space="0" w:color="auto"/>
            </w:tcBorders>
            <w:noWrap/>
            <w:hideMark/>
          </w:tcPr>
          <w:p w14:paraId="2329B24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80" w:type="dxa"/>
            <w:gridSpan w:val="2"/>
            <w:tcBorders>
              <w:top w:val="nil"/>
              <w:left w:val="single" w:sz="4" w:space="0" w:color="auto"/>
              <w:bottom w:val="nil"/>
              <w:right w:val="nil"/>
            </w:tcBorders>
            <w:noWrap/>
            <w:hideMark/>
          </w:tcPr>
          <w:p w14:paraId="11A9CD3A"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A32E5B7"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4DA3676F"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10C3F1E2" w14:textId="77777777" w:rsidR="007B4B12" w:rsidRPr="0085566C" w:rsidRDefault="007B4B12" w:rsidP="00FD42FE">
            <w:pPr>
              <w:jc w:val="center"/>
              <w:rPr>
                <w:rFonts w:eastAsia="Times New Roman" w:cs="Times New Roman"/>
                <w:sz w:val="18"/>
                <w:szCs w:val="18"/>
              </w:rPr>
            </w:pPr>
          </w:p>
        </w:tc>
      </w:tr>
      <w:tr w:rsidR="007B4B12" w:rsidRPr="0085566C" w14:paraId="27E07E26" w14:textId="77777777" w:rsidTr="00F716D3">
        <w:trPr>
          <w:trHeight w:val="20"/>
        </w:trPr>
        <w:tc>
          <w:tcPr>
            <w:tcW w:w="1417" w:type="dxa"/>
            <w:tcBorders>
              <w:top w:val="nil"/>
              <w:left w:val="nil"/>
              <w:bottom w:val="nil"/>
              <w:right w:val="nil"/>
            </w:tcBorders>
            <w:noWrap/>
            <w:hideMark/>
          </w:tcPr>
          <w:p w14:paraId="04FA3538"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URBAN</w:t>
            </w:r>
          </w:p>
        </w:tc>
        <w:tc>
          <w:tcPr>
            <w:tcW w:w="679" w:type="dxa"/>
            <w:tcBorders>
              <w:top w:val="nil"/>
              <w:left w:val="nil"/>
              <w:bottom w:val="nil"/>
              <w:right w:val="nil"/>
            </w:tcBorders>
            <w:noWrap/>
            <w:hideMark/>
          </w:tcPr>
          <w:p w14:paraId="0DD85C6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05E3BC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7A272E81"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4C30116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6B19B1DA"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3C8F2E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F1C5C51"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5E0E70AE"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6B05BA92"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5D35A7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8416E01"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7125E4BE"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55C538B2"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A1CDF42"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10AD8B3F"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6CC3A010" w14:textId="77777777" w:rsidR="007B4B12" w:rsidRPr="0085566C" w:rsidRDefault="007B4B12" w:rsidP="00FD42FE">
            <w:pPr>
              <w:jc w:val="center"/>
              <w:rPr>
                <w:rFonts w:eastAsia="Times New Roman" w:cs="Times New Roman"/>
                <w:sz w:val="18"/>
                <w:szCs w:val="18"/>
              </w:rPr>
            </w:pPr>
          </w:p>
        </w:tc>
      </w:tr>
      <w:tr w:rsidR="007B4B12" w:rsidRPr="0085566C" w14:paraId="3D3AB86B" w14:textId="77777777" w:rsidTr="00F716D3">
        <w:trPr>
          <w:trHeight w:val="20"/>
        </w:trPr>
        <w:tc>
          <w:tcPr>
            <w:tcW w:w="1417" w:type="dxa"/>
            <w:tcBorders>
              <w:top w:val="nil"/>
              <w:left w:val="nil"/>
              <w:bottom w:val="nil"/>
              <w:right w:val="nil"/>
            </w:tcBorders>
            <w:noWrap/>
            <w:hideMark/>
          </w:tcPr>
          <w:p w14:paraId="6A5446DA"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AREA</w:t>
            </w:r>
          </w:p>
        </w:tc>
        <w:tc>
          <w:tcPr>
            <w:tcW w:w="679" w:type="dxa"/>
            <w:tcBorders>
              <w:top w:val="nil"/>
              <w:left w:val="nil"/>
              <w:bottom w:val="nil"/>
              <w:right w:val="nil"/>
            </w:tcBorders>
            <w:noWrap/>
            <w:hideMark/>
          </w:tcPr>
          <w:p w14:paraId="3E2F0B3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DCEE82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5AD9E9F"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20AB3446"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6301144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3B74DAF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0D01EFE9"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1E5D6283"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7F98FD2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2B34988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1BCC91D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729" w:type="dxa"/>
            <w:tcBorders>
              <w:top w:val="nil"/>
              <w:left w:val="nil"/>
              <w:bottom w:val="nil"/>
              <w:right w:val="single" w:sz="4" w:space="0" w:color="auto"/>
            </w:tcBorders>
            <w:noWrap/>
            <w:hideMark/>
          </w:tcPr>
          <w:p w14:paraId="1202D4CC"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11AA4FB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DC1868F"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1453FCAF"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75118C27" w14:textId="77777777" w:rsidR="007B4B12" w:rsidRPr="0085566C" w:rsidRDefault="007B4B12" w:rsidP="00FD42FE">
            <w:pPr>
              <w:jc w:val="center"/>
              <w:rPr>
                <w:rFonts w:eastAsia="Times New Roman" w:cs="Times New Roman"/>
                <w:sz w:val="18"/>
                <w:szCs w:val="18"/>
              </w:rPr>
            </w:pPr>
          </w:p>
        </w:tc>
      </w:tr>
      <w:tr w:rsidR="007B4B12" w:rsidRPr="0085566C" w14:paraId="5D93A5EA" w14:textId="77777777" w:rsidTr="00F716D3">
        <w:trPr>
          <w:trHeight w:val="20"/>
        </w:trPr>
        <w:tc>
          <w:tcPr>
            <w:tcW w:w="1417" w:type="dxa"/>
            <w:tcBorders>
              <w:top w:val="nil"/>
              <w:left w:val="nil"/>
              <w:bottom w:val="nil"/>
              <w:right w:val="nil"/>
            </w:tcBorders>
            <w:noWrap/>
            <w:hideMark/>
          </w:tcPr>
          <w:p w14:paraId="10C1AB47" w14:textId="77777777" w:rsidR="007B4B12" w:rsidRPr="0085566C" w:rsidRDefault="007B4B12" w:rsidP="00FD42FE">
            <w:pPr>
              <w:rPr>
                <w:rFonts w:eastAsia="Times New Roman" w:cs="Times New Roman"/>
                <w:b/>
                <w:sz w:val="18"/>
                <w:szCs w:val="18"/>
              </w:rPr>
            </w:pPr>
            <w:r w:rsidRPr="0085566C">
              <w:rPr>
                <w:rFonts w:eastAsia="Times New Roman" w:cs="Times New Roman"/>
                <w:b/>
                <w:color w:val="000000"/>
                <w:sz w:val="18"/>
                <w:szCs w:val="18"/>
              </w:rPr>
              <w:t>PVE</w:t>
            </w:r>
          </w:p>
        </w:tc>
        <w:tc>
          <w:tcPr>
            <w:tcW w:w="679" w:type="dxa"/>
            <w:tcBorders>
              <w:top w:val="nil"/>
              <w:left w:val="nil"/>
              <w:bottom w:val="nil"/>
              <w:right w:val="nil"/>
            </w:tcBorders>
            <w:noWrap/>
            <w:hideMark/>
          </w:tcPr>
          <w:p w14:paraId="70D4846D"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0.26</w:t>
            </w:r>
          </w:p>
        </w:tc>
        <w:tc>
          <w:tcPr>
            <w:tcW w:w="679" w:type="dxa"/>
            <w:tcBorders>
              <w:top w:val="nil"/>
              <w:left w:val="nil"/>
              <w:bottom w:val="nil"/>
              <w:right w:val="nil"/>
            </w:tcBorders>
            <w:noWrap/>
            <w:hideMark/>
          </w:tcPr>
          <w:p w14:paraId="23E94E4C"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w:t>
            </w:r>
          </w:p>
        </w:tc>
        <w:tc>
          <w:tcPr>
            <w:tcW w:w="679" w:type="dxa"/>
            <w:tcBorders>
              <w:top w:val="nil"/>
              <w:left w:val="nil"/>
              <w:bottom w:val="nil"/>
              <w:right w:val="nil"/>
            </w:tcBorders>
            <w:noWrap/>
            <w:hideMark/>
          </w:tcPr>
          <w:p w14:paraId="486D8776"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0.17</w:t>
            </w:r>
          </w:p>
        </w:tc>
        <w:tc>
          <w:tcPr>
            <w:tcW w:w="776" w:type="dxa"/>
            <w:tcBorders>
              <w:top w:val="nil"/>
              <w:left w:val="nil"/>
              <w:bottom w:val="nil"/>
              <w:right w:val="single" w:sz="4" w:space="0" w:color="auto"/>
            </w:tcBorders>
            <w:noWrap/>
            <w:hideMark/>
          </w:tcPr>
          <w:p w14:paraId="2CF28925"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0.06</w:t>
            </w:r>
          </w:p>
        </w:tc>
        <w:tc>
          <w:tcPr>
            <w:tcW w:w="679" w:type="dxa"/>
            <w:tcBorders>
              <w:top w:val="nil"/>
              <w:left w:val="single" w:sz="4" w:space="0" w:color="auto"/>
              <w:bottom w:val="nil"/>
              <w:right w:val="nil"/>
            </w:tcBorders>
            <w:noWrap/>
            <w:hideMark/>
          </w:tcPr>
          <w:p w14:paraId="6F840AA8"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0.3</w:t>
            </w:r>
          </w:p>
        </w:tc>
        <w:tc>
          <w:tcPr>
            <w:tcW w:w="679" w:type="dxa"/>
            <w:tcBorders>
              <w:top w:val="nil"/>
              <w:left w:val="nil"/>
              <w:bottom w:val="nil"/>
              <w:right w:val="nil"/>
            </w:tcBorders>
            <w:noWrap/>
            <w:hideMark/>
          </w:tcPr>
          <w:p w14:paraId="3799D468"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0.3</w:t>
            </w:r>
          </w:p>
        </w:tc>
        <w:tc>
          <w:tcPr>
            <w:tcW w:w="679" w:type="dxa"/>
            <w:tcBorders>
              <w:top w:val="nil"/>
              <w:left w:val="nil"/>
              <w:bottom w:val="nil"/>
              <w:right w:val="nil"/>
            </w:tcBorders>
            <w:noWrap/>
            <w:hideMark/>
          </w:tcPr>
          <w:p w14:paraId="2376598C"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0.3</w:t>
            </w:r>
          </w:p>
        </w:tc>
        <w:tc>
          <w:tcPr>
            <w:tcW w:w="802" w:type="dxa"/>
            <w:tcBorders>
              <w:top w:val="nil"/>
              <w:left w:val="nil"/>
              <w:bottom w:val="nil"/>
              <w:right w:val="single" w:sz="4" w:space="0" w:color="auto"/>
            </w:tcBorders>
            <w:noWrap/>
            <w:hideMark/>
          </w:tcPr>
          <w:p w14:paraId="0E561971"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0.16</w:t>
            </w:r>
          </w:p>
        </w:tc>
        <w:tc>
          <w:tcPr>
            <w:tcW w:w="751" w:type="dxa"/>
            <w:tcBorders>
              <w:top w:val="nil"/>
              <w:left w:val="single" w:sz="4" w:space="0" w:color="auto"/>
              <w:bottom w:val="nil"/>
              <w:right w:val="nil"/>
            </w:tcBorders>
            <w:noWrap/>
            <w:hideMark/>
          </w:tcPr>
          <w:p w14:paraId="181AC5C4"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0.21</w:t>
            </w:r>
          </w:p>
        </w:tc>
        <w:tc>
          <w:tcPr>
            <w:tcW w:w="679" w:type="dxa"/>
            <w:tcBorders>
              <w:top w:val="nil"/>
              <w:left w:val="nil"/>
              <w:bottom w:val="nil"/>
              <w:right w:val="nil"/>
            </w:tcBorders>
            <w:noWrap/>
            <w:hideMark/>
          </w:tcPr>
          <w:p w14:paraId="5621AF24"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0.26</w:t>
            </w:r>
          </w:p>
        </w:tc>
        <w:tc>
          <w:tcPr>
            <w:tcW w:w="679" w:type="dxa"/>
            <w:tcBorders>
              <w:top w:val="nil"/>
              <w:left w:val="nil"/>
              <w:bottom w:val="nil"/>
              <w:right w:val="nil"/>
            </w:tcBorders>
            <w:noWrap/>
            <w:hideMark/>
          </w:tcPr>
          <w:p w14:paraId="6548E818"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0.23</w:t>
            </w:r>
          </w:p>
        </w:tc>
        <w:tc>
          <w:tcPr>
            <w:tcW w:w="729" w:type="dxa"/>
            <w:tcBorders>
              <w:top w:val="nil"/>
              <w:left w:val="nil"/>
              <w:bottom w:val="nil"/>
              <w:right w:val="single" w:sz="4" w:space="0" w:color="auto"/>
            </w:tcBorders>
            <w:noWrap/>
            <w:hideMark/>
          </w:tcPr>
          <w:p w14:paraId="38FCCFC3"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0.12</w:t>
            </w:r>
          </w:p>
        </w:tc>
        <w:tc>
          <w:tcPr>
            <w:tcW w:w="680" w:type="dxa"/>
            <w:gridSpan w:val="2"/>
            <w:tcBorders>
              <w:top w:val="nil"/>
              <w:left w:val="single" w:sz="4" w:space="0" w:color="auto"/>
              <w:bottom w:val="nil"/>
              <w:right w:val="nil"/>
            </w:tcBorders>
            <w:noWrap/>
            <w:hideMark/>
          </w:tcPr>
          <w:p w14:paraId="55BB4D05"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0D86A936" w14:textId="77777777" w:rsidR="007B4B12" w:rsidRPr="0085566C" w:rsidRDefault="007B4B12" w:rsidP="00FD42FE">
            <w:pPr>
              <w:jc w:val="center"/>
              <w:rPr>
                <w:rFonts w:eastAsia="Times New Roman" w:cs="Times New Roman"/>
                <w:sz w:val="18"/>
                <w:szCs w:val="18"/>
              </w:rPr>
            </w:pPr>
          </w:p>
        </w:tc>
        <w:tc>
          <w:tcPr>
            <w:tcW w:w="679" w:type="dxa"/>
            <w:tcBorders>
              <w:top w:val="nil"/>
              <w:left w:val="nil"/>
              <w:bottom w:val="nil"/>
              <w:right w:val="nil"/>
            </w:tcBorders>
            <w:noWrap/>
            <w:hideMark/>
          </w:tcPr>
          <w:p w14:paraId="021641C8" w14:textId="77777777" w:rsidR="007B4B12" w:rsidRPr="0085566C" w:rsidRDefault="007B4B12" w:rsidP="00FD42FE">
            <w:pPr>
              <w:jc w:val="center"/>
              <w:rPr>
                <w:rFonts w:eastAsia="Times New Roman" w:cs="Times New Roman"/>
                <w:sz w:val="18"/>
                <w:szCs w:val="18"/>
              </w:rPr>
            </w:pPr>
          </w:p>
        </w:tc>
        <w:tc>
          <w:tcPr>
            <w:tcW w:w="680" w:type="dxa"/>
            <w:tcBorders>
              <w:top w:val="nil"/>
              <w:left w:val="nil"/>
              <w:bottom w:val="nil"/>
              <w:right w:val="nil"/>
            </w:tcBorders>
            <w:noWrap/>
            <w:hideMark/>
          </w:tcPr>
          <w:p w14:paraId="2AE63BDF" w14:textId="77777777" w:rsidR="007B4B12" w:rsidRPr="0085566C" w:rsidRDefault="007B4B12" w:rsidP="00FD42FE">
            <w:pPr>
              <w:jc w:val="center"/>
              <w:rPr>
                <w:rFonts w:eastAsia="Times New Roman" w:cs="Times New Roman"/>
                <w:sz w:val="18"/>
                <w:szCs w:val="18"/>
              </w:rPr>
            </w:pPr>
          </w:p>
        </w:tc>
      </w:tr>
      <w:tr w:rsidR="007B4B12" w:rsidRPr="006A3CAB" w14:paraId="17DB9C2C" w14:textId="77777777" w:rsidTr="00F716D3">
        <w:trPr>
          <w:trHeight w:val="20"/>
        </w:trPr>
        <w:tc>
          <w:tcPr>
            <w:tcW w:w="1417" w:type="dxa"/>
            <w:vMerge w:val="restart"/>
            <w:tcBorders>
              <w:top w:val="nil"/>
              <w:left w:val="nil"/>
              <w:right w:val="nil"/>
            </w:tcBorders>
            <w:noWrap/>
            <w:vAlign w:val="bottom"/>
            <w:hideMark/>
          </w:tcPr>
          <w:p w14:paraId="2AD322B1" w14:textId="77777777" w:rsidR="007B4B12" w:rsidRPr="0085566C" w:rsidRDefault="007B4B12" w:rsidP="00FD42FE">
            <w:pPr>
              <w:rPr>
                <w:rFonts w:eastAsia="Times New Roman" w:cs="Times New Roman"/>
                <w:b/>
                <w:color w:val="000000"/>
                <w:sz w:val="18"/>
                <w:szCs w:val="18"/>
              </w:rPr>
            </w:pPr>
            <w:r>
              <w:rPr>
                <w:rFonts w:eastAsia="Times New Roman" w:cs="Times New Roman"/>
                <w:color w:val="000000"/>
                <w:sz w:val="18"/>
                <w:szCs w:val="18"/>
              </w:rPr>
              <w:t>Predictor Variable</w:t>
            </w:r>
          </w:p>
        </w:tc>
        <w:tc>
          <w:tcPr>
            <w:tcW w:w="2813" w:type="dxa"/>
            <w:gridSpan w:val="4"/>
            <w:tcBorders>
              <w:top w:val="nil"/>
              <w:left w:val="nil"/>
              <w:bottom w:val="nil"/>
              <w:right w:val="single" w:sz="4" w:space="0" w:color="auto"/>
            </w:tcBorders>
            <w:noWrap/>
            <w:hideMark/>
          </w:tcPr>
          <w:p w14:paraId="46FC87EC" w14:textId="77777777" w:rsidR="006A3CAB" w:rsidRDefault="00196999" w:rsidP="00FD42FE">
            <w:pPr>
              <w:jc w:val="center"/>
              <w:rPr>
                <w:rFonts w:cs="Times New Roman"/>
                <w:sz w:val="18"/>
                <w:szCs w:val="18"/>
              </w:rPr>
            </w:pPr>
            <w:r w:rsidRPr="006A3CAB">
              <w:rPr>
                <w:rFonts w:cs="Times New Roman"/>
                <w:sz w:val="18"/>
                <w:szCs w:val="18"/>
              </w:rPr>
              <w:t xml:space="preserve">Flight Strength (Strong) </w:t>
            </w:r>
          </w:p>
          <w:p w14:paraId="2B216F8D" w14:textId="000E7DCB" w:rsidR="007B4B12" w:rsidRPr="006A3CAB" w:rsidRDefault="007B4B12" w:rsidP="00FD42FE">
            <w:pPr>
              <w:jc w:val="center"/>
              <w:rPr>
                <w:rFonts w:eastAsia="Times New Roman" w:cs="Times New Roman"/>
                <w:b/>
                <w:color w:val="000000"/>
                <w:sz w:val="18"/>
                <w:szCs w:val="18"/>
              </w:rPr>
            </w:pPr>
            <w:r w:rsidRPr="006A3CAB">
              <w:rPr>
                <w:rFonts w:eastAsia="Times New Roman" w:cs="Times New Roman"/>
                <w:color w:val="000000"/>
                <w:sz w:val="18"/>
                <w:szCs w:val="18"/>
              </w:rPr>
              <w:t>Threshold</w:t>
            </w:r>
          </w:p>
        </w:tc>
        <w:tc>
          <w:tcPr>
            <w:tcW w:w="2839" w:type="dxa"/>
            <w:gridSpan w:val="4"/>
            <w:tcBorders>
              <w:top w:val="nil"/>
              <w:left w:val="single" w:sz="4" w:space="0" w:color="auto"/>
              <w:bottom w:val="nil"/>
              <w:right w:val="single" w:sz="4" w:space="0" w:color="auto"/>
            </w:tcBorders>
            <w:noWrap/>
            <w:hideMark/>
          </w:tcPr>
          <w:p w14:paraId="1F213C57" w14:textId="77777777" w:rsidR="00196999" w:rsidRPr="006A3CAB" w:rsidRDefault="00196999" w:rsidP="00FD42FE">
            <w:pPr>
              <w:jc w:val="center"/>
              <w:rPr>
                <w:rFonts w:cs="Times New Roman"/>
                <w:sz w:val="18"/>
                <w:szCs w:val="18"/>
              </w:rPr>
            </w:pPr>
            <w:r w:rsidRPr="006A3CAB">
              <w:rPr>
                <w:rFonts w:cs="Times New Roman"/>
                <w:sz w:val="18"/>
                <w:szCs w:val="18"/>
              </w:rPr>
              <w:t xml:space="preserve">Life Span (Long) </w:t>
            </w:r>
          </w:p>
          <w:p w14:paraId="5A590CF9" w14:textId="24099837" w:rsidR="007B4B12" w:rsidRPr="006A3CAB" w:rsidRDefault="007B4B12" w:rsidP="00FD42FE">
            <w:pPr>
              <w:jc w:val="center"/>
              <w:rPr>
                <w:rFonts w:eastAsia="Times New Roman" w:cs="Times New Roman"/>
                <w:b/>
                <w:color w:val="000000"/>
                <w:sz w:val="18"/>
                <w:szCs w:val="18"/>
              </w:rPr>
            </w:pPr>
            <w:r w:rsidRPr="006A3CAB">
              <w:rPr>
                <w:rFonts w:eastAsia="Times New Roman" w:cs="Times New Roman"/>
                <w:color w:val="000000"/>
                <w:sz w:val="18"/>
                <w:szCs w:val="18"/>
              </w:rPr>
              <w:t>Threshold</w:t>
            </w:r>
          </w:p>
        </w:tc>
        <w:tc>
          <w:tcPr>
            <w:tcW w:w="2838" w:type="dxa"/>
            <w:gridSpan w:val="4"/>
            <w:tcBorders>
              <w:top w:val="nil"/>
              <w:left w:val="single" w:sz="4" w:space="0" w:color="auto"/>
              <w:bottom w:val="nil"/>
              <w:right w:val="single" w:sz="4" w:space="0" w:color="auto"/>
            </w:tcBorders>
            <w:noWrap/>
            <w:hideMark/>
          </w:tcPr>
          <w:p w14:paraId="091AFCB5" w14:textId="77777777" w:rsidR="006A3CAB" w:rsidRDefault="00196999" w:rsidP="00FD42FE">
            <w:pPr>
              <w:jc w:val="center"/>
              <w:rPr>
                <w:rFonts w:cs="Times New Roman"/>
                <w:sz w:val="18"/>
                <w:szCs w:val="18"/>
              </w:rPr>
            </w:pPr>
            <w:r w:rsidRPr="006A3CAB">
              <w:rPr>
                <w:rFonts w:cs="Times New Roman"/>
                <w:sz w:val="18"/>
                <w:szCs w:val="18"/>
              </w:rPr>
              <w:t xml:space="preserve">Female Dispersal (High) </w:t>
            </w:r>
          </w:p>
          <w:p w14:paraId="13815EAF" w14:textId="60F744E5" w:rsidR="007B4B12" w:rsidRPr="006A3CAB" w:rsidRDefault="007B4B12" w:rsidP="00FD42FE">
            <w:pPr>
              <w:jc w:val="center"/>
              <w:rPr>
                <w:rFonts w:eastAsia="Times New Roman" w:cs="Times New Roman"/>
                <w:b/>
                <w:color w:val="000000"/>
                <w:sz w:val="18"/>
                <w:szCs w:val="18"/>
              </w:rPr>
            </w:pPr>
            <w:r w:rsidRPr="006A3CAB">
              <w:rPr>
                <w:rFonts w:eastAsia="Times New Roman" w:cs="Times New Roman"/>
                <w:color w:val="000000"/>
                <w:sz w:val="18"/>
                <w:szCs w:val="18"/>
              </w:rPr>
              <w:t>Threshold</w:t>
            </w:r>
          </w:p>
        </w:tc>
        <w:tc>
          <w:tcPr>
            <w:tcW w:w="2718" w:type="dxa"/>
            <w:gridSpan w:val="5"/>
            <w:tcBorders>
              <w:top w:val="nil"/>
              <w:left w:val="single" w:sz="4" w:space="0" w:color="auto"/>
              <w:bottom w:val="nil"/>
              <w:right w:val="nil"/>
            </w:tcBorders>
            <w:noWrap/>
            <w:hideMark/>
          </w:tcPr>
          <w:p w14:paraId="767A5EDB" w14:textId="77777777" w:rsidR="006A3CAB" w:rsidRDefault="00196999" w:rsidP="00FD42FE">
            <w:pPr>
              <w:jc w:val="center"/>
              <w:rPr>
                <w:rFonts w:cs="Times New Roman"/>
                <w:sz w:val="18"/>
                <w:szCs w:val="18"/>
              </w:rPr>
            </w:pPr>
            <w:r w:rsidRPr="006A3CAB">
              <w:rPr>
                <w:rFonts w:cs="Times New Roman"/>
                <w:sz w:val="18"/>
                <w:szCs w:val="18"/>
              </w:rPr>
              <w:t xml:space="preserve">Body Size (Large) </w:t>
            </w:r>
          </w:p>
          <w:p w14:paraId="37BAE478" w14:textId="6B5D545D" w:rsidR="007B4B12" w:rsidRPr="006A3CAB" w:rsidRDefault="007B4B12" w:rsidP="00FD42FE">
            <w:pPr>
              <w:jc w:val="center"/>
              <w:rPr>
                <w:rFonts w:eastAsia="Times New Roman" w:cs="Times New Roman"/>
                <w:b/>
                <w:color w:val="000000"/>
                <w:sz w:val="18"/>
                <w:szCs w:val="18"/>
              </w:rPr>
            </w:pPr>
            <w:r w:rsidRPr="006A3CAB">
              <w:rPr>
                <w:rFonts w:eastAsia="Times New Roman" w:cs="Times New Roman"/>
                <w:color w:val="000000"/>
                <w:sz w:val="18"/>
                <w:szCs w:val="18"/>
              </w:rPr>
              <w:t>Threshold</w:t>
            </w:r>
          </w:p>
        </w:tc>
      </w:tr>
      <w:tr w:rsidR="007B4B12" w:rsidRPr="0085566C" w14:paraId="1B7A6134" w14:textId="77777777" w:rsidTr="00F716D3">
        <w:trPr>
          <w:trHeight w:val="20"/>
        </w:trPr>
        <w:tc>
          <w:tcPr>
            <w:tcW w:w="1417" w:type="dxa"/>
            <w:vMerge/>
            <w:tcBorders>
              <w:left w:val="nil"/>
              <w:bottom w:val="single" w:sz="4" w:space="0" w:color="auto"/>
              <w:right w:val="nil"/>
            </w:tcBorders>
            <w:noWrap/>
            <w:hideMark/>
          </w:tcPr>
          <w:p w14:paraId="5F030FE3" w14:textId="77777777" w:rsidR="007B4B12" w:rsidRPr="0085566C" w:rsidRDefault="007B4B12" w:rsidP="00FD42FE">
            <w:pPr>
              <w:rPr>
                <w:rFonts w:eastAsia="Times New Roman" w:cs="Times New Roman"/>
                <w:color w:val="000000"/>
                <w:sz w:val="18"/>
                <w:szCs w:val="18"/>
              </w:rPr>
            </w:pPr>
          </w:p>
        </w:tc>
        <w:tc>
          <w:tcPr>
            <w:tcW w:w="679" w:type="dxa"/>
            <w:tcBorders>
              <w:top w:val="nil"/>
              <w:left w:val="nil"/>
              <w:bottom w:val="single" w:sz="4" w:space="0" w:color="auto"/>
              <w:right w:val="nil"/>
            </w:tcBorders>
            <w:noWrap/>
            <w:hideMark/>
          </w:tcPr>
          <w:p w14:paraId="1385516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hideMark/>
          </w:tcPr>
          <w:p w14:paraId="7C8FCEE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hideMark/>
          </w:tcPr>
          <w:p w14:paraId="3400630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&gt;70%</w:t>
            </w:r>
          </w:p>
        </w:tc>
        <w:tc>
          <w:tcPr>
            <w:tcW w:w="776" w:type="dxa"/>
            <w:tcBorders>
              <w:top w:val="nil"/>
              <w:left w:val="nil"/>
              <w:bottom w:val="single" w:sz="4" w:space="0" w:color="auto"/>
              <w:right w:val="single" w:sz="4" w:space="0" w:color="auto"/>
            </w:tcBorders>
            <w:noWrap/>
            <w:hideMark/>
          </w:tcPr>
          <w:p w14:paraId="0DE3127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&gt;80%</w:t>
            </w:r>
          </w:p>
        </w:tc>
        <w:tc>
          <w:tcPr>
            <w:tcW w:w="679" w:type="dxa"/>
            <w:tcBorders>
              <w:top w:val="nil"/>
              <w:left w:val="single" w:sz="4" w:space="0" w:color="auto"/>
              <w:bottom w:val="single" w:sz="4" w:space="0" w:color="auto"/>
              <w:right w:val="nil"/>
            </w:tcBorders>
            <w:noWrap/>
            <w:hideMark/>
          </w:tcPr>
          <w:p w14:paraId="5B48A87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hideMark/>
          </w:tcPr>
          <w:p w14:paraId="0D7498E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hideMark/>
          </w:tcPr>
          <w:p w14:paraId="4D1AB96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&gt;70%</w:t>
            </w:r>
          </w:p>
        </w:tc>
        <w:tc>
          <w:tcPr>
            <w:tcW w:w="802" w:type="dxa"/>
            <w:tcBorders>
              <w:top w:val="nil"/>
              <w:left w:val="nil"/>
              <w:bottom w:val="single" w:sz="4" w:space="0" w:color="auto"/>
              <w:right w:val="single" w:sz="4" w:space="0" w:color="auto"/>
            </w:tcBorders>
            <w:noWrap/>
            <w:hideMark/>
          </w:tcPr>
          <w:p w14:paraId="1548467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&gt;80%</w:t>
            </w:r>
          </w:p>
        </w:tc>
        <w:tc>
          <w:tcPr>
            <w:tcW w:w="751" w:type="dxa"/>
            <w:tcBorders>
              <w:top w:val="nil"/>
              <w:left w:val="single" w:sz="4" w:space="0" w:color="auto"/>
              <w:bottom w:val="single" w:sz="4" w:space="0" w:color="auto"/>
              <w:right w:val="nil"/>
            </w:tcBorders>
            <w:noWrap/>
            <w:hideMark/>
          </w:tcPr>
          <w:p w14:paraId="10C4221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hideMark/>
          </w:tcPr>
          <w:p w14:paraId="4F5CA48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hideMark/>
          </w:tcPr>
          <w:p w14:paraId="302160A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&gt;70%</w:t>
            </w:r>
          </w:p>
        </w:tc>
        <w:tc>
          <w:tcPr>
            <w:tcW w:w="729" w:type="dxa"/>
            <w:tcBorders>
              <w:top w:val="nil"/>
              <w:left w:val="nil"/>
              <w:bottom w:val="single" w:sz="4" w:space="0" w:color="auto"/>
              <w:right w:val="single" w:sz="4" w:space="0" w:color="auto"/>
            </w:tcBorders>
            <w:noWrap/>
            <w:hideMark/>
          </w:tcPr>
          <w:p w14:paraId="0B86DA8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&gt;80%</w:t>
            </w:r>
          </w:p>
        </w:tc>
        <w:tc>
          <w:tcPr>
            <w:tcW w:w="680" w:type="dxa"/>
            <w:gridSpan w:val="2"/>
            <w:tcBorders>
              <w:top w:val="nil"/>
              <w:left w:val="single" w:sz="4" w:space="0" w:color="auto"/>
              <w:bottom w:val="single" w:sz="4" w:space="0" w:color="auto"/>
              <w:right w:val="nil"/>
            </w:tcBorders>
            <w:noWrap/>
            <w:hideMark/>
          </w:tcPr>
          <w:p w14:paraId="4F7AA61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&gt;50%</w:t>
            </w:r>
          </w:p>
        </w:tc>
        <w:tc>
          <w:tcPr>
            <w:tcW w:w="679" w:type="dxa"/>
            <w:tcBorders>
              <w:top w:val="nil"/>
              <w:left w:val="nil"/>
              <w:bottom w:val="single" w:sz="4" w:space="0" w:color="auto"/>
              <w:right w:val="nil"/>
            </w:tcBorders>
            <w:noWrap/>
            <w:hideMark/>
          </w:tcPr>
          <w:p w14:paraId="2F43996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&gt;60%</w:t>
            </w:r>
          </w:p>
        </w:tc>
        <w:tc>
          <w:tcPr>
            <w:tcW w:w="679" w:type="dxa"/>
            <w:tcBorders>
              <w:top w:val="nil"/>
              <w:left w:val="nil"/>
              <w:bottom w:val="single" w:sz="4" w:space="0" w:color="auto"/>
              <w:right w:val="nil"/>
            </w:tcBorders>
            <w:noWrap/>
            <w:hideMark/>
          </w:tcPr>
          <w:p w14:paraId="4F60C95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&gt;70%</w:t>
            </w:r>
          </w:p>
        </w:tc>
        <w:tc>
          <w:tcPr>
            <w:tcW w:w="680" w:type="dxa"/>
            <w:tcBorders>
              <w:top w:val="nil"/>
              <w:left w:val="nil"/>
              <w:bottom w:val="single" w:sz="4" w:space="0" w:color="auto"/>
              <w:right w:val="nil"/>
            </w:tcBorders>
            <w:noWrap/>
            <w:hideMark/>
          </w:tcPr>
          <w:p w14:paraId="4F195FB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b/>
                <w:color w:val="000000"/>
                <w:sz w:val="18"/>
                <w:szCs w:val="18"/>
              </w:rPr>
              <w:t>&gt;80%</w:t>
            </w:r>
          </w:p>
        </w:tc>
      </w:tr>
      <w:tr w:rsidR="007B4B12" w:rsidRPr="0085566C" w14:paraId="75D659E7" w14:textId="77777777" w:rsidTr="00F716D3">
        <w:trPr>
          <w:trHeight w:val="20"/>
        </w:trPr>
        <w:tc>
          <w:tcPr>
            <w:tcW w:w="1417" w:type="dxa"/>
            <w:tcBorders>
              <w:top w:val="single" w:sz="4" w:space="0" w:color="auto"/>
              <w:left w:val="nil"/>
              <w:bottom w:val="nil"/>
              <w:right w:val="nil"/>
            </w:tcBorders>
            <w:noWrap/>
            <w:hideMark/>
          </w:tcPr>
          <w:p w14:paraId="40EFBA51"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AGRI</w:t>
            </w:r>
          </w:p>
        </w:tc>
        <w:tc>
          <w:tcPr>
            <w:tcW w:w="679" w:type="dxa"/>
            <w:tcBorders>
              <w:top w:val="single" w:sz="4" w:space="0" w:color="auto"/>
              <w:left w:val="nil"/>
              <w:bottom w:val="nil"/>
              <w:right w:val="nil"/>
            </w:tcBorders>
            <w:noWrap/>
            <w:hideMark/>
          </w:tcPr>
          <w:p w14:paraId="47CB98A1"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68AB4535"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0D8AF19A" w14:textId="77777777" w:rsidR="007B4B12" w:rsidRPr="0085566C" w:rsidRDefault="007B4B12" w:rsidP="00FD42FE">
            <w:pPr>
              <w:jc w:val="center"/>
              <w:rPr>
                <w:rFonts w:eastAsia="Times New Roman" w:cs="Times New Roman"/>
                <w:color w:val="000000"/>
                <w:sz w:val="18"/>
                <w:szCs w:val="18"/>
              </w:rPr>
            </w:pPr>
          </w:p>
        </w:tc>
        <w:tc>
          <w:tcPr>
            <w:tcW w:w="776" w:type="dxa"/>
            <w:tcBorders>
              <w:top w:val="single" w:sz="4" w:space="0" w:color="auto"/>
              <w:left w:val="nil"/>
              <w:bottom w:val="nil"/>
              <w:right w:val="single" w:sz="4" w:space="0" w:color="auto"/>
            </w:tcBorders>
            <w:noWrap/>
            <w:hideMark/>
          </w:tcPr>
          <w:p w14:paraId="26635147"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single" w:sz="4" w:space="0" w:color="auto"/>
              <w:bottom w:val="nil"/>
              <w:right w:val="nil"/>
            </w:tcBorders>
            <w:noWrap/>
            <w:hideMark/>
          </w:tcPr>
          <w:p w14:paraId="4B31CA5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single" w:sz="4" w:space="0" w:color="auto"/>
              <w:left w:val="nil"/>
              <w:bottom w:val="nil"/>
              <w:right w:val="nil"/>
            </w:tcBorders>
            <w:noWrap/>
            <w:hideMark/>
          </w:tcPr>
          <w:p w14:paraId="502C3243"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single" w:sz="4" w:space="0" w:color="auto"/>
              <w:left w:val="nil"/>
              <w:bottom w:val="nil"/>
              <w:right w:val="nil"/>
            </w:tcBorders>
            <w:noWrap/>
            <w:hideMark/>
          </w:tcPr>
          <w:p w14:paraId="4A91193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802" w:type="dxa"/>
            <w:tcBorders>
              <w:top w:val="single" w:sz="4" w:space="0" w:color="auto"/>
              <w:left w:val="nil"/>
              <w:bottom w:val="nil"/>
              <w:right w:val="single" w:sz="4" w:space="0" w:color="auto"/>
            </w:tcBorders>
            <w:noWrap/>
            <w:hideMark/>
          </w:tcPr>
          <w:p w14:paraId="3B80595F" w14:textId="77777777" w:rsidR="007B4B12" w:rsidRPr="0085566C" w:rsidRDefault="007B4B12" w:rsidP="00FD42FE">
            <w:pPr>
              <w:jc w:val="center"/>
              <w:rPr>
                <w:rFonts w:eastAsia="Times New Roman" w:cs="Times New Roman"/>
                <w:color w:val="000000"/>
                <w:sz w:val="18"/>
                <w:szCs w:val="18"/>
              </w:rPr>
            </w:pPr>
          </w:p>
        </w:tc>
        <w:tc>
          <w:tcPr>
            <w:tcW w:w="751" w:type="dxa"/>
            <w:tcBorders>
              <w:top w:val="single" w:sz="4" w:space="0" w:color="auto"/>
              <w:left w:val="single" w:sz="4" w:space="0" w:color="auto"/>
              <w:bottom w:val="nil"/>
              <w:right w:val="nil"/>
            </w:tcBorders>
            <w:noWrap/>
            <w:hideMark/>
          </w:tcPr>
          <w:p w14:paraId="45F172EB"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5AD2804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single" w:sz="4" w:space="0" w:color="auto"/>
              <w:left w:val="nil"/>
              <w:bottom w:val="nil"/>
              <w:right w:val="nil"/>
            </w:tcBorders>
            <w:noWrap/>
            <w:hideMark/>
          </w:tcPr>
          <w:p w14:paraId="58910F7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729" w:type="dxa"/>
            <w:tcBorders>
              <w:top w:val="single" w:sz="4" w:space="0" w:color="auto"/>
              <w:left w:val="nil"/>
              <w:bottom w:val="nil"/>
              <w:right w:val="single" w:sz="4" w:space="0" w:color="auto"/>
            </w:tcBorders>
            <w:noWrap/>
            <w:hideMark/>
          </w:tcPr>
          <w:p w14:paraId="500C48D6"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single" w:sz="4" w:space="0" w:color="auto"/>
              <w:left w:val="single" w:sz="4" w:space="0" w:color="auto"/>
              <w:bottom w:val="nil"/>
              <w:right w:val="nil"/>
            </w:tcBorders>
            <w:noWrap/>
            <w:hideMark/>
          </w:tcPr>
          <w:p w14:paraId="0253217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single" w:sz="4" w:space="0" w:color="auto"/>
              <w:left w:val="nil"/>
              <w:bottom w:val="nil"/>
              <w:right w:val="nil"/>
            </w:tcBorders>
            <w:noWrap/>
            <w:hideMark/>
          </w:tcPr>
          <w:p w14:paraId="4A36D4E0" w14:textId="77777777" w:rsidR="007B4B12" w:rsidRPr="0085566C" w:rsidRDefault="007B4B12" w:rsidP="00FD42FE">
            <w:pPr>
              <w:jc w:val="center"/>
              <w:rPr>
                <w:rFonts w:eastAsia="Times New Roman" w:cs="Times New Roman"/>
                <w:color w:val="000000"/>
                <w:sz w:val="18"/>
                <w:szCs w:val="18"/>
              </w:rPr>
            </w:pPr>
          </w:p>
        </w:tc>
        <w:tc>
          <w:tcPr>
            <w:tcW w:w="679" w:type="dxa"/>
            <w:tcBorders>
              <w:top w:val="single" w:sz="4" w:space="0" w:color="auto"/>
              <w:left w:val="nil"/>
              <w:bottom w:val="nil"/>
              <w:right w:val="nil"/>
            </w:tcBorders>
            <w:noWrap/>
            <w:hideMark/>
          </w:tcPr>
          <w:p w14:paraId="349173A3" w14:textId="77777777" w:rsidR="007B4B12" w:rsidRPr="0085566C" w:rsidRDefault="007B4B12" w:rsidP="00FD42FE">
            <w:pPr>
              <w:jc w:val="center"/>
              <w:rPr>
                <w:rFonts w:eastAsia="Times New Roman" w:cs="Times New Roman"/>
                <w:color w:val="000000"/>
                <w:sz w:val="18"/>
                <w:szCs w:val="18"/>
              </w:rPr>
            </w:pPr>
          </w:p>
        </w:tc>
        <w:tc>
          <w:tcPr>
            <w:tcW w:w="680" w:type="dxa"/>
            <w:tcBorders>
              <w:top w:val="single" w:sz="4" w:space="0" w:color="auto"/>
              <w:left w:val="nil"/>
              <w:bottom w:val="nil"/>
              <w:right w:val="nil"/>
            </w:tcBorders>
            <w:noWrap/>
            <w:hideMark/>
          </w:tcPr>
          <w:p w14:paraId="4B0E1206" w14:textId="77777777" w:rsidR="007B4B12" w:rsidRPr="0085566C" w:rsidRDefault="007B4B12" w:rsidP="00FD42FE">
            <w:pPr>
              <w:jc w:val="center"/>
              <w:rPr>
                <w:rFonts w:eastAsia="Times New Roman" w:cs="Times New Roman"/>
                <w:color w:val="000000"/>
                <w:sz w:val="18"/>
                <w:szCs w:val="18"/>
              </w:rPr>
            </w:pPr>
          </w:p>
        </w:tc>
      </w:tr>
      <w:tr w:rsidR="007B4B12" w:rsidRPr="0085566C" w14:paraId="113AF212" w14:textId="77777777" w:rsidTr="00F716D3">
        <w:trPr>
          <w:trHeight w:val="20"/>
        </w:trPr>
        <w:tc>
          <w:tcPr>
            <w:tcW w:w="1417" w:type="dxa"/>
            <w:tcBorders>
              <w:top w:val="nil"/>
              <w:left w:val="nil"/>
              <w:bottom w:val="nil"/>
              <w:right w:val="nil"/>
            </w:tcBorders>
            <w:noWrap/>
            <w:hideMark/>
          </w:tcPr>
          <w:p w14:paraId="3B43D812"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FINES</w:t>
            </w:r>
          </w:p>
        </w:tc>
        <w:tc>
          <w:tcPr>
            <w:tcW w:w="679" w:type="dxa"/>
            <w:tcBorders>
              <w:top w:val="nil"/>
              <w:left w:val="nil"/>
              <w:bottom w:val="nil"/>
              <w:right w:val="nil"/>
            </w:tcBorders>
            <w:noWrap/>
            <w:hideMark/>
          </w:tcPr>
          <w:p w14:paraId="34C50CC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687C06E"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0EDEDC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776" w:type="dxa"/>
            <w:tcBorders>
              <w:top w:val="nil"/>
              <w:left w:val="nil"/>
              <w:bottom w:val="nil"/>
              <w:right w:val="single" w:sz="4" w:space="0" w:color="auto"/>
            </w:tcBorders>
            <w:noWrap/>
            <w:hideMark/>
          </w:tcPr>
          <w:p w14:paraId="62C8303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34EE223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2EA3845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2185704"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0ACF1FC1"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4701E6C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2EFF854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1BA91A5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729" w:type="dxa"/>
            <w:tcBorders>
              <w:top w:val="nil"/>
              <w:left w:val="nil"/>
              <w:bottom w:val="nil"/>
              <w:right w:val="single" w:sz="4" w:space="0" w:color="auto"/>
            </w:tcBorders>
            <w:noWrap/>
            <w:hideMark/>
          </w:tcPr>
          <w:p w14:paraId="41632BE8"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149829A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C82418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C19E1A5" w14:textId="77777777" w:rsidR="007B4B12" w:rsidRPr="0085566C" w:rsidRDefault="007B4B12" w:rsidP="00FD42FE">
            <w:pPr>
              <w:jc w:val="center"/>
              <w:rPr>
                <w:rFonts w:eastAsia="Times New Roman" w:cs="Times New Roman"/>
                <w:color w:val="000000"/>
                <w:sz w:val="18"/>
                <w:szCs w:val="18"/>
              </w:rPr>
            </w:pPr>
          </w:p>
        </w:tc>
        <w:tc>
          <w:tcPr>
            <w:tcW w:w="680" w:type="dxa"/>
            <w:tcBorders>
              <w:top w:val="nil"/>
              <w:left w:val="nil"/>
              <w:bottom w:val="nil"/>
              <w:right w:val="nil"/>
            </w:tcBorders>
            <w:noWrap/>
            <w:hideMark/>
          </w:tcPr>
          <w:p w14:paraId="27F2307D" w14:textId="77777777" w:rsidR="007B4B12" w:rsidRPr="0085566C" w:rsidRDefault="007B4B12" w:rsidP="00FD42FE">
            <w:pPr>
              <w:jc w:val="center"/>
              <w:rPr>
                <w:rFonts w:eastAsia="Times New Roman" w:cs="Times New Roman"/>
                <w:color w:val="000000"/>
                <w:sz w:val="18"/>
                <w:szCs w:val="18"/>
              </w:rPr>
            </w:pPr>
          </w:p>
        </w:tc>
      </w:tr>
      <w:tr w:rsidR="007B4B12" w:rsidRPr="0085566C" w14:paraId="2D157919" w14:textId="77777777" w:rsidTr="00F716D3">
        <w:trPr>
          <w:trHeight w:val="20"/>
        </w:trPr>
        <w:tc>
          <w:tcPr>
            <w:tcW w:w="1417" w:type="dxa"/>
            <w:tcBorders>
              <w:top w:val="nil"/>
              <w:left w:val="nil"/>
              <w:bottom w:val="nil"/>
              <w:right w:val="nil"/>
            </w:tcBorders>
            <w:noWrap/>
            <w:hideMark/>
          </w:tcPr>
          <w:p w14:paraId="1D655B08"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SLOPE</w:t>
            </w:r>
          </w:p>
        </w:tc>
        <w:tc>
          <w:tcPr>
            <w:tcW w:w="679" w:type="dxa"/>
            <w:tcBorders>
              <w:top w:val="nil"/>
              <w:left w:val="nil"/>
              <w:bottom w:val="nil"/>
              <w:right w:val="nil"/>
            </w:tcBorders>
            <w:noWrap/>
            <w:hideMark/>
          </w:tcPr>
          <w:p w14:paraId="5462081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FDE21F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17C8F97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776" w:type="dxa"/>
            <w:tcBorders>
              <w:top w:val="nil"/>
              <w:left w:val="nil"/>
              <w:bottom w:val="nil"/>
              <w:right w:val="single" w:sz="4" w:space="0" w:color="auto"/>
            </w:tcBorders>
            <w:noWrap/>
            <w:hideMark/>
          </w:tcPr>
          <w:p w14:paraId="1417E93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745A63F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AB96F57"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6F1456E"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31016B39"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1E7B308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701046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D11E19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729" w:type="dxa"/>
            <w:tcBorders>
              <w:top w:val="nil"/>
              <w:left w:val="nil"/>
              <w:bottom w:val="nil"/>
              <w:right w:val="single" w:sz="4" w:space="0" w:color="auto"/>
            </w:tcBorders>
            <w:noWrap/>
            <w:hideMark/>
          </w:tcPr>
          <w:p w14:paraId="320759E8"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5F10F837"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90F352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477673C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80" w:type="dxa"/>
            <w:tcBorders>
              <w:top w:val="nil"/>
              <w:left w:val="nil"/>
              <w:bottom w:val="nil"/>
              <w:right w:val="nil"/>
            </w:tcBorders>
            <w:noWrap/>
            <w:hideMark/>
          </w:tcPr>
          <w:p w14:paraId="264480FF" w14:textId="77777777" w:rsidR="007B4B12" w:rsidRPr="0085566C" w:rsidRDefault="007B4B12" w:rsidP="00FD42FE">
            <w:pPr>
              <w:jc w:val="center"/>
              <w:rPr>
                <w:rFonts w:eastAsia="Times New Roman" w:cs="Times New Roman"/>
                <w:color w:val="000000"/>
                <w:sz w:val="18"/>
                <w:szCs w:val="18"/>
              </w:rPr>
            </w:pPr>
          </w:p>
        </w:tc>
      </w:tr>
      <w:tr w:rsidR="007B4B12" w:rsidRPr="0085566C" w14:paraId="6BDEF9BF" w14:textId="77777777" w:rsidTr="00F716D3">
        <w:trPr>
          <w:trHeight w:val="20"/>
        </w:trPr>
        <w:tc>
          <w:tcPr>
            <w:tcW w:w="1417" w:type="dxa"/>
            <w:tcBorders>
              <w:top w:val="nil"/>
              <w:left w:val="nil"/>
              <w:bottom w:val="nil"/>
              <w:right w:val="nil"/>
            </w:tcBorders>
            <w:noWrap/>
            <w:hideMark/>
          </w:tcPr>
          <w:p w14:paraId="2BD39258"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TEMP_MA</w:t>
            </w:r>
          </w:p>
        </w:tc>
        <w:tc>
          <w:tcPr>
            <w:tcW w:w="679" w:type="dxa"/>
            <w:tcBorders>
              <w:top w:val="nil"/>
              <w:left w:val="nil"/>
              <w:bottom w:val="nil"/>
              <w:right w:val="nil"/>
            </w:tcBorders>
            <w:noWrap/>
            <w:hideMark/>
          </w:tcPr>
          <w:p w14:paraId="6EA200C6"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8049EB8"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449DD2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776" w:type="dxa"/>
            <w:tcBorders>
              <w:top w:val="nil"/>
              <w:left w:val="nil"/>
              <w:bottom w:val="nil"/>
              <w:right w:val="single" w:sz="4" w:space="0" w:color="auto"/>
            </w:tcBorders>
            <w:noWrap/>
            <w:hideMark/>
          </w:tcPr>
          <w:p w14:paraId="60B6C32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5E6913F8"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02FED6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49B3803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802" w:type="dxa"/>
            <w:tcBorders>
              <w:top w:val="nil"/>
              <w:left w:val="nil"/>
              <w:bottom w:val="nil"/>
              <w:right w:val="single" w:sz="4" w:space="0" w:color="auto"/>
            </w:tcBorders>
            <w:noWrap/>
            <w:hideMark/>
          </w:tcPr>
          <w:p w14:paraId="064B1BEC"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0A7AEF5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93CEF2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1B00330"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7877159C"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0B850553"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929FA2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A6F4C9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80" w:type="dxa"/>
            <w:tcBorders>
              <w:top w:val="nil"/>
              <w:left w:val="nil"/>
              <w:bottom w:val="nil"/>
              <w:right w:val="nil"/>
            </w:tcBorders>
            <w:noWrap/>
            <w:hideMark/>
          </w:tcPr>
          <w:p w14:paraId="0ADA183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r>
      <w:tr w:rsidR="007B4B12" w:rsidRPr="0085566C" w14:paraId="31BD0137" w14:textId="77777777" w:rsidTr="00F716D3">
        <w:trPr>
          <w:trHeight w:val="20"/>
        </w:trPr>
        <w:tc>
          <w:tcPr>
            <w:tcW w:w="1417" w:type="dxa"/>
            <w:tcBorders>
              <w:top w:val="nil"/>
              <w:left w:val="nil"/>
              <w:bottom w:val="nil"/>
              <w:right w:val="nil"/>
            </w:tcBorders>
            <w:noWrap/>
            <w:hideMark/>
          </w:tcPr>
          <w:p w14:paraId="64200E71" w14:textId="77777777" w:rsidR="007B4B12" w:rsidRPr="0085566C" w:rsidRDefault="007B4B12" w:rsidP="00FD42FE">
            <w:pPr>
              <w:rPr>
                <w:rFonts w:eastAsia="Times New Roman" w:cs="Times New Roman"/>
                <w:color w:val="000000"/>
                <w:sz w:val="18"/>
                <w:szCs w:val="18"/>
              </w:rPr>
            </w:pPr>
            <w:proofErr w:type="spellStart"/>
            <w:r w:rsidRPr="0085566C">
              <w:rPr>
                <w:rFonts w:eastAsia="Times New Roman" w:cs="Times New Roman"/>
                <w:color w:val="000000"/>
                <w:sz w:val="18"/>
                <w:szCs w:val="18"/>
              </w:rPr>
              <w:t>TEMP_CoV</w:t>
            </w:r>
            <w:proofErr w:type="spellEnd"/>
          </w:p>
        </w:tc>
        <w:tc>
          <w:tcPr>
            <w:tcW w:w="679" w:type="dxa"/>
            <w:tcBorders>
              <w:top w:val="nil"/>
              <w:left w:val="nil"/>
              <w:bottom w:val="nil"/>
              <w:right w:val="nil"/>
            </w:tcBorders>
            <w:noWrap/>
            <w:hideMark/>
          </w:tcPr>
          <w:p w14:paraId="3CD7013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1F56274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472D53D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776" w:type="dxa"/>
            <w:tcBorders>
              <w:top w:val="nil"/>
              <w:left w:val="nil"/>
              <w:bottom w:val="nil"/>
              <w:right w:val="single" w:sz="4" w:space="0" w:color="auto"/>
            </w:tcBorders>
            <w:noWrap/>
            <w:hideMark/>
          </w:tcPr>
          <w:p w14:paraId="30F532E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49AF51D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65E3713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617BD34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802" w:type="dxa"/>
            <w:tcBorders>
              <w:top w:val="nil"/>
              <w:left w:val="nil"/>
              <w:bottom w:val="nil"/>
              <w:right w:val="single" w:sz="4" w:space="0" w:color="auto"/>
            </w:tcBorders>
            <w:noWrap/>
            <w:hideMark/>
          </w:tcPr>
          <w:p w14:paraId="666430E3"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2CB4713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21685BBE"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B945F2A"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729" w:type="dxa"/>
            <w:tcBorders>
              <w:top w:val="nil"/>
              <w:left w:val="nil"/>
              <w:bottom w:val="nil"/>
              <w:right w:val="single" w:sz="4" w:space="0" w:color="auto"/>
            </w:tcBorders>
            <w:noWrap/>
            <w:hideMark/>
          </w:tcPr>
          <w:p w14:paraId="4613B19D"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7C91A853"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7AF3859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6B59D5D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80" w:type="dxa"/>
            <w:tcBorders>
              <w:top w:val="nil"/>
              <w:left w:val="nil"/>
              <w:bottom w:val="nil"/>
              <w:right w:val="nil"/>
            </w:tcBorders>
            <w:noWrap/>
            <w:hideMark/>
          </w:tcPr>
          <w:p w14:paraId="706D720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r>
      <w:tr w:rsidR="007B4B12" w:rsidRPr="0085566C" w14:paraId="7F755EB3" w14:textId="77777777" w:rsidTr="00F716D3">
        <w:trPr>
          <w:trHeight w:val="20"/>
        </w:trPr>
        <w:tc>
          <w:tcPr>
            <w:tcW w:w="1417" w:type="dxa"/>
            <w:tcBorders>
              <w:top w:val="nil"/>
              <w:left w:val="nil"/>
              <w:bottom w:val="nil"/>
              <w:right w:val="nil"/>
            </w:tcBorders>
            <w:noWrap/>
            <w:hideMark/>
          </w:tcPr>
          <w:p w14:paraId="3AE46024"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EMBED</w:t>
            </w:r>
          </w:p>
        </w:tc>
        <w:tc>
          <w:tcPr>
            <w:tcW w:w="679" w:type="dxa"/>
            <w:tcBorders>
              <w:top w:val="nil"/>
              <w:left w:val="nil"/>
              <w:bottom w:val="nil"/>
              <w:right w:val="nil"/>
            </w:tcBorders>
            <w:noWrap/>
            <w:hideMark/>
          </w:tcPr>
          <w:p w14:paraId="664911A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1C3725F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0AB71BBE"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2DAFFA4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5322313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61C7E61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4CD421D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802" w:type="dxa"/>
            <w:tcBorders>
              <w:top w:val="nil"/>
              <w:left w:val="nil"/>
              <w:bottom w:val="nil"/>
              <w:right w:val="single" w:sz="4" w:space="0" w:color="auto"/>
            </w:tcBorders>
            <w:noWrap/>
            <w:hideMark/>
          </w:tcPr>
          <w:p w14:paraId="0123AC4C"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50959C00"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168E9547"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7018B99"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11555F60"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1338A3D8"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EF25142"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1244F3B" w14:textId="77777777" w:rsidR="007B4B12" w:rsidRPr="0085566C" w:rsidRDefault="007B4B12" w:rsidP="00FD42FE">
            <w:pPr>
              <w:jc w:val="center"/>
              <w:rPr>
                <w:rFonts w:eastAsia="Times New Roman" w:cs="Times New Roman"/>
                <w:color w:val="000000"/>
                <w:sz w:val="18"/>
                <w:szCs w:val="18"/>
              </w:rPr>
            </w:pPr>
          </w:p>
        </w:tc>
        <w:tc>
          <w:tcPr>
            <w:tcW w:w="680" w:type="dxa"/>
            <w:tcBorders>
              <w:top w:val="nil"/>
              <w:left w:val="nil"/>
              <w:bottom w:val="nil"/>
              <w:right w:val="nil"/>
            </w:tcBorders>
            <w:noWrap/>
            <w:hideMark/>
          </w:tcPr>
          <w:p w14:paraId="590066D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r>
      <w:tr w:rsidR="007B4B12" w:rsidRPr="0085566C" w14:paraId="5583D21F" w14:textId="77777777" w:rsidTr="00F716D3">
        <w:trPr>
          <w:trHeight w:val="20"/>
        </w:trPr>
        <w:tc>
          <w:tcPr>
            <w:tcW w:w="1417" w:type="dxa"/>
            <w:tcBorders>
              <w:top w:val="nil"/>
              <w:left w:val="nil"/>
              <w:bottom w:val="nil"/>
              <w:right w:val="nil"/>
            </w:tcBorders>
            <w:noWrap/>
            <w:hideMark/>
          </w:tcPr>
          <w:p w14:paraId="54BF061E"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ELEV</w:t>
            </w:r>
          </w:p>
        </w:tc>
        <w:tc>
          <w:tcPr>
            <w:tcW w:w="679" w:type="dxa"/>
            <w:tcBorders>
              <w:top w:val="nil"/>
              <w:left w:val="nil"/>
              <w:bottom w:val="nil"/>
              <w:right w:val="nil"/>
            </w:tcBorders>
            <w:noWrap/>
            <w:hideMark/>
          </w:tcPr>
          <w:p w14:paraId="3F5A87F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F1DD04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5CB7E86"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6AC1888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1D9FCFE8"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6F7AC7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6A0C32D"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506C5CAE"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682C560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7EE1E92"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5178574"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026798BF"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5B5B968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3AB7DC8"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5055B57" w14:textId="77777777" w:rsidR="007B4B12" w:rsidRPr="0085566C" w:rsidRDefault="007B4B12" w:rsidP="00FD42FE">
            <w:pPr>
              <w:jc w:val="center"/>
              <w:rPr>
                <w:rFonts w:eastAsia="Times New Roman" w:cs="Times New Roman"/>
                <w:color w:val="000000"/>
                <w:sz w:val="18"/>
                <w:szCs w:val="18"/>
              </w:rPr>
            </w:pPr>
          </w:p>
        </w:tc>
        <w:tc>
          <w:tcPr>
            <w:tcW w:w="680" w:type="dxa"/>
            <w:tcBorders>
              <w:top w:val="nil"/>
              <w:left w:val="nil"/>
              <w:bottom w:val="nil"/>
              <w:right w:val="nil"/>
            </w:tcBorders>
            <w:noWrap/>
            <w:hideMark/>
          </w:tcPr>
          <w:p w14:paraId="798DF1D8" w14:textId="77777777" w:rsidR="007B4B12" w:rsidRPr="0085566C" w:rsidRDefault="007B4B12" w:rsidP="00FD42FE">
            <w:pPr>
              <w:jc w:val="center"/>
              <w:rPr>
                <w:rFonts w:eastAsia="Times New Roman" w:cs="Times New Roman"/>
                <w:color w:val="000000"/>
                <w:sz w:val="18"/>
                <w:szCs w:val="18"/>
              </w:rPr>
            </w:pPr>
          </w:p>
        </w:tc>
      </w:tr>
      <w:tr w:rsidR="007B4B12" w:rsidRPr="0085566C" w14:paraId="67191306" w14:textId="77777777" w:rsidTr="00F716D3">
        <w:trPr>
          <w:trHeight w:val="20"/>
        </w:trPr>
        <w:tc>
          <w:tcPr>
            <w:tcW w:w="1417" w:type="dxa"/>
            <w:tcBorders>
              <w:top w:val="nil"/>
              <w:left w:val="nil"/>
              <w:bottom w:val="nil"/>
              <w:right w:val="nil"/>
            </w:tcBorders>
            <w:noWrap/>
            <w:hideMark/>
          </w:tcPr>
          <w:p w14:paraId="3D20C368"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HY</w:t>
            </w:r>
            <w:r>
              <w:rPr>
                <w:rFonts w:eastAsia="Times New Roman" w:cs="Times New Roman"/>
                <w:color w:val="000000"/>
                <w:sz w:val="18"/>
                <w:szCs w:val="18"/>
              </w:rPr>
              <w:t>D</w:t>
            </w:r>
            <w:r w:rsidRPr="0085566C">
              <w:rPr>
                <w:rFonts w:eastAsia="Times New Roman" w:cs="Times New Roman"/>
                <w:color w:val="000000"/>
                <w:sz w:val="18"/>
                <w:szCs w:val="18"/>
              </w:rPr>
              <w:t>ROCLASS</w:t>
            </w:r>
          </w:p>
        </w:tc>
        <w:tc>
          <w:tcPr>
            <w:tcW w:w="679" w:type="dxa"/>
            <w:tcBorders>
              <w:top w:val="nil"/>
              <w:left w:val="nil"/>
              <w:bottom w:val="nil"/>
              <w:right w:val="nil"/>
            </w:tcBorders>
            <w:noWrap/>
            <w:hideMark/>
          </w:tcPr>
          <w:p w14:paraId="2CF545F3"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5889349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2B3A9B3"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618202E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53B55D2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6FC4C00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6A085C61"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802" w:type="dxa"/>
            <w:tcBorders>
              <w:top w:val="nil"/>
              <w:left w:val="nil"/>
              <w:bottom w:val="nil"/>
              <w:right w:val="single" w:sz="4" w:space="0" w:color="auto"/>
            </w:tcBorders>
            <w:noWrap/>
            <w:hideMark/>
          </w:tcPr>
          <w:p w14:paraId="5DCCF524"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1AE5423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682B080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55E00DFF"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0F85C97B"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1A8F1EF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7FA4CFA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70BF7AFB"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80" w:type="dxa"/>
            <w:tcBorders>
              <w:top w:val="nil"/>
              <w:left w:val="nil"/>
              <w:bottom w:val="nil"/>
              <w:right w:val="nil"/>
            </w:tcBorders>
            <w:noWrap/>
            <w:hideMark/>
          </w:tcPr>
          <w:p w14:paraId="7CDDE14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r>
      <w:tr w:rsidR="007B4B12" w:rsidRPr="0085566C" w14:paraId="3C68175E" w14:textId="77777777" w:rsidTr="00F716D3">
        <w:trPr>
          <w:trHeight w:val="20"/>
        </w:trPr>
        <w:tc>
          <w:tcPr>
            <w:tcW w:w="1417" w:type="dxa"/>
            <w:tcBorders>
              <w:top w:val="nil"/>
              <w:left w:val="nil"/>
              <w:bottom w:val="nil"/>
              <w:right w:val="nil"/>
            </w:tcBorders>
            <w:noWrap/>
            <w:hideMark/>
          </w:tcPr>
          <w:p w14:paraId="47FBB51B" w14:textId="77777777" w:rsidR="007B4B12" w:rsidRPr="0085566C" w:rsidRDefault="007B4B12" w:rsidP="00FD42FE">
            <w:pPr>
              <w:rPr>
                <w:rFonts w:eastAsia="Times New Roman" w:cs="Times New Roman"/>
                <w:color w:val="000000"/>
                <w:sz w:val="18"/>
                <w:szCs w:val="18"/>
              </w:rPr>
            </w:pPr>
            <w:proofErr w:type="spellStart"/>
            <w:r w:rsidRPr="0085566C">
              <w:rPr>
                <w:rFonts w:eastAsia="Times New Roman" w:cs="Times New Roman"/>
                <w:color w:val="000000"/>
                <w:sz w:val="18"/>
                <w:szCs w:val="18"/>
              </w:rPr>
              <w:t>PRECIP_CoV</w:t>
            </w:r>
            <w:proofErr w:type="spellEnd"/>
          </w:p>
        </w:tc>
        <w:tc>
          <w:tcPr>
            <w:tcW w:w="679" w:type="dxa"/>
            <w:tcBorders>
              <w:top w:val="nil"/>
              <w:left w:val="nil"/>
              <w:bottom w:val="nil"/>
              <w:right w:val="nil"/>
            </w:tcBorders>
            <w:noWrap/>
            <w:hideMark/>
          </w:tcPr>
          <w:p w14:paraId="1E5FA42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62A243E"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9BD4CD2"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5E38D626"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457C630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FF084C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922695C"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1830C890"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228B037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A11E80B"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BFFBDB9"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0D1E1FE0"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57B99AA8"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066F076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C7BFB98" w14:textId="77777777" w:rsidR="007B4B12" w:rsidRPr="0085566C" w:rsidRDefault="007B4B12" w:rsidP="00FD42FE">
            <w:pPr>
              <w:jc w:val="center"/>
              <w:rPr>
                <w:rFonts w:eastAsia="Times New Roman" w:cs="Times New Roman"/>
                <w:color w:val="000000"/>
                <w:sz w:val="18"/>
                <w:szCs w:val="18"/>
              </w:rPr>
            </w:pPr>
          </w:p>
        </w:tc>
        <w:tc>
          <w:tcPr>
            <w:tcW w:w="680" w:type="dxa"/>
            <w:tcBorders>
              <w:top w:val="nil"/>
              <w:left w:val="nil"/>
              <w:bottom w:val="nil"/>
              <w:right w:val="nil"/>
            </w:tcBorders>
            <w:noWrap/>
            <w:hideMark/>
          </w:tcPr>
          <w:p w14:paraId="6B6FD5C0" w14:textId="77777777" w:rsidR="007B4B12" w:rsidRPr="0085566C" w:rsidRDefault="007B4B12" w:rsidP="00FD42FE">
            <w:pPr>
              <w:jc w:val="center"/>
              <w:rPr>
                <w:rFonts w:eastAsia="Times New Roman" w:cs="Times New Roman"/>
                <w:color w:val="000000"/>
                <w:sz w:val="18"/>
                <w:szCs w:val="18"/>
              </w:rPr>
            </w:pPr>
          </w:p>
        </w:tc>
      </w:tr>
      <w:tr w:rsidR="007B4B12" w:rsidRPr="0085566C" w14:paraId="101EEFAB" w14:textId="77777777" w:rsidTr="00F716D3">
        <w:trPr>
          <w:trHeight w:val="20"/>
        </w:trPr>
        <w:tc>
          <w:tcPr>
            <w:tcW w:w="1417" w:type="dxa"/>
            <w:tcBorders>
              <w:top w:val="nil"/>
              <w:left w:val="nil"/>
              <w:bottom w:val="nil"/>
              <w:right w:val="nil"/>
            </w:tcBorders>
            <w:noWrap/>
            <w:hideMark/>
          </w:tcPr>
          <w:p w14:paraId="00554B4B"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PRECIP</w:t>
            </w:r>
          </w:p>
        </w:tc>
        <w:tc>
          <w:tcPr>
            <w:tcW w:w="679" w:type="dxa"/>
            <w:tcBorders>
              <w:top w:val="nil"/>
              <w:left w:val="nil"/>
              <w:bottom w:val="nil"/>
              <w:right w:val="nil"/>
            </w:tcBorders>
            <w:noWrap/>
            <w:hideMark/>
          </w:tcPr>
          <w:p w14:paraId="63361D1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2E05DE1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3225A9BD"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69ED96E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5AC2A3D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815128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B73A1B3"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802" w:type="dxa"/>
            <w:tcBorders>
              <w:top w:val="nil"/>
              <w:left w:val="nil"/>
              <w:bottom w:val="nil"/>
              <w:right w:val="single" w:sz="4" w:space="0" w:color="auto"/>
            </w:tcBorders>
            <w:noWrap/>
            <w:hideMark/>
          </w:tcPr>
          <w:p w14:paraId="7E0F2AC3"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26E879C5"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F944904"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36C1FF1D"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4B64BB26"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726C82C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47E32F8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71A2BF9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80" w:type="dxa"/>
            <w:tcBorders>
              <w:top w:val="nil"/>
              <w:left w:val="nil"/>
              <w:bottom w:val="nil"/>
              <w:right w:val="nil"/>
            </w:tcBorders>
            <w:noWrap/>
            <w:hideMark/>
          </w:tcPr>
          <w:p w14:paraId="0B9C8EC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r>
      <w:tr w:rsidR="007B4B12" w:rsidRPr="0085566C" w14:paraId="063C6B11" w14:textId="77777777" w:rsidTr="00F716D3">
        <w:trPr>
          <w:trHeight w:val="20"/>
        </w:trPr>
        <w:tc>
          <w:tcPr>
            <w:tcW w:w="1417" w:type="dxa"/>
            <w:tcBorders>
              <w:top w:val="nil"/>
              <w:left w:val="nil"/>
              <w:bottom w:val="nil"/>
              <w:right w:val="nil"/>
            </w:tcBorders>
            <w:noWrap/>
            <w:hideMark/>
          </w:tcPr>
          <w:p w14:paraId="0DDD3882"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REGION</w:t>
            </w:r>
          </w:p>
        </w:tc>
        <w:tc>
          <w:tcPr>
            <w:tcW w:w="679" w:type="dxa"/>
            <w:tcBorders>
              <w:top w:val="nil"/>
              <w:left w:val="nil"/>
              <w:bottom w:val="nil"/>
              <w:right w:val="nil"/>
            </w:tcBorders>
            <w:noWrap/>
            <w:hideMark/>
          </w:tcPr>
          <w:p w14:paraId="7ACD8E5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3ADAABDF"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200650C" w14:textId="77777777" w:rsidR="007B4B12" w:rsidRPr="0085566C" w:rsidRDefault="007B4B12" w:rsidP="00FD42FE">
            <w:pPr>
              <w:jc w:val="center"/>
              <w:rPr>
                <w:rFonts w:eastAsia="Times New Roman" w:cs="Times New Roman"/>
                <w:color w:val="000000"/>
                <w:sz w:val="18"/>
                <w:szCs w:val="18"/>
              </w:rPr>
            </w:pPr>
          </w:p>
        </w:tc>
        <w:tc>
          <w:tcPr>
            <w:tcW w:w="776" w:type="dxa"/>
            <w:tcBorders>
              <w:top w:val="nil"/>
              <w:left w:val="nil"/>
              <w:bottom w:val="nil"/>
              <w:right w:val="single" w:sz="4" w:space="0" w:color="auto"/>
            </w:tcBorders>
            <w:noWrap/>
            <w:hideMark/>
          </w:tcPr>
          <w:p w14:paraId="143171CD"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47E7837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17AA41D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79ACD35B"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76354CBB"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75CD99BE"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6B8FF8F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0D4E3D8D" w14:textId="77777777" w:rsidR="007B4B12" w:rsidRPr="0085566C" w:rsidRDefault="007B4B12" w:rsidP="00FD42FE">
            <w:pPr>
              <w:jc w:val="center"/>
              <w:rPr>
                <w:rFonts w:eastAsia="Times New Roman" w:cs="Times New Roman"/>
                <w:color w:val="000000"/>
                <w:sz w:val="18"/>
                <w:szCs w:val="18"/>
              </w:rPr>
            </w:pPr>
          </w:p>
        </w:tc>
        <w:tc>
          <w:tcPr>
            <w:tcW w:w="729" w:type="dxa"/>
            <w:tcBorders>
              <w:top w:val="nil"/>
              <w:left w:val="nil"/>
              <w:bottom w:val="nil"/>
              <w:right w:val="single" w:sz="4" w:space="0" w:color="auto"/>
            </w:tcBorders>
            <w:noWrap/>
            <w:hideMark/>
          </w:tcPr>
          <w:p w14:paraId="0D9BF16A"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328922E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520D0F59"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2</w:t>
            </w:r>
          </w:p>
        </w:tc>
        <w:tc>
          <w:tcPr>
            <w:tcW w:w="679" w:type="dxa"/>
            <w:tcBorders>
              <w:top w:val="nil"/>
              <w:left w:val="nil"/>
              <w:bottom w:val="nil"/>
              <w:right w:val="nil"/>
            </w:tcBorders>
            <w:noWrap/>
            <w:hideMark/>
          </w:tcPr>
          <w:p w14:paraId="5A12A6D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80" w:type="dxa"/>
            <w:tcBorders>
              <w:top w:val="nil"/>
              <w:left w:val="nil"/>
              <w:bottom w:val="nil"/>
              <w:right w:val="nil"/>
            </w:tcBorders>
            <w:noWrap/>
            <w:hideMark/>
          </w:tcPr>
          <w:p w14:paraId="18977A5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r>
      <w:tr w:rsidR="007B4B12" w:rsidRPr="0085566C" w14:paraId="2A33C963" w14:textId="77777777" w:rsidTr="00F716D3">
        <w:trPr>
          <w:trHeight w:val="20"/>
        </w:trPr>
        <w:tc>
          <w:tcPr>
            <w:tcW w:w="1417" w:type="dxa"/>
            <w:tcBorders>
              <w:top w:val="nil"/>
              <w:left w:val="nil"/>
              <w:bottom w:val="nil"/>
              <w:right w:val="nil"/>
            </w:tcBorders>
            <w:noWrap/>
            <w:hideMark/>
          </w:tcPr>
          <w:p w14:paraId="56E42565"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URBAN</w:t>
            </w:r>
          </w:p>
        </w:tc>
        <w:tc>
          <w:tcPr>
            <w:tcW w:w="679" w:type="dxa"/>
            <w:tcBorders>
              <w:top w:val="nil"/>
              <w:left w:val="nil"/>
              <w:bottom w:val="nil"/>
              <w:right w:val="nil"/>
            </w:tcBorders>
            <w:noWrap/>
            <w:hideMark/>
          </w:tcPr>
          <w:p w14:paraId="097B72B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5FEC2327"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5</w:t>
            </w:r>
          </w:p>
        </w:tc>
        <w:tc>
          <w:tcPr>
            <w:tcW w:w="679" w:type="dxa"/>
            <w:tcBorders>
              <w:top w:val="nil"/>
              <w:left w:val="nil"/>
              <w:bottom w:val="nil"/>
              <w:right w:val="nil"/>
            </w:tcBorders>
            <w:noWrap/>
            <w:hideMark/>
          </w:tcPr>
          <w:p w14:paraId="010D7F1D"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776" w:type="dxa"/>
            <w:tcBorders>
              <w:top w:val="nil"/>
              <w:left w:val="nil"/>
              <w:bottom w:val="nil"/>
              <w:right w:val="single" w:sz="4" w:space="0" w:color="auto"/>
            </w:tcBorders>
            <w:noWrap/>
            <w:hideMark/>
          </w:tcPr>
          <w:p w14:paraId="7DD23D3E"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05847F3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679" w:type="dxa"/>
            <w:tcBorders>
              <w:top w:val="nil"/>
              <w:left w:val="nil"/>
              <w:bottom w:val="nil"/>
              <w:right w:val="nil"/>
            </w:tcBorders>
            <w:noWrap/>
            <w:hideMark/>
          </w:tcPr>
          <w:p w14:paraId="47104FF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57D9B144"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5572706B"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224F963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2433BB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48568CA2"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729" w:type="dxa"/>
            <w:tcBorders>
              <w:top w:val="nil"/>
              <w:left w:val="nil"/>
              <w:bottom w:val="nil"/>
              <w:right w:val="single" w:sz="4" w:space="0" w:color="auto"/>
            </w:tcBorders>
            <w:noWrap/>
            <w:hideMark/>
          </w:tcPr>
          <w:p w14:paraId="3B5E02AF"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2099D9A1"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93EB819"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06298348" w14:textId="77777777" w:rsidR="007B4B12" w:rsidRPr="0085566C" w:rsidRDefault="007B4B12" w:rsidP="00FD42FE">
            <w:pPr>
              <w:jc w:val="center"/>
              <w:rPr>
                <w:rFonts w:eastAsia="Times New Roman" w:cs="Times New Roman"/>
                <w:color w:val="000000"/>
                <w:sz w:val="18"/>
                <w:szCs w:val="18"/>
              </w:rPr>
            </w:pPr>
          </w:p>
        </w:tc>
        <w:tc>
          <w:tcPr>
            <w:tcW w:w="680" w:type="dxa"/>
            <w:tcBorders>
              <w:top w:val="nil"/>
              <w:left w:val="nil"/>
              <w:bottom w:val="nil"/>
              <w:right w:val="nil"/>
            </w:tcBorders>
            <w:noWrap/>
            <w:hideMark/>
          </w:tcPr>
          <w:p w14:paraId="019E1FBA" w14:textId="77777777" w:rsidR="007B4B12" w:rsidRPr="0085566C" w:rsidRDefault="007B4B12" w:rsidP="00FD42FE">
            <w:pPr>
              <w:jc w:val="center"/>
              <w:rPr>
                <w:rFonts w:eastAsia="Times New Roman" w:cs="Times New Roman"/>
                <w:color w:val="000000"/>
                <w:sz w:val="18"/>
                <w:szCs w:val="18"/>
              </w:rPr>
            </w:pPr>
          </w:p>
        </w:tc>
      </w:tr>
      <w:tr w:rsidR="007B4B12" w:rsidRPr="0085566C" w14:paraId="1821767A" w14:textId="77777777" w:rsidTr="00F716D3">
        <w:trPr>
          <w:trHeight w:val="20"/>
        </w:trPr>
        <w:tc>
          <w:tcPr>
            <w:tcW w:w="1417" w:type="dxa"/>
            <w:tcBorders>
              <w:top w:val="nil"/>
              <w:left w:val="nil"/>
              <w:bottom w:val="nil"/>
              <w:right w:val="nil"/>
            </w:tcBorders>
            <w:noWrap/>
            <w:hideMark/>
          </w:tcPr>
          <w:p w14:paraId="1FC191E4" w14:textId="77777777" w:rsidR="007B4B12" w:rsidRPr="0085566C" w:rsidRDefault="007B4B12" w:rsidP="00FD42FE">
            <w:pPr>
              <w:rPr>
                <w:rFonts w:eastAsia="Times New Roman" w:cs="Times New Roman"/>
                <w:color w:val="000000"/>
                <w:sz w:val="18"/>
                <w:szCs w:val="18"/>
              </w:rPr>
            </w:pPr>
            <w:r w:rsidRPr="0085566C">
              <w:rPr>
                <w:rFonts w:eastAsia="Times New Roman" w:cs="Times New Roman"/>
                <w:color w:val="000000"/>
                <w:sz w:val="18"/>
                <w:szCs w:val="18"/>
              </w:rPr>
              <w:t>AREA</w:t>
            </w:r>
          </w:p>
        </w:tc>
        <w:tc>
          <w:tcPr>
            <w:tcW w:w="679" w:type="dxa"/>
            <w:tcBorders>
              <w:top w:val="nil"/>
              <w:left w:val="nil"/>
              <w:bottom w:val="nil"/>
              <w:right w:val="nil"/>
            </w:tcBorders>
            <w:noWrap/>
            <w:hideMark/>
          </w:tcPr>
          <w:p w14:paraId="60069C4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78A613B6"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4</w:t>
            </w:r>
          </w:p>
        </w:tc>
        <w:tc>
          <w:tcPr>
            <w:tcW w:w="679" w:type="dxa"/>
            <w:tcBorders>
              <w:top w:val="nil"/>
              <w:left w:val="nil"/>
              <w:bottom w:val="nil"/>
              <w:right w:val="nil"/>
            </w:tcBorders>
            <w:noWrap/>
            <w:hideMark/>
          </w:tcPr>
          <w:p w14:paraId="164F3364"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776" w:type="dxa"/>
            <w:tcBorders>
              <w:top w:val="nil"/>
              <w:left w:val="nil"/>
              <w:bottom w:val="nil"/>
              <w:right w:val="single" w:sz="4" w:space="0" w:color="auto"/>
            </w:tcBorders>
            <w:noWrap/>
            <w:hideMark/>
          </w:tcPr>
          <w:p w14:paraId="777349FC"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single" w:sz="4" w:space="0" w:color="auto"/>
              <w:bottom w:val="nil"/>
              <w:right w:val="nil"/>
            </w:tcBorders>
            <w:noWrap/>
            <w:hideMark/>
          </w:tcPr>
          <w:p w14:paraId="1CEA2D67"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5EDC8EC6"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4E5E3146" w14:textId="77777777" w:rsidR="007B4B12" w:rsidRPr="0085566C" w:rsidRDefault="007B4B12" w:rsidP="00FD42FE">
            <w:pPr>
              <w:jc w:val="center"/>
              <w:rPr>
                <w:rFonts w:eastAsia="Times New Roman" w:cs="Times New Roman"/>
                <w:color w:val="000000"/>
                <w:sz w:val="18"/>
                <w:szCs w:val="18"/>
              </w:rPr>
            </w:pPr>
          </w:p>
        </w:tc>
        <w:tc>
          <w:tcPr>
            <w:tcW w:w="802" w:type="dxa"/>
            <w:tcBorders>
              <w:top w:val="nil"/>
              <w:left w:val="nil"/>
              <w:bottom w:val="nil"/>
              <w:right w:val="single" w:sz="4" w:space="0" w:color="auto"/>
            </w:tcBorders>
            <w:noWrap/>
            <w:hideMark/>
          </w:tcPr>
          <w:p w14:paraId="0E952120" w14:textId="77777777" w:rsidR="007B4B12" w:rsidRPr="0085566C" w:rsidRDefault="007B4B12" w:rsidP="00FD42FE">
            <w:pPr>
              <w:jc w:val="center"/>
              <w:rPr>
                <w:rFonts w:eastAsia="Times New Roman" w:cs="Times New Roman"/>
                <w:color w:val="000000"/>
                <w:sz w:val="18"/>
                <w:szCs w:val="18"/>
              </w:rPr>
            </w:pPr>
          </w:p>
        </w:tc>
        <w:tc>
          <w:tcPr>
            <w:tcW w:w="751" w:type="dxa"/>
            <w:tcBorders>
              <w:top w:val="nil"/>
              <w:left w:val="single" w:sz="4" w:space="0" w:color="auto"/>
              <w:bottom w:val="nil"/>
              <w:right w:val="nil"/>
            </w:tcBorders>
            <w:noWrap/>
            <w:hideMark/>
          </w:tcPr>
          <w:p w14:paraId="0A24822C"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35A298A5"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1</w:t>
            </w:r>
          </w:p>
        </w:tc>
        <w:tc>
          <w:tcPr>
            <w:tcW w:w="679" w:type="dxa"/>
            <w:tcBorders>
              <w:top w:val="nil"/>
              <w:left w:val="nil"/>
              <w:bottom w:val="nil"/>
              <w:right w:val="nil"/>
            </w:tcBorders>
            <w:noWrap/>
            <w:hideMark/>
          </w:tcPr>
          <w:p w14:paraId="39C6B06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3</w:t>
            </w:r>
          </w:p>
        </w:tc>
        <w:tc>
          <w:tcPr>
            <w:tcW w:w="729" w:type="dxa"/>
            <w:tcBorders>
              <w:top w:val="nil"/>
              <w:left w:val="nil"/>
              <w:bottom w:val="nil"/>
              <w:right w:val="single" w:sz="4" w:space="0" w:color="auto"/>
            </w:tcBorders>
            <w:noWrap/>
            <w:hideMark/>
          </w:tcPr>
          <w:p w14:paraId="166B5889" w14:textId="77777777" w:rsidR="007B4B12" w:rsidRPr="0085566C" w:rsidRDefault="007B4B12" w:rsidP="00FD42FE">
            <w:pPr>
              <w:jc w:val="center"/>
              <w:rPr>
                <w:rFonts w:eastAsia="Times New Roman" w:cs="Times New Roman"/>
                <w:color w:val="000000"/>
                <w:sz w:val="18"/>
                <w:szCs w:val="18"/>
              </w:rPr>
            </w:pPr>
          </w:p>
        </w:tc>
        <w:tc>
          <w:tcPr>
            <w:tcW w:w="680" w:type="dxa"/>
            <w:gridSpan w:val="2"/>
            <w:tcBorders>
              <w:top w:val="nil"/>
              <w:left w:val="single" w:sz="4" w:space="0" w:color="auto"/>
              <w:bottom w:val="nil"/>
              <w:right w:val="nil"/>
            </w:tcBorders>
            <w:noWrap/>
            <w:hideMark/>
          </w:tcPr>
          <w:p w14:paraId="2F303AD0" w14:textId="77777777" w:rsidR="007B4B12" w:rsidRPr="0085566C" w:rsidRDefault="007B4B12" w:rsidP="00FD42FE">
            <w:pPr>
              <w:jc w:val="center"/>
              <w:rPr>
                <w:rFonts w:eastAsia="Times New Roman" w:cs="Times New Roman"/>
                <w:color w:val="000000"/>
                <w:sz w:val="18"/>
                <w:szCs w:val="18"/>
              </w:rPr>
            </w:pPr>
          </w:p>
        </w:tc>
        <w:tc>
          <w:tcPr>
            <w:tcW w:w="679" w:type="dxa"/>
            <w:tcBorders>
              <w:top w:val="nil"/>
              <w:left w:val="nil"/>
              <w:bottom w:val="nil"/>
              <w:right w:val="nil"/>
            </w:tcBorders>
            <w:noWrap/>
            <w:hideMark/>
          </w:tcPr>
          <w:p w14:paraId="684D1C7F" w14:textId="77777777" w:rsidR="007B4B12" w:rsidRPr="0085566C" w:rsidRDefault="007B4B12" w:rsidP="00FD42FE">
            <w:pPr>
              <w:jc w:val="center"/>
              <w:rPr>
                <w:rFonts w:eastAsia="Times New Roman" w:cs="Times New Roman"/>
                <w:color w:val="000000"/>
                <w:sz w:val="18"/>
                <w:szCs w:val="18"/>
              </w:rPr>
            </w:pPr>
            <w:r w:rsidRPr="0085566C">
              <w:rPr>
                <w:rFonts w:eastAsia="Times New Roman" w:cs="Times New Roman"/>
                <w:color w:val="000000"/>
                <w:sz w:val="18"/>
                <w:szCs w:val="18"/>
              </w:rPr>
              <w:t>6</w:t>
            </w:r>
          </w:p>
        </w:tc>
        <w:tc>
          <w:tcPr>
            <w:tcW w:w="679" w:type="dxa"/>
            <w:tcBorders>
              <w:top w:val="nil"/>
              <w:left w:val="nil"/>
              <w:bottom w:val="nil"/>
              <w:right w:val="nil"/>
            </w:tcBorders>
            <w:noWrap/>
            <w:hideMark/>
          </w:tcPr>
          <w:p w14:paraId="714B134B" w14:textId="77777777" w:rsidR="007B4B12" w:rsidRPr="0085566C" w:rsidRDefault="007B4B12" w:rsidP="00FD42FE">
            <w:pPr>
              <w:jc w:val="center"/>
              <w:rPr>
                <w:rFonts w:eastAsia="Times New Roman" w:cs="Times New Roman"/>
                <w:color w:val="000000"/>
                <w:sz w:val="18"/>
                <w:szCs w:val="18"/>
              </w:rPr>
            </w:pPr>
          </w:p>
        </w:tc>
        <w:tc>
          <w:tcPr>
            <w:tcW w:w="680" w:type="dxa"/>
            <w:tcBorders>
              <w:top w:val="nil"/>
              <w:left w:val="nil"/>
              <w:bottom w:val="nil"/>
              <w:right w:val="nil"/>
            </w:tcBorders>
            <w:noWrap/>
            <w:hideMark/>
          </w:tcPr>
          <w:p w14:paraId="6830184F" w14:textId="77777777" w:rsidR="007B4B12" w:rsidRPr="0085566C" w:rsidRDefault="007B4B12" w:rsidP="00FD42FE">
            <w:pPr>
              <w:jc w:val="center"/>
              <w:rPr>
                <w:rFonts w:eastAsia="Times New Roman" w:cs="Times New Roman"/>
                <w:color w:val="000000"/>
                <w:sz w:val="18"/>
                <w:szCs w:val="18"/>
              </w:rPr>
            </w:pPr>
          </w:p>
        </w:tc>
      </w:tr>
      <w:tr w:rsidR="007B4B12" w:rsidRPr="0085566C" w14:paraId="62BBCF90" w14:textId="77777777" w:rsidTr="00F716D3">
        <w:trPr>
          <w:trHeight w:val="20"/>
        </w:trPr>
        <w:tc>
          <w:tcPr>
            <w:tcW w:w="1417" w:type="dxa"/>
            <w:tcBorders>
              <w:top w:val="nil"/>
              <w:left w:val="nil"/>
              <w:bottom w:val="nil"/>
              <w:right w:val="nil"/>
            </w:tcBorders>
            <w:noWrap/>
            <w:hideMark/>
          </w:tcPr>
          <w:p w14:paraId="56CAEFC0" w14:textId="77777777" w:rsidR="007B4B12" w:rsidRPr="0085566C" w:rsidRDefault="007B4B12" w:rsidP="00FD42FE">
            <w:pPr>
              <w:rPr>
                <w:rFonts w:eastAsia="Times New Roman" w:cs="Times New Roman"/>
                <w:b/>
                <w:sz w:val="18"/>
                <w:szCs w:val="18"/>
              </w:rPr>
            </w:pPr>
            <w:r w:rsidRPr="0085566C">
              <w:rPr>
                <w:rFonts w:eastAsia="Times New Roman" w:cs="Times New Roman"/>
                <w:b/>
                <w:color w:val="000000"/>
                <w:sz w:val="18"/>
                <w:szCs w:val="18"/>
              </w:rPr>
              <w:t>PVE</w:t>
            </w:r>
          </w:p>
        </w:tc>
        <w:tc>
          <w:tcPr>
            <w:tcW w:w="679" w:type="dxa"/>
            <w:tcBorders>
              <w:top w:val="nil"/>
              <w:left w:val="nil"/>
              <w:bottom w:val="nil"/>
              <w:right w:val="nil"/>
            </w:tcBorders>
            <w:noWrap/>
            <w:hideMark/>
          </w:tcPr>
          <w:p w14:paraId="425C72E4"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0.04</w:t>
            </w:r>
          </w:p>
        </w:tc>
        <w:tc>
          <w:tcPr>
            <w:tcW w:w="679" w:type="dxa"/>
            <w:tcBorders>
              <w:top w:val="nil"/>
              <w:left w:val="nil"/>
              <w:bottom w:val="nil"/>
              <w:right w:val="nil"/>
            </w:tcBorders>
            <w:noWrap/>
            <w:hideMark/>
          </w:tcPr>
          <w:p w14:paraId="6FB05C02"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0.01</w:t>
            </w:r>
          </w:p>
        </w:tc>
        <w:tc>
          <w:tcPr>
            <w:tcW w:w="679" w:type="dxa"/>
            <w:tcBorders>
              <w:top w:val="nil"/>
              <w:left w:val="nil"/>
              <w:bottom w:val="nil"/>
              <w:right w:val="nil"/>
            </w:tcBorders>
            <w:noWrap/>
            <w:hideMark/>
          </w:tcPr>
          <w:p w14:paraId="5BC6A7FE"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0.01</w:t>
            </w:r>
          </w:p>
        </w:tc>
        <w:tc>
          <w:tcPr>
            <w:tcW w:w="776" w:type="dxa"/>
            <w:tcBorders>
              <w:top w:val="nil"/>
              <w:left w:val="nil"/>
              <w:bottom w:val="nil"/>
              <w:right w:val="single" w:sz="4" w:space="0" w:color="auto"/>
            </w:tcBorders>
            <w:noWrap/>
            <w:hideMark/>
          </w:tcPr>
          <w:p w14:paraId="6F27B16F"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-0.04</w:t>
            </w:r>
          </w:p>
        </w:tc>
        <w:tc>
          <w:tcPr>
            <w:tcW w:w="679" w:type="dxa"/>
            <w:tcBorders>
              <w:top w:val="nil"/>
              <w:left w:val="single" w:sz="4" w:space="0" w:color="auto"/>
              <w:bottom w:val="nil"/>
              <w:right w:val="nil"/>
            </w:tcBorders>
            <w:noWrap/>
            <w:hideMark/>
          </w:tcPr>
          <w:p w14:paraId="60CEDA52"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0.13</w:t>
            </w:r>
          </w:p>
        </w:tc>
        <w:tc>
          <w:tcPr>
            <w:tcW w:w="679" w:type="dxa"/>
            <w:tcBorders>
              <w:top w:val="nil"/>
              <w:left w:val="nil"/>
              <w:bottom w:val="nil"/>
              <w:right w:val="nil"/>
            </w:tcBorders>
            <w:noWrap/>
            <w:hideMark/>
          </w:tcPr>
          <w:p w14:paraId="7A9A6450"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0.05</w:t>
            </w:r>
          </w:p>
        </w:tc>
        <w:tc>
          <w:tcPr>
            <w:tcW w:w="679" w:type="dxa"/>
            <w:tcBorders>
              <w:top w:val="nil"/>
              <w:left w:val="nil"/>
              <w:bottom w:val="nil"/>
              <w:right w:val="nil"/>
            </w:tcBorders>
            <w:noWrap/>
            <w:hideMark/>
          </w:tcPr>
          <w:p w14:paraId="100739D1"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0.02</w:t>
            </w:r>
          </w:p>
        </w:tc>
        <w:tc>
          <w:tcPr>
            <w:tcW w:w="802" w:type="dxa"/>
            <w:tcBorders>
              <w:top w:val="nil"/>
              <w:left w:val="nil"/>
              <w:bottom w:val="nil"/>
              <w:right w:val="single" w:sz="4" w:space="0" w:color="auto"/>
            </w:tcBorders>
            <w:noWrap/>
            <w:hideMark/>
          </w:tcPr>
          <w:p w14:paraId="0041B802"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-0.06</w:t>
            </w:r>
          </w:p>
        </w:tc>
        <w:tc>
          <w:tcPr>
            <w:tcW w:w="751" w:type="dxa"/>
            <w:tcBorders>
              <w:top w:val="nil"/>
              <w:left w:val="single" w:sz="4" w:space="0" w:color="auto"/>
              <w:bottom w:val="nil"/>
              <w:right w:val="nil"/>
            </w:tcBorders>
            <w:noWrap/>
            <w:hideMark/>
          </w:tcPr>
          <w:p w14:paraId="743CD73A"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0.16</w:t>
            </w:r>
          </w:p>
        </w:tc>
        <w:tc>
          <w:tcPr>
            <w:tcW w:w="679" w:type="dxa"/>
            <w:tcBorders>
              <w:top w:val="nil"/>
              <w:left w:val="nil"/>
              <w:bottom w:val="nil"/>
              <w:right w:val="nil"/>
            </w:tcBorders>
            <w:noWrap/>
            <w:hideMark/>
          </w:tcPr>
          <w:p w14:paraId="5D19B63E"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0.13</w:t>
            </w:r>
          </w:p>
        </w:tc>
        <w:tc>
          <w:tcPr>
            <w:tcW w:w="679" w:type="dxa"/>
            <w:tcBorders>
              <w:top w:val="nil"/>
              <w:left w:val="nil"/>
              <w:bottom w:val="nil"/>
              <w:right w:val="nil"/>
            </w:tcBorders>
            <w:noWrap/>
            <w:hideMark/>
          </w:tcPr>
          <w:p w14:paraId="3E715F96"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0.08</w:t>
            </w:r>
          </w:p>
        </w:tc>
        <w:tc>
          <w:tcPr>
            <w:tcW w:w="729" w:type="dxa"/>
            <w:tcBorders>
              <w:top w:val="nil"/>
              <w:left w:val="nil"/>
              <w:bottom w:val="nil"/>
              <w:right w:val="single" w:sz="4" w:space="0" w:color="auto"/>
            </w:tcBorders>
            <w:noWrap/>
            <w:hideMark/>
          </w:tcPr>
          <w:p w14:paraId="1E6CC906"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w:t>
            </w:r>
          </w:p>
        </w:tc>
        <w:tc>
          <w:tcPr>
            <w:tcW w:w="680" w:type="dxa"/>
            <w:gridSpan w:val="2"/>
            <w:tcBorders>
              <w:top w:val="nil"/>
              <w:left w:val="single" w:sz="4" w:space="0" w:color="auto"/>
              <w:bottom w:val="nil"/>
              <w:right w:val="nil"/>
            </w:tcBorders>
            <w:noWrap/>
            <w:hideMark/>
          </w:tcPr>
          <w:p w14:paraId="4E68A240"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0.26</w:t>
            </w:r>
          </w:p>
        </w:tc>
        <w:tc>
          <w:tcPr>
            <w:tcW w:w="679" w:type="dxa"/>
            <w:tcBorders>
              <w:top w:val="nil"/>
              <w:left w:val="nil"/>
              <w:bottom w:val="nil"/>
              <w:right w:val="nil"/>
            </w:tcBorders>
            <w:noWrap/>
            <w:hideMark/>
          </w:tcPr>
          <w:p w14:paraId="1F255E7F"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0.25</w:t>
            </w:r>
          </w:p>
        </w:tc>
        <w:tc>
          <w:tcPr>
            <w:tcW w:w="679" w:type="dxa"/>
            <w:tcBorders>
              <w:top w:val="nil"/>
              <w:left w:val="nil"/>
              <w:bottom w:val="nil"/>
              <w:right w:val="nil"/>
            </w:tcBorders>
            <w:noWrap/>
            <w:hideMark/>
          </w:tcPr>
          <w:p w14:paraId="77A70187"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0.25</w:t>
            </w:r>
          </w:p>
        </w:tc>
        <w:tc>
          <w:tcPr>
            <w:tcW w:w="680" w:type="dxa"/>
            <w:tcBorders>
              <w:top w:val="nil"/>
              <w:left w:val="nil"/>
              <w:bottom w:val="nil"/>
              <w:right w:val="nil"/>
            </w:tcBorders>
            <w:noWrap/>
            <w:hideMark/>
          </w:tcPr>
          <w:p w14:paraId="5CF29E9D" w14:textId="77777777" w:rsidR="007B4B12" w:rsidRPr="0085566C" w:rsidRDefault="007B4B12" w:rsidP="00FD42FE">
            <w:pPr>
              <w:jc w:val="center"/>
              <w:rPr>
                <w:rFonts w:eastAsia="Times New Roman" w:cs="Times New Roman"/>
                <w:b/>
                <w:sz w:val="18"/>
                <w:szCs w:val="18"/>
              </w:rPr>
            </w:pPr>
            <w:r w:rsidRPr="0085566C">
              <w:rPr>
                <w:rFonts w:eastAsia="Times New Roman" w:cs="Times New Roman"/>
                <w:b/>
                <w:color w:val="000000"/>
                <w:sz w:val="18"/>
                <w:szCs w:val="18"/>
              </w:rPr>
              <w:t>0.05</w:t>
            </w:r>
          </w:p>
        </w:tc>
      </w:tr>
    </w:tbl>
    <w:p w14:paraId="5A16C20B" w14:textId="77777777" w:rsidR="007B4B12" w:rsidRDefault="007B4B12" w:rsidP="007B4B12">
      <w:pPr>
        <w:contextualSpacing/>
        <w:jc w:val="both"/>
        <w:rPr>
          <w:rFonts w:cs="Times New Roman"/>
          <w:szCs w:val="24"/>
        </w:rPr>
        <w:sectPr w:rsidR="007B4B12" w:rsidSect="00F716D3">
          <w:pgSz w:w="15840" w:h="12240" w:orient="landscape"/>
          <w:pgMar w:top="1440" w:right="1440" w:bottom="1440" w:left="1440" w:header="720" w:footer="720" w:gutter="0"/>
          <w:cols w:space="720"/>
          <w:docGrid w:linePitch="360"/>
        </w:sectPr>
      </w:pPr>
    </w:p>
    <w:p w14:paraId="361F0E11" w14:textId="5B6C0D20" w:rsidR="007B4B12" w:rsidRPr="00934556" w:rsidRDefault="00934556" w:rsidP="00934556">
      <w:pPr>
        <w:pStyle w:val="Caption"/>
        <w:keepNext/>
      </w:pPr>
      <w:bookmarkStart w:id="58" w:name="_Toc60480689"/>
      <w:bookmarkStart w:id="59" w:name="_Toc61883054"/>
      <w:r>
        <w:lastRenderedPageBreak/>
        <w:t>Table</w:t>
      </w:r>
      <w:r w:rsidR="00B06ABD">
        <w:rPr>
          <w:rFonts w:cs="Times New Roman"/>
          <w:szCs w:val="24"/>
        </w:rPr>
        <w:t xml:space="preserve"> </w:t>
      </w:r>
      <w:r w:rsidR="007B4B12">
        <w:rPr>
          <w:rFonts w:cs="Times New Roman"/>
          <w:szCs w:val="24"/>
        </w:rPr>
        <w:t>S</w:t>
      </w:r>
      <w:r w:rsidR="00B06ABD">
        <w:rPr>
          <w:rFonts w:cs="Times New Roman"/>
          <w:szCs w:val="24"/>
        </w:rPr>
        <w:t>2.3.</w:t>
      </w:r>
      <w:r w:rsidR="007B4B12">
        <w:rPr>
          <w:rFonts w:cs="Times New Roman"/>
          <w:szCs w:val="24"/>
        </w:rPr>
        <w:t xml:space="preserve"> Prior distributions for Bayesian regression models. Mean and standard deviation for proportional data are logit transformed.</w:t>
      </w:r>
      <w:r w:rsidR="007B4B12" w:rsidRPr="00E610D6">
        <w:rPr>
          <w:rFonts w:cs="Times New Roman"/>
          <w:szCs w:val="24"/>
        </w:rPr>
        <w:t xml:space="preserve"> </w:t>
      </w:r>
      <w:r w:rsidR="007B4B12">
        <w:rPr>
          <w:rFonts w:cs="Times New Roman"/>
          <w:szCs w:val="24"/>
        </w:rPr>
        <w:t xml:space="preserve">Trait abbreviations are: FDH = Female Dispersal (High), BSL = Body Size (Large), LSL = Life Span (Long), FSS= Flight Strength (Strong); ESP = Emergence Synchrony Poor; DSF = Development Speed (Fast) and VOM = </w:t>
      </w:r>
      <w:proofErr w:type="spellStart"/>
      <w:r w:rsidR="007B4B12">
        <w:rPr>
          <w:rFonts w:cs="Times New Roman"/>
          <w:szCs w:val="24"/>
        </w:rPr>
        <w:t>Voltinism</w:t>
      </w:r>
      <w:proofErr w:type="spellEnd"/>
      <w:r w:rsidR="007B4B12">
        <w:rPr>
          <w:rFonts w:cs="Times New Roman"/>
          <w:szCs w:val="24"/>
        </w:rPr>
        <w:t xml:space="preserve"> (Multi); Trait definitions are provided in Table 1</w:t>
      </w:r>
      <w:bookmarkEnd w:id="58"/>
      <w:bookmarkEnd w:id="59"/>
    </w:p>
    <w:p w14:paraId="606B757F" w14:textId="77777777" w:rsidR="007B4B12" w:rsidRDefault="007B4B12" w:rsidP="007B4B12">
      <w:pPr>
        <w:contextualSpacing/>
        <w:rPr>
          <w:rFonts w:cs="Times New Roman"/>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971"/>
        <w:gridCol w:w="1710"/>
      </w:tblGrid>
      <w:tr w:rsidR="007B4B12" w14:paraId="38D0F8DD" w14:textId="77777777" w:rsidTr="006A3CAB">
        <w:trPr>
          <w:jc w:val="center"/>
        </w:trPr>
        <w:tc>
          <w:tcPr>
            <w:tcW w:w="1549" w:type="dxa"/>
            <w:tcBorders>
              <w:bottom w:val="single" w:sz="4" w:space="0" w:color="auto"/>
            </w:tcBorders>
            <w:vAlign w:val="center"/>
          </w:tcPr>
          <w:p w14:paraId="15876261" w14:textId="77777777" w:rsidR="007B4B12" w:rsidRDefault="007B4B12" w:rsidP="00FD42FE">
            <w:pPr>
              <w:contextualSpacing/>
              <w:rPr>
                <w:rFonts w:cs="Times New Roman"/>
                <w:szCs w:val="24"/>
              </w:rPr>
            </w:pPr>
            <w:r>
              <w:rPr>
                <w:rFonts w:cs="Times New Roman"/>
                <w:szCs w:val="24"/>
              </w:rPr>
              <w:t xml:space="preserve">Subsidy Characteristic </w:t>
            </w:r>
          </w:p>
        </w:tc>
        <w:tc>
          <w:tcPr>
            <w:tcW w:w="971" w:type="dxa"/>
            <w:tcBorders>
              <w:bottom w:val="single" w:sz="4" w:space="0" w:color="auto"/>
            </w:tcBorders>
            <w:vAlign w:val="center"/>
          </w:tcPr>
          <w:p w14:paraId="05D5E388" w14:textId="77777777" w:rsidR="007B4B12" w:rsidRDefault="007B4B12" w:rsidP="00FD42FE">
            <w:pPr>
              <w:contextualSpacing/>
              <w:rPr>
                <w:rFonts w:cs="Times New Roman"/>
                <w:szCs w:val="24"/>
              </w:rPr>
            </w:pPr>
            <w:r>
              <w:rPr>
                <w:rFonts w:cs="Times New Roman"/>
                <w:szCs w:val="24"/>
              </w:rPr>
              <w:t>Trait</w:t>
            </w:r>
          </w:p>
        </w:tc>
        <w:tc>
          <w:tcPr>
            <w:tcW w:w="1710" w:type="dxa"/>
            <w:tcBorders>
              <w:bottom w:val="single" w:sz="4" w:space="0" w:color="auto"/>
            </w:tcBorders>
          </w:tcPr>
          <w:p w14:paraId="79868609" w14:textId="77777777" w:rsidR="007B4B12" w:rsidRDefault="007B4B12" w:rsidP="00FD42FE">
            <w:pPr>
              <w:contextualSpacing/>
              <w:rPr>
                <w:rFonts w:cs="Times New Roman"/>
                <w:szCs w:val="24"/>
              </w:rPr>
            </w:pPr>
            <w:r>
              <w:rPr>
                <w:rFonts w:cs="Times New Roman"/>
                <w:szCs w:val="24"/>
              </w:rPr>
              <w:t>Prior Information</w:t>
            </w:r>
          </w:p>
        </w:tc>
      </w:tr>
      <w:tr w:rsidR="007B4B12" w:rsidRPr="00DD667B" w14:paraId="14190A88" w14:textId="77777777" w:rsidTr="006A3CAB">
        <w:trPr>
          <w:trHeight w:val="80"/>
          <w:jc w:val="center"/>
        </w:trPr>
        <w:tc>
          <w:tcPr>
            <w:tcW w:w="1549" w:type="dxa"/>
            <w:tcBorders>
              <w:top w:val="single" w:sz="4" w:space="0" w:color="auto"/>
            </w:tcBorders>
          </w:tcPr>
          <w:p w14:paraId="43E7F7D9" w14:textId="77777777" w:rsidR="007B4B12" w:rsidRPr="00DD667B" w:rsidRDefault="007B4B12" w:rsidP="00FD42FE">
            <w:pPr>
              <w:contextualSpacing/>
              <w:rPr>
                <w:rFonts w:cs="Times New Roman"/>
                <w:szCs w:val="24"/>
              </w:rPr>
            </w:pPr>
            <w:r w:rsidRPr="00DD667B">
              <w:rPr>
                <w:rFonts w:cs="Times New Roman"/>
                <w:szCs w:val="24"/>
              </w:rPr>
              <w:t>Supply</w:t>
            </w:r>
          </w:p>
        </w:tc>
        <w:tc>
          <w:tcPr>
            <w:tcW w:w="971" w:type="dxa"/>
            <w:tcBorders>
              <w:top w:val="single" w:sz="4" w:space="0" w:color="auto"/>
            </w:tcBorders>
          </w:tcPr>
          <w:p w14:paraId="351C1733" w14:textId="77777777" w:rsidR="007B4B12" w:rsidRPr="00DD667B" w:rsidRDefault="007B4B12" w:rsidP="00FD42FE">
            <w:pPr>
              <w:contextualSpacing/>
              <w:rPr>
                <w:rFonts w:cs="Times New Roman"/>
                <w:szCs w:val="24"/>
              </w:rPr>
            </w:pPr>
            <w:r w:rsidRPr="00DD667B">
              <w:rPr>
                <w:rFonts w:cs="Times New Roman"/>
                <w:szCs w:val="24"/>
              </w:rPr>
              <w:t xml:space="preserve">Flying </w:t>
            </w:r>
          </w:p>
        </w:tc>
        <w:tc>
          <w:tcPr>
            <w:tcW w:w="1710" w:type="dxa"/>
            <w:tcBorders>
              <w:top w:val="single" w:sz="4" w:space="0" w:color="auto"/>
            </w:tcBorders>
          </w:tcPr>
          <w:p w14:paraId="11B2D16D" w14:textId="77777777" w:rsidR="007B4B12" w:rsidRPr="00DD667B" w:rsidRDefault="007B4B12" w:rsidP="00FD42FE">
            <w:pPr>
              <w:contextualSpacing/>
              <w:rPr>
                <w:rFonts w:cs="Times New Roman"/>
                <w:szCs w:val="24"/>
              </w:rPr>
            </w:pPr>
            <w:r>
              <w:rPr>
                <w:rFonts w:cs="Times New Roman"/>
                <w:szCs w:val="24"/>
              </w:rPr>
              <w:t>N(0.85, -1.45)</w:t>
            </w:r>
          </w:p>
        </w:tc>
      </w:tr>
      <w:tr w:rsidR="007B4B12" w:rsidRPr="00DD667B" w14:paraId="391C84F2" w14:textId="77777777" w:rsidTr="006A3CAB">
        <w:trPr>
          <w:trHeight w:val="80"/>
          <w:jc w:val="center"/>
        </w:trPr>
        <w:tc>
          <w:tcPr>
            <w:tcW w:w="1549" w:type="dxa"/>
            <w:vMerge w:val="restart"/>
          </w:tcPr>
          <w:p w14:paraId="1FB5C545" w14:textId="77777777" w:rsidR="007B4B12" w:rsidRPr="00DD667B" w:rsidRDefault="007B4B12" w:rsidP="00FD42FE">
            <w:pPr>
              <w:contextualSpacing/>
              <w:rPr>
                <w:rFonts w:cs="Times New Roman"/>
                <w:szCs w:val="24"/>
              </w:rPr>
            </w:pPr>
            <w:r w:rsidRPr="00DD667B">
              <w:rPr>
                <w:rFonts w:cs="Times New Roman"/>
                <w:szCs w:val="24"/>
              </w:rPr>
              <w:t>Extent</w:t>
            </w:r>
          </w:p>
        </w:tc>
        <w:tc>
          <w:tcPr>
            <w:tcW w:w="971" w:type="dxa"/>
          </w:tcPr>
          <w:p w14:paraId="1B5DB4F2" w14:textId="77777777" w:rsidR="007B4B12" w:rsidRPr="00DD667B" w:rsidRDefault="007B4B12" w:rsidP="00FD42FE">
            <w:pPr>
              <w:contextualSpacing/>
              <w:rPr>
                <w:rFonts w:cs="Times New Roman"/>
                <w:szCs w:val="24"/>
              </w:rPr>
            </w:pPr>
            <w:r>
              <w:rPr>
                <w:rFonts w:cs="Times New Roman"/>
                <w:szCs w:val="24"/>
              </w:rPr>
              <w:t>SS25</w:t>
            </w:r>
          </w:p>
        </w:tc>
        <w:tc>
          <w:tcPr>
            <w:tcW w:w="1710" w:type="dxa"/>
          </w:tcPr>
          <w:p w14:paraId="74F36953" w14:textId="77777777" w:rsidR="007B4B12" w:rsidRPr="00DD667B" w:rsidRDefault="007B4B12" w:rsidP="00FD42FE">
            <w:pPr>
              <w:contextualSpacing/>
              <w:rPr>
                <w:rFonts w:cs="Times New Roman"/>
                <w:szCs w:val="24"/>
              </w:rPr>
            </w:pPr>
            <w:r>
              <w:rPr>
                <w:rFonts w:cs="Times New Roman"/>
                <w:szCs w:val="24"/>
              </w:rPr>
              <w:t>N(21.5, 18)</w:t>
            </w:r>
          </w:p>
        </w:tc>
      </w:tr>
      <w:tr w:rsidR="007B4B12" w:rsidRPr="00DD667B" w14:paraId="76099D2E" w14:textId="77777777" w:rsidTr="006A3CAB">
        <w:trPr>
          <w:trHeight w:val="80"/>
          <w:jc w:val="center"/>
        </w:trPr>
        <w:tc>
          <w:tcPr>
            <w:tcW w:w="1549" w:type="dxa"/>
            <w:vMerge/>
          </w:tcPr>
          <w:p w14:paraId="1625120E" w14:textId="77777777" w:rsidR="007B4B12" w:rsidRPr="00DD667B" w:rsidRDefault="007B4B12" w:rsidP="00FD42FE">
            <w:pPr>
              <w:contextualSpacing/>
              <w:rPr>
                <w:rFonts w:cs="Times New Roman"/>
                <w:szCs w:val="24"/>
              </w:rPr>
            </w:pPr>
          </w:p>
        </w:tc>
        <w:tc>
          <w:tcPr>
            <w:tcW w:w="971" w:type="dxa"/>
          </w:tcPr>
          <w:p w14:paraId="27326A45" w14:textId="77777777" w:rsidR="007B4B12" w:rsidRPr="00DD667B" w:rsidRDefault="007B4B12" w:rsidP="00FD42FE">
            <w:pPr>
              <w:contextualSpacing/>
              <w:rPr>
                <w:rFonts w:cs="Times New Roman"/>
                <w:szCs w:val="24"/>
              </w:rPr>
            </w:pPr>
            <w:r w:rsidRPr="00DD667B">
              <w:rPr>
                <w:rFonts w:cs="Times New Roman"/>
                <w:szCs w:val="24"/>
              </w:rPr>
              <w:t>BSL</w:t>
            </w:r>
          </w:p>
        </w:tc>
        <w:tc>
          <w:tcPr>
            <w:tcW w:w="1710" w:type="dxa"/>
          </w:tcPr>
          <w:p w14:paraId="5423A1F9" w14:textId="77777777" w:rsidR="007B4B12" w:rsidRPr="00DD667B" w:rsidRDefault="007B4B12" w:rsidP="00FD42FE">
            <w:pPr>
              <w:contextualSpacing/>
              <w:rPr>
                <w:rFonts w:cs="Times New Roman"/>
                <w:szCs w:val="24"/>
              </w:rPr>
            </w:pPr>
            <w:r>
              <w:rPr>
                <w:rFonts w:cs="Times New Roman"/>
                <w:szCs w:val="24"/>
              </w:rPr>
              <w:t>N(-2.44, -2.59)</w:t>
            </w:r>
          </w:p>
        </w:tc>
      </w:tr>
      <w:tr w:rsidR="007B4B12" w:rsidRPr="00DD667B" w14:paraId="7F7A4ED1" w14:textId="77777777" w:rsidTr="006A3CAB">
        <w:trPr>
          <w:trHeight w:val="80"/>
          <w:jc w:val="center"/>
        </w:trPr>
        <w:tc>
          <w:tcPr>
            <w:tcW w:w="1549" w:type="dxa"/>
            <w:vMerge/>
          </w:tcPr>
          <w:p w14:paraId="69DFD1BD" w14:textId="77777777" w:rsidR="007B4B12" w:rsidRPr="00DD667B" w:rsidRDefault="007B4B12" w:rsidP="00FD42FE">
            <w:pPr>
              <w:contextualSpacing/>
              <w:rPr>
                <w:rFonts w:cs="Times New Roman"/>
                <w:szCs w:val="24"/>
              </w:rPr>
            </w:pPr>
          </w:p>
        </w:tc>
        <w:tc>
          <w:tcPr>
            <w:tcW w:w="971" w:type="dxa"/>
          </w:tcPr>
          <w:p w14:paraId="4A7E2C61" w14:textId="77777777" w:rsidR="007B4B12" w:rsidRPr="00DD667B" w:rsidRDefault="007B4B12" w:rsidP="00FD42FE">
            <w:pPr>
              <w:contextualSpacing/>
              <w:rPr>
                <w:rFonts w:cs="Times New Roman"/>
                <w:szCs w:val="24"/>
              </w:rPr>
            </w:pPr>
            <w:r w:rsidRPr="00DD667B">
              <w:rPr>
                <w:rFonts w:cs="Times New Roman"/>
                <w:szCs w:val="24"/>
              </w:rPr>
              <w:t>LSL</w:t>
            </w:r>
          </w:p>
        </w:tc>
        <w:tc>
          <w:tcPr>
            <w:tcW w:w="1710" w:type="dxa"/>
          </w:tcPr>
          <w:p w14:paraId="65797494" w14:textId="77777777" w:rsidR="007B4B12" w:rsidRPr="00DD667B" w:rsidRDefault="007B4B12" w:rsidP="00FD42FE">
            <w:pPr>
              <w:contextualSpacing/>
              <w:rPr>
                <w:rFonts w:cs="Times New Roman"/>
                <w:szCs w:val="24"/>
              </w:rPr>
            </w:pPr>
            <w:r>
              <w:rPr>
                <w:rFonts w:cs="Times New Roman"/>
                <w:szCs w:val="24"/>
              </w:rPr>
              <w:t>N(-1.90, -1.82)</w:t>
            </w:r>
          </w:p>
        </w:tc>
      </w:tr>
      <w:tr w:rsidR="007B4B12" w:rsidRPr="00DD667B" w14:paraId="4EC8ACAB" w14:textId="77777777" w:rsidTr="006A3CAB">
        <w:trPr>
          <w:trHeight w:val="80"/>
          <w:jc w:val="center"/>
        </w:trPr>
        <w:tc>
          <w:tcPr>
            <w:tcW w:w="1549" w:type="dxa"/>
            <w:vMerge/>
          </w:tcPr>
          <w:p w14:paraId="122EAE33" w14:textId="77777777" w:rsidR="007B4B12" w:rsidRPr="00DD667B" w:rsidRDefault="007B4B12" w:rsidP="00FD42FE">
            <w:pPr>
              <w:contextualSpacing/>
              <w:rPr>
                <w:rFonts w:cs="Times New Roman"/>
                <w:szCs w:val="24"/>
              </w:rPr>
            </w:pPr>
          </w:p>
        </w:tc>
        <w:tc>
          <w:tcPr>
            <w:tcW w:w="971" w:type="dxa"/>
          </w:tcPr>
          <w:p w14:paraId="23DDA130" w14:textId="77777777" w:rsidR="007B4B12" w:rsidRPr="00DD667B" w:rsidRDefault="007B4B12" w:rsidP="00FD42FE">
            <w:pPr>
              <w:contextualSpacing/>
              <w:rPr>
                <w:rFonts w:cs="Times New Roman"/>
                <w:szCs w:val="24"/>
              </w:rPr>
            </w:pPr>
            <w:r w:rsidRPr="00DD667B">
              <w:rPr>
                <w:rFonts w:cs="Times New Roman"/>
                <w:szCs w:val="24"/>
              </w:rPr>
              <w:t>FDH</w:t>
            </w:r>
          </w:p>
        </w:tc>
        <w:tc>
          <w:tcPr>
            <w:tcW w:w="1710" w:type="dxa"/>
          </w:tcPr>
          <w:p w14:paraId="087D6CEE" w14:textId="77777777" w:rsidR="007B4B12" w:rsidRPr="00DD667B" w:rsidRDefault="007B4B12" w:rsidP="00FD42FE">
            <w:pPr>
              <w:contextualSpacing/>
              <w:rPr>
                <w:rFonts w:cs="Times New Roman"/>
                <w:szCs w:val="24"/>
              </w:rPr>
            </w:pPr>
            <w:r>
              <w:rPr>
                <w:rFonts w:cs="Times New Roman"/>
                <w:szCs w:val="24"/>
              </w:rPr>
              <w:t>N(0.28, -1.15)</w:t>
            </w:r>
          </w:p>
        </w:tc>
      </w:tr>
      <w:tr w:rsidR="007B4B12" w:rsidRPr="00DD667B" w14:paraId="571BDDE2" w14:textId="77777777" w:rsidTr="006A3CAB">
        <w:trPr>
          <w:trHeight w:val="117"/>
          <w:jc w:val="center"/>
        </w:trPr>
        <w:tc>
          <w:tcPr>
            <w:tcW w:w="1549" w:type="dxa"/>
            <w:vMerge/>
          </w:tcPr>
          <w:p w14:paraId="0394FD88" w14:textId="77777777" w:rsidR="007B4B12" w:rsidRPr="00DD667B" w:rsidRDefault="007B4B12" w:rsidP="00FD42FE">
            <w:pPr>
              <w:contextualSpacing/>
              <w:rPr>
                <w:rFonts w:cs="Times New Roman"/>
                <w:szCs w:val="24"/>
              </w:rPr>
            </w:pPr>
          </w:p>
        </w:tc>
        <w:tc>
          <w:tcPr>
            <w:tcW w:w="971" w:type="dxa"/>
          </w:tcPr>
          <w:p w14:paraId="05CF02FB" w14:textId="77777777" w:rsidR="007B4B12" w:rsidRPr="00DD667B" w:rsidRDefault="007B4B12" w:rsidP="00FD42FE">
            <w:pPr>
              <w:contextualSpacing/>
              <w:rPr>
                <w:rFonts w:cs="Times New Roman"/>
                <w:szCs w:val="24"/>
              </w:rPr>
            </w:pPr>
            <w:r w:rsidRPr="00DD667B">
              <w:rPr>
                <w:rFonts w:cs="Times New Roman"/>
                <w:szCs w:val="24"/>
              </w:rPr>
              <w:t>FSS</w:t>
            </w:r>
          </w:p>
        </w:tc>
        <w:tc>
          <w:tcPr>
            <w:tcW w:w="1710" w:type="dxa"/>
          </w:tcPr>
          <w:p w14:paraId="71B20FFA" w14:textId="77777777" w:rsidR="007B4B12" w:rsidRPr="00DD667B" w:rsidRDefault="007B4B12" w:rsidP="00FD42FE">
            <w:pPr>
              <w:contextualSpacing/>
              <w:rPr>
                <w:rFonts w:cs="Times New Roman"/>
                <w:szCs w:val="24"/>
              </w:rPr>
            </w:pPr>
            <w:r>
              <w:rPr>
                <w:rFonts w:cs="Times New Roman"/>
                <w:szCs w:val="24"/>
              </w:rPr>
              <w:t>N(-1.66, -1.39)</w:t>
            </w:r>
          </w:p>
        </w:tc>
      </w:tr>
      <w:tr w:rsidR="007B4B12" w:rsidRPr="00DD667B" w14:paraId="1E8ACE06" w14:textId="77777777" w:rsidTr="006A3CAB">
        <w:trPr>
          <w:trHeight w:val="80"/>
          <w:jc w:val="center"/>
        </w:trPr>
        <w:tc>
          <w:tcPr>
            <w:tcW w:w="1549" w:type="dxa"/>
            <w:vMerge w:val="restart"/>
          </w:tcPr>
          <w:p w14:paraId="631C0EE0" w14:textId="77777777" w:rsidR="007B4B12" w:rsidRPr="00DD667B" w:rsidRDefault="007B4B12" w:rsidP="00FD42FE">
            <w:pPr>
              <w:contextualSpacing/>
              <w:rPr>
                <w:rFonts w:cs="Times New Roman"/>
                <w:szCs w:val="24"/>
              </w:rPr>
            </w:pPr>
            <w:r>
              <w:rPr>
                <w:rFonts w:cs="Times New Roman"/>
                <w:szCs w:val="24"/>
              </w:rPr>
              <w:t>Duration</w:t>
            </w:r>
          </w:p>
        </w:tc>
        <w:tc>
          <w:tcPr>
            <w:tcW w:w="971" w:type="dxa"/>
          </w:tcPr>
          <w:p w14:paraId="4673972B" w14:textId="77777777" w:rsidR="007B4B12" w:rsidRPr="00DD667B" w:rsidRDefault="007B4B12" w:rsidP="00FD42FE">
            <w:pPr>
              <w:contextualSpacing/>
              <w:rPr>
                <w:rFonts w:cs="Times New Roman"/>
                <w:szCs w:val="24"/>
              </w:rPr>
            </w:pPr>
            <w:r w:rsidRPr="00DD667B">
              <w:rPr>
                <w:rFonts w:cs="Times New Roman"/>
                <w:szCs w:val="24"/>
              </w:rPr>
              <w:t>DSF</w:t>
            </w:r>
          </w:p>
        </w:tc>
        <w:tc>
          <w:tcPr>
            <w:tcW w:w="1710" w:type="dxa"/>
          </w:tcPr>
          <w:p w14:paraId="5B7B26C2" w14:textId="77777777" w:rsidR="007B4B12" w:rsidRPr="00DD667B" w:rsidRDefault="007B4B12" w:rsidP="00FD42FE">
            <w:pPr>
              <w:contextualSpacing/>
              <w:rPr>
                <w:rFonts w:cs="Times New Roman"/>
                <w:szCs w:val="24"/>
              </w:rPr>
            </w:pPr>
            <w:r>
              <w:rPr>
                <w:rFonts w:cs="Times New Roman"/>
                <w:szCs w:val="24"/>
              </w:rPr>
              <w:t>N(1.52, -1.59)</w:t>
            </w:r>
          </w:p>
        </w:tc>
      </w:tr>
      <w:tr w:rsidR="007B4B12" w:rsidRPr="00DD667B" w14:paraId="3A6A43E0" w14:textId="77777777" w:rsidTr="006A3CAB">
        <w:trPr>
          <w:trHeight w:val="90"/>
          <w:jc w:val="center"/>
        </w:trPr>
        <w:tc>
          <w:tcPr>
            <w:tcW w:w="1549" w:type="dxa"/>
            <w:vMerge/>
          </w:tcPr>
          <w:p w14:paraId="4E0E8516" w14:textId="77777777" w:rsidR="007B4B12" w:rsidRPr="00DD667B" w:rsidRDefault="007B4B12" w:rsidP="00FD42FE">
            <w:pPr>
              <w:contextualSpacing/>
              <w:rPr>
                <w:rFonts w:cs="Times New Roman"/>
                <w:szCs w:val="24"/>
              </w:rPr>
            </w:pPr>
          </w:p>
        </w:tc>
        <w:tc>
          <w:tcPr>
            <w:tcW w:w="971" w:type="dxa"/>
          </w:tcPr>
          <w:p w14:paraId="1E146CB8" w14:textId="77777777" w:rsidR="007B4B12" w:rsidRPr="00DD667B" w:rsidRDefault="007B4B12" w:rsidP="00FD42FE">
            <w:pPr>
              <w:contextualSpacing/>
              <w:rPr>
                <w:rFonts w:cs="Times New Roman"/>
                <w:szCs w:val="24"/>
              </w:rPr>
            </w:pPr>
            <w:r w:rsidRPr="00DD667B">
              <w:rPr>
                <w:rFonts w:cs="Times New Roman"/>
                <w:szCs w:val="24"/>
              </w:rPr>
              <w:t>VOM</w:t>
            </w:r>
          </w:p>
        </w:tc>
        <w:tc>
          <w:tcPr>
            <w:tcW w:w="1710" w:type="dxa"/>
          </w:tcPr>
          <w:p w14:paraId="109B8C83" w14:textId="77777777" w:rsidR="007B4B12" w:rsidRPr="00DD667B" w:rsidRDefault="007B4B12" w:rsidP="00FD42FE">
            <w:pPr>
              <w:contextualSpacing/>
              <w:rPr>
                <w:rFonts w:cs="Times New Roman"/>
                <w:szCs w:val="24"/>
              </w:rPr>
            </w:pPr>
            <w:r>
              <w:rPr>
                <w:rFonts w:cs="Times New Roman"/>
                <w:szCs w:val="24"/>
              </w:rPr>
              <w:t>N(-0.58, -1.39)</w:t>
            </w:r>
          </w:p>
        </w:tc>
      </w:tr>
      <w:tr w:rsidR="007B4B12" w:rsidRPr="00DD667B" w14:paraId="4D175E32" w14:textId="77777777" w:rsidTr="006A3CAB">
        <w:trPr>
          <w:trHeight w:val="552"/>
          <w:jc w:val="center"/>
        </w:trPr>
        <w:tc>
          <w:tcPr>
            <w:tcW w:w="1549" w:type="dxa"/>
            <w:vMerge/>
          </w:tcPr>
          <w:p w14:paraId="19BAAA64" w14:textId="77777777" w:rsidR="007B4B12" w:rsidRPr="00DD667B" w:rsidRDefault="007B4B12" w:rsidP="00FD42FE">
            <w:pPr>
              <w:contextualSpacing/>
              <w:rPr>
                <w:rFonts w:cs="Times New Roman"/>
                <w:szCs w:val="24"/>
              </w:rPr>
            </w:pPr>
          </w:p>
        </w:tc>
        <w:tc>
          <w:tcPr>
            <w:tcW w:w="971" w:type="dxa"/>
          </w:tcPr>
          <w:p w14:paraId="292772C8" w14:textId="77777777" w:rsidR="007B4B12" w:rsidRPr="00DD667B" w:rsidRDefault="007B4B12" w:rsidP="00FD42FE">
            <w:pPr>
              <w:contextualSpacing/>
              <w:rPr>
                <w:rFonts w:cs="Times New Roman"/>
                <w:szCs w:val="24"/>
              </w:rPr>
            </w:pPr>
            <w:r w:rsidRPr="00DD667B">
              <w:rPr>
                <w:rFonts w:cs="Times New Roman"/>
                <w:szCs w:val="24"/>
              </w:rPr>
              <w:t>ESP</w:t>
            </w:r>
          </w:p>
        </w:tc>
        <w:tc>
          <w:tcPr>
            <w:tcW w:w="1710" w:type="dxa"/>
          </w:tcPr>
          <w:p w14:paraId="696B1BD3" w14:textId="77777777" w:rsidR="007B4B12" w:rsidRPr="00DD667B" w:rsidRDefault="007B4B12" w:rsidP="00FD42FE">
            <w:pPr>
              <w:contextualSpacing/>
              <w:rPr>
                <w:rFonts w:cs="Times New Roman"/>
                <w:szCs w:val="24"/>
              </w:rPr>
            </w:pPr>
            <w:r>
              <w:rPr>
                <w:rFonts w:cs="Times New Roman"/>
                <w:szCs w:val="24"/>
              </w:rPr>
              <w:t>N(-1.45, -1.73)</w:t>
            </w:r>
          </w:p>
        </w:tc>
      </w:tr>
    </w:tbl>
    <w:p w14:paraId="14857743" w14:textId="77777777" w:rsidR="007B4B12" w:rsidRDefault="007B4B12" w:rsidP="007B4B12">
      <w:pPr>
        <w:spacing w:line="240" w:lineRule="auto"/>
        <w:contextualSpacing/>
        <w:rPr>
          <w:rFonts w:cs="Times New Roman"/>
          <w:szCs w:val="24"/>
        </w:rPr>
      </w:pPr>
    </w:p>
    <w:p w14:paraId="5F3D09AC" w14:textId="67C4BFFB" w:rsidR="007B4B12" w:rsidRPr="00934556" w:rsidRDefault="00934556" w:rsidP="00934556">
      <w:pPr>
        <w:pStyle w:val="Caption"/>
        <w:keepNext/>
      </w:pPr>
      <w:bookmarkStart w:id="60" w:name="_Toc60480690"/>
      <w:bookmarkStart w:id="61" w:name="_Toc61883055"/>
      <w:r>
        <w:t>Table</w:t>
      </w:r>
      <w:r w:rsidR="00B06ABD">
        <w:rPr>
          <w:rFonts w:cs="Times New Roman"/>
          <w:szCs w:val="24"/>
        </w:rPr>
        <w:t xml:space="preserve"> </w:t>
      </w:r>
      <w:r w:rsidR="007B4B12">
        <w:rPr>
          <w:rFonts w:cs="Times New Roman"/>
          <w:szCs w:val="24"/>
        </w:rPr>
        <w:t>S</w:t>
      </w:r>
      <w:r w:rsidR="00B06ABD">
        <w:rPr>
          <w:rFonts w:cs="Times New Roman"/>
          <w:szCs w:val="24"/>
        </w:rPr>
        <w:t>2.4.</w:t>
      </w:r>
      <w:r w:rsidR="007B4B12">
        <w:rPr>
          <w:rFonts w:cs="Times New Roman"/>
          <w:szCs w:val="24"/>
        </w:rPr>
        <w:t xml:space="preserve"> Descriptive statistics and model performance metrics. Trait abbreviations are: SS25 = community-weighted 25% stream signature, BSL = maximal body length &gt; 9mm, LSL = adult life span &gt; 1 week; FDH = high female dispersal, FSS = Strong flying strength, DFS = Fast development, VOM = </w:t>
      </w:r>
      <w:proofErr w:type="spellStart"/>
      <w:r w:rsidR="007B4B12">
        <w:rPr>
          <w:rFonts w:cs="Times New Roman"/>
          <w:szCs w:val="24"/>
        </w:rPr>
        <w:t>Multivoltinism</w:t>
      </w:r>
      <w:proofErr w:type="spellEnd"/>
      <w:r w:rsidR="007B4B12">
        <w:rPr>
          <w:rFonts w:cs="Times New Roman"/>
          <w:szCs w:val="24"/>
        </w:rPr>
        <w:t>, ESP = Poorly Synchronized Emergence. Trait definitions are given in Table 1. OBO R</w:t>
      </w:r>
      <w:r w:rsidR="007B4B12" w:rsidRPr="00217A7F">
        <w:rPr>
          <w:rFonts w:cs="Times New Roman"/>
          <w:szCs w:val="24"/>
          <w:vertAlign w:val="superscript"/>
        </w:rPr>
        <w:t>2</w:t>
      </w:r>
      <w:r w:rsidR="007B4B12" w:rsidRPr="008F66D6">
        <w:rPr>
          <w:rFonts w:cs="Times New Roman"/>
          <w:szCs w:val="24"/>
        </w:rPr>
        <w:t xml:space="preserve"> </w:t>
      </w:r>
      <w:r w:rsidR="007B4B12">
        <w:rPr>
          <w:rFonts w:cs="Times New Roman"/>
          <w:szCs w:val="24"/>
        </w:rPr>
        <w:t>= Out of Bag R</w:t>
      </w:r>
      <w:r w:rsidR="007B4B12" w:rsidRPr="003D44F9">
        <w:rPr>
          <w:rFonts w:cs="Times New Roman"/>
          <w:szCs w:val="24"/>
          <w:vertAlign w:val="superscript"/>
        </w:rPr>
        <w:t>2</w:t>
      </w:r>
      <w:r w:rsidR="007B4B12">
        <w:rPr>
          <w:rFonts w:cs="Times New Roman"/>
          <w:szCs w:val="24"/>
        </w:rPr>
        <w:t xml:space="preserve">, NSE = </w:t>
      </w:r>
      <w:r w:rsidR="007B4B12" w:rsidRPr="00217A7F">
        <w:rPr>
          <w:rFonts w:cs="Times New Roman"/>
          <w:szCs w:val="24"/>
        </w:rPr>
        <w:t>Nash–S</w:t>
      </w:r>
      <w:r w:rsidR="007B4B12">
        <w:rPr>
          <w:rFonts w:cs="Times New Roman"/>
          <w:szCs w:val="24"/>
        </w:rPr>
        <w:t>utcliffe efficiency,</w:t>
      </w:r>
      <w:r w:rsidR="007B4B12" w:rsidRPr="00217A7F">
        <w:rPr>
          <w:rFonts w:cs="Times New Roman"/>
          <w:szCs w:val="24"/>
        </w:rPr>
        <w:t xml:space="preserve"> </w:t>
      </w:r>
      <w:r w:rsidR="007B4B12">
        <w:rPr>
          <w:rFonts w:cs="Times New Roman"/>
          <w:szCs w:val="24"/>
        </w:rPr>
        <w:t xml:space="preserve">RSR = </w:t>
      </w:r>
      <w:r w:rsidR="007B4B12" w:rsidRPr="00217A7F">
        <w:rPr>
          <w:rFonts w:cs="Times New Roman"/>
          <w:szCs w:val="24"/>
        </w:rPr>
        <w:t>ratio of the root mean square error to the standard deviation of observed data (RSR)</w:t>
      </w:r>
      <w:r w:rsidR="007B4B12">
        <w:rPr>
          <w:rFonts w:cs="Times New Roman"/>
          <w:szCs w:val="24"/>
        </w:rPr>
        <w:t xml:space="preserve"> and MAE = mean absolute error.</w:t>
      </w:r>
      <w:bookmarkEnd w:id="60"/>
      <w:bookmarkEnd w:id="61"/>
      <w:r w:rsidR="007B4B12" w:rsidRPr="005304F3">
        <w:rPr>
          <w:rFonts w:cs="Times New Roman"/>
          <w:szCs w:val="24"/>
        </w:rPr>
        <w:t xml:space="preserve"> </w:t>
      </w:r>
    </w:p>
    <w:p w14:paraId="43A8FE80" w14:textId="77777777" w:rsidR="007B4B12" w:rsidRDefault="007B4B12" w:rsidP="007B4B12">
      <w:pPr>
        <w:spacing w:line="240" w:lineRule="auto"/>
        <w:contextualSpacing/>
        <w:rPr>
          <w:rFonts w:cs="Times New Roman"/>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971"/>
        <w:gridCol w:w="1710"/>
        <w:gridCol w:w="1147"/>
        <w:gridCol w:w="1027"/>
        <w:gridCol w:w="1027"/>
        <w:gridCol w:w="800"/>
      </w:tblGrid>
      <w:tr w:rsidR="007B4B12" w14:paraId="65C4C227" w14:textId="77777777" w:rsidTr="006A3CAB">
        <w:trPr>
          <w:jc w:val="center"/>
        </w:trPr>
        <w:tc>
          <w:tcPr>
            <w:tcW w:w="1549" w:type="dxa"/>
            <w:tcBorders>
              <w:bottom w:val="single" w:sz="4" w:space="0" w:color="auto"/>
            </w:tcBorders>
            <w:vAlign w:val="center"/>
          </w:tcPr>
          <w:p w14:paraId="4538475F" w14:textId="77777777" w:rsidR="007B4B12" w:rsidRPr="007745B4" w:rsidRDefault="007B4B12" w:rsidP="00FD42FE">
            <w:pPr>
              <w:contextualSpacing/>
              <w:rPr>
                <w:rFonts w:cs="Times New Roman"/>
                <w:szCs w:val="24"/>
              </w:rPr>
            </w:pPr>
            <w:r w:rsidRPr="007745B4">
              <w:rPr>
                <w:rFonts w:cs="Times New Roman"/>
                <w:szCs w:val="24"/>
              </w:rPr>
              <w:t xml:space="preserve">Subsidy Characteristic </w:t>
            </w:r>
          </w:p>
        </w:tc>
        <w:tc>
          <w:tcPr>
            <w:tcW w:w="971" w:type="dxa"/>
            <w:tcBorders>
              <w:bottom w:val="single" w:sz="4" w:space="0" w:color="auto"/>
            </w:tcBorders>
            <w:vAlign w:val="center"/>
          </w:tcPr>
          <w:p w14:paraId="1B16DD4F" w14:textId="77777777" w:rsidR="007B4B12" w:rsidRPr="007745B4" w:rsidRDefault="007B4B12" w:rsidP="00FD42FE">
            <w:pPr>
              <w:contextualSpacing/>
              <w:rPr>
                <w:rFonts w:cs="Times New Roman"/>
                <w:szCs w:val="24"/>
              </w:rPr>
            </w:pPr>
            <w:r w:rsidRPr="007745B4">
              <w:rPr>
                <w:rFonts w:cs="Times New Roman"/>
                <w:szCs w:val="24"/>
              </w:rPr>
              <w:t>Trait</w:t>
            </w:r>
          </w:p>
        </w:tc>
        <w:tc>
          <w:tcPr>
            <w:tcW w:w="1710" w:type="dxa"/>
            <w:tcBorders>
              <w:bottom w:val="single" w:sz="4" w:space="0" w:color="auto"/>
            </w:tcBorders>
            <w:vAlign w:val="center"/>
          </w:tcPr>
          <w:p w14:paraId="5734D25A" w14:textId="77777777" w:rsidR="007B4B12" w:rsidRPr="007745B4" w:rsidRDefault="007B4B12" w:rsidP="00FD42FE">
            <w:pPr>
              <w:contextualSpacing/>
              <w:rPr>
                <w:rFonts w:cs="Times New Roman"/>
                <w:szCs w:val="24"/>
              </w:rPr>
            </w:pPr>
            <w:r w:rsidRPr="007745B4">
              <w:rPr>
                <w:rFonts w:cs="Times New Roman"/>
                <w:szCs w:val="24"/>
              </w:rPr>
              <w:t>National</w:t>
            </w:r>
          </w:p>
          <w:p w14:paraId="20769872" w14:textId="77777777" w:rsidR="007B4B12" w:rsidRPr="007745B4" w:rsidRDefault="007B4B12" w:rsidP="00FD42FE">
            <w:pPr>
              <w:contextualSpacing/>
              <w:rPr>
                <w:rFonts w:cs="Times New Roman"/>
                <w:szCs w:val="24"/>
              </w:rPr>
            </w:pPr>
            <w:r w:rsidRPr="007745B4">
              <w:rPr>
                <w:rFonts w:cs="Times New Roman"/>
                <w:szCs w:val="24"/>
              </w:rPr>
              <w:t>Mean (±SD)</w:t>
            </w:r>
          </w:p>
        </w:tc>
        <w:tc>
          <w:tcPr>
            <w:tcW w:w="1147" w:type="dxa"/>
            <w:tcBorders>
              <w:bottom w:val="single" w:sz="4" w:space="0" w:color="auto"/>
            </w:tcBorders>
            <w:vAlign w:val="center"/>
          </w:tcPr>
          <w:p w14:paraId="00C3076A" w14:textId="77777777" w:rsidR="007B4B12" w:rsidRPr="007745B4" w:rsidRDefault="007B4B12" w:rsidP="00FD42FE">
            <w:pPr>
              <w:contextualSpacing/>
              <w:rPr>
                <w:rFonts w:cs="Times New Roman"/>
                <w:szCs w:val="24"/>
              </w:rPr>
            </w:pPr>
            <w:r w:rsidRPr="007745B4">
              <w:rPr>
                <w:rFonts w:cs="Times New Roman"/>
                <w:szCs w:val="24"/>
              </w:rPr>
              <w:t>OBO R</w:t>
            </w:r>
            <w:r w:rsidRPr="007745B4">
              <w:rPr>
                <w:rFonts w:cs="Times New Roman"/>
                <w:szCs w:val="24"/>
                <w:vertAlign w:val="superscript"/>
              </w:rPr>
              <w:t>2</w:t>
            </w:r>
          </w:p>
        </w:tc>
        <w:tc>
          <w:tcPr>
            <w:tcW w:w="1027" w:type="dxa"/>
            <w:tcBorders>
              <w:bottom w:val="single" w:sz="4" w:space="0" w:color="auto"/>
            </w:tcBorders>
            <w:vAlign w:val="center"/>
          </w:tcPr>
          <w:p w14:paraId="5500113F" w14:textId="77777777" w:rsidR="007B4B12" w:rsidRPr="007745B4" w:rsidRDefault="007B4B12" w:rsidP="00FD42FE">
            <w:pPr>
              <w:contextualSpacing/>
              <w:rPr>
                <w:rFonts w:cs="Times New Roman"/>
                <w:szCs w:val="24"/>
              </w:rPr>
            </w:pPr>
            <w:r w:rsidRPr="007745B4">
              <w:rPr>
                <w:rFonts w:cs="Times New Roman"/>
                <w:szCs w:val="24"/>
              </w:rPr>
              <w:t>NSE</w:t>
            </w:r>
          </w:p>
        </w:tc>
        <w:tc>
          <w:tcPr>
            <w:tcW w:w="1027" w:type="dxa"/>
            <w:tcBorders>
              <w:bottom w:val="single" w:sz="4" w:space="0" w:color="auto"/>
            </w:tcBorders>
            <w:vAlign w:val="center"/>
          </w:tcPr>
          <w:p w14:paraId="7EA29060" w14:textId="77777777" w:rsidR="007B4B12" w:rsidRPr="007745B4" w:rsidRDefault="007B4B12" w:rsidP="00FD42FE">
            <w:pPr>
              <w:contextualSpacing/>
              <w:rPr>
                <w:rFonts w:cs="Times New Roman"/>
                <w:szCs w:val="24"/>
              </w:rPr>
            </w:pPr>
            <w:r w:rsidRPr="007745B4">
              <w:rPr>
                <w:rFonts w:cs="Times New Roman"/>
                <w:szCs w:val="24"/>
              </w:rPr>
              <w:t>RSR</w:t>
            </w:r>
          </w:p>
        </w:tc>
        <w:tc>
          <w:tcPr>
            <w:tcW w:w="800" w:type="dxa"/>
            <w:tcBorders>
              <w:bottom w:val="single" w:sz="4" w:space="0" w:color="auto"/>
            </w:tcBorders>
            <w:vAlign w:val="center"/>
          </w:tcPr>
          <w:p w14:paraId="3D89AD29" w14:textId="77777777" w:rsidR="007B4B12" w:rsidRPr="007745B4" w:rsidRDefault="007B4B12" w:rsidP="00FD42FE">
            <w:pPr>
              <w:contextualSpacing/>
              <w:rPr>
                <w:rFonts w:cs="Times New Roman"/>
                <w:szCs w:val="24"/>
              </w:rPr>
            </w:pPr>
            <w:r w:rsidRPr="007745B4">
              <w:rPr>
                <w:rFonts w:cs="Times New Roman"/>
                <w:szCs w:val="24"/>
              </w:rPr>
              <w:t>MAE</w:t>
            </w:r>
          </w:p>
        </w:tc>
      </w:tr>
      <w:tr w:rsidR="007B4B12" w14:paraId="60B68BE2" w14:textId="77777777" w:rsidTr="006A3CAB">
        <w:trPr>
          <w:trHeight w:val="98"/>
          <w:jc w:val="center"/>
        </w:trPr>
        <w:tc>
          <w:tcPr>
            <w:tcW w:w="1549" w:type="dxa"/>
            <w:tcBorders>
              <w:top w:val="single" w:sz="4" w:space="0" w:color="auto"/>
            </w:tcBorders>
          </w:tcPr>
          <w:p w14:paraId="48593E37" w14:textId="77777777" w:rsidR="007B4B12" w:rsidRPr="007745B4" w:rsidRDefault="007B4B12" w:rsidP="00FD42FE">
            <w:pPr>
              <w:contextualSpacing/>
              <w:rPr>
                <w:rFonts w:cs="Times New Roman"/>
                <w:szCs w:val="24"/>
              </w:rPr>
            </w:pPr>
            <w:r w:rsidRPr="007745B4">
              <w:rPr>
                <w:rFonts w:cs="Times New Roman"/>
                <w:szCs w:val="24"/>
              </w:rPr>
              <w:t>Supply</w:t>
            </w:r>
          </w:p>
        </w:tc>
        <w:tc>
          <w:tcPr>
            <w:tcW w:w="971" w:type="dxa"/>
            <w:tcBorders>
              <w:top w:val="single" w:sz="4" w:space="0" w:color="auto"/>
            </w:tcBorders>
          </w:tcPr>
          <w:p w14:paraId="22B49AF9" w14:textId="77777777" w:rsidR="007B4B12" w:rsidRPr="007745B4" w:rsidRDefault="007B4B12" w:rsidP="00FD42FE">
            <w:pPr>
              <w:contextualSpacing/>
              <w:rPr>
                <w:rFonts w:cs="Times New Roman"/>
                <w:szCs w:val="24"/>
              </w:rPr>
            </w:pPr>
            <w:r w:rsidRPr="007745B4">
              <w:rPr>
                <w:rFonts w:cs="Times New Roman"/>
                <w:szCs w:val="24"/>
              </w:rPr>
              <w:t xml:space="preserve">Flying </w:t>
            </w:r>
          </w:p>
        </w:tc>
        <w:tc>
          <w:tcPr>
            <w:tcW w:w="1710" w:type="dxa"/>
            <w:tcBorders>
              <w:top w:val="single" w:sz="4" w:space="0" w:color="auto"/>
            </w:tcBorders>
          </w:tcPr>
          <w:p w14:paraId="05AA17E1" w14:textId="77777777" w:rsidR="007B4B12" w:rsidRPr="007745B4" w:rsidRDefault="007B4B12" w:rsidP="00FD42FE">
            <w:pPr>
              <w:contextualSpacing/>
              <w:rPr>
                <w:rFonts w:cs="Times New Roman"/>
                <w:szCs w:val="24"/>
              </w:rPr>
            </w:pPr>
            <w:r w:rsidRPr="007745B4">
              <w:rPr>
                <w:rFonts w:cs="Times New Roman"/>
                <w:szCs w:val="24"/>
              </w:rPr>
              <w:t>0.65 (±0.26)</w:t>
            </w:r>
          </w:p>
        </w:tc>
        <w:tc>
          <w:tcPr>
            <w:tcW w:w="1147" w:type="dxa"/>
            <w:tcBorders>
              <w:top w:val="single" w:sz="4" w:space="0" w:color="auto"/>
            </w:tcBorders>
          </w:tcPr>
          <w:p w14:paraId="6962C8E9" w14:textId="77777777" w:rsidR="007B4B12" w:rsidRPr="007745B4" w:rsidRDefault="007B4B12" w:rsidP="00FD42FE">
            <w:pPr>
              <w:contextualSpacing/>
              <w:rPr>
                <w:rFonts w:cs="Times New Roman"/>
                <w:szCs w:val="24"/>
              </w:rPr>
            </w:pPr>
            <w:r w:rsidRPr="0085566C">
              <w:rPr>
                <w:rFonts w:cs="Times New Roman"/>
                <w:szCs w:val="24"/>
              </w:rPr>
              <w:t>0.31</w:t>
            </w:r>
          </w:p>
        </w:tc>
        <w:tc>
          <w:tcPr>
            <w:tcW w:w="1027" w:type="dxa"/>
            <w:tcBorders>
              <w:top w:val="single" w:sz="4" w:space="0" w:color="auto"/>
            </w:tcBorders>
          </w:tcPr>
          <w:p w14:paraId="0DC27900" w14:textId="77777777" w:rsidR="007B4B12" w:rsidRPr="007745B4" w:rsidRDefault="007B4B12" w:rsidP="00FD42FE">
            <w:pPr>
              <w:contextualSpacing/>
              <w:rPr>
                <w:rFonts w:cs="Times New Roman"/>
                <w:szCs w:val="24"/>
              </w:rPr>
            </w:pPr>
            <w:r w:rsidRPr="0085566C">
              <w:rPr>
                <w:rFonts w:cs="Times New Roman"/>
                <w:szCs w:val="24"/>
              </w:rPr>
              <w:t>0.32</w:t>
            </w:r>
          </w:p>
        </w:tc>
        <w:tc>
          <w:tcPr>
            <w:tcW w:w="1027" w:type="dxa"/>
            <w:tcBorders>
              <w:top w:val="single" w:sz="4" w:space="0" w:color="auto"/>
            </w:tcBorders>
          </w:tcPr>
          <w:p w14:paraId="78A8AD1E" w14:textId="77777777" w:rsidR="007B4B12" w:rsidRPr="007745B4" w:rsidRDefault="007B4B12" w:rsidP="00FD42FE">
            <w:pPr>
              <w:contextualSpacing/>
              <w:rPr>
                <w:rFonts w:cs="Times New Roman"/>
                <w:szCs w:val="24"/>
              </w:rPr>
            </w:pPr>
            <w:r w:rsidRPr="0085566C">
              <w:rPr>
                <w:rFonts w:cs="Times New Roman"/>
                <w:szCs w:val="24"/>
              </w:rPr>
              <w:t>0.83</w:t>
            </w:r>
          </w:p>
        </w:tc>
        <w:tc>
          <w:tcPr>
            <w:tcW w:w="800" w:type="dxa"/>
            <w:tcBorders>
              <w:top w:val="single" w:sz="4" w:space="0" w:color="auto"/>
            </w:tcBorders>
          </w:tcPr>
          <w:p w14:paraId="7A0659F9" w14:textId="77777777" w:rsidR="007B4B12" w:rsidRPr="007745B4" w:rsidRDefault="007B4B12" w:rsidP="00FD42FE">
            <w:pPr>
              <w:contextualSpacing/>
              <w:rPr>
                <w:rFonts w:cs="Times New Roman"/>
                <w:szCs w:val="24"/>
              </w:rPr>
            </w:pPr>
            <w:r w:rsidRPr="0085566C">
              <w:rPr>
                <w:rFonts w:cs="Times New Roman"/>
                <w:szCs w:val="24"/>
              </w:rPr>
              <w:t>0.17</w:t>
            </w:r>
          </w:p>
        </w:tc>
      </w:tr>
      <w:tr w:rsidR="007B4B12" w14:paraId="79AB6E2D" w14:textId="77777777" w:rsidTr="006A3CAB">
        <w:trPr>
          <w:trHeight w:val="180"/>
          <w:jc w:val="center"/>
        </w:trPr>
        <w:tc>
          <w:tcPr>
            <w:tcW w:w="1549" w:type="dxa"/>
            <w:vMerge w:val="restart"/>
          </w:tcPr>
          <w:p w14:paraId="562142A1" w14:textId="77777777" w:rsidR="007B4B12" w:rsidRPr="007745B4" w:rsidRDefault="007B4B12" w:rsidP="00FD42FE">
            <w:pPr>
              <w:contextualSpacing/>
              <w:rPr>
                <w:rFonts w:cs="Times New Roman"/>
                <w:szCs w:val="24"/>
              </w:rPr>
            </w:pPr>
            <w:r w:rsidRPr="007745B4">
              <w:rPr>
                <w:rFonts w:cs="Times New Roman"/>
                <w:szCs w:val="24"/>
              </w:rPr>
              <w:t>Extent</w:t>
            </w:r>
          </w:p>
        </w:tc>
        <w:tc>
          <w:tcPr>
            <w:tcW w:w="971" w:type="dxa"/>
          </w:tcPr>
          <w:p w14:paraId="5505F90C" w14:textId="77777777" w:rsidR="007B4B12" w:rsidRPr="007745B4" w:rsidRDefault="007B4B12" w:rsidP="00FD42FE">
            <w:pPr>
              <w:contextualSpacing/>
              <w:rPr>
                <w:rFonts w:cs="Times New Roman"/>
                <w:szCs w:val="24"/>
              </w:rPr>
            </w:pPr>
            <w:r>
              <w:rPr>
                <w:rFonts w:cs="Times New Roman"/>
                <w:szCs w:val="24"/>
              </w:rPr>
              <w:t>SS25</w:t>
            </w:r>
          </w:p>
        </w:tc>
        <w:tc>
          <w:tcPr>
            <w:tcW w:w="1710" w:type="dxa"/>
          </w:tcPr>
          <w:p w14:paraId="6130240A" w14:textId="77777777" w:rsidR="007B4B12" w:rsidRPr="007745B4" w:rsidRDefault="007B4B12" w:rsidP="00FD42FE">
            <w:pPr>
              <w:contextualSpacing/>
              <w:rPr>
                <w:rFonts w:cs="Times New Roman"/>
                <w:szCs w:val="24"/>
              </w:rPr>
            </w:pPr>
            <w:r w:rsidRPr="007745B4">
              <w:rPr>
                <w:rFonts w:cs="Times New Roman"/>
                <w:szCs w:val="24"/>
              </w:rPr>
              <w:t>31.09 (±12.59)</w:t>
            </w:r>
          </w:p>
        </w:tc>
        <w:tc>
          <w:tcPr>
            <w:tcW w:w="1147" w:type="dxa"/>
          </w:tcPr>
          <w:p w14:paraId="0EE375F1" w14:textId="77777777" w:rsidR="007B4B12" w:rsidRPr="007745B4" w:rsidRDefault="007B4B12" w:rsidP="00FD42FE">
            <w:pPr>
              <w:contextualSpacing/>
              <w:rPr>
                <w:rFonts w:cs="Times New Roman"/>
                <w:szCs w:val="24"/>
              </w:rPr>
            </w:pPr>
            <w:r w:rsidRPr="0085566C">
              <w:rPr>
                <w:rFonts w:cs="Times New Roman"/>
                <w:szCs w:val="24"/>
              </w:rPr>
              <w:t>0.18</w:t>
            </w:r>
          </w:p>
        </w:tc>
        <w:tc>
          <w:tcPr>
            <w:tcW w:w="1027" w:type="dxa"/>
          </w:tcPr>
          <w:p w14:paraId="47305E04" w14:textId="77777777" w:rsidR="007B4B12" w:rsidRPr="007745B4" w:rsidRDefault="007B4B12" w:rsidP="00FD42FE">
            <w:pPr>
              <w:contextualSpacing/>
              <w:rPr>
                <w:rFonts w:cs="Times New Roman"/>
                <w:szCs w:val="24"/>
              </w:rPr>
            </w:pPr>
            <w:r w:rsidRPr="0085566C">
              <w:rPr>
                <w:rFonts w:cs="Times New Roman"/>
                <w:szCs w:val="24"/>
              </w:rPr>
              <w:t>0.22</w:t>
            </w:r>
          </w:p>
        </w:tc>
        <w:tc>
          <w:tcPr>
            <w:tcW w:w="1027" w:type="dxa"/>
          </w:tcPr>
          <w:p w14:paraId="25939386" w14:textId="77777777" w:rsidR="007B4B12" w:rsidRPr="007745B4" w:rsidRDefault="007B4B12" w:rsidP="00FD42FE">
            <w:pPr>
              <w:contextualSpacing/>
              <w:rPr>
                <w:rFonts w:cs="Times New Roman"/>
                <w:szCs w:val="24"/>
              </w:rPr>
            </w:pPr>
            <w:r w:rsidRPr="0085566C">
              <w:rPr>
                <w:rFonts w:cs="Times New Roman"/>
                <w:szCs w:val="24"/>
              </w:rPr>
              <w:t>0.88</w:t>
            </w:r>
          </w:p>
        </w:tc>
        <w:tc>
          <w:tcPr>
            <w:tcW w:w="800" w:type="dxa"/>
          </w:tcPr>
          <w:p w14:paraId="298F4DE1" w14:textId="77777777" w:rsidR="007B4B12" w:rsidRPr="007745B4" w:rsidRDefault="007B4B12" w:rsidP="00FD42FE">
            <w:pPr>
              <w:contextualSpacing/>
              <w:rPr>
                <w:rFonts w:cs="Times New Roman"/>
                <w:szCs w:val="24"/>
              </w:rPr>
            </w:pPr>
            <w:r w:rsidRPr="0085566C">
              <w:rPr>
                <w:rFonts w:cs="Times New Roman"/>
                <w:szCs w:val="24"/>
              </w:rPr>
              <w:t>8.79</w:t>
            </w:r>
          </w:p>
        </w:tc>
      </w:tr>
      <w:tr w:rsidR="007B4B12" w14:paraId="5212D47F" w14:textId="77777777" w:rsidTr="006A3CAB">
        <w:trPr>
          <w:trHeight w:val="270"/>
          <w:jc w:val="center"/>
        </w:trPr>
        <w:tc>
          <w:tcPr>
            <w:tcW w:w="1549" w:type="dxa"/>
            <w:vMerge/>
          </w:tcPr>
          <w:p w14:paraId="40AEB274" w14:textId="77777777" w:rsidR="007B4B12" w:rsidRPr="007745B4" w:rsidRDefault="007B4B12" w:rsidP="00FD42FE">
            <w:pPr>
              <w:contextualSpacing/>
              <w:rPr>
                <w:rFonts w:cs="Times New Roman"/>
                <w:szCs w:val="24"/>
              </w:rPr>
            </w:pPr>
          </w:p>
        </w:tc>
        <w:tc>
          <w:tcPr>
            <w:tcW w:w="971" w:type="dxa"/>
          </w:tcPr>
          <w:p w14:paraId="0900DA98" w14:textId="77777777" w:rsidR="007B4B12" w:rsidRPr="007745B4" w:rsidRDefault="007B4B12" w:rsidP="00FD42FE">
            <w:pPr>
              <w:contextualSpacing/>
              <w:rPr>
                <w:rFonts w:cs="Times New Roman"/>
                <w:szCs w:val="24"/>
              </w:rPr>
            </w:pPr>
            <w:r w:rsidRPr="007745B4">
              <w:rPr>
                <w:rFonts w:cs="Times New Roman"/>
                <w:szCs w:val="24"/>
              </w:rPr>
              <w:t>BSL</w:t>
            </w:r>
          </w:p>
        </w:tc>
        <w:tc>
          <w:tcPr>
            <w:tcW w:w="1710" w:type="dxa"/>
          </w:tcPr>
          <w:p w14:paraId="00CEB384" w14:textId="77777777" w:rsidR="007B4B12" w:rsidRPr="007745B4" w:rsidRDefault="007B4B12" w:rsidP="00FD42FE">
            <w:pPr>
              <w:contextualSpacing/>
              <w:rPr>
                <w:rFonts w:cs="Times New Roman"/>
                <w:szCs w:val="24"/>
              </w:rPr>
            </w:pPr>
            <w:r w:rsidRPr="007745B4">
              <w:rPr>
                <w:rFonts w:cs="Times New Roman"/>
                <w:szCs w:val="24"/>
              </w:rPr>
              <w:t>0.32 (±0.26)</w:t>
            </w:r>
          </w:p>
        </w:tc>
        <w:tc>
          <w:tcPr>
            <w:tcW w:w="1147" w:type="dxa"/>
          </w:tcPr>
          <w:p w14:paraId="14C98E92" w14:textId="77777777" w:rsidR="007B4B12" w:rsidRPr="007745B4" w:rsidRDefault="007B4B12" w:rsidP="00FD42FE">
            <w:pPr>
              <w:contextualSpacing/>
              <w:rPr>
                <w:rFonts w:cs="Times New Roman"/>
                <w:szCs w:val="24"/>
              </w:rPr>
            </w:pPr>
            <w:r w:rsidRPr="0085566C">
              <w:rPr>
                <w:rFonts w:cs="Times New Roman"/>
                <w:szCs w:val="24"/>
              </w:rPr>
              <w:t>0.26</w:t>
            </w:r>
          </w:p>
        </w:tc>
        <w:tc>
          <w:tcPr>
            <w:tcW w:w="1027" w:type="dxa"/>
          </w:tcPr>
          <w:p w14:paraId="136F32B0" w14:textId="77777777" w:rsidR="007B4B12" w:rsidRPr="007745B4" w:rsidRDefault="007B4B12" w:rsidP="00FD42FE">
            <w:pPr>
              <w:contextualSpacing/>
              <w:rPr>
                <w:rFonts w:cs="Times New Roman"/>
                <w:szCs w:val="24"/>
              </w:rPr>
            </w:pPr>
            <w:r w:rsidRPr="0085566C">
              <w:rPr>
                <w:rFonts w:cs="Times New Roman"/>
                <w:szCs w:val="24"/>
              </w:rPr>
              <w:t>0.23</w:t>
            </w:r>
          </w:p>
        </w:tc>
        <w:tc>
          <w:tcPr>
            <w:tcW w:w="1027" w:type="dxa"/>
          </w:tcPr>
          <w:p w14:paraId="2BF83908" w14:textId="77777777" w:rsidR="007B4B12" w:rsidRPr="007745B4" w:rsidRDefault="007B4B12" w:rsidP="00FD42FE">
            <w:pPr>
              <w:contextualSpacing/>
              <w:rPr>
                <w:rFonts w:cs="Times New Roman"/>
                <w:szCs w:val="24"/>
              </w:rPr>
            </w:pPr>
            <w:r w:rsidRPr="0085566C">
              <w:rPr>
                <w:rFonts w:cs="Times New Roman"/>
                <w:szCs w:val="24"/>
              </w:rPr>
              <w:t>0.87</w:t>
            </w:r>
          </w:p>
        </w:tc>
        <w:tc>
          <w:tcPr>
            <w:tcW w:w="800" w:type="dxa"/>
          </w:tcPr>
          <w:p w14:paraId="6CB0B4BE" w14:textId="77777777" w:rsidR="007B4B12" w:rsidRPr="007745B4" w:rsidRDefault="007B4B12" w:rsidP="00FD42FE">
            <w:pPr>
              <w:contextualSpacing/>
              <w:rPr>
                <w:rFonts w:cs="Times New Roman"/>
                <w:szCs w:val="24"/>
              </w:rPr>
            </w:pPr>
            <w:r w:rsidRPr="0085566C">
              <w:rPr>
                <w:rFonts w:cs="Times New Roman"/>
                <w:szCs w:val="24"/>
              </w:rPr>
              <w:t>0.17</w:t>
            </w:r>
          </w:p>
        </w:tc>
      </w:tr>
      <w:tr w:rsidR="007B4B12" w14:paraId="000BC5D8" w14:textId="77777777" w:rsidTr="006A3CAB">
        <w:trPr>
          <w:trHeight w:val="162"/>
          <w:jc w:val="center"/>
        </w:trPr>
        <w:tc>
          <w:tcPr>
            <w:tcW w:w="1549" w:type="dxa"/>
            <w:vMerge/>
          </w:tcPr>
          <w:p w14:paraId="376EEAEC" w14:textId="77777777" w:rsidR="007B4B12" w:rsidRPr="007745B4" w:rsidRDefault="007B4B12" w:rsidP="00FD42FE">
            <w:pPr>
              <w:contextualSpacing/>
              <w:rPr>
                <w:rFonts w:cs="Times New Roman"/>
                <w:szCs w:val="24"/>
              </w:rPr>
            </w:pPr>
          </w:p>
        </w:tc>
        <w:tc>
          <w:tcPr>
            <w:tcW w:w="971" w:type="dxa"/>
          </w:tcPr>
          <w:p w14:paraId="353730F5" w14:textId="77777777" w:rsidR="007B4B12" w:rsidRPr="007745B4" w:rsidRDefault="007B4B12" w:rsidP="00FD42FE">
            <w:pPr>
              <w:contextualSpacing/>
              <w:rPr>
                <w:rFonts w:cs="Times New Roman"/>
                <w:szCs w:val="24"/>
              </w:rPr>
            </w:pPr>
            <w:r w:rsidRPr="007745B4">
              <w:rPr>
                <w:rFonts w:cs="Times New Roman"/>
                <w:szCs w:val="24"/>
              </w:rPr>
              <w:t>LSL</w:t>
            </w:r>
          </w:p>
        </w:tc>
        <w:tc>
          <w:tcPr>
            <w:tcW w:w="1710" w:type="dxa"/>
          </w:tcPr>
          <w:p w14:paraId="215DFCF3" w14:textId="77777777" w:rsidR="007B4B12" w:rsidRPr="007745B4" w:rsidRDefault="007B4B12" w:rsidP="00FD42FE">
            <w:pPr>
              <w:contextualSpacing/>
              <w:rPr>
                <w:rFonts w:cs="Times New Roman"/>
                <w:szCs w:val="24"/>
              </w:rPr>
            </w:pPr>
            <w:r w:rsidRPr="007745B4">
              <w:rPr>
                <w:rFonts w:cs="Times New Roman"/>
                <w:szCs w:val="24"/>
              </w:rPr>
              <w:t>0.29 (±0.26)</w:t>
            </w:r>
          </w:p>
        </w:tc>
        <w:tc>
          <w:tcPr>
            <w:tcW w:w="1147" w:type="dxa"/>
          </w:tcPr>
          <w:p w14:paraId="2DBDB6DE" w14:textId="77777777" w:rsidR="007B4B12" w:rsidRPr="007745B4" w:rsidRDefault="007B4B12" w:rsidP="00FD42FE">
            <w:pPr>
              <w:contextualSpacing/>
              <w:rPr>
                <w:rFonts w:cs="Times New Roman"/>
                <w:szCs w:val="24"/>
              </w:rPr>
            </w:pPr>
            <w:r w:rsidRPr="0085566C">
              <w:rPr>
                <w:rFonts w:cs="Times New Roman"/>
                <w:szCs w:val="24"/>
              </w:rPr>
              <w:t>0.1</w:t>
            </w:r>
            <w:r>
              <w:rPr>
                <w:rFonts w:cs="Times New Roman"/>
                <w:szCs w:val="24"/>
              </w:rPr>
              <w:t>0</w:t>
            </w:r>
          </w:p>
        </w:tc>
        <w:tc>
          <w:tcPr>
            <w:tcW w:w="1027" w:type="dxa"/>
          </w:tcPr>
          <w:p w14:paraId="621D2C27" w14:textId="77777777" w:rsidR="007B4B12" w:rsidRPr="007745B4" w:rsidRDefault="007B4B12" w:rsidP="00FD42FE">
            <w:pPr>
              <w:contextualSpacing/>
              <w:rPr>
                <w:rFonts w:cs="Times New Roman"/>
                <w:szCs w:val="24"/>
              </w:rPr>
            </w:pPr>
            <w:r w:rsidRPr="0085566C">
              <w:rPr>
                <w:rFonts w:cs="Times New Roman"/>
                <w:szCs w:val="24"/>
              </w:rPr>
              <w:t>0.12</w:t>
            </w:r>
          </w:p>
        </w:tc>
        <w:tc>
          <w:tcPr>
            <w:tcW w:w="1027" w:type="dxa"/>
          </w:tcPr>
          <w:p w14:paraId="1433B547" w14:textId="77777777" w:rsidR="007B4B12" w:rsidRPr="007745B4" w:rsidRDefault="007B4B12" w:rsidP="00FD42FE">
            <w:pPr>
              <w:contextualSpacing/>
              <w:rPr>
                <w:rFonts w:cs="Times New Roman"/>
                <w:szCs w:val="24"/>
              </w:rPr>
            </w:pPr>
            <w:r w:rsidRPr="0085566C">
              <w:rPr>
                <w:rFonts w:cs="Times New Roman"/>
                <w:szCs w:val="24"/>
              </w:rPr>
              <w:t>0.93</w:t>
            </w:r>
          </w:p>
        </w:tc>
        <w:tc>
          <w:tcPr>
            <w:tcW w:w="800" w:type="dxa"/>
          </w:tcPr>
          <w:p w14:paraId="1EBE27DB" w14:textId="77777777" w:rsidR="007B4B12" w:rsidRPr="007745B4" w:rsidRDefault="007B4B12" w:rsidP="00FD42FE">
            <w:pPr>
              <w:contextualSpacing/>
              <w:rPr>
                <w:rFonts w:cs="Times New Roman"/>
                <w:szCs w:val="24"/>
              </w:rPr>
            </w:pPr>
            <w:r w:rsidRPr="0085566C">
              <w:rPr>
                <w:rFonts w:cs="Times New Roman"/>
                <w:szCs w:val="24"/>
              </w:rPr>
              <w:t>0.2</w:t>
            </w:r>
          </w:p>
        </w:tc>
      </w:tr>
      <w:tr w:rsidR="007B4B12" w14:paraId="4659DA3A" w14:textId="77777777" w:rsidTr="006A3CAB">
        <w:trPr>
          <w:trHeight w:val="80"/>
          <w:jc w:val="center"/>
        </w:trPr>
        <w:tc>
          <w:tcPr>
            <w:tcW w:w="1549" w:type="dxa"/>
            <w:vMerge/>
          </w:tcPr>
          <w:p w14:paraId="5EB1954E" w14:textId="77777777" w:rsidR="007B4B12" w:rsidRPr="007745B4" w:rsidRDefault="007B4B12" w:rsidP="00FD42FE">
            <w:pPr>
              <w:contextualSpacing/>
              <w:rPr>
                <w:rFonts w:cs="Times New Roman"/>
                <w:szCs w:val="24"/>
              </w:rPr>
            </w:pPr>
          </w:p>
        </w:tc>
        <w:tc>
          <w:tcPr>
            <w:tcW w:w="971" w:type="dxa"/>
          </w:tcPr>
          <w:p w14:paraId="5DB9C720" w14:textId="77777777" w:rsidR="007B4B12" w:rsidRPr="007745B4" w:rsidRDefault="007B4B12" w:rsidP="00FD42FE">
            <w:pPr>
              <w:contextualSpacing/>
              <w:rPr>
                <w:rFonts w:cs="Times New Roman"/>
                <w:szCs w:val="24"/>
              </w:rPr>
            </w:pPr>
            <w:r w:rsidRPr="007745B4">
              <w:rPr>
                <w:rFonts w:cs="Times New Roman"/>
                <w:szCs w:val="24"/>
              </w:rPr>
              <w:t>FDH</w:t>
            </w:r>
          </w:p>
        </w:tc>
        <w:tc>
          <w:tcPr>
            <w:tcW w:w="1710" w:type="dxa"/>
          </w:tcPr>
          <w:p w14:paraId="3B18EC6B" w14:textId="77777777" w:rsidR="007B4B12" w:rsidRPr="007745B4" w:rsidRDefault="007B4B12" w:rsidP="00FD42FE">
            <w:pPr>
              <w:contextualSpacing/>
              <w:rPr>
                <w:rFonts w:cs="Times New Roman"/>
                <w:szCs w:val="24"/>
              </w:rPr>
            </w:pPr>
            <w:r w:rsidRPr="007745B4">
              <w:rPr>
                <w:rFonts w:cs="Times New Roman"/>
                <w:szCs w:val="24"/>
              </w:rPr>
              <w:t>0.16 (±0.20)</w:t>
            </w:r>
          </w:p>
        </w:tc>
        <w:tc>
          <w:tcPr>
            <w:tcW w:w="1147" w:type="dxa"/>
          </w:tcPr>
          <w:p w14:paraId="46329DE3" w14:textId="77777777" w:rsidR="007B4B12" w:rsidRPr="007745B4" w:rsidRDefault="007B4B12" w:rsidP="00FD42FE">
            <w:pPr>
              <w:contextualSpacing/>
              <w:rPr>
                <w:rFonts w:cs="Times New Roman"/>
                <w:szCs w:val="24"/>
              </w:rPr>
            </w:pPr>
            <w:r w:rsidRPr="0085566C">
              <w:rPr>
                <w:rFonts w:cs="Times New Roman"/>
                <w:szCs w:val="24"/>
              </w:rPr>
              <w:t>0.19</w:t>
            </w:r>
          </w:p>
        </w:tc>
        <w:tc>
          <w:tcPr>
            <w:tcW w:w="1027" w:type="dxa"/>
          </w:tcPr>
          <w:p w14:paraId="1EDFDF37" w14:textId="77777777" w:rsidR="007B4B12" w:rsidRPr="007745B4" w:rsidRDefault="007B4B12" w:rsidP="00FD42FE">
            <w:pPr>
              <w:contextualSpacing/>
              <w:rPr>
                <w:rFonts w:cs="Times New Roman"/>
                <w:szCs w:val="24"/>
              </w:rPr>
            </w:pPr>
            <w:r w:rsidRPr="0085566C">
              <w:rPr>
                <w:rFonts w:cs="Times New Roman"/>
                <w:szCs w:val="24"/>
              </w:rPr>
              <w:t>-0.01</w:t>
            </w:r>
          </w:p>
        </w:tc>
        <w:tc>
          <w:tcPr>
            <w:tcW w:w="1027" w:type="dxa"/>
          </w:tcPr>
          <w:p w14:paraId="0D82FAFA" w14:textId="77777777" w:rsidR="007B4B12" w:rsidRPr="007745B4" w:rsidRDefault="007B4B12" w:rsidP="00FD42FE">
            <w:pPr>
              <w:contextualSpacing/>
              <w:rPr>
                <w:rFonts w:cs="Times New Roman"/>
                <w:szCs w:val="24"/>
              </w:rPr>
            </w:pPr>
            <w:r w:rsidRPr="0085566C">
              <w:rPr>
                <w:rFonts w:cs="Times New Roman"/>
                <w:szCs w:val="24"/>
              </w:rPr>
              <w:t>1</w:t>
            </w:r>
          </w:p>
        </w:tc>
        <w:tc>
          <w:tcPr>
            <w:tcW w:w="800" w:type="dxa"/>
          </w:tcPr>
          <w:p w14:paraId="74E312EC" w14:textId="77777777" w:rsidR="007B4B12" w:rsidRPr="007745B4" w:rsidRDefault="007B4B12" w:rsidP="00FD42FE">
            <w:pPr>
              <w:contextualSpacing/>
              <w:rPr>
                <w:rFonts w:cs="Times New Roman"/>
                <w:szCs w:val="24"/>
              </w:rPr>
            </w:pPr>
            <w:r w:rsidRPr="0085566C">
              <w:rPr>
                <w:rFonts w:cs="Times New Roman"/>
                <w:szCs w:val="24"/>
              </w:rPr>
              <w:t>0.15</w:t>
            </w:r>
          </w:p>
        </w:tc>
      </w:tr>
      <w:tr w:rsidR="007B4B12" w14:paraId="4519F6F3" w14:textId="77777777" w:rsidTr="006A3CAB">
        <w:trPr>
          <w:trHeight w:val="80"/>
          <w:jc w:val="center"/>
        </w:trPr>
        <w:tc>
          <w:tcPr>
            <w:tcW w:w="1549" w:type="dxa"/>
            <w:vMerge/>
          </w:tcPr>
          <w:p w14:paraId="0015AB88" w14:textId="77777777" w:rsidR="007B4B12" w:rsidRPr="007745B4" w:rsidRDefault="007B4B12" w:rsidP="00FD42FE">
            <w:pPr>
              <w:contextualSpacing/>
              <w:rPr>
                <w:rFonts w:cs="Times New Roman"/>
                <w:szCs w:val="24"/>
              </w:rPr>
            </w:pPr>
          </w:p>
        </w:tc>
        <w:tc>
          <w:tcPr>
            <w:tcW w:w="971" w:type="dxa"/>
          </w:tcPr>
          <w:p w14:paraId="5A622652" w14:textId="77777777" w:rsidR="007B4B12" w:rsidRPr="007745B4" w:rsidRDefault="007B4B12" w:rsidP="00FD42FE">
            <w:pPr>
              <w:contextualSpacing/>
              <w:rPr>
                <w:rFonts w:cs="Times New Roman"/>
                <w:szCs w:val="24"/>
              </w:rPr>
            </w:pPr>
            <w:r w:rsidRPr="007745B4">
              <w:rPr>
                <w:rFonts w:cs="Times New Roman"/>
                <w:szCs w:val="24"/>
              </w:rPr>
              <w:t>FSS</w:t>
            </w:r>
          </w:p>
        </w:tc>
        <w:tc>
          <w:tcPr>
            <w:tcW w:w="1710" w:type="dxa"/>
          </w:tcPr>
          <w:p w14:paraId="0264EE30" w14:textId="77777777" w:rsidR="007B4B12" w:rsidRPr="007745B4" w:rsidRDefault="007B4B12" w:rsidP="00FD42FE">
            <w:pPr>
              <w:contextualSpacing/>
              <w:rPr>
                <w:rFonts w:cs="Times New Roman"/>
                <w:szCs w:val="24"/>
              </w:rPr>
            </w:pPr>
            <w:r w:rsidRPr="007745B4">
              <w:rPr>
                <w:rFonts w:cs="Times New Roman"/>
                <w:szCs w:val="24"/>
              </w:rPr>
              <w:t>0.20 (±0.24)</w:t>
            </w:r>
          </w:p>
        </w:tc>
        <w:tc>
          <w:tcPr>
            <w:tcW w:w="1147" w:type="dxa"/>
          </w:tcPr>
          <w:p w14:paraId="751252BE" w14:textId="77777777" w:rsidR="007B4B12" w:rsidRPr="007745B4" w:rsidRDefault="007B4B12" w:rsidP="00FD42FE">
            <w:pPr>
              <w:contextualSpacing/>
              <w:rPr>
                <w:rFonts w:cs="Times New Roman"/>
                <w:szCs w:val="24"/>
              </w:rPr>
            </w:pPr>
            <w:r w:rsidRPr="0085566C">
              <w:rPr>
                <w:rFonts w:cs="Times New Roman"/>
                <w:szCs w:val="24"/>
              </w:rPr>
              <w:t>0.03</w:t>
            </w:r>
          </w:p>
        </w:tc>
        <w:tc>
          <w:tcPr>
            <w:tcW w:w="1027" w:type="dxa"/>
          </w:tcPr>
          <w:p w14:paraId="5AFD42C7" w14:textId="77777777" w:rsidR="007B4B12" w:rsidRPr="007745B4" w:rsidRDefault="007B4B12" w:rsidP="00FD42FE">
            <w:pPr>
              <w:contextualSpacing/>
              <w:rPr>
                <w:rFonts w:cs="Times New Roman"/>
                <w:szCs w:val="24"/>
              </w:rPr>
            </w:pPr>
            <w:r w:rsidRPr="0085566C">
              <w:rPr>
                <w:rFonts w:cs="Times New Roman"/>
                <w:szCs w:val="24"/>
              </w:rPr>
              <w:t>0.06</w:t>
            </w:r>
          </w:p>
        </w:tc>
        <w:tc>
          <w:tcPr>
            <w:tcW w:w="1027" w:type="dxa"/>
          </w:tcPr>
          <w:p w14:paraId="40F7B185" w14:textId="77777777" w:rsidR="007B4B12" w:rsidRPr="007745B4" w:rsidRDefault="007B4B12" w:rsidP="00FD42FE">
            <w:pPr>
              <w:contextualSpacing/>
              <w:rPr>
                <w:rFonts w:cs="Times New Roman"/>
                <w:szCs w:val="24"/>
              </w:rPr>
            </w:pPr>
            <w:r w:rsidRPr="0085566C">
              <w:rPr>
                <w:rFonts w:cs="Times New Roman"/>
                <w:szCs w:val="24"/>
              </w:rPr>
              <w:t>0.96</w:t>
            </w:r>
          </w:p>
        </w:tc>
        <w:tc>
          <w:tcPr>
            <w:tcW w:w="800" w:type="dxa"/>
          </w:tcPr>
          <w:p w14:paraId="7962245D" w14:textId="77777777" w:rsidR="007B4B12" w:rsidRPr="007745B4" w:rsidRDefault="007B4B12" w:rsidP="00FD42FE">
            <w:pPr>
              <w:contextualSpacing/>
              <w:rPr>
                <w:rFonts w:cs="Times New Roman"/>
                <w:szCs w:val="24"/>
              </w:rPr>
            </w:pPr>
            <w:r w:rsidRPr="0085566C">
              <w:rPr>
                <w:rFonts w:cs="Times New Roman"/>
                <w:szCs w:val="24"/>
              </w:rPr>
              <w:t>0.18</w:t>
            </w:r>
          </w:p>
        </w:tc>
      </w:tr>
      <w:tr w:rsidR="007B4B12" w14:paraId="18A53AA4" w14:textId="77777777" w:rsidTr="006A3CAB">
        <w:trPr>
          <w:trHeight w:val="80"/>
          <w:jc w:val="center"/>
        </w:trPr>
        <w:tc>
          <w:tcPr>
            <w:tcW w:w="1549" w:type="dxa"/>
            <w:vMerge w:val="restart"/>
          </w:tcPr>
          <w:p w14:paraId="1023A92A" w14:textId="77777777" w:rsidR="007B4B12" w:rsidRPr="007745B4" w:rsidRDefault="007B4B12" w:rsidP="00FD42FE">
            <w:pPr>
              <w:contextualSpacing/>
              <w:rPr>
                <w:rFonts w:cs="Times New Roman"/>
                <w:szCs w:val="24"/>
              </w:rPr>
            </w:pPr>
            <w:r w:rsidRPr="007745B4">
              <w:rPr>
                <w:rFonts w:cs="Times New Roman"/>
                <w:szCs w:val="24"/>
              </w:rPr>
              <w:t>Duration</w:t>
            </w:r>
          </w:p>
        </w:tc>
        <w:tc>
          <w:tcPr>
            <w:tcW w:w="971" w:type="dxa"/>
          </w:tcPr>
          <w:p w14:paraId="431D5E6A" w14:textId="77777777" w:rsidR="007B4B12" w:rsidRPr="007745B4" w:rsidRDefault="007B4B12" w:rsidP="00FD42FE">
            <w:pPr>
              <w:contextualSpacing/>
              <w:rPr>
                <w:rFonts w:cs="Times New Roman"/>
                <w:szCs w:val="24"/>
              </w:rPr>
            </w:pPr>
            <w:r w:rsidRPr="007745B4">
              <w:rPr>
                <w:rFonts w:cs="Times New Roman"/>
                <w:szCs w:val="24"/>
              </w:rPr>
              <w:t>DSF</w:t>
            </w:r>
          </w:p>
        </w:tc>
        <w:tc>
          <w:tcPr>
            <w:tcW w:w="1710" w:type="dxa"/>
          </w:tcPr>
          <w:p w14:paraId="58BBDE26" w14:textId="77777777" w:rsidR="007B4B12" w:rsidRPr="007745B4" w:rsidRDefault="007B4B12" w:rsidP="00FD42FE">
            <w:pPr>
              <w:contextualSpacing/>
              <w:rPr>
                <w:rFonts w:cs="Times New Roman"/>
                <w:szCs w:val="24"/>
              </w:rPr>
            </w:pPr>
            <w:r w:rsidRPr="007745B4">
              <w:rPr>
                <w:rFonts w:cs="Times New Roman"/>
                <w:szCs w:val="24"/>
              </w:rPr>
              <w:t>0.47 (±0.31)</w:t>
            </w:r>
          </w:p>
        </w:tc>
        <w:tc>
          <w:tcPr>
            <w:tcW w:w="1147" w:type="dxa"/>
          </w:tcPr>
          <w:p w14:paraId="3A46493F" w14:textId="77777777" w:rsidR="007B4B12" w:rsidRPr="007745B4" w:rsidRDefault="007B4B12" w:rsidP="00FD42FE">
            <w:pPr>
              <w:contextualSpacing/>
              <w:rPr>
                <w:rFonts w:cs="Times New Roman"/>
                <w:szCs w:val="24"/>
              </w:rPr>
            </w:pPr>
            <w:r w:rsidRPr="0085566C">
              <w:rPr>
                <w:rFonts w:cs="Times New Roman"/>
                <w:szCs w:val="24"/>
              </w:rPr>
              <w:t>0.26</w:t>
            </w:r>
          </w:p>
        </w:tc>
        <w:tc>
          <w:tcPr>
            <w:tcW w:w="1027" w:type="dxa"/>
          </w:tcPr>
          <w:p w14:paraId="3574CFE0" w14:textId="77777777" w:rsidR="007B4B12" w:rsidRPr="007745B4" w:rsidRDefault="007B4B12" w:rsidP="00FD42FE">
            <w:pPr>
              <w:contextualSpacing/>
              <w:rPr>
                <w:rFonts w:cs="Times New Roman"/>
                <w:szCs w:val="24"/>
              </w:rPr>
            </w:pPr>
            <w:r w:rsidRPr="0085566C">
              <w:rPr>
                <w:rFonts w:cs="Times New Roman"/>
                <w:szCs w:val="24"/>
              </w:rPr>
              <w:t>0.24</w:t>
            </w:r>
          </w:p>
        </w:tc>
        <w:tc>
          <w:tcPr>
            <w:tcW w:w="1027" w:type="dxa"/>
          </w:tcPr>
          <w:p w14:paraId="5D57A3FB" w14:textId="77777777" w:rsidR="007B4B12" w:rsidRPr="007745B4" w:rsidRDefault="007B4B12" w:rsidP="00FD42FE">
            <w:pPr>
              <w:contextualSpacing/>
              <w:rPr>
                <w:rFonts w:cs="Times New Roman"/>
                <w:szCs w:val="24"/>
              </w:rPr>
            </w:pPr>
            <w:r w:rsidRPr="0085566C">
              <w:rPr>
                <w:rFonts w:cs="Times New Roman"/>
                <w:szCs w:val="24"/>
              </w:rPr>
              <w:t>0.87</w:t>
            </w:r>
          </w:p>
        </w:tc>
        <w:tc>
          <w:tcPr>
            <w:tcW w:w="800" w:type="dxa"/>
          </w:tcPr>
          <w:p w14:paraId="063ACBB3" w14:textId="77777777" w:rsidR="007B4B12" w:rsidRPr="007745B4" w:rsidRDefault="007B4B12" w:rsidP="00FD42FE">
            <w:pPr>
              <w:contextualSpacing/>
              <w:rPr>
                <w:rFonts w:cs="Times New Roman"/>
                <w:szCs w:val="24"/>
              </w:rPr>
            </w:pPr>
            <w:r w:rsidRPr="0085566C">
              <w:rPr>
                <w:rFonts w:cs="Times New Roman"/>
                <w:szCs w:val="24"/>
              </w:rPr>
              <w:t>0.23</w:t>
            </w:r>
          </w:p>
        </w:tc>
      </w:tr>
      <w:tr w:rsidR="007B4B12" w:rsidRPr="0043055C" w14:paraId="5CDB29DE" w14:textId="77777777" w:rsidTr="006A3CAB">
        <w:trPr>
          <w:trHeight w:val="80"/>
          <w:jc w:val="center"/>
        </w:trPr>
        <w:tc>
          <w:tcPr>
            <w:tcW w:w="1549" w:type="dxa"/>
            <w:vMerge/>
          </w:tcPr>
          <w:p w14:paraId="15C76A4A" w14:textId="77777777" w:rsidR="007B4B12" w:rsidRPr="007745B4" w:rsidRDefault="007B4B12" w:rsidP="00FD42FE">
            <w:pPr>
              <w:contextualSpacing/>
              <w:rPr>
                <w:rFonts w:cs="Times New Roman"/>
                <w:szCs w:val="24"/>
              </w:rPr>
            </w:pPr>
          </w:p>
        </w:tc>
        <w:tc>
          <w:tcPr>
            <w:tcW w:w="971" w:type="dxa"/>
          </w:tcPr>
          <w:p w14:paraId="1E456204" w14:textId="77777777" w:rsidR="007B4B12" w:rsidRPr="007745B4" w:rsidRDefault="007B4B12" w:rsidP="00FD42FE">
            <w:pPr>
              <w:contextualSpacing/>
              <w:rPr>
                <w:rFonts w:cs="Times New Roman"/>
                <w:szCs w:val="24"/>
              </w:rPr>
            </w:pPr>
            <w:r w:rsidRPr="007745B4">
              <w:rPr>
                <w:rFonts w:cs="Times New Roman"/>
                <w:szCs w:val="24"/>
              </w:rPr>
              <w:t>VOM</w:t>
            </w:r>
          </w:p>
        </w:tc>
        <w:tc>
          <w:tcPr>
            <w:tcW w:w="1710" w:type="dxa"/>
          </w:tcPr>
          <w:p w14:paraId="66CDF1B7" w14:textId="77777777" w:rsidR="007B4B12" w:rsidRPr="007745B4" w:rsidRDefault="007B4B12" w:rsidP="00FD42FE">
            <w:pPr>
              <w:contextualSpacing/>
              <w:rPr>
                <w:rFonts w:cs="Times New Roman"/>
                <w:szCs w:val="24"/>
              </w:rPr>
            </w:pPr>
            <w:r w:rsidRPr="007745B4">
              <w:rPr>
                <w:rFonts w:cs="Times New Roman"/>
                <w:szCs w:val="24"/>
              </w:rPr>
              <w:t>0.48 (±0.31)</w:t>
            </w:r>
          </w:p>
        </w:tc>
        <w:tc>
          <w:tcPr>
            <w:tcW w:w="1147" w:type="dxa"/>
          </w:tcPr>
          <w:p w14:paraId="05BEF784" w14:textId="77777777" w:rsidR="007B4B12" w:rsidRPr="007745B4" w:rsidRDefault="007B4B12" w:rsidP="00FD42FE">
            <w:pPr>
              <w:contextualSpacing/>
              <w:rPr>
                <w:rFonts w:cs="Times New Roman"/>
                <w:szCs w:val="24"/>
              </w:rPr>
            </w:pPr>
            <w:r w:rsidRPr="0085566C">
              <w:rPr>
                <w:rFonts w:cs="Times New Roman"/>
                <w:szCs w:val="24"/>
              </w:rPr>
              <w:t>0.28</w:t>
            </w:r>
          </w:p>
        </w:tc>
        <w:tc>
          <w:tcPr>
            <w:tcW w:w="1027" w:type="dxa"/>
          </w:tcPr>
          <w:p w14:paraId="0A2A2400" w14:textId="77777777" w:rsidR="007B4B12" w:rsidRPr="007745B4" w:rsidRDefault="007B4B12" w:rsidP="00FD42FE">
            <w:pPr>
              <w:contextualSpacing/>
              <w:rPr>
                <w:rFonts w:cs="Times New Roman"/>
                <w:szCs w:val="24"/>
              </w:rPr>
            </w:pPr>
            <w:r w:rsidRPr="0085566C">
              <w:rPr>
                <w:rFonts w:cs="Times New Roman"/>
                <w:szCs w:val="24"/>
              </w:rPr>
              <w:t>0.26</w:t>
            </w:r>
          </w:p>
        </w:tc>
        <w:tc>
          <w:tcPr>
            <w:tcW w:w="1027" w:type="dxa"/>
          </w:tcPr>
          <w:p w14:paraId="0DB3CB73" w14:textId="77777777" w:rsidR="007B4B12" w:rsidRPr="007745B4" w:rsidRDefault="007B4B12" w:rsidP="00FD42FE">
            <w:pPr>
              <w:contextualSpacing/>
              <w:rPr>
                <w:rFonts w:cs="Times New Roman"/>
                <w:szCs w:val="24"/>
              </w:rPr>
            </w:pPr>
            <w:r w:rsidRPr="0085566C">
              <w:rPr>
                <w:rFonts w:cs="Times New Roman"/>
                <w:szCs w:val="24"/>
              </w:rPr>
              <w:t>0.86</w:t>
            </w:r>
          </w:p>
        </w:tc>
        <w:tc>
          <w:tcPr>
            <w:tcW w:w="800" w:type="dxa"/>
          </w:tcPr>
          <w:p w14:paraId="4590BE23" w14:textId="77777777" w:rsidR="007B4B12" w:rsidRPr="007745B4" w:rsidRDefault="007B4B12" w:rsidP="00FD42FE">
            <w:pPr>
              <w:contextualSpacing/>
              <w:rPr>
                <w:rFonts w:cs="Times New Roman"/>
                <w:szCs w:val="24"/>
              </w:rPr>
            </w:pPr>
            <w:r w:rsidRPr="0085566C">
              <w:rPr>
                <w:rFonts w:cs="Times New Roman"/>
                <w:szCs w:val="24"/>
              </w:rPr>
              <w:t>0.23</w:t>
            </w:r>
          </w:p>
        </w:tc>
      </w:tr>
      <w:tr w:rsidR="007B4B12" w14:paraId="65CA5733" w14:textId="77777777" w:rsidTr="006A3CAB">
        <w:trPr>
          <w:trHeight w:val="552"/>
          <w:jc w:val="center"/>
        </w:trPr>
        <w:tc>
          <w:tcPr>
            <w:tcW w:w="1549" w:type="dxa"/>
            <w:vMerge/>
          </w:tcPr>
          <w:p w14:paraId="5EE20BBA" w14:textId="77777777" w:rsidR="007B4B12" w:rsidRPr="007745B4" w:rsidRDefault="007B4B12" w:rsidP="00FD42FE">
            <w:pPr>
              <w:contextualSpacing/>
              <w:rPr>
                <w:rFonts w:cs="Times New Roman"/>
                <w:szCs w:val="24"/>
              </w:rPr>
            </w:pPr>
          </w:p>
        </w:tc>
        <w:tc>
          <w:tcPr>
            <w:tcW w:w="971" w:type="dxa"/>
          </w:tcPr>
          <w:p w14:paraId="20E8D5DC" w14:textId="77777777" w:rsidR="007B4B12" w:rsidRPr="007745B4" w:rsidRDefault="007B4B12" w:rsidP="00FD42FE">
            <w:pPr>
              <w:contextualSpacing/>
              <w:rPr>
                <w:rFonts w:cs="Times New Roman"/>
                <w:szCs w:val="24"/>
              </w:rPr>
            </w:pPr>
            <w:r w:rsidRPr="007745B4">
              <w:rPr>
                <w:rFonts w:cs="Times New Roman"/>
                <w:szCs w:val="24"/>
              </w:rPr>
              <w:t>ESP</w:t>
            </w:r>
          </w:p>
        </w:tc>
        <w:tc>
          <w:tcPr>
            <w:tcW w:w="1710" w:type="dxa"/>
          </w:tcPr>
          <w:p w14:paraId="1F6112FE" w14:textId="77777777" w:rsidR="007B4B12" w:rsidRPr="007745B4" w:rsidRDefault="007B4B12" w:rsidP="00FD42FE">
            <w:pPr>
              <w:contextualSpacing/>
              <w:rPr>
                <w:rFonts w:cs="Times New Roman"/>
                <w:szCs w:val="24"/>
              </w:rPr>
            </w:pPr>
            <w:r w:rsidRPr="007745B4">
              <w:rPr>
                <w:rFonts w:cs="Times New Roman"/>
                <w:szCs w:val="24"/>
              </w:rPr>
              <w:t>0.37 (±0.28)</w:t>
            </w:r>
          </w:p>
        </w:tc>
        <w:tc>
          <w:tcPr>
            <w:tcW w:w="1147" w:type="dxa"/>
          </w:tcPr>
          <w:p w14:paraId="6A226B58" w14:textId="77777777" w:rsidR="007B4B12" w:rsidRPr="007745B4" w:rsidRDefault="007B4B12" w:rsidP="00FD42FE">
            <w:pPr>
              <w:contextualSpacing/>
              <w:rPr>
                <w:rFonts w:cs="Times New Roman"/>
                <w:szCs w:val="24"/>
              </w:rPr>
            </w:pPr>
            <w:r w:rsidRPr="0085566C">
              <w:rPr>
                <w:rFonts w:cs="Times New Roman"/>
                <w:szCs w:val="24"/>
              </w:rPr>
              <w:t>0.18</w:t>
            </w:r>
          </w:p>
        </w:tc>
        <w:tc>
          <w:tcPr>
            <w:tcW w:w="1027" w:type="dxa"/>
          </w:tcPr>
          <w:p w14:paraId="457CFD57" w14:textId="77777777" w:rsidR="007B4B12" w:rsidRPr="007745B4" w:rsidRDefault="007B4B12" w:rsidP="00FD42FE">
            <w:pPr>
              <w:contextualSpacing/>
              <w:rPr>
                <w:rFonts w:cs="Times New Roman"/>
                <w:szCs w:val="24"/>
              </w:rPr>
            </w:pPr>
            <w:r w:rsidRPr="0085566C">
              <w:rPr>
                <w:rFonts w:cs="Times New Roman"/>
                <w:szCs w:val="24"/>
              </w:rPr>
              <w:t>0.22</w:t>
            </w:r>
          </w:p>
        </w:tc>
        <w:tc>
          <w:tcPr>
            <w:tcW w:w="1027" w:type="dxa"/>
          </w:tcPr>
          <w:p w14:paraId="670FBB6F" w14:textId="77777777" w:rsidR="007B4B12" w:rsidRPr="007745B4" w:rsidRDefault="007B4B12" w:rsidP="00FD42FE">
            <w:pPr>
              <w:contextualSpacing/>
              <w:rPr>
                <w:rFonts w:cs="Times New Roman"/>
                <w:szCs w:val="24"/>
              </w:rPr>
            </w:pPr>
            <w:r w:rsidRPr="0085566C">
              <w:rPr>
                <w:rFonts w:cs="Times New Roman"/>
                <w:szCs w:val="24"/>
              </w:rPr>
              <w:t>0.88</w:t>
            </w:r>
          </w:p>
        </w:tc>
        <w:tc>
          <w:tcPr>
            <w:tcW w:w="800" w:type="dxa"/>
          </w:tcPr>
          <w:p w14:paraId="61968071" w14:textId="77777777" w:rsidR="007B4B12" w:rsidRPr="007745B4" w:rsidRDefault="007B4B12" w:rsidP="00FD42FE">
            <w:pPr>
              <w:contextualSpacing/>
              <w:rPr>
                <w:rFonts w:cs="Times New Roman"/>
                <w:szCs w:val="24"/>
              </w:rPr>
            </w:pPr>
            <w:r w:rsidRPr="0085566C">
              <w:rPr>
                <w:rFonts w:cs="Times New Roman"/>
                <w:szCs w:val="24"/>
              </w:rPr>
              <w:t>0.21</w:t>
            </w:r>
          </w:p>
        </w:tc>
      </w:tr>
    </w:tbl>
    <w:p w14:paraId="1E802BCD" w14:textId="77777777" w:rsidR="007B4B12" w:rsidRDefault="007B4B12" w:rsidP="007B4B12">
      <w:pPr>
        <w:contextualSpacing/>
        <w:jc w:val="both"/>
        <w:rPr>
          <w:rFonts w:cs="Times New Roman"/>
          <w:szCs w:val="24"/>
        </w:rPr>
        <w:sectPr w:rsidR="007B4B12" w:rsidSect="00C02A3F">
          <w:pgSz w:w="12240" w:h="15840"/>
          <w:pgMar w:top="1440" w:right="1440" w:bottom="1440" w:left="1440" w:header="720" w:footer="720" w:gutter="0"/>
          <w:cols w:space="720"/>
          <w:docGrid w:linePitch="360"/>
        </w:sectPr>
      </w:pPr>
    </w:p>
    <w:p w14:paraId="361D1D02" w14:textId="77777777" w:rsidR="007B4B12" w:rsidRDefault="007B4B12" w:rsidP="007B4B12">
      <w:pPr>
        <w:contextualSpacing/>
        <w:jc w:val="both"/>
        <w:rPr>
          <w:rFonts w:cs="Times New Roman"/>
          <w:szCs w:val="24"/>
        </w:rPr>
      </w:pPr>
    </w:p>
    <w:p w14:paraId="15EE9EC9" w14:textId="77777777" w:rsidR="007B4B12" w:rsidRDefault="007B4B12" w:rsidP="00196999">
      <w:pPr>
        <w:contextualSpacing/>
        <w:jc w:val="center"/>
        <w:rPr>
          <w:rFonts w:cs="Times New Roman"/>
          <w:szCs w:val="24"/>
        </w:rPr>
      </w:pPr>
      <w:r>
        <w:rPr>
          <w:rFonts w:cs="Times New Roman"/>
          <w:noProof/>
          <w:szCs w:val="24"/>
        </w:rPr>
        <w:drawing>
          <wp:inline distT="0" distB="0" distL="0" distR="0" wp14:anchorId="6ED2EA25" wp14:editId="2C6D9224">
            <wp:extent cx="5781675" cy="3591927"/>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lowDiagra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87411" cy="3595490"/>
                    </a:xfrm>
                    <a:prstGeom prst="rect">
                      <a:avLst/>
                    </a:prstGeom>
                  </pic:spPr>
                </pic:pic>
              </a:graphicData>
            </a:graphic>
          </wp:inline>
        </w:drawing>
      </w:r>
    </w:p>
    <w:p w14:paraId="7E4E3C50" w14:textId="5E84B335" w:rsidR="007B4B12" w:rsidRDefault="00934556" w:rsidP="00934556">
      <w:pPr>
        <w:keepNext/>
        <w:contextualSpacing/>
        <w:rPr>
          <w:rFonts w:cs="Times New Roman"/>
          <w:szCs w:val="24"/>
        </w:rPr>
      </w:pPr>
      <w:bookmarkStart w:id="62" w:name="_Toc60480652"/>
      <w:r>
        <w:t>Figure</w:t>
      </w:r>
      <w:r w:rsidR="00B06ABD">
        <w:rPr>
          <w:rFonts w:cs="Times New Roman"/>
          <w:szCs w:val="24"/>
        </w:rPr>
        <w:t xml:space="preserve"> </w:t>
      </w:r>
      <w:r>
        <w:rPr>
          <w:rFonts w:cs="Times New Roman"/>
          <w:szCs w:val="24"/>
        </w:rPr>
        <w:t>S</w:t>
      </w:r>
      <w:r w:rsidR="00B06ABD">
        <w:rPr>
          <w:rFonts w:cs="Times New Roman"/>
          <w:szCs w:val="24"/>
        </w:rPr>
        <w:t>2.1</w:t>
      </w:r>
      <w:r w:rsidR="007B4B12">
        <w:rPr>
          <w:rFonts w:cs="Times New Roman"/>
          <w:szCs w:val="24"/>
        </w:rPr>
        <w:t xml:space="preserve"> Schematic of investigation with path to research questions in the main text. NRAS = composite benthic macroinvertebrate samples collected by the national rivers and streams assessment; Flying taxa = </w:t>
      </w:r>
      <w:proofErr w:type="spellStart"/>
      <w:r w:rsidR="007B4B12">
        <w:rPr>
          <w:rFonts w:eastAsia="Times New Roman" w:cs="Times New Roman"/>
          <w:color w:val="000000"/>
        </w:rPr>
        <w:t>Diptera</w:t>
      </w:r>
      <w:proofErr w:type="spellEnd"/>
      <w:r w:rsidR="007B4B12">
        <w:rPr>
          <w:rFonts w:eastAsia="Times New Roman" w:cs="Times New Roman"/>
          <w:color w:val="000000"/>
        </w:rPr>
        <w:t xml:space="preserve">, </w:t>
      </w:r>
      <w:proofErr w:type="spellStart"/>
      <w:r w:rsidR="007B4B12">
        <w:rPr>
          <w:rFonts w:cs="Times New Roman"/>
          <w:szCs w:val="24"/>
        </w:rPr>
        <w:t>Ephemeroptera</w:t>
      </w:r>
      <w:proofErr w:type="spellEnd"/>
      <w:r w:rsidR="007B4B12">
        <w:rPr>
          <w:rFonts w:cs="Times New Roman"/>
          <w:szCs w:val="24"/>
        </w:rPr>
        <w:t xml:space="preserve">, </w:t>
      </w:r>
      <w:proofErr w:type="spellStart"/>
      <w:r w:rsidR="007B4B12">
        <w:rPr>
          <w:rFonts w:cs="Times New Roman"/>
          <w:szCs w:val="24"/>
        </w:rPr>
        <w:t>Plecoptera</w:t>
      </w:r>
      <w:proofErr w:type="spellEnd"/>
      <w:r w:rsidR="007B4B12">
        <w:rPr>
          <w:rFonts w:cs="Times New Roman"/>
          <w:szCs w:val="24"/>
        </w:rPr>
        <w:t xml:space="preserve">, </w:t>
      </w:r>
      <w:proofErr w:type="spellStart"/>
      <w:r w:rsidR="007B4B12">
        <w:rPr>
          <w:rFonts w:cs="Times New Roman"/>
          <w:szCs w:val="24"/>
        </w:rPr>
        <w:t>Odonata</w:t>
      </w:r>
      <w:proofErr w:type="spellEnd"/>
      <w:r w:rsidR="007B4B12">
        <w:rPr>
          <w:rFonts w:cs="Times New Roman"/>
          <w:szCs w:val="24"/>
        </w:rPr>
        <w:t xml:space="preserve"> and </w:t>
      </w:r>
      <w:proofErr w:type="spellStart"/>
      <w:r w:rsidR="007B4B12">
        <w:rPr>
          <w:rFonts w:cs="Times New Roman"/>
          <w:szCs w:val="24"/>
        </w:rPr>
        <w:t>Trichoptera</w:t>
      </w:r>
      <w:proofErr w:type="spellEnd"/>
      <w:r w:rsidR="007B4B12">
        <w:rPr>
          <w:rFonts w:cs="Times New Roman"/>
          <w:szCs w:val="24"/>
        </w:rPr>
        <w:t xml:space="preserve">; EPTC taxa = </w:t>
      </w:r>
      <w:proofErr w:type="spellStart"/>
      <w:r w:rsidR="007B4B12">
        <w:rPr>
          <w:rFonts w:cs="Times New Roman"/>
          <w:szCs w:val="24"/>
        </w:rPr>
        <w:t>Ephemeroptera</w:t>
      </w:r>
      <w:proofErr w:type="spellEnd"/>
      <w:r w:rsidR="007B4B12">
        <w:rPr>
          <w:rFonts w:cs="Times New Roman"/>
          <w:szCs w:val="24"/>
        </w:rPr>
        <w:t xml:space="preserve">, </w:t>
      </w:r>
      <w:proofErr w:type="spellStart"/>
      <w:r w:rsidR="007B4B12">
        <w:rPr>
          <w:rFonts w:cs="Times New Roman"/>
          <w:szCs w:val="24"/>
        </w:rPr>
        <w:t>Plecoptera</w:t>
      </w:r>
      <w:proofErr w:type="spellEnd"/>
      <w:r w:rsidR="007B4B12">
        <w:rPr>
          <w:rFonts w:cs="Times New Roman"/>
          <w:szCs w:val="24"/>
        </w:rPr>
        <w:t xml:space="preserve">, </w:t>
      </w:r>
      <w:proofErr w:type="spellStart"/>
      <w:r w:rsidR="007B4B12">
        <w:rPr>
          <w:rFonts w:cs="Times New Roman"/>
          <w:szCs w:val="24"/>
        </w:rPr>
        <w:t>Trichoptera</w:t>
      </w:r>
      <w:proofErr w:type="spellEnd"/>
      <w:r w:rsidR="007B4B12">
        <w:rPr>
          <w:rFonts w:cs="Times New Roman"/>
          <w:szCs w:val="24"/>
        </w:rPr>
        <w:t xml:space="preserve"> and </w:t>
      </w:r>
      <w:proofErr w:type="spellStart"/>
      <w:r w:rsidR="007B4B12" w:rsidRPr="00E86D5D">
        <w:rPr>
          <w:rFonts w:cs="Times New Roman"/>
          <w:szCs w:val="24"/>
        </w:rPr>
        <w:t>Chironomidae</w:t>
      </w:r>
      <w:proofErr w:type="spellEnd"/>
      <w:r w:rsidR="007B4B12">
        <w:rPr>
          <w:rFonts w:cs="Times New Roman"/>
          <w:szCs w:val="24"/>
        </w:rPr>
        <w:t xml:space="preserve"> [</w:t>
      </w:r>
      <w:proofErr w:type="spellStart"/>
      <w:r w:rsidR="007B4B12">
        <w:rPr>
          <w:rFonts w:cs="Times New Roman"/>
          <w:szCs w:val="24"/>
        </w:rPr>
        <w:t>Diptera</w:t>
      </w:r>
      <w:proofErr w:type="spellEnd"/>
      <w:r w:rsidR="007B4B12">
        <w:rPr>
          <w:rFonts w:cs="Times New Roman"/>
          <w:szCs w:val="24"/>
        </w:rPr>
        <w:t>]; Traits Record = flying taxa with matching record in traits database. Trait abbreviations are: Trait abbreviations are: FDH = Female Dispersal (High), BSL = Body Size (Large), LSL = Life Span (Long), FSS=</w:t>
      </w:r>
      <w:r w:rsidR="00B06ABD">
        <w:rPr>
          <w:rFonts w:cs="Times New Roman"/>
          <w:szCs w:val="24"/>
        </w:rPr>
        <w:t xml:space="preserve"> </w:t>
      </w:r>
      <w:r w:rsidR="007B4B12">
        <w:rPr>
          <w:rFonts w:cs="Times New Roman"/>
          <w:szCs w:val="24"/>
        </w:rPr>
        <w:lastRenderedPageBreak/>
        <w:t xml:space="preserve">Flight Strength (Strong); ESP = Emergence Synchrony Poor; DSF = Development Speed (Fast) and VOM = </w:t>
      </w:r>
      <w:proofErr w:type="spellStart"/>
      <w:r w:rsidR="007B4B12">
        <w:rPr>
          <w:rFonts w:cs="Times New Roman"/>
          <w:szCs w:val="24"/>
        </w:rPr>
        <w:t>Voltinism</w:t>
      </w:r>
      <w:proofErr w:type="spellEnd"/>
      <w:r w:rsidR="007B4B12">
        <w:rPr>
          <w:rFonts w:cs="Times New Roman"/>
          <w:szCs w:val="24"/>
        </w:rPr>
        <w:t xml:space="preserve"> (Multi); Trait definitions are provided in Table 1</w:t>
      </w:r>
      <w:bookmarkEnd w:id="62"/>
    </w:p>
    <w:p w14:paraId="207C123C" w14:textId="1D217D7E" w:rsidR="00B06ABD" w:rsidRDefault="00B06ABD" w:rsidP="00934556">
      <w:pPr>
        <w:keepNext/>
        <w:contextualSpacing/>
      </w:pPr>
    </w:p>
    <w:p w14:paraId="28D80585" w14:textId="77777777" w:rsidR="00B06ABD" w:rsidRPr="00934556" w:rsidRDefault="00B06ABD" w:rsidP="00934556">
      <w:pPr>
        <w:keepNext/>
        <w:contextualSpacing/>
      </w:pPr>
    </w:p>
    <w:p w14:paraId="1A6CCB37" w14:textId="77777777" w:rsidR="007B4B12" w:rsidRDefault="007B4B12" w:rsidP="00196999">
      <w:pPr>
        <w:jc w:val="center"/>
        <w:rPr>
          <w:rFonts w:cs="Times New Roman"/>
          <w:szCs w:val="24"/>
        </w:rPr>
      </w:pPr>
      <w:r>
        <w:rPr>
          <w:rFonts w:cs="Times New Roman"/>
          <w:noProof/>
          <w:szCs w:val="24"/>
        </w:rPr>
        <w:drawing>
          <wp:inline distT="0" distB="0" distL="0" distR="0" wp14:anchorId="028C3CEF" wp14:editId="590A45BC">
            <wp:extent cx="5048655" cy="4592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its_Sites.tif"/>
                    <pic:cNvPicPr/>
                  </pic:nvPicPr>
                  <pic:blipFill rotWithShape="1">
                    <a:blip r:embed="rId24" cstate="print">
                      <a:extLst>
                        <a:ext uri="{28A0092B-C50C-407E-A947-70E740481C1C}">
                          <a14:useLocalDpi xmlns:a14="http://schemas.microsoft.com/office/drawing/2010/main" val="0"/>
                        </a:ext>
                      </a:extLst>
                    </a:blip>
                    <a:srcRect r="15057"/>
                    <a:stretch/>
                  </pic:blipFill>
                  <pic:spPr bwMode="auto">
                    <a:xfrm>
                      <a:off x="0" y="0"/>
                      <a:ext cx="5048655" cy="4592955"/>
                    </a:xfrm>
                    <a:prstGeom prst="rect">
                      <a:avLst/>
                    </a:prstGeom>
                    <a:ln>
                      <a:noFill/>
                    </a:ln>
                    <a:extLst>
                      <a:ext uri="{53640926-AAD7-44D8-BBD7-CCE9431645EC}">
                        <a14:shadowObscured xmlns:a14="http://schemas.microsoft.com/office/drawing/2010/main"/>
                      </a:ext>
                    </a:extLst>
                  </pic:spPr>
                </pic:pic>
              </a:graphicData>
            </a:graphic>
          </wp:inline>
        </w:drawing>
      </w:r>
    </w:p>
    <w:p w14:paraId="5ABCC416" w14:textId="77B9F143" w:rsidR="007B4B12" w:rsidRDefault="00934556" w:rsidP="00934556">
      <w:pPr>
        <w:pStyle w:val="Caption"/>
        <w:rPr>
          <w:rFonts w:cs="Times New Roman"/>
          <w:szCs w:val="24"/>
        </w:rPr>
      </w:pPr>
      <w:bookmarkStart w:id="63" w:name="_Toc60480653"/>
      <w:r>
        <w:t xml:space="preserve">Figure </w:t>
      </w:r>
      <w:r w:rsidR="007B4B12">
        <w:rPr>
          <w:rFonts w:cs="Times New Roman"/>
          <w:szCs w:val="24"/>
        </w:rPr>
        <w:t>S2.</w:t>
      </w:r>
      <w:r w:rsidR="00B06ABD">
        <w:rPr>
          <w:rFonts w:cs="Times New Roman"/>
          <w:szCs w:val="24"/>
        </w:rPr>
        <w:t>2.</w:t>
      </w:r>
      <w:r w:rsidR="007B4B12">
        <w:rPr>
          <w:rFonts w:cs="Times New Roman"/>
          <w:szCs w:val="24"/>
        </w:rPr>
        <w:t xml:space="preserve"> Top: Major Hydrologic Regions of the United States with survey locations used by National Rivers and Stream Assessment program (Points, n = 1,857).  Bottom: Survey locations where &gt; 50% of the EPTDO genera have suitable information about traits (Triangles, n = 578).</w:t>
      </w:r>
      <w:bookmarkEnd w:id="63"/>
    </w:p>
    <w:p w14:paraId="16BB684C" w14:textId="77777777" w:rsidR="007B4B12" w:rsidRDefault="007B4B12" w:rsidP="007B4B12">
      <w:pPr>
        <w:contextualSpacing/>
        <w:jc w:val="both"/>
        <w:rPr>
          <w:rFonts w:cs="Times New Roman"/>
          <w:szCs w:val="24"/>
        </w:rPr>
      </w:pPr>
      <w:r>
        <w:rPr>
          <w:rFonts w:cs="Times New Roman"/>
          <w:szCs w:val="24"/>
        </w:rPr>
        <w:t xml:space="preserve"> </w:t>
      </w:r>
    </w:p>
    <w:p w14:paraId="2E9CD918" w14:textId="77777777" w:rsidR="007B4B12" w:rsidRDefault="007B4B12" w:rsidP="006A3CAB">
      <w:pPr>
        <w:contextualSpacing/>
        <w:jc w:val="center"/>
        <w:rPr>
          <w:rFonts w:cs="Times New Roman"/>
          <w:szCs w:val="24"/>
        </w:rPr>
      </w:pPr>
      <w:r>
        <w:rPr>
          <w:rFonts w:cs="Times New Roman"/>
          <w:noProof/>
          <w:szCs w:val="24"/>
        </w:rPr>
        <w:lastRenderedPageBreak/>
        <w:drawing>
          <wp:inline distT="0" distB="0" distL="0" distR="0" wp14:anchorId="7A221DE1" wp14:editId="09E136C1">
            <wp:extent cx="5943600" cy="29438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era_traits.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2943860"/>
                    </a:xfrm>
                    <a:prstGeom prst="rect">
                      <a:avLst/>
                    </a:prstGeom>
                  </pic:spPr>
                </pic:pic>
              </a:graphicData>
            </a:graphic>
          </wp:inline>
        </w:drawing>
      </w:r>
    </w:p>
    <w:p w14:paraId="52412B02" w14:textId="080E305B" w:rsidR="007B4B12" w:rsidRPr="00934556" w:rsidRDefault="00934556" w:rsidP="00934556">
      <w:pPr>
        <w:pStyle w:val="Caption"/>
      </w:pPr>
      <w:bookmarkStart w:id="64" w:name="_Toc60480654"/>
      <w:r>
        <w:t xml:space="preserve">Figure </w:t>
      </w:r>
      <w:r w:rsidR="007B4B12">
        <w:rPr>
          <w:rFonts w:cs="Times New Roman"/>
          <w:szCs w:val="24"/>
        </w:rPr>
        <w:t>S</w:t>
      </w:r>
      <w:r w:rsidR="00B06ABD">
        <w:rPr>
          <w:rFonts w:cs="Times New Roman"/>
          <w:szCs w:val="24"/>
        </w:rPr>
        <w:t>2.3</w:t>
      </w:r>
      <w:r w:rsidR="007B4B12">
        <w:rPr>
          <w:rFonts w:cs="Times New Roman"/>
          <w:szCs w:val="24"/>
        </w:rPr>
        <w:t xml:space="preserve">. Left: The proportion of flying genera with trait data collected during the NRSA survey. Note trait data were available for 14% of the </w:t>
      </w:r>
      <w:proofErr w:type="spellStart"/>
      <w:r w:rsidR="007B4B12">
        <w:rPr>
          <w:rFonts w:cs="Times New Roman"/>
          <w:szCs w:val="24"/>
        </w:rPr>
        <w:t>Diptera</w:t>
      </w:r>
      <w:proofErr w:type="spellEnd"/>
      <w:r w:rsidR="007B4B12">
        <w:rPr>
          <w:rFonts w:cs="Times New Roman"/>
          <w:szCs w:val="24"/>
        </w:rPr>
        <w:t xml:space="preserve">, thus these taxa may be underrepresented in the traits analysis. Right: The composition of flying taxonomic Orders at all NRSA survey locations (All flying) and at sites included in the 50% threshold (i.e. trait data available for &gt;50% of the flying taxa community) and 80% threshold. Relative to all NRSA survey locations, the sites included in the traits analysis have lower frequencies of </w:t>
      </w:r>
      <w:proofErr w:type="spellStart"/>
      <w:r w:rsidR="007B4B12">
        <w:rPr>
          <w:rFonts w:cs="Times New Roman"/>
          <w:szCs w:val="24"/>
        </w:rPr>
        <w:t>Diptera</w:t>
      </w:r>
      <w:proofErr w:type="spellEnd"/>
      <w:r w:rsidR="007B4B12">
        <w:rPr>
          <w:rFonts w:cs="Times New Roman"/>
          <w:szCs w:val="24"/>
        </w:rPr>
        <w:t xml:space="preserve"> and higher frequencies of </w:t>
      </w:r>
      <w:proofErr w:type="spellStart"/>
      <w:r w:rsidR="007B4B12">
        <w:rPr>
          <w:rFonts w:cs="Times New Roman"/>
          <w:szCs w:val="24"/>
        </w:rPr>
        <w:t>Ephemeroptera</w:t>
      </w:r>
      <w:proofErr w:type="spellEnd"/>
      <w:r w:rsidR="007B4B12">
        <w:rPr>
          <w:rFonts w:cs="Times New Roman"/>
          <w:szCs w:val="24"/>
        </w:rPr>
        <w:t>.</w:t>
      </w:r>
      <w:bookmarkEnd w:id="64"/>
      <w:r w:rsidR="007B4B12">
        <w:rPr>
          <w:rFonts w:cs="Times New Roman"/>
          <w:szCs w:val="24"/>
        </w:rPr>
        <w:t xml:space="preserve"> </w:t>
      </w:r>
    </w:p>
    <w:p w14:paraId="291BDBE5" w14:textId="77777777" w:rsidR="007B4B12" w:rsidRDefault="007B4B12" w:rsidP="007B4B12">
      <w:pPr>
        <w:contextualSpacing/>
        <w:rPr>
          <w:rFonts w:cs="Times New Roman"/>
          <w:szCs w:val="24"/>
        </w:rPr>
      </w:pPr>
    </w:p>
    <w:p w14:paraId="2CCFB6CF" w14:textId="77777777" w:rsidR="007B4B12" w:rsidRDefault="007B4B12" w:rsidP="007B4B12">
      <w:pPr>
        <w:contextualSpacing/>
        <w:jc w:val="both"/>
        <w:rPr>
          <w:rFonts w:cs="Times New Roman"/>
          <w:szCs w:val="24"/>
        </w:rPr>
      </w:pPr>
    </w:p>
    <w:p w14:paraId="37A4FC24" w14:textId="77777777" w:rsidR="007B4B12" w:rsidRDefault="007B4B12" w:rsidP="007B4B12">
      <w:pPr>
        <w:contextualSpacing/>
        <w:jc w:val="both"/>
        <w:rPr>
          <w:rFonts w:cs="Times New Roman"/>
          <w:szCs w:val="24"/>
        </w:rPr>
      </w:pPr>
    </w:p>
    <w:p w14:paraId="4F69BBDB" w14:textId="77777777" w:rsidR="007B4B12" w:rsidRDefault="007B4B12" w:rsidP="006A3CAB">
      <w:pPr>
        <w:contextualSpacing/>
        <w:jc w:val="center"/>
        <w:rPr>
          <w:rFonts w:cs="Times New Roman"/>
          <w:szCs w:val="24"/>
        </w:rPr>
      </w:pPr>
      <w:r>
        <w:rPr>
          <w:rFonts w:cs="Times New Roman"/>
          <w:noProof/>
          <w:szCs w:val="24"/>
        </w:rPr>
        <w:lastRenderedPageBreak/>
        <w:drawing>
          <wp:inline distT="0" distB="0" distL="0" distR="0" wp14:anchorId="1FFE40E3" wp14:editId="4359557B">
            <wp:extent cx="4891153" cy="4873386"/>
            <wp:effectExtent l="0" t="0" r="508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_mtry.jpg"/>
                    <pic:cNvPicPr/>
                  </pic:nvPicPr>
                  <pic:blipFill>
                    <a:blip r:embed="rId26">
                      <a:extLst>
                        <a:ext uri="{28A0092B-C50C-407E-A947-70E740481C1C}">
                          <a14:useLocalDpi xmlns:a14="http://schemas.microsoft.com/office/drawing/2010/main" val="0"/>
                        </a:ext>
                      </a:extLst>
                    </a:blip>
                    <a:stretch>
                      <a:fillRect/>
                    </a:stretch>
                  </pic:blipFill>
                  <pic:spPr>
                    <a:xfrm>
                      <a:off x="0" y="0"/>
                      <a:ext cx="4899899" cy="4882101"/>
                    </a:xfrm>
                    <a:prstGeom prst="rect">
                      <a:avLst/>
                    </a:prstGeom>
                  </pic:spPr>
                </pic:pic>
              </a:graphicData>
            </a:graphic>
          </wp:inline>
        </w:drawing>
      </w:r>
    </w:p>
    <w:p w14:paraId="2658A50A" w14:textId="466CB8ED" w:rsidR="007B4B12" w:rsidRPr="00934556" w:rsidRDefault="00934556" w:rsidP="00934556">
      <w:pPr>
        <w:pStyle w:val="Caption"/>
      </w:pPr>
      <w:bookmarkStart w:id="65" w:name="_Toc60480655"/>
      <w:r>
        <w:t xml:space="preserve">Figure </w:t>
      </w:r>
      <w:r>
        <w:rPr>
          <w:rFonts w:cs="Times New Roman"/>
          <w:szCs w:val="24"/>
        </w:rPr>
        <w:t>S</w:t>
      </w:r>
      <w:r w:rsidR="00B06ABD">
        <w:rPr>
          <w:rFonts w:cs="Times New Roman"/>
          <w:szCs w:val="24"/>
        </w:rPr>
        <w:t>2.4</w:t>
      </w:r>
      <w:r w:rsidR="007B4B12">
        <w:rPr>
          <w:rFonts w:cs="Times New Roman"/>
          <w:szCs w:val="24"/>
        </w:rPr>
        <w:t xml:space="preserve">. Convergence of the proportion of variation explained (PVE) for different values of </w:t>
      </w:r>
      <w:proofErr w:type="spellStart"/>
      <w:r w:rsidR="007B4B12">
        <w:rPr>
          <w:rFonts w:cs="Times New Roman"/>
          <w:szCs w:val="24"/>
        </w:rPr>
        <w:t>mtry</w:t>
      </w:r>
      <w:proofErr w:type="spellEnd"/>
      <w:r w:rsidR="007B4B12">
        <w:rPr>
          <w:rFonts w:cs="Times New Roman"/>
          <w:szCs w:val="24"/>
        </w:rPr>
        <w:t xml:space="preserve"> (p) with increasing the number of trees (</w:t>
      </w:r>
      <w:proofErr w:type="spellStart"/>
      <w:r w:rsidR="007B4B12">
        <w:rPr>
          <w:rFonts w:cs="Times New Roman"/>
          <w:szCs w:val="24"/>
        </w:rPr>
        <w:t>ntree</w:t>
      </w:r>
      <w:proofErr w:type="spellEnd"/>
      <w:r w:rsidR="007B4B12">
        <w:rPr>
          <w:rFonts w:cs="Times New Roman"/>
          <w:szCs w:val="24"/>
        </w:rPr>
        <w:t xml:space="preserve">). We selected 1, </w:t>
      </w:r>
      <w:r w:rsidR="007B4B12" w:rsidRPr="00FA3EC8">
        <w:rPr>
          <w:rFonts w:cs="Times New Roman"/>
          <w:szCs w:val="24"/>
        </w:rPr>
        <w:t>2</w:t>
      </w:r>
      <m:oMath>
        <m:rad>
          <m:radPr>
            <m:degHide m:val="1"/>
            <m:ctrlPr>
              <w:rPr>
                <w:rFonts w:ascii="Cambria Math" w:hAnsi="Cambria Math" w:cs="Times New Roman"/>
                <w:i/>
                <w:szCs w:val="24"/>
              </w:rPr>
            </m:ctrlPr>
          </m:radPr>
          <m:deg/>
          <m:e>
            <m:r>
              <w:rPr>
                <w:rFonts w:ascii="Cambria Math" w:hAnsi="Cambria Math" w:cs="Times New Roman"/>
                <w:szCs w:val="24"/>
              </w:rPr>
              <m:t>p</m:t>
            </m:r>
          </m:e>
        </m:rad>
      </m:oMath>
      <w:r w:rsidR="007B4B12" w:rsidRPr="00FA3EC8">
        <w:rPr>
          <w:rFonts w:cs="Times New Roman"/>
          <w:szCs w:val="24"/>
        </w:rPr>
        <w:t>,</w:t>
      </w:r>
      <w:r w:rsidR="007B4B12">
        <w:rPr>
          <w:rFonts w:cs="Times New Roman"/>
          <w:szCs w:val="24"/>
        </w:rPr>
        <w:t xml:space="preserve"> </w:t>
      </w:r>
      <w:r w:rsidR="007B4B12" w:rsidRPr="00FA3EC8">
        <w:rPr>
          <w:rFonts w:cs="Times New Roman"/>
          <w:szCs w:val="24"/>
        </w:rPr>
        <w:t xml:space="preserve"> 0.2</w:t>
      </w:r>
      <m:oMath>
        <m:r>
          <w:rPr>
            <w:rFonts w:ascii="Cambria Math" w:hAnsi="Cambria Math" w:cs="Times New Roman"/>
            <w:szCs w:val="24"/>
          </w:rPr>
          <m:t>p</m:t>
        </m:r>
      </m:oMath>
      <w:r w:rsidR="007B4B12" w:rsidRPr="00FA3EC8">
        <w:rPr>
          <w:rFonts w:cs="Times New Roman"/>
          <w:szCs w:val="24"/>
        </w:rPr>
        <w:t xml:space="preserve">, </w:t>
      </w:r>
      <m:oMath>
        <m:r>
          <w:rPr>
            <w:rFonts w:ascii="Cambria Math" w:hAnsi="Cambria Math" w:cs="Times New Roman"/>
            <w:szCs w:val="24"/>
          </w:rPr>
          <m:t>p</m:t>
        </m:r>
      </m:oMath>
      <w:r w:rsidR="007B4B12" w:rsidRPr="00FA3EC8">
        <w:rPr>
          <w:rFonts w:cs="Times New Roman"/>
          <w:szCs w:val="24"/>
        </w:rPr>
        <w:t>/3</w:t>
      </w:r>
      <w:r w:rsidR="007B4B12">
        <w:rPr>
          <w:rFonts w:cs="Times New Roman"/>
          <w:szCs w:val="24"/>
        </w:rPr>
        <w:t xml:space="preserve"> and</w:t>
      </w:r>
      <w:r w:rsidR="007B4B12" w:rsidRPr="00FA3EC8">
        <w:rPr>
          <w:rFonts w:cs="Times New Roman"/>
          <w:szCs w:val="24"/>
        </w:rPr>
        <w:t xml:space="preserve"> </w:t>
      </w:r>
      <m:oMath>
        <m:r>
          <w:rPr>
            <w:rFonts w:ascii="Cambria Math" w:hAnsi="Cambria Math" w:cs="Times New Roman"/>
            <w:szCs w:val="24"/>
          </w:rPr>
          <m:t>p</m:t>
        </m:r>
      </m:oMath>
      <w:r w:rsidR="007B4B12">
        <w:rPr>
          <w:rFonts w:cs="Times New Roman"/>
          <w:szCs w:val="24"/>
        </w:rPr>
        <w:t xml:space="preserve"> as candidate mtry values. Consistent with other studies (Fox et al. 2017), we found the optimal value for mtry offered little improvement (i.e. &lt;5% change in PVE) over the default (</w:t>
      </w:r>
      <m:oMath>
        <m:r>
          <w:rPr>
            <w:rFonts w:ascii="Cambria Math" w:hAnsi="Cambria Math" w:cs="Times New Roman"/>
            <w:szCs w:val="24"/>
          </w:rPr>
          <m:t>p</m:t>
        </m:r>
      </m:oMath>
      <w:r w:rsidR="007B4B12" w:rsidRPr="00FA3EC8">
        <w:rPr>
          <w:rFonts w:cs="Times New Roman"/>
          <w:szCs w:val="24"/>
        </w:rPr>
        <w:t>/3</w:t>
      </w:r>
      <w:r w:rsidR="007B4B12">
        <w:rPr>
          <w:rFonts w:cs="Times New Roman"/>
          <w:szCs w:val="24"/>
        </w:rPr>
        <w:t xml:space="preserve"> = 4) for all models except FSS. This model explained little variation in the proportion of individuals with strong flight strength and </w:t>
      </w:r>
      <w:proofErr w:type="spellStart"/>
      <w:r w:rsidR="007B4B12">
        <w:rPr>
          <w:rFonts w:cs="Times New Roman"/>
          <w:szCs w:val="24"/>
        </w:rPr>
        <w:t>mtry</w:t>
      </w:r>
      <w:proofErr w:type="spellEnd"/>
      <w:r w:rsidR="007B4B12">
        <w:rPr>
          <w:rFonts w:cs="Times New Roman"/>
          <w:szCs w:val="24"/>
        </w:rPr>
        <w:t>=1 is possibly indicating stochastic outcome.</w:t>
      </w:r>
      <w:bookmarkEnd w:id="65"/>
      <w:r w:rsidR="007B4B12">
        <w:rPr>
          <w:rFonts w:cs="Times New Roman"/>
          <w:szCs w:val="24"/>
        </w:rPr>
        <w:t xml:space="preserve">   </w:t>
      </w:r>
    </w:p>
    <w:p w14:paraId="31C03A5D" w14:textId="77777777" w:rsidR="007B4B12" w:rsidRDefault="007B4B12" w:rsidP="006A3CAB">
      <w:pPr>
        <w:contextualSpacing/>
        <w:jc w:val="center"/>
        <w:rPr>
          <w:rFonts w:cs="Times New Roman"/>
          <w:szCs w:val="24"/>
        </w:rPr>
      </w:pPr>
      <w:r>
        <w:rPr>
          <w:rFonts w:cs="Times New Roman"/>
          <w:noProof/>
          <w:szCs w:val="24"/>
        </w:rPr>
        <w:lastRenderedPageBreak/>
        <w:drawing>
          <wp:inline distT="0" distB="0" distL="0" distR="0" wp14:anchorId="02AE96A0" wp14:editId="251FE964">
            <wp:extent cx="5050172" cy="51489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_ntry.jpg"/>
                    <pic:cNvPicPr/>
                  </pic:nvPicPr>
                  <pic:blipFill>
                    <a:blip r:embed="rId27">
                      <a:extLst>
                        <a:ext uri="{28A0092B-C50C-407E-A947-70E740481C1C}">
                          <a14:useLocalDpi xmlns:a14="http://schemas.microsoft.com/office/drawing/2010/main" val="0"/>
                        </a:ext>
                      </a:extLst>
                    </a:blip>
                    <a:stretch>
                      <a:fillRect/>
                    </a:stretch>
                  </pic:blipFill>
                  <pic:spPr>
                    <a:xfrm>
                      <a:off x="0" y="0"/>
                      <a:ext cx="5063188" cy="5162180"/>
                    </a:xfrm>
                    <a:prstGeom prst="rect">
                      <a:avLst/>
                    </a:prstGeom>
                  </pic:spPr>
                </pic:pic>
              </a:graphicData>
            </a:graphic>
          </wp:inline>
        </w:drawing>
      </w:r>
    </w:p>
    <w:p w14:paraId="368BD16F" w14:textId="3F35D9C8" w:rsidR="007B4B12" w:rsidRDefault="00934556" w:rsidP="00934556">
      <w:pPr>
        <w:pStyle w:val="Caption"/>
        <w:rPr>
          <w:rFonts w:cs="Times New Roman"/>
          <w:szCs w:val="24"/>
        </w:rPr>
      </w:pPr>
      <w:bookmarkStart w:id="66" w:name="_Toc60480656"/>
      <w:r>
        <w:t xml:space="preserve">Figure </w:t>
      </w:r>
      <w:r w:rsidR="007B4B12">
        <w:rPr>
          <w:rFonts w:cs="Times New Roman"/>
          <w:szCs w:val="24"/>
        </w:rPr>
        <w:t>S</w:t>
      </w:r>
      <w:r w:rsidR="00B06ABD">
        <w:rPr>
          <w:rFonts w:cs="Times New Roman"/>
          <w:szCs w:val="24"/>
        </w:rPr>
        <w:t>2.5</w:t>
      </w:r>
      <w:r w:rsidR="007B4B12">
        <w:rPr>
          <w:rFonts w:cs="Times New Roman"/>
          <w:szCs w:val="24"/>
        </w:rPr>
        <w:t xml:space="preserve">. Correlation coefficients between the variable importance values from two independent random forest models. We tested several values for </w:t>
      </w:r>
      <w:proofErr w:type="spellStart"/>
      <w:r w:rsidR="007B4B12">
        <w:rPr>
          <w:rFonts w:cs="Times New Roman"/>
          <w:szCs w:val="24"/>
        </w:rPr>
        <w:t>ntree</w:t>
      </w:r>
      <w:proofErr w:type="spellEnd"/>
      <w:r w:rsidR="007B4B12">
        <w:rPr>
          <w:rFonts w:cs="Times New Roman"/>
          <w:szCs w:val="24"/>
        </w:rPr>
        <w:t xml:space="preserve"> (500, 1000, 1500, 2000, 2500 and 3000) and found the consistency of results (i.e. correlation coefficient) increased with the number of trees. At </w:t>
      </w:r>
      <w:proofErr w:type="spellStart"/>
      <w:r w:rsidR="007B4B12">
        <w:rPr>
          <w:rFonts w:cs="Times New Roman"/>
          <w:szCs w:val="24"/>
        </w:rPr>
        <w:t>ntree</w:t>
      </w:r>
      <w:proofErr w:type="spellEnd"/>
      <w:r w:rsidR="007B4B12">
        <w:rPr>
          <w:rFonts w:cs="Times New Roman"/>
          <w:szCs w:val="24"/>
        </w:rPr>
        <w:t xml:space="preserve"> =3000 the agreement in the variable importance values &gt;0.98 for all models.</w:t>
      </w:r>
      <w:bookmarkEnd w:id="66"/>
    </w:p>
    <w:p w14:paraId="2CEE6C63" w14:textId="77777777" w:rsidR="007B4B12" w:rsidRDefault="007B4B12" w:rsidP="006A3CAB">
      <w:pPr>
        <w:contextualSpacing/>
        <w:jc w:val="center"/>
        <w:rPr>
          <w:rFonts w:cs="Times New Roman"/>
          <w:szCs w:val="24"/>
        </w:rPr>
      </w:pPr>
      <w:r>
        <w:rPr>
          <w:rFonts w:cs="Times New Roman"/>
          <w:noProof/>
          <w:szCs w:val="24"/>
        </w:rPr>
        <w:lastRenderedPageBreak/>
        <w:drawing>
          <wp:inline distT="0" distB="0" distL="0" distR="0" wp14:anchorId="53B43C15" wp14:editId="4837A95A">
            <wp:extent cx="4371425" cy="6233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_VarImp.jpg"/>
                    <pic:cNvPicPr/>
                  </pic:nvPicPr>
                  <pic:blipFill>
                    <a:blip r:embed="rId28">
                      <a:extLst>
                        <a:ext uri="{28A0092B-C50C-407E-A947-70E740481C1C}">
                          <a14:useLocalDpi xmlns:a14="http://schemas.microsoft.com/office/drawing/2010/main" val="0"/>
                        </a:ext>
                      </a:extLst>
                    </a:blip>
                    <a:stretch>
                      <a:fillRect/>
                    </a:stretch>
                  </pic:blipFill>
                  <pic:spPr>
                    <a:xfrm>
                      <a:off x="0" y="0"/>
                      <a:ext cx="4388575" cy="6257473"/>
                    </a:xfrm>
                    <a:prstGeom prst="rect">
                      <a:avLst/>
                    </a:prstGeom>
                  </pic:spPr>
                </pic:pic>
              </a:graphicData>
            </a:graphic>
          </wp:inline>
        </w:drawing>
      </w:r>
    </w:p>
    <w:p w14:paraId="281EEF12" w14:textId="2B08DFD6" w:rsidR="007B4B12" w:rsidRDefault="00934556" w:rsidP="004909F7">
      <w:pPr>
        <w:pStyle w:val="Caption"/>
        <w:rPr>
          <w:rFonts w:cs="Times New Roman"/>
          <w:szCs w:val="24"/>
        </w:rPr>
        <w:sectPr w:rsidR="007B4B12" w:rsidSect="00C02A3F">
          <w:pgSz w:w="12240" w:h="15840"/>
          <w:pgMar w:top="1440" w:right="1440" w:bottom="1440" w:left="1440" w:header="720" w:footer="720" w:gutter="0"/>
          <w:cols w:space="720"/>
          <w:docGrid w:linePitch="360"/>
        </w:sectPr>
      </w:pPr>
      <w:bookmarkStart w:id="67" w:name="_Toc60480657"/>
      <w:r>
        <w:t xml:space="preserve">Figure </w:t>
      </w:r>
      <w:r w:rsidR="007B4B12">
        <w:rPr>
          <w:rFonts w:cs="Times New Roman"/>
          <w:szCs w:val="24"/>
        </w:rPr>
        <w:t>S</w:t>
      </w:r>
      <w:r w:rsidR="00B06ABD">
        <w:rPr>
          <w:rFonts w:cs="Times New Roman"/>
          <w:szCs w:val="24"/>
        </w:rPr>
        <w:t>2.6</w:t>
      </w:r>
      <w:r w:rsidR="007B4B12">
        <w:rPr>
          <w:rFonts w:cs="Times New Roman"/>
          <w:szCs w:val="24"/>
        </w:rPr>
        <w:t>.</w:t>
      </w:r>
      <w:r w:rsidR="007B4B12" w:rsidRPr="00083246">
        <w:rPr>
          <w:rFonts w:cs="Times New Roman"/>
          <w:szCs w:val="24"/>
        </w:rPr>
        <w:t xml:space="preserve"> </w:t>
      </w:r>
      <w:r w:rsidR="007B4B12">
        <w:rPr>
          <w:rFonts w:cs="Times New Roman"/>
          <w:szCs w:val="24"/>
        </w:rPr>
        <w:t xml:space="preserve">Variable importance plots (MDA = mean decrease accuracy). Predictor variables are: AREA = Catchment area, ELEV = Elevation, SLOPE = Channel Slope, FINES = Percent Fine Substrate, EMBED = Percent Embeddedness, AGRI = Percent Agricultural Land Cover, URBAN = Percent Urban Land Cover, PRECIP = Mean Annual Precipitation, TEMP_MA = Mean Annual Temperature, </w:t>
      </w:r>
      <w:proofErr w:type="spellStart"/>
      <w:r w:rsidR="007B4B12">
        <w:rPr>
          <w:rFonts w:cs="Times New Roman"/>
          <w:szCs w:val="24"/>
        </w:rPr>
        <w:t>TEMP_CoV</w:t>
      </w:r>
      <w:proofErr w:type="spellEnd"/>
      <w:r w:rsidR="007B4B12">
        <w:rPr>
          <w:rFonts w:cs="Times New Roman"/>
          <w:szCs w:val="24"/>
        </w:rPr>
        <w:t xml:space="preserve"> = Mean Annual Temperature Coefficient of Variation, </w:t>
      </w:r>
      <w:proofErr w:type="spellStart"/>
      <w:r w:rsidR="007B4B12">
        <w:rPr>
          <w:rFonts w:cs="Times New Roman"/>
          <w:szCs w:val="24"/>
        </w:rPr>
        <w:t>PRECIP_CoV</w:t>
      </w:r>
      <w:proofErr w:type="spellEnd"/>
      <w:r w:rsidR="007B4B12">
        <w:rPr>
          <w:rFonts w:cs="Times New Roman"/>
          <w:szCs w:val="24"/>
        </w:rPr>
        <w:t xml:space="preserve"> = Mean Annual Precipitation Coefficient of Variation, HYDROCLASS = hydrological class. Trait abbreviations are: FDH = Female Dispersal (High), BSL = Body Size (Large), LSL = Life Span (Long), FSS= Flight Strength (Strong); ESP = Emergence Synchrony Poor; DSF = Development Speed (Fast) and VOM = </w:t>
      </w:r>
      <w:proofErr w:type="spellStart"/>
      <w:r w:rsidR="007B4B12">
        <w:rPr>
          <w:rFonts w:cs="Times New Roman"/>
          <w:szCs w:val="24"/>
        </w:rPr>
        <w:t>Voltinism</w:t>
      </w:r>
      <w:proofErr w:type="spellEnd"/>
      <w:r w:rsidR="007B4B12">
        <w:rPr>
          <w:rFonts w:cs="Times New Roman"/>
          <w:szCs w:val="24"/>
        </w:rPr>
        <w:t xml:space="preserve"> (Multi); Trait definitions are provided in Table 1</w:t>
      </w:r>
      <w:bookmarkEnd w:id="67"/>
    </w:p>
    <w:p w14:paraId="3744FCCA" w14:textId="77777777" w:rsidR="003C2554" w:rsidRPr="00007B70" w:rsidRDefault="003C2554" w:rsidP="004909F7">
      <w:pPr>
        <w:rPr>
          <w:rFonts w:cs="Times New Roman"/>
          <w:b/>
          <w:bCs/>
          <w:sz w:val="36"/>
          <w:szCs w:val="36"/>
        </w:rPr>
      </w:pPr>
    </w:p>
    <w:p w14:paraId="6CA2AAC5" w14:textId="5328E229" w:rsidR="003C2554" w:rsidRDefault="002A7E80" w:rsidP="002A7E80">
      <w:pPr>
        <w:pStyle w:val="Heading1"/>
      </w:pPr>
      <w:bookmarkStart w:id="68" w:name="_Toc60841226"/>
      <w:r>
        <w:t xml:space="preserve">Climate change </w:t>
      </w:r>
      <w:r w:rsidR="00AB7462">
        <w:t>may affect</w:t>
      </w:r>
      <w:r>
        <w:t xml:space="preserve"> quantity of aquatic insect subsidies emerging from streams and rivers </w:t>
      </w:r>
      <w:bookmarkEnd w:id="68"/>
    </w:p>
    <w:p w14:paraId="377E3C28" w14:textId="77777777" w:rsidR="003C2554" w:rsidRDefault="003C2554" w:rsidP="003C2554">
      <w:pPr>
        <w:jc w:val="center"/>
      </w:pPr>
    </w:p>
    <w:p w14:paraId="77E0FB04" w14:textId="77777777" w:rsidR="003C2554" w:rsidRPr="008D4BF7" w:rsidRDefault="003C2554" w:rsidP="003C2554">
      <w:pPr>
        <w:rPr>
          <w:rFonts w:cs="Times New Roman"/>
          <w:szCs w:val="24"/>
        </w:rPr>
      </w:pPr>
    </w:p>
    <w:p w14:paraId="0D0ACECE" w14:textId="2785C319" w:rsidR="003C2554" w:rsidRPr="008D4BF7" w:rsidRDefault="003C2554" w:rsidP="003C2554">
      <w:pPr>
        <w:jc w:val="center"/>
        <w:rPr>
          <w:rFonts w:cs="Times New Roman"/>
          <w:szCs w:val="24"/>
        </w:rPr>
      </w:pPr>
      <w:r w:rsidRPr="008D4BF7">
        <w:rPr>
          <w:rFonts w:cs="Times New Roman"/>
          <w:szCs w:val="24"/>
        </w:rPr>
        <w:t>Darin A. Kopp</w:t>
      </w:r>
      <w:r>
        <w:rPr>
          <w:rFonts w:cs="Times New Roman"/>
          <w:szCs w:val="24"/>
        </w:rPr>
        <w:t>, Alva Strand, Jeffrey Kelly</w:t>
      </w:r>
      <w:r w:rsidR="00AB7462">
        <w:rPr>
          <w:rFonts w:cs="Times New Roman"/>
          <w:szCs w:val="24"/>
        </w:rPr>
        <w:t>,</w:t>
      </w:r>
      <w:r w:rsidRPr="008D4BF7">
        <w:rPr>
          <w:rFonts w:cs="Times New Roman"/>
          <w:szCs w:val="24"/>
        </w:rPr>
        <w:t xml:space="preserve"> and Daniel C. Allen</w:t>
      </w:r>
    </w:p>
    <w:p w14:paraId="72AC5C2C" w14:textId="77777777" w:rsidR="003C2554" w:rsidRPr="008D4BF7" w:rsidRDefault="003C2554" w:rsidP="003C2554">
      <w:pPr>
        <w:spacing w:line="480" w:lineRule="auto"/>
        <w:contextualSpacing/>
        <w:jc w:val="center"/>
        <w:rPr>
          <w:rFonts w:cs="Times New Roman"/>
          <w:szCs w:val="24"/>
        </w:rPr>
      </w:pPr>
    </w:p>
    <w:p w14:paraId="75F64A99" w14:textId="78E8914A" w:rsidR="007B4B12" w:rsidRDefault="003C2554" w:rsidP="003C2554">
      <w:pPr>
        <w:spacing w:line="480" w:lineRule="auto"/>
        <w:contextualSpacing/>
        <w:jc w:val="center"/>
        <w:rPr>
          <w:rFonts w:cs="Times New Roman"/>
          <w:szCs w:val="24"/>
        </w:rPr>
      </w:pPr>
      <w:r w:rsidRPr="008D4BF7">
        <w:rPr>
          <w:rFonts w:cs="Times New Roman"/>
          <w:szCs w:val="24"/>
        </w:rPr>
        <w:t>Ecology and Evolutionary Biology Program, Department of Biology, University of Oklahoma, Norman, Oklahoma 73071</w:t>
      </w:r>
    </w:p>
    <w:p w14:paraId="0D1AC211" w14:textId="5693B528" w:rsidR="00934556" w:rsidRDefault="00934556" w:rsidP="003C2554">
      <w:pPr>
        <w:spacing w:line="480" w:lineRule="auto"/>
        <w:contextualSpacing/>
        <w:jc w:val="center"/>
        <w:rPr>
          <w:rFonts w:cs="Times New Roman"/>
          <w:szCs w:val="24"/>
        </w:rPr>
      </w:pPr>
    </w:p>
    <w:p w14:paraId="7B999519" w14:textId="615176C4" w:rsidR="00934556" w:rsidRDefault="00934556" w:rsidP="003C2554">
      <w:pPr>
        <w:spacing w:line="480" w:lineRule="auto"/>
        <w:contextualSpacing/>
        <w:jc w:val="center"/>
        <w:rPr>
          <w:rFonts w:cs="Times New Roman"/>
          <w:szCs w:val="24"/>
        </w:rPr>
      </w:pPr>
    </w:p>
    <w:p w14:paraId="0D46341F" w14:textId="1AB7D1ED" w:rsidR="00934556" w:rsidRDefault="00934556" w:rsidP="003C2554">
      <w:pPr>
        <w:spacing w:line="480" w:lineRule="auto"/>
        <w:contextualSpacing/>
        <w:jc w:val="center"/>
        <w:rPr>
          <w:rFonts w:cs="Times New Roman"/>
          <w:szCs w:val="24"/>
        </w:rPr>
      </w:pPr>
    </w:p>
    <w:p w14:paraId="18FD251A" w14:textId="37F0FBE4" w:rsidR="00934556" w:rsidRDefault="00934556" w:rsidP="003C2554">
      <w:pPr>
        <w:spacing w:line="480" w:lineRule="auto"/>
        <w:contextualSpacing/>
        <w:jc w:val="center"/>
        <w:rPr>
          <w:rFonts w:cs="Times New Roman"/>
          <w:szCs w:val="24"/>
        </w:rPr>
      </w:pPr>
    </w:p>
    <w:p w14:paraId="32FC334B" w14:textId="66EB44ED" w:rsidR="00934556" w:rsidRDefault="00934556" w:rsidP="003C2554">
      <w:pPr>
        <w:spacing w:line="480" w:lineRule="auto"/>
        <w:contextualSpacing/>
        <w:jc w:val="center"/>
        <w:rPr>
          <w:rFonts w:cs="Times New Roman"/>
          <w:szCs w:val="24"/>
        </w:rPr>
      </w:pPr>
    </w:p>
    <w:p w14:paraId="6AC01575" w14:textId="1DC3CED2" w:rsidR="00934556" w:rsidRDefault="00934556" w:rsidP="003C2554">
      <w:pPr>
        <w:spacing w:line="480" w:lineRule="auto"/>
        <w:contextualSpacing/>
        <w:jc w:val="center"/>
        <w:rPr>
          <w:rFonts w:cs="Times New Roman"/>
          <w:szCs w:val="24"/>
        </w:rPr>
      </w:pPr>
    </w:p>
    <w:p w14:paraId="7BE20DFA" w14:textId="111E555A" w:rsidR="00934556" w:rsidRDefault="00934556" w:rsidP="003C2554">
      <w:pPr>
        <w:spacing w:line="480" w:lineRule="auto"/>
        <w:contextualSpacing/>
        <w:jc w:val="center"/>
        <w:rPr>
          <w:rFonts w:cs="Times New Roman"/>
          <w:szCs w:val="24"/>
        </w:rPr>
      </w:pPr>
    </w:p>
    <w:p w14:paraId="53BD26C0" w14:textId="1B672BDC" w:rsidR="00934556" w:rsidRDefault="00934556" w:rsidP="003C2554">
      <w:pPr>
        <w:spacing w:line="480" w:lineRule="auto"/>
        <w:contextualSpacing/>
        <w:jc w:val="center"/>
        <w:rPr>
          <w:rFonts w:cs="Times New Roman"/>
          <w:szCs w:val="24"/>
        </w:rPr>
      </w:pPr>
    </w:p>
    <w:p w14:paraId="600A51E4" w14:textId="2461B3DF" w:rsidR="00934556" w:rsidRDefault="00934556" w:rsidP="003C2554">
      <w:pPr>
        <w:spacing w:line="480" w:lineRule="auto"/>
        <w:contextualSpacing/>
        <w:jc w:val="center"/>
        <w:rPr>
          <w:rFonts w:cs="Times New Roman"/>
          <w:szCs w:val="24"/>
        </w:rPr>
      </w:pPr>
    </w:p>
    <w:p w14:paraId="533E36DF" w14:textId="42DD4E15" w:rsidR="00934556" w:rsidRDefault="00934556" w:rsidP="003C2554">
      <w:pPr>
        <w:spacing w:line="480" w:lineRule="auto"/>
        <w:contextualSpacing/>
        <w:jc w:val="center"/>
        <w:rPr>
          <w:rFonts w:cs="Times New Roman"/>
          <w:szCs w:val="24"/>
        </w:rPr>
      </w:pPr>
    </w:p>
    <w:p w14:paraId="3F09625B" w14:textId="254F89D2" w:rsidR="00934556" w:rsidRDefault="00934556" w:rsidP="003C2554">
      <w:pPr>
        <w:spacing w:line="480" w:lineRule="auto"/>
        <w:contextualSpacing/>
        <w:jc w:val="center"/>
        <w:rPr>
          <w:rFonts w:cs="Times New Roman"/>
          <w:szCs w:val="24"/>
        </w:rPr>
      </w:pPr>
    </w:p>
    <w:p w14:paraId="77671121" w14:textId="71997B69" w:rsidR="00934556" w:rsidRDefault="00934556" w:rsidP="003C2554">
      <w:pPr>
        <w:spacing w:line="480" w:lineRule="auto"/>
        <w:contextualSpacing/>
        <w:jc w:val="center"/>
        <w:rPr>
          <w:rFonts w:cs="Times New Roman"/>
          <w:szCs w:val="24"/>
        </w:rPr>
      </w:pPr>
    </w:p>
    <w:p w14:paraId="28206FD8" w14:textId="7F6F7F51" w:rsidR="000D7ACA" w:rsidRDefault="000D7ACA" w:rsidP="003C2554">
      <w:pPr>
        <w:spacing w:line="480" w:lineRule="auto"/>
        <w:contextualSpacing/>
        <w:jc w:val="center"/>
        <w:rPr>
          <w:rFonts w:cs="Times New Roman"/>
          <w:szCs w:val="24"/>
        </w:rPr>
      </w:pPr>
    </w:p>
    <w:p w14:paraId="73743C0F" w14:textId="77777777" w:rsidR="000D7ACA" w:rsidRPr="003C2554" w:rsidRDefault="000D7ACA" w:rsidP="003C2554">
      <w:pPr>
        <w:spacing w:line="480" w:lineRule="auto"/>
        <w:contextualSpacing/>
        <w:jc w:val="center"/>
        <w:rPr>
          <w:rFonts w:cs="Times New Roman"/>
          <w:szCs w:val="24"/>
        </w:rPr>
      </w:pPr>
    </w:p>
    <w:p w14:paraId="7FF114F2" w14:textId="5A2D75B1" w:rsidR="00333AA3" w:rsidRPr="00EF1F20" w:rsidRDefault="00333AA3" w:rsidP="003C2554">
      <w:pPr>
        <w:pStyle w:val="Heading2"/>
        <w:spacing w:line="480" w:lineRule="auto"/>
        <w:contextualSpacing/>
      </w:pPr>
      <w:bookmarkStart w:id="69" w:name="_Toc60841227"/>
      <w:r w:rsidRPr="00EF1F20">
        <w:lastRenderedPageBreak/>
        <w:t>Abstract</w:t>
      </w:r>
      <w:bookmarkEnd w:id="69"/>
    </w:p>
    <w:p w14:paraId="5402DC40" w14:textId="71DEC1C6" w:rsidR="00AB7462" w:rsidRDefault="00AB7462" w:rsidP="00AB7462">
      <w:pPr>
        <w:spacing w:line="480" w:lineRule="auto"/>
        <w:ind w:firstLine="720"/>
        <w:contextualSpacing/>
        <w:rPr>
          <w:rFonts w:cs="Times New Roman"/>
          <w:bCs/>
          <w:szCs w:val="24"/>
        </w:rPr>
      </w:pPr>
      <w:bookmarkStart w:id="70" w:name="_Toc60841228"/>
      <w:r w:rsidRPr="00EF1F20">
        <w:rPr>
          <w:rFonts w:cs="Times New Roman"/>
          <w:bCs/>
          <w:szCs w:val="24"/>
        </w:rPr>
        <w:t>Fluxes of materials and energy across ecosystem boundaries (i.e. “resource subsidies”)</w:t>
      </w:r>
      <w:r>
        <w:rPr>
          <w:rFonts w:cs="Times New Roman"/>
          <w:bCs/>
          <w:szCs w:val="24"/>
        </w:rPr>
        <w:t xml:space="preserve">, </w:t>
      </w:r>
      <w:r w:rsidRPr="00EF1F20">
        <w:rPr>
          <w:rFonts w:cs="Times New Roman"/>
          <w:bCs/>
          <w:szCs w:val="24"/>
        </w:rPr>
        <w:t>are</w:t>
      </w:r>
      <w:r>
        <w:rPr>
          <w:rFonts w:cs="Times New Roman"/>
          <w:bCs/>
          <w:szCs w:val="24"/>
        </w:rPr>
        <w:t xml:space="preserve"> globally</w:t>
      </w:r>
      <w:r w:rsidRPr="00EF1F20">
        <w:rPr>
          <w:rFonts w:cs="Times New Roman"/>
          <w:bCs/>
          <w:szCs w:val="24"/>
        </w:rPr>
        <w:t xml:space="preserve"> common</w:t>
      </w:r>
      <w:r>
        <w:rPr>
          <w:rFonts w:cs="Times New Roman"/>
          <w:bCs/>
          <w:szCs w:val="24"/>
        </w:rPr>
        <w:t xml:space="preserve"> and likely impacted by climate change</w:t>
      </w:r>
      <w:r w:rsidRPr="00EF1F20">
        <w:rPr>
          <w:rFonts w:cs="Times New Roman"/>
          <w:bCs/>
          <w:szCs w:val="24"/>
        </w:rPr>
        <w:t>. Aquatic insect</w:t>
      </w:r>
      <w:r>
        <w:rPr>
          <w:rFonts w:cs="Times New Roman"/>
          <w:bCs/>
          <w:szCs w:val="24"/>
        </w:rPr>
        <w:t xml:space="preserve"> larvae metamorphose</w:t>
      </w:r>
      <w:r w:rsidRPr="00EF1F20">
        <w:rPr>
          <w:rFonts w:cs="Times New Roman"/>
          <w:bCs/>
          <w:szCs w:val="24"/>
        </w:rPr>
        <w:t xml:space="preserve"> into </w:t>
      </w:r>
      <w:r>
        <w:rPr>
          <w:rFonts w:cs="Times New Roman"/>
          <w:bCs/>
          <w:szCs w:val="24"/>
        </w:rPr>
        <w:t>flying terrestrial</w:t>
      </w:r>
      <w:r w:rsidRPr="00EF1F20">
        <w:rPr>
          <w:rFonts w:cs="Times New Roman"/>
          <w:bCs/>
          <w:szCs w:val="24"/>
        </w:rPr>
        <w:t xml:space="preserve"> adults </w:t>
      </w:r>
      <w:r>
        <w:rPr>
          <w:rFonts w:cs="Times New Roman"/>
          <w:bCs/>
          <w:szCs w:val="24"/>
        </w:rPr>
        <w:t xml:space="preserve">that </w:t>
      </w:r>
      <w:r w:rsidRPr="00EF1F20">
        <w:rPr>
          <w:rFonts w:cs="Times New Roman"/>
          <w:bCs/>
          <w:szCs w:val="24"/>
        </w:rPr>
        <w:t>subsidize terrestrial ecosystems</w:t>
      </w:r>
      <w:r>
        <w:rPr>
          <w:rFonts w:cs="Times New Roman"/>
          <w:bCs/>
          <w:szCs w:val="24"/>
        </w:rPr>
        <w:t xml:space="preserve"> with energy and nutrients. T</w:t>
      </w:r>
      <w:r w:rsidRPr="00EF1F20">
        <w:rPr>
          <w:rFonts w:cs="Times New Roman"/>
          <w:bCs/>
          <w:szCs w:val="24"/>
        </w:rPr>
        <w:t>he magnitude of th</w:t>
      </w:r>
      <w:r>
        <w:rPr>
          <w:rFonts w:cs="Times New Roman"/>
          <w:bCs/>
          <w:szCs w:val="24"/>
        </w:rPr>
        <w:t>is</w:t>
      </w:r>
      <w:r w:rsidRPr="00EF1F20">
        <w:rPr>
          <w:rFonts w:cs="Times New Roman"/>
          <w:bCs/>
          <w:szCs w:val="24"/>
        </w:rPr>
        <w:t xml:space="preserve"> effect </w:t>
      </w:r>
      <w:r>
        <w:rPr>
          <w:rFonts w:cs="Times New Roman"/>
          <w:bCs/>
          <w:szCs w:val="24"/>
        </w:rPr>
        <w:t>sh</w:t>
      </w:r>
      <w:r w:rsidRPr="00EF1F20">
        <w:rPr>
          <w:rFonts w:cs="Times New Roman"/>
          <w:bCs/>
          <w:szCs w:val="24"/>
        </w:rPr>
        <w:t xml:space="preserve">ould be </w:t>
      </w:r>
      <w:r>
        <w:rPr>
          <w:rFonts w:cs="Times New Roman"/>
          <w:bCs/>
          <w:szCs w:val="24"/>
        </w:rPr>
        <w:t>controlled by the</w:t>
      </w:r>
      <w:r w:rsidRPr="00EF1F20">
        <w:rPr>
          <w:rFonts w:cs="Times New Roman"/>
          <w:bCs/>
          <w:szCs w:val="24"/>
        </w:rPr>
        <w:t xml:space="preserve"> quantity of insects </w:t>
      </w:r>
      <w:r>
        <w:rPr>
          <w:rFonts w:cs="Times New Roman"/>
          <w:bCs/>
          <w:szCs w:val="24"/>
        </w:rPr>
        <w:t xml:space="preserve">that emerge from </w:t>
      </w:r>
      <w:r w:rsidRPr="00EF1F20">
        <w:rPr>
          <w:rFonts w:cs="Times New Roman"/>
          <w:bCs/>
          <w:szCs w:val="24"/>
        </w:rPr>
        <w:t>the aquatic ecosystem,</w:t>
      </w:r>
      <w:r>
        <w:rPr>
          <w:rFonts w:cs="Times New Roman"/>
          <w:bCs/>
          <w:szCs w:val="24"/>
        </w:rPr>
        <w:t xml:space="preserve"> but it is not clear how climate change could impact aquatic insect emergence. </w:t>
      </w:r>
      <w:r w:rsidRPr="00EF1F20">
        <w:rPr>
          <w:rFonts w:cs="Times New Roman"/>
          <w:bCs/>
          <w:szCs w:val="24"/>
        </w:rPr>
        <w:t xml:space="preserve">Here, we investigate how climate change could alter the quantity of aquatic insect subsidies reaching </w:t>
      </w:r>
      <w:r>
        <w:rPr>
          <w:rFonts w:cs="Times New Roman"/>
          <w:bCs/>
          <w:szCs w:val="24"/>
        </w:rPr>
        <w:t>terrestrial ecosystems</w:t>
      </w:r>
      <w:r w:rsidRPr="00EF1F20">
        <w:rPr>
          <w:rFonts w:cs="Times New Roman"/>
          <w:bCs/>
          <w:szCs w:val="24"/>
        </w:rPr>
        <w:t xml:space="preserve">. Leveraging existing </w:t>
      </w:r>
      <w:r>
        <w:rPr>
          <w:rFonts w:cs="Times New Roman"/>
          <w:bCs/>
          <w:szCs w:val="24"/>
        </w:rPr>
        <w:t xml:space="preserve">large-scale </w:t>
      </w:r>
      <w:r w:rsidRPr="00EF1F20">
        <w:rPr>
          <w:rFonts w:cs="Times New Roman"/>
          <w:bCs/>
          <w:szCs w:val="24"/>
        </w:rPr>
        <w:t xml:space="preserve">datasets, we </w:t>
      </w:r>
      <w:r>
        <w:rPr>
          <w:rFonts w:cs="Times New Roman"/>
          <w:bCs/>
          <w:szCs w:val="24"/>
        </w:rPr>
        <w:t xml:space="preserve">modeled 1) </w:t>
      </w:r>
      <w:r w:rsidRPr="00EF1F20">
        <w:rPr>
          <w:rFonts w:cs="Times New Roman"/>
          <w:bCs/>
          <w:szCs w:val="24"/>
        </w:rPr>
        <w:t xml:space="preserve">the surface area of streams and rivers and </w:t>
      </w:r>
      <w:r>
        <w:rPr>
          <w:rFonts w:cs="Times New Roman"/>
          <w:bCs/>
          <w:szCs w:val="24"/>
        </w:rPr>
        <w:t xml:space="preserve">2) </w:t>
      </w:r>
      <w:r w:rsidRPr="00EF1F20">
        <w:rPr>
          <w:rFonts w:cs="Times New Roman"/>
          <w:bCs/>
          <w:szCs w:val="24"/>
        </w:rPr>
        <w:t>the production of emergent aquatic insects</w:t>
      </w:r>
      <w:r>
        <w:rPr>
          <w:rFonts w:cs="Times New Roman"/>
          <w:bCs/>
          <w:szCs w:val="24"/>
        </w:rPr>
        <w:t xml:space="preserve"> per unit area under present day climate and two climate change scenarios for 2070. We then extrapolate these results to the </w:t>
      </w:r>
      <w:r w:rsidRPr="00EF1F20">
        <w:rPr>
          <w:rFonts w:cs="Times New Roman"/>
          <w:bCs/>
          <w:szCs w:val="24"/>
        </w:rPr>
        <w:t>nearly 2.3 million streams and rivers of the contiguous United States</w:t>
      </w:r>
      <w:r>
        <w:rPr>
          <w:rFonts w:cs="Times New Roman"/>
          <w:bCs/>
          <w:szCs w:val="24"/>
        </w:rPr>
        <w:t xml:space="preserve"> and explore how the quantity of emergent aquatic insects may or may not satisfy the metabolic demand of insectivorous birds that inhabit these regions</w:t>
      </w:r>
      <w:r w:rsidRPr="00EF1F20">
        <w:rPr>
          <w:rFonts w:cs="Times New Roman"/>
          <w:bCs/>
          <w:szCs w:val="24"/>
        </w:rPr>
        <w:t xml:space="preserve">. </w:t>
      </w:r>
      <w:r>
        <w:rPr>
          <w:rFonts w:cs="Times New Roman"/>
          <w:bCs/>
          <w:szCs w:val="24"/>
        </w:rPr>
        <w:t>Our estimates</w:t>
      </w:r>
      <w:r w:rsidRPr="00EF1F20">
        <w:rPr>
          <w:rFonts w:cs="Times New Roman"/>
          <w:bCs/>
          <w:szCs w:val="24"/>
        </w:rPr>
        <w:t xml:space="preserve"> </w:t>
      </w:r>
      <w:r>
        <w:rPr>
          <w:rFonts w:cs="Times New Roman"/>
          <w:bCs/>
          <w:szCs w:val="24"/>
        </w:rPr>
        <w:t xml:space="preserve">suggest </w:t>
      </w:r>
      <w:r w:rsidRPr="00EF1F20">
        <w:rPr>
          <w:rFonts w:cs="Times New Roman"/>
          <w:bCs/>
          <w:szCs w:val="24"/>
        </w:rPr>
        <w:t>that these ecosystems can export 78,197 (95% PI: 2,155 - 2.19 x 10</w:t>
      </w:r>
      <w:r w:rsidRPr="00EF1F20">
        <w:rPr>
          <w:rFonts w:cs="Times New Roman"/>
          <w:bCs/>
          <w:szCs w:val="24"/>
          <w:vertAlign w:val="superscript"/>
        </w:rPr>
        <w:t>6</w:t>
      </w:r>
      <w:r w:rsidRPr="00EF1F20">
        <w:rPr>
          <w:rFonts w:cs="Times New Roman"/>
          <w:bCs/>
          <w:szCs w:val="24"/>
        </w:rPr>
        <w:t xml:space="preserve">) metric tons of insect biomass </w:t>
      </w:r>
      <w:r>
        <w:rPr>
          <w:rFonts w:cs="Times New Roman"/>
          <w:bCs/>
          <w:szCs w:val="24"/>
        </w:rPr>
        <w:t xml:space="preserve">under present conditions, </w:t>
      </w:r>
      <w:r w:rsidRPr="00EF1F20">
        <w:rPr>
          <w:rFonts w:cs="Times New Roman"/>
          <w:bCs/>
          <w:szCs w:val="24"/>
        </w:rPr>
        <w:t xml:space="preserve">and </w:t>
      </w:r>
      <w:r>
        <w:rPr>
          <w:rFonts w:cs="Times New Roman"/>
          <w:bCs/>
          <w:szCs w:val="24"/>
        </w:rPr>
        <w:t>climate change</w:t>
      </w:r>
      <w:r w:rsidRPr="00EF1F20">
        <w:rPr>
          <w:rFonts w:cs="Times New Roman"/>
          <w:bCs/>
          <w:szCs w:val="24"/>
        </w:rPr>
        <w:t xml:space="preserve"> could</w:t>
      </w:r>
      <w:r>
        <w:rPr>
          <w:rFonts w:cs="Times New Roman"/>
          <w:bCs/>
          <w:szCs w:val="24"/>
        </w:rPr>
        <w:t xml:space="preserve"> increase emergent biomass by</w:t>
      </w:r>
      <w:r w:rsidRPr="00EF1F20">
        <w:rPr>
          <w:rFonts w:cs="Times New Roman"/>
          <w:bCs/>
          <w:szCs w:val="24"/>
        </w:rPr>
        <w:t xml:space="preserve"> 250% in some regions while </w:t>
      </w:r>
      <w:r>
        <w:rPr>
          <w:rFonts w:cs="Times New Roman"/>
          <w:bCs/>
          <w:szCs w:val="24"/>
        </w:rPr>
        <w:t>decreasing it by</w:t>
      </w:r>
      <w:r w:rsidRPr="00EF1F20">
        <w:rPr>
          <w:rFonts w:cs="Times New Roman"/>
          <w:bCs/>
          <w:szCs w:val="24"/>
        </w:rPr>
        <w:t xml:space="preserve"> 50% </w:t>
      </w:r>
      <w:r>
        <w:rPr>
          <w:rFonts w:cs="Times New Roman"/>
          <w:bCs/>
          <w:szCs w:val="24"/>
        </w:rPr>
        <w:t>in others</w:t>
      </w:r>
      <w:r w:rsidRPr="00EF1F20">
        <w:rPr>
          <w:rFonts w:cs="Times New Roman"/>
          <w:bCs/>
          <w:szCs w:val="24"/>
        </w:rPr>
        <w:t>. These changes could resonat</w:t>
      </w:r>
      <w:r>
        <w:rPr>
          <w:rFonts w:cs="Times New Roman"/>
          <w:bCs/>
          <w:szCs w:val="24"/>
        </w:rPr>
        <w:t>e</w:t>
      </w:r>
      <w:r w:rsidRPr="00EF1F20">
        <w:rPr>
          <w:rFonts w:cs="Times New Roman"/>
          <w:bCs/>
          <w:szCs w:val="24"/>
        </w:rPr>
        <w:t xml:space="preserve"> </w:t>
      </w:r>
      <w:r>
        <w:rPr>
          <w:rFonts w:cs="Times New Roman"/>
          <w:bCs/>
          <w:szCs w:val="24"/>
        </w:rPr>
        <w:t xml:space="preserve">through terrestrial ecosystems by shifting </w:t>
      </w:r>
      <w:r w:rsidRPr="00EF1F20">
        <w:rPr>
          <w:rFonts w:cs="Times New Roman"/>
          <w:bCs/>
          <w:szCs w:val="24"/>
        </w:rPr>
        <w:t>the</w:t>
      </w:r>
      <w:r>
        <w:rPr>
          <w:rFonts w:cs="Times New Roman"/>
          <w:bCs/>
          <w:szCs w:val="24"/>
        </w:rPr>
        <w:t xml:space="preserve"> energy supplied by</w:t>
      </w:r>
      <w:r w:rsidRPr="00EF1F20">
        <w:rPr>
          <w:rFonts w:cs="Times New Roman"/>
          <w:bCs/>
          <w:szCs w:val="24"/>
        </w:rPr>
        <w:t xml:space="preserve"> </w:t>
      </w:r>
      <w:r>
        <w:rPr>
          <w:rFonts w:cs="Times New Roman"/>
          <w:bCs/>
          <w:szCs w:val="24"/>
        </w:rPr>
        <w:t xml:space="preserve">aquatic insect subsidies to </w:t>
      </w:r>
      <w:r w:rsidRPr="00EF1F20">
        <w:rPr>
          <w:rFonts w:cs="Times New Roman"/>
          <w:bCs/>
          <w:szCs w:val="24"/>
        </w:rPr>
        <w:t>common avian aerial insectivores</w:t>
      </w:r>
      <w:r w:rsidRPr="009D5B60">
        <w:rPr>
          <w:rFonts w:cs="Times New Roman"/>
          <w:bCs/>
          <w:szCs w:val="24"/>
        </w:rPr>
        <w:t xml:space="preserve">. Under future climate projections, </w:t>
      </w:r>
      <w:r>
        <w:rPr>
          <w:rFonts w:cs="Times New Roman"/>
          <w:bCs/>
          <w:szCs w:val="24"/>
        </w:rPr>
        <w:t>many southern</w:t>
      </w:r>
      <w:r w:rsidRPr="009D5B60">
        <w:rPr>
          <w:rFonts w:cs="Times New Roman"/>
          <w:bCs/>
          <w:szCs w:val="24"/>
        </w:rPr>
        <w:t xml:space="preserve"> hydrologic region</w:t>
      </w:r>
      <w:r>
        <w:rPr>
          <w:rFonts w:cs="Times New Roman"/>
          <w:bCs/>
          <w:szCs w:val="24"/>
        </w:rPr>
        <w:t>s</w:t>
      </w:r>
      <w:r w:rsidRPr="009D5B60">
        <w:rPr>
          <w:rFonts w:cs="Times New Roman"/>
          <w:bCs/>
          <w:szCs w:val="24"/>
        </w:rPr>
        <w:t xml:space="preserve"> </w:t>
      </w:r>
      <w:r>
        <w:rPr>
          <w:rFonts w:cs="Times New Roman"/>
          <w:bCs/>
          <w:szCs w:val="24"/>
        </w:rPr>
        <w:t>are</w:t>
      </w:r>
      <w:r w:rsidRPr="009D5B60">
        <w:rPr>
          <w:rFonts w:cs="Times New Roman"/>
          <w:bCs/>
          <w:szCs w:val="24"/>
        </w:rPr>
        <w:t xml:space="preserve"> expected to </w:t>
      </w:r>
      <w:r>
        <w:rPr>
          <w:rFonts w:cs="Times New Roman"/>
          <w:bCs/>
          <w:szCs w:val="24"/>
        </w:rPr>
        <w:t>experience a</w:t>
      </w:r>
      <w:r w:rsidRPr="009D5B60">
        <w:rPr>
          <w:rFonts w:cs="Times New Roman"/>
          <w:bCs/>
          <w:szCs w:val="24"/>
        </w:rPr>
        <w:t xml:space="preserve"> decline in the ratio of energy supplied by aquatic insects relative to energy demanded by insectivores. Collectively</w:t>
      </w:r>
      <w:r w:rsidRPr="00EF1F20">
        <w:rPr>
          <w:rFonts w:cs="Times New Roman"/>
          <w:bCs/>
          <w:szCs w:val="24"/>
        </w:rPr>
        <w:t xml:space="preserve">, our results demonstrate that climate change </w:t>
      </w:r>
      <w:r>
        <w:rPr>
          <w:rFonts w:cs="Times New Roman"/>
          <w:bCs/>
          <w:szCs w:val="24"/>
        </w:rPr>
        <w:t xml:space="preserve">effects on one ecosystem will resonate throughout other ecosystems due to cross-ecosystem linkages. </w:t>
      </w:r>
    </w:p>
    <w:p w14:paraId="0CC8749F" w14:textId="77777777" w:rsidR="00AB7462" w:rsidRPr="00EF1F20" w:rsidRDefault="00AB7462" w:rsidP="00AB7462">
      <w:pPr>
        <w:spacing w:line="480" w:lineRule="auto"/>
        <w:ind w:firstLine="720"/>
        <w:contextualSpacing/>
        <w:rPr>
          <w:rFonts w:cs="Times New Roman"/>
          <w:bCs/>
          <w:szCs w:val="24"/>
        </w:rPr>
      </w:pPr>
    </w:p>
    <w:p w14:paraId="012EA46C" w14:textId="2710CDF5" w:rsidR="00AB7462" w:rsidRDefault="00AB7462" w:rsidP="00AB7462">
      <w:pPr>
        <w:spacing w:line="480" w:lineRule="auto"/>
        <w:contextualSpacing/>
        <w:rPr>
          <w:rFonts w:cs="Times New Roman"/>
          <w:bCs/>
          <w:szCs w:val="24"/>
        </w:rPr>
      </w:pPr>
      <w:r>
        <w:rPr>
          <w:rFonts w:cs="Times New Roman"/>
          <w:b/>
          <w:szCs w:val="24"/>
        </w:rPr>
        <w:lastRenderedPageBreak/>
        <w:t xml:space="preserve">Keywords: </w:t>
      </w:r>
      <w:r w:rsidRPr="001B243A">
        <w:rPr>
          <w:rFonts w:cs="Times New Roman"/>
          <w:bCs/>
          <w:szCs w:val="24"/>
        </w:rPr>
        <w:t>Climate change, resource subsidies, emergent aquatic insects, avian aerial insectivores, temperature, precipitation</w:t>
      </w:r>
      <w:r>
        <w:rPr>
          <w:rFonts w:cs="Times New Roman"/>
          <w:bCs/>
          <w:szCs w:val="24"/>
        </w:rPr>
        <w:t>, cross ecosystem linkages</w:t>
      </w:r>
    </w:p>
    <w:p w14:paraId="4ABA02E0" w14:textId="77777777" w:rsidR="00AB7462" w:rsidRDefault="00AB7462" w:rsidP="00AB7462">
      <w:pPr>
        <w:spacing w:line="480" w:lineRule="auto"/>
        <w:contextualSpacing/>
        <w:rPr>
          <w:rFonts w:cs="Times New Roman"/>
          <w:bCs/>
          <w:szCs w:val="24"/>
        </w:rPr>
      </w:pPr>
    </w:p>
    <w:p w14:paraId="24CD2AD4" w14:textId="77777777" w:rsidR="00333AA3" w:rsidRPr="00EF1F20" w:rsidRDefault="00333AA3" w:rsidP="003C2554">
      <w:pPr>
        <w:pStyle w:val="Heading2"/>
        <w:spacing w:line="480" w:lineRule="auto"/>
        <w:contextualSpacing/>
      </w:pPr>
      <w:r w:rsidRPr="00EF1F20">
        <w:t>Introduction</w:t>
      </w:r>
      <w:bookmarkEnd w:id="70"/>
    </w:p>
    <w:p w14:paraId="431BF703" w14:textId="77777777" w:rsidR="00AB7462" w:rsidRPr="00EF1F20" w:rsidRDefault="00AB7462" w:rsidP="00AB7462">
      <w:pPr>
        <w:shd w:val="clear" w:color="auto" w:fill="FFFFFF"/>
        <w:spacing w:after="0" w:line="480" w:lineRule="auto"/>
        <w:ind w:firstLine="720"/>
        <w:contextualSpacing/>
        <w:rPr>
          <w:rFonts w:eastAsia="Times New Roman" w:cs="Times New Roman"/>
          <w:color w:val="222222"/>
          <w:szCs w:val="24"/>
        </w:rPr>
      </w:pPr>
      <w:r>
        <w:rPr>
          <w:rFonts w:eastAsia="Times New Roman" w:cs="Times New Roman"/>
          <w:color w:val="222222"/>
          <w:szCs w:val="24"/>
        </w:rPr>
        <w:t>F</w:t>
      </w:r>
      <w:r w:rsidRPr="00EF1F20">
        <w:rPr>
          <w:rFonts w:eastAsia="Times New Roman" w:cs="Times New Roman"/>
          <w:color w:val="222222"/>
          <w:szCs w:val="24"/>
        </w:rPr>
        <w:t>luxes of materials and energy that cross ecosystem boundaries</w:t>
      </w:r>
      <w:r>
        <w:rPr>
          <w:rFonts w:eastAsia="Times New Roman" w:cs="Times New Roman"/>
          <w:color w:val="222222"/>
          <w:szCs w:val="24"/>
        </w:rPr>
        <w:t xml:space="preserve"> are often termed, “resource subsidies”</w:t>
      </w:r>
      <w:r w:rsidRPr="00EF1F20">
        <w:rPr>
          <w:rFonts w:eastAsia="Times New Roman" w:cs="Times New Roman"/>
          <w:color w:val="222222"/>
          <w:szCs w:val="24"/>
        </w:rPr>
        <w:t xml:space="preserv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{"citationItems":[{"id":"ITEM-1","itemData":{"DOI":"10.1146/annurev.ecolsys.28.1.289","ISBN":"0066-4162","ISSN":"0066-4162","PMID":"4606","abstract":"We focus on the implications of movement, landscape variables, and spatial heterogeneity for food web dynamics. Movements of nutrients, detritus, prey, and consumers among habitats are ubiquitous in diverse biomes and can strongly influence population, consumer-resource, food web, and community dynamics. Nutrient and detrital subsidies usually increase primary and secondary productivity, both directly and indirectly. Prey subsidies, by movement of either prey or predators, usually enhance predator abundance beyond what local resources can support. Top-down effects occur when spatially subsidized consumers affect local resources by suppressing key resources and occasionally by initiating trophic cascades. Effects on community dynamics vary with the relative amount of input, the trophic roles of the mobile and recipient entities, and the local food web structure. Landscape variables such as the perimeter/area ratio of the focal habitat, permeability of habitat boundaries, and relative productivity of trophically connected habitats affect the degree and importance of spatial subsidization.","author":[{"dropping-particle":"","family":"Polis","given":"Gary A.","non-dropping-particle":"","parse-names":false,"suffix":""},{"dropping-particle":"","family":"Anderson","given":"Wendy B.","non-dropping-particle":"","parse-names":false,"suffix":""},{"dropping-particle":"","family":"Holt","given":"Robert D.","non-dropping-particle":"","parse-names":false,"suffix":""}],"container-title":"Annual Review of Ecology and Systematics","id":"ITEM-1","issue":"1","issued":{"date-parts":[["1997"]]},"note":"1. Introduction\n2. Landscape Considerations\n3. Flow and matial subsidies: direct effects \n3A. Movement of nutrients and detritus \n3aa. water to water\n3ab. land to water\n3ac. water to land\n3ad. land to land \n3B. Movement of Prey\n3ba. water to water\n3bb. land to water\n3bc. water to land\n3bd. land to land \n3C. Movement of Consumers\n3ca. water to water\n3cb. between land and water\n3bc. land to land\n4. Flow and spatial subsidies: indirect effects on trophic dynamics \n4A. Donor control\n4B. Movement of Nutrients\n4C. Movement of Detritus\n4D. Movement of Prey\n4E. Movement of Consumers\n5. Case Study: Isalnds and the ocean-land interface\n6. Direct and indirect efffects of saptial subsidies: theory \n6A. Prey Flow, Specialist Predator \n6B. Flow of Alternative Prey, Generalist Predator \n6C. Predator Flow, Resident Prey \n6D. Landscape Variables Influencing Immigration and Input Rates \n7. Overview","page":"289-316","title":"Toward an integration of landscape and food web ecology: the dynamics of spatially subsidized food webs","type":"article-journal","volume":"28"},"uris":["http://www.mendeley.com/documents/?uuid=f3f09f25-5139-450d-b5ea-5cd1938f60b3"]},{"id":"ITEM-2","itemData":{"DOI":"10.1046/j.1461-0248.2003.00483.x","ISSN":"1461-023X","author":[{"dropping-particle":"","family":"Loreau","given":"Michel","non-dropping-particle":"","parse-names":false,"suffix":""},{"dropping-particle":"","family":"Mouquet","given":"Nicolas","non-dropping-particle":"","parse-names":false,"suffix":""},{"dropping-particle":"","family":"Holt","given":"Robert D.","non-dropping-particle":"","parse-names":false,"suffix":""}],"container-title":"Ecology Letters","id":"ITEM-2","issue":"8","issued":{"date-parts":[["2003","8"]]},"page":"673-679","title":"Meta-ecosystems: a theoretical framework for a spatial ecosystem ecology","type":"article-journal","volume":"6"},"uris":["http://www.mendeley.com/documents/?uuid=d40acc60-0beb-4a28-a0d6-470e5da099b4"]},{"id":"ITEM-3","itemData":{"DOI":"10.1111/ele.13185","ISSN":"14610248","abstract":"Material and energy flows among ecosystems can directly and indirectly drive ecosystem functions. Yet, how populations of consumers respond to allochthonous inputs at a macroecological scale is still unclear. Using a meta-analysis spanning several biomes, we show that the abundance of recipient populations is 36–57% larger with increased allochthonous inputs. The strength of direct effects on the recipients of these inputs as well as the indirect effects on the consumers of these recipients (i.e. ascending indirect effects) are constant across a latitudinal gradient spanning subtropical, arid, temperate, boreal and arctic ecosystems. However, indirect effect on the in situ resources of the input recipient (i.e. descending indirect effects) decreases with latitude. Our results suggest that the influence of allochthonous inputs can vary across large-scale gradients of ecosystem productivity and may be driven by the types of trophic interactions within recipient food webs.","author":[{"dropping-particle":"","family":"Montagano","given":"Laurent","non-dropping-particle":"","parse-names":false,"suffix":""},{"dropping-particle":"","family":"Leroux","given":"Shawn J.","non-dropping-particle":"","parse-names":false,"suffix":""},{"dropping-particle":"","family":"Giroux","given":"Marie Andrée","non-dropping-particle":"","parse-names":false,"suffix":""},{"dropping-particle":"","family":"Lecomte","given":"Nicolas","non-dropping-particle":"","parse-names":false,"suffix":""}],"container-title":"Ecology Letters","id":"ITEM-3","issue":"2","issued":{"date-parts":[["2019"]]},"page":"265-274","title":"The strength of ecological subsidies across ecosystems: a latitudinal gradient of direct and indirect impacts on food webs","type":"article-journal","volume":"22"},"uris":["http://www.mendeley.com/documents/?uuid=8a5f71e4-44cd-4304-9ff7-331355860918"]}],"mendeley":{"formattedCitation":"(Polis et al., 1997; Loreau et al., 2003; Montagano et al., 2019)","plainTextFormattedCitation":"(Polis et al., 1997; Loreau et al., 2003; Montagano et al., 2019)","previouslyFormattedCitation":"(Polis et al., 1997; Loreau et al., 2003; Montagano et al., 2019)"},"properties":{"noteIndex":0},"schema":"https://github.com/citation-style-language/schema/raw/master/csl-citation.json"}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(Polis et al., 1997; Loreau et al., 2003; Montagano et al., 2019)</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 xml:space="preserve">In </w:t>
      </w:r>
      <w:r w:rsidRPr="00EF1F20">
        <w:rPr>
          <w:rFonts w:eastAsia="Times New Roman" w:cs="Times New Roman"/>
          <w:color w:val="222222"/>
          <w:szCs w:val="24"/>
        </w:rPr>
        <w:t>recipient ecosystem</w:t>
      </w:r>
      <w:r>
        <w:rPr>
          <w:rFonts w:eastAsia="Times New Roman" w:cs="Times New Roman"/>
          <w:color w:val="222222"/>
          <w:szCs w:val="24"/>
        </w:rPr>
        <w:t>s, resource subsides</w:t>
      </w:r>
      <w:r w:rsidRPr="00EF1F20">
        <w:rPr>
          <w:rFonts w:eastAsia="Times New Roman" w:cs="Times New Roman"/>
          <w:color w:val="222222"/>
          <w:szCs w:val="24"/>
        </w:rPr>
        <w:t xml:space="preserve"> can influence consumers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{"citationItems":[{"id":"ITEM-1","itemData":{"DOI":"10.1111/ele.13156","ISSN":"14610248","PMID":"30251301","abstract":"Ecologists studying bird foraging ecology have generally focused on food quantity over quality. Emerging work suggests that food quality, in terms of highly unsaturated omega-3 fatty acids (HUFA), can have equally important effects on performance. HUFA, which are present in aquatic primary producers, are all but absent in vascular plants, and HUFA content is also correspondingly higher in aquatic insects. Here, we show that Tree Swallow (Tachycineta bicolor) chicks rapidly accumulate HUFA from food during the nestling period. Using data sampled over 24 years, we also show that Tree Swallow breeding success is positively associated with the availability of HUFA-rich aquatic insects. Variation in aquatic insect biomass during chick development was a strong predictor of fledging success, whereas variation in terrestrial insects had little effect on fledging success. Our results highlight the potential for nutritional mismatches between insectivores and high-quality prey to affect avian reproductive performance.","author":[{"dropping-particle":"","family":"Twining","given":"Cornelia Wingfield","non-dropping-particle":"","parse-names":false,"suffix":""},{"dropping-particle":"","family":"Shipley","given":"Jeremy Ryan","non-dropping-particle":"","parse-names":false,"suffix":""},{"dropping-particle":"","family":"Winkler","given":"David W.","non-dropping-particle":"","parse-names":false,"suffix":""}],"container-title":"Ecology Letters","id":"ITEM-1","issue":"12","issued":{"date-parts":[["2018"]]},"page":"1812-1820","title":"Aquatic insects rich in omega-3 fatty acids drive breeding success in a widespread bird","type":"article-journal","volume":"21"},"uris":["http://www.mendeley.com/documents/?uuid=6a8d8ccc-e14c-4056-8e8c-e40380befaab"]}],"mendeley":{"formattedCitation":"(Twining et al., 2018)","plainTextFormattedCitation":"(Twining et al., 2018)","previouslyFormattedCitation":"(Twining et al., 2018)"},"properties":{"noteIndex":0},"schema":"https://github.com/citation-style-language/schema/raw/master/csl-citation.json"}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(Twining et al., 2018)</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trophic interactions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{"citationItems":[{"id":"ITEM-1","itemData":{"author":[{"dropping-particle":"","family":"Sabo","given":"John L.","non-dropping-particle":"","parse-names":false,"suffix":""},{"dropping-particle":"","family":"Power","given":"M.E.","non-dropping-particle":"","parse-names":false,"suffix":""}],"container-title":"Ecology","id":"ITEM-1","issue":"7","issued":{"date-parts":[["2002"]]},"page":"1860-1869","title":"River-Watershed Exchange : Effects of Riverine Subsidies on Riparian Lizards and Their Terrestrial Prey","type":"article-journal","volume":"83"},"uris":["http://www.mendeley.com/documents/?uuid=6e076273-9d21-41ef-96ed-d5c72d97966c"]}],"mendeley":{"formattedCitation":"(Sabo and Power, 2002)","plainTextFormattedCitation":"(Sabo and Power, 2002)","previouslyFormattedCitation":"(Sabo and Power, 2002)"},"properties":{"noteIndex":0},"schema":"https://github.com/citation-style-language/schema/raw/master/csl-citation.json"}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(Sabo and Power, 2002)</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and ecosystem processes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{"citationItems":[{"id":"ITEM-1","itemData":{"DOI":"10.1111/een.12118","ISBN":"1365-2311","ISSN":"13652311","abstract":"Abstract. 1. Mobile organisms such as emergent aquatic insects can subsidise land with aquatic nutrients, creating a link between terrestrial and aquatic ecosystems. 2. Deposition of aquatic insects on land produces bottom-up effects in arthropod detritivore communities and may also affect plants and plant–herbivore interactions. 3. To investigate the effects of insect deposition on plant–herbivore interactions, we conducted a field experiment and surveys of tealeaf willow(Salicaceae; Salix phylicifolia Coste) and July highflyer caterpillars (Geometridae; Hydriomena furcata Thunberg) at lakes inNortheast Iceland with either high- or low-midge density and deposition to land. 4. It was found that willow at high-midge lakes had 8–11% higher nitrogen content compared with willow at low-midge lakes. In addition, natural caterpillar density was 4–6 times higher and caterpillars were 72% heavier at high-midge lakes than low-midge lakes. 5. A fully reciprocal caterpillar transplant experiment among willow at high- and low-midge lakes was performed to separate the influence of habitat and midge effects on caterpillar performance. 6. After transplant, pupae of July Highflyer caterpillars were on average 11% heavier at high-midge sites compared with low-midge sites. However, this difference was not statistically significant. 7. The present findings indicate that cross-ecosystem subsidies in the form of aquatic insects can increase plant foliar quality and the abundance of insect herbivores in recipient ecosystems. Key","author":[{"dropping-particle":"","family":"Bultman","given":"Hilary","non-dropping-particle":"","parse-names":false,"suffix":""},{"dropping-particle":"","family":"Hoekman","given":"David","non-dropping-particle":"","parse-names":false,"suffix":""},{"dropping-particle":"","family":"Dreyer","given":"Jamin","non-dropping-particle":"","parse-names":false,"suffix":""},{"dropping-particle":"","family":"Gratton","given":"Claudio","non-dropping-particle":"","parse-names":false,"suffix":""}],"container-title":"Ecological Entomology","id":"ITEM-1","issue":"4","issued":{"date-parts":[["2014"]]},"page":"419-426","title":"Terrestrial deposition of aquatic insects increases plant quality for insect herbivores and herbivore density","type":"article-journal","volume":"39"},"uris":["http://www.mendeley.com/documents/?uuid=03759c81-b1f7-4442-aa3a-b11baf6cd34e"]}],"mendeley":{"formattedCitation":"(Bultman et al., 2014)","plainTextFormattedCitation":"(Bultman et al., 2014)","previouslyFormattedCitation":"(Bultman et al., 2014)"},"properties":{"noteIndex":0},"schema":"https://github.com/citation-style-language/schema/raw/master/csl-citation.json"}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(Bultman et al., 2014)</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Although resource subsidies are </w:t>
      </w:r>
      <w:r>
        <w:rPr>
          <w:rFonts w:eastAsia="Times New Roman" w:cs="Times New Roman"/>
          <w:color w:val="222222"/>
          <w:szCs w:val="24"/>
        </w:rPr>
        <w:t>ubiquitous</w:t>
      </w:r>
      <w:r w:rsidRPr="00EF1F20">
        <w:rPr>
          <w:rFonts w:eastAsia="Times New Roman" w:cs="Times New Roman"/>
          <w:color w:val="222222"/>
          <w:szCs w:val="24"/>
        </w:rPr>
        <w:t xml:space="preserv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{"citationItems":[{"id":"ITEM-1","itemData":{"DOI":"10.1890/07-1861.1","ISBN":"0012-9658","ISSN":"00129658","PMID":"7189","abstract":"Synthesis: comparing effects of resource and consumer fluxes into recipient food webs using meta- analysis","author":[{"dropping-particle":"","family":"Allen","given":"Daniel C.","non-dropping-particle":"","parse-names":false,"suffix":""},{"dropping-particle":"","family":"Wesner","given":"Jeff","non-dropping-particle":"","parse-names":false,"suffix":""}],"container-title":"Ecology","id":"ITEM-1","issue":"3","issued":{"date-parts":[["2016"]]},"page":"594-604","title":"Synthesis: comparing effects of resource and consumer fluxes into recipient food webs using meta-analysis","type":"article-journal","volume":"97"},"uris":["http://www.mendeley.com/documents/?uuid=e2ab06ba-dc78-4187-be1e-20752122502a"]},{"id":"ITEM-2","itemData":{"DOI":"10.1038/s41467-018-07238-2","ISSN":"2041-1723","author":[{"dropping-particle":"","family":"Gounand","given":"Isabelle","non-dropping-particle":"","parse-names":false,"suffix":""},{"dropping-particle":"","family":"Little","given":"Chelsea J.","non-dropping-particle":"","parse-names":false,"suffix":""},{"dropping-particle":"","family":"Harvey","given":"Eric","non-dropping-particle":"","parse-names":false,"suffix":""},{"dropping-particle":"","family":"Altermatt","given":"Florian","non-dropping-particle":"","parse-names":false,"suffix":""}],"container-title":"Nature Communications","id":"ITEM-2","issued":{"date-parts":[["2018"]]},"page":"4825","publisher":"Springer US","title":"Cross-ecosystem carbon flows connecting ecosystems worldwide","type":"article-journal","volume":"9"},"uris":["http://www.mendeley.com/documents/?uuid=1366fa3b-8264-4ebe-aad0-b7cca298ac3d"]},{"id":"ITEM-3","itemData":{"abstract":"Studies of the effects of cross-habitat resource subsidies have been a feature of food web ecology over the past decade. To date, most studies have focused on demonstrating the magnitude of a subsidy or documenting it effect in the recipient habitat. Ecologists have yet to develop a staisfactory framework for predicting the magnitude of these effects. We used 115 data sets from 32 studies to compare consumer reponses to resource subsidies actross recipient habitat type, trophic level, and functiona group. Changes in consumer denity or biomass in response to subsidies were inconistent actoss habitat, trophic and functional groups. Responses in stream cobble har and coastline habitats were larger that in other habitat. comtrary to expectation, the magnitude of consumer response was not addected by recipient habitat productivity or the ratio of productivity between donor and recipient habitats. however, consumer response was significantly related to the ratio of subsidy resources to equivalent resources in the recipient habitat. Broad contrasts in productivity are modified by subsity type, vector and the physical and abiotic characteristics of both donor and recipient habitats. for this reason, the ratio of subsidy to equilivant resources is a more useful tool for predictin the possible effects of a subsidy than coarser contrasts of in situ productivity. The commonness of subsidy effects suggest that many ecosystems need to be studied as open systems.","author":[{"dropping-particle":"","family":"Marczak","given":"Laurie B","non-dropping-particle":"","parse-names":false,"suffix":""},{"dropping-particle":"","family":"Thompson","given":"Ross M","non-dropping-particle":"","parse-names":false,"suffix":""},{"dropping-particle":"","family":"Richardson","given":"John S","non-dropping-particle":"","parse-names":false,"suffix":""}],"container-title":"Eocology","id":"ITEM-3","issue":"1","issued":{"date-parts":[["2007"]]},"page":"140-148","title":"Meta-Analysis: Trophic Level, Habitat, and Productivity Shape the Food Web Effects of Resource Subsidies","type":"article-journal","volume":"88"},"uris":["http://www.mendeley.com/documents/?uuid=9c48ce22-9a4f-49d8-8056-81e298db9547"]}],"mendeley":{"formattedCitation":"(Marczak et al., 2007; Allen and Wesner, 2016; Gounand et al., 2018)","plainTextFormattedCitation":"(Marczak et al., 2007; Allen and Wesner, 2016; Gounand et al., 2018)","previouslyFormattedCitation":"(Marczak et al., 2007; Allen and Wesner, 2016; Gounand et al., 2018)"},"properties":{"noteIndex":0},"schema":"https://github.com/citation-style-language/schema/raw/master/csl-citation.json"}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(Marczak et al., 2007; Allen and Wesner, 2016; Gounand et al., 2018)</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we know little</w:t>
      </w:r>
      <w:r w:rsidRPr="00EF1F20">
        <w:rPr>
          <w:rFonts w:eastAsia="Times New Roman" w:cs="Times New Roman"/>
          <w:color w:val="222222"/>
          <w:szCs w:val="24"/>
        </w:rPr>
        <w:t xml:space="preserve"> about how they </w:t>
      </w:r>
      <w:r>
        <w:rPr>
          <w:rFonts w:eastAsia="Times New Roman" w:cs="Times New Roman"/>
          <w:color w:val="222222"/>
          <w:szCs w:val="24"/>
        </w:rPr>
        <w:t>might</w:t>
      </w:r>
      <w:r w:rsidRPr="00EF1F20">
        <w:rPr>
          <w:rFonts w:eastAsia="Times New Roman" w:cs="Times New Roman"/>
          <w:color w:val="222222"/>
          <w:szCs w:val="24"/>
        </w:rPr>
        <w:t xml:space="preserve"> be affected by climate change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change","type":"article-journal","volume":"22"},"uris":["http://www.mendeley.com/documents/?uuid=276fe761-5a80-4012-a137-397d1f4e806c"]},{"id":"ITEM-2","itemData":{"DOI":"10.1111/j.1365-2486.2011.02540.x","author":[{"dropping-particle":"","family":"Greig","given":"Hamish S","non-dropping-particle":"","parse-names":false,"suffix":""},{"dropping-particle":"","family":"Kratina","given":"Pavel","non-dropping-particle":"","parse-names":false,"suffix":""},{"dropping-particle":"","family":"Thompson","given":"Patrick L","non-dropping-particle":"","parse-names":false,"suffix":""},{"dropping-particle":"","family":"Palen","given":"Wendy J","non-dropping-particle":"","parse-names":false,"suffix":""}],"container-title":"Global Change Biology","id":"ITEM-2","issued":{"date-parts":[["2012"]]},"page":"504-514","title":"Warming, eutrophication, and predator loss amplify subsidies between aquatic and terrestrial ecosystems","type":"article-journal","volume":"18"},"uris":["http://www.mendeley.com/documents/?uuid=b19199ee-0cf3-483a-9521-16fb3fef01be"]}],"mendeley":{"formattedCitation":"(Greig et al., 2012; Larsen et al., 2016)","plainTextFormattedCitation":"(Greig et al., 2012; Larsen et al., 2016)","previouslyFormattedCitation":"(Greig et al., 2012; Larsen et al., 2016)"},"properties":{"noteIndex":0},"schema":"https://github.com/citation-style-language/schema/raw/master/csl-citation.json"}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(Greig et al., 2012; Larsen et al., 2016)</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The quantity of resource subsidies reaching a recipient ecosystem is an important factor that can drive the magnitude of </w:t>
      </w:r>
      <w:r>
        <w:rPr>
          <w:rFonts w:eastAsia="Times New Roman" w:cs="Times New Roman"/>
          <w:color w:val="222222"/>
          <w:szCs w:val="24"/>
        </w:rPr>
        <w:t>their effect</w:t>
      </w:r>
      <w:r w:rsidRPr="00EF1F20">
        <w:rPr>
          <w:rFonts w:eastAsia="Times New Roman" w:cs="Times New Roman"/>
          <w:color w:val="222222"/>
          <w:szCs w:val="24"/>
        </w:rPr>
        <w:t xml:space="preserv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{"citationItems":[{"id":"ITEM-1","itemData":{"DOI":"10.1111/brv.12465","ISSN":"1469185X","abstract":"The transport of resource subsidies by animals has been documented across a range of species and ecosystems. Although many of these studies have shown that animal resource subsidies can have significant effects on nutrient cycling, ecosystem productivity, and food-web structure, there is a great deal of variability in the occurrence and strength ofthese effects. Here we propose a conceptual framework for understanding the context dependency ofanimal resource subsidies, and for developing and testing predictions about the effects ofanimal subsidies over space and time. We propose a general framework, in which abiotic characteristics and animal vector characteristics from the donor ecosystem interact to determine the quantity, quality, timing, and duration (QQTD) of an animal input. The animal input is translated through the lens of recipient ecosystem characteristics, which include both abiotic and consumer characteristics, to yield the QQTD of the subsidy. The translated subsidy influences recipient ecosystem dynamics through effects on both trophic structure and ecosystem function, which may both influence the recipient ecosystem’s response to further inputs and feed back to influence the donor ecosystem. We present a review of research on animal resource subsidies across ecosystem boundaries, placed within the context of this framework, and we discuss how the QQTD ofresource subsidies can influence trophic structure and ecosystem function in recipient ecosystems.We explore the importance ofunderstanding context dependency ofanimal resource subsidies in increasingly altered ecosystems, in which the characteristics of both animal vectors and donor and recipient ecosystems may be changing rapidly. Finally, we make recommendations for future research on animal resource subsidies, and resource subsidies in general, that will increase our understanding and predictive capacity about their ecosystem effects.","author":[{"dropping-particle":"","family":"Subalusky","given":"Amanda L.","non-dropping-particle":"","parse-names":false,"suffix":""},{"dropping-particle":"","family":"Post","given":"David M.","non-dropping-particle":"","parse-names":false,"suffix":""}],"container-title":"Biological Reviews","id":"ITEM-1","issued":{"date-parts":[["2018"]]},"note":"1) Intro\n2) Subsidy Definition and Characteristics\n3) Animal Vector Characteristics \n3a) input form\n3b) Animal mass and physiology\n3c) population size\n3d) Life history and Behavior \n4) Donor Ecosystem Characteristics \n4a) Size, productivity and Resource availability \n4b) Seasonal and large-scale climate shifts\n5) Recipient Ecosystem - Physical/Chemical Charactersitics \n5a) size and location\n5b) boundary characteristics \n5c) Productivity and resource availability\n6) Recipient Ecosystem - Consumer charateristics \n6a) Taxonomic identity and trophic guild\n6b) Life History and modility \n7) The effects of subsidty characteristics on trophic dynamics and ecosystem functioning\n7a) Trophic structure\n7b) Ecosystem functioning\n7c) Feedbacks\n8) Implications for altered Ecosystems\n9) Recommendations for future research ","page":"517-538","title":"Context dependency of animal resource subsidies","type":"article-journal","volume":"94"},"uris":["http://www.mendeley.com/documents/?uuid=59c68b98-17c6-4d64-adb7-a6bd6dc005c9"]},{"id":"ITEM-2","itemData":{"abstract":"Studies of the effects of cross-habitat resource subsidies have been a feature of food web ecology over the past decade. To date, most studies have focused on demonstrating the magnitude of a subsidy or documenting it effect in the recipient habitat. Ecologists have yet to develop a staisfactory framework for predicting the magnitude of these effects. We used 115 data sets from 32 studies to compare consumer reponses to resource subsidies actross recipient habitat type, trophic level, and functiona group. Changes in consumer denity or biomass in response to subsidies were inconistent actoss habitat, trophic and functional groups. Responses in stream cobble har and coastline habitats were larger that in other habitat. comtrary to expectation, the magnitude of consumer response was not addected by recipient habitat productivity or the ratio of productivity between donor and recipient habitats. however, consumer response was significantly related to the ratio of subsidy resources to equivalent resources in the recipient habitat. Broad contrasts in productivity are modified by subsity type, vector and the physical and abiotic characteristics of both donor and recipient habitats. for this reason, the ratio of subsidy to equilivant resources is a more useful tool for predictin the possible effects of a subsidy than coarser contrasts of in situ productivity. The commonness of subsidy effects suggest that many ecosystems need to be studied as open systems.","author":[{"dropping-particle":"","family":"Marczak","given":"Laurie B","non-dropping-particle":"","parse-names":false,"suffix":""},{"dropping-particle":"","family":"Thompson","given":"Ross M","non-dropping-particle":"","parse-names":false,"suffix":""},{"dropping-particle":"","family":"Richardson","given":"John S","non-dropping-particle":"","parse-names":false,"suffix":""}],"container-title":"Eocology","id":"ITEM-2","issue":"1","issued":{"date-parts":[["2007"]]},"page":"140-148","title":"Meta-Analysis: Trophic Level, Habitat, and Productivity Shape the Food Web Effects of Resource Subsidies","type":"article-journal","volume":"88"},"uris":["http://www.mendeley.com/documents/?uuid=9c48ce22-9a4f-49d8-8056-81e298db9547"]},{"id":"ITEM-3","itemData":{"DOI":"10.1890/11-1136.1","ISBN":"0012-9658","ISSN":"00129615","PMID":"7189","abstract":"Abstract. Although the study of resource subsidies has emerged as a key topic in both ecosystem and food web ecology, the dialogue over their role has been limited by separate approaches that emphasize either subsidy quantity or quality. Considering quantity and quality together may provide a simple, but previously unexplored, framework for identifying the mechanisms that govern the importance of subsidies for recipient food webs and ecosystems. Using a literature review of .90 studies of open-water metabolism in lakes and streams, we show that high-flux, low-quality subsidies can drive freshwater ecosystem dynamics. Because most of these ecosystems are net heterotrophic, allochthonous inputs must subsidize respiration. Second, using a literature review of subsidy quality and use, we demonstrate that animals select for high-quality food resources in proportions greater than would be predicted based on food quantity, and regardless of allochthonous or autochthonous origin. This finding suggests that low-flux, high-quality subsidies may be selected for by animals, and in turn may disproportionately affect food web and ecosystem processes (e.g., animal production, trophic energy or organic matter flow, trophic cascades). We then synthesize and review approaches that evaluate the role of subsidies and explicitly merge ecosystem and food web perspectives by placing food web measurements in the context of ecosystem budgets, by comparing trophic and ecosystem production and fluxes, and by constructing flow food webs. These tools can and should be used to address future questions about subsidies, such as the relative importance of subsidies to different trophic levels and how subsidies may maintain or disrupt ecosystem stability and food web interactions.","author":[{"dropping-particle":"","family":"Marcarelli","given":"Amy M.","non-dropping-particle":"","parse-names":false,"suffix":""},{"dropping-particle":"V.","family":"Baxter","given":"Colden","non-dropping-particle":"","parse-names":false,"suffix":""},{"dropping-particle":"","family":"Mineau","given":"Madeline M.","non-dropping-particle":"","parse-names":false,"suffix":""},{"dropping-particle":"","family":"Hall","given":"Robert O. JR","non-dropping-particle":"","parse-names":false,"suffix":""}],"container-title":"Ecology","id":"ITEM-3","issue":"6","issued":{"date-parts":[["2011"]]},"note":"Intro\nSubsidy Quantity and Ecosystem Metabolism\nSubstrate Quality and Food web pathways \nMerging appraoches to understand subsidies\nInvestigating food web sibsidies in the context of ecosystem \nUsing ecosystem &amp;amp; trophic production &amp;amp; fluxes to quantify subsidy impacts \nConclusions","page":"1215-1225","title":"Quantity and quality: unifying food web and ecosystem perspectives on the role of resource subsidies in freshwaters","type":"article-journal","volume":"92"},"uris":["http://www.mendeley.com/documents/?uuid=3220460c-5129-4036-8a7f-d8519cd81029"]}],"mendeley":{"formattedCitation":"(Marczak et al., 2007; Marcarelli et al., 2011; Subalusky and Post, 2018)","plainTextFormattedCitation":"(Marczak et al., 2007; Marcarelli et al., 2011; Subalusky and Post, 2018)","previouslyFormattedCitation":"(Marczak et al., 2007; Marcarelli et al., 2011; Subalusky and Post, 2018)"},"properties":{"noteIndex":0},"schema":"https://github.com/citation-style-language/schema/raw/master/csl-citation.json"}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(Marczak et al., 2007; Marcarelli et al., 2011; Subalusky and Post, 2018)</w:t>
      </w:r>
      <w:r w:rsidRPr="00EF1F20">
        <w:rPr>
          <w:rFonts w:eastAsia="Times New Roman" w:cs="Times New Roman"/>
          <w:color w:val="222222"/>
          <w:szCs w:val="24"/>
        </w:rPr>
        <w:fldChar w:fldCharType="end"/>
      </w:r>
      <w:r w:rsidRPr="00EF1F20">
        <w:rPr>
          <w:rFonts w:eastAsia="Times New Roman" w:cs="Times New Roman"/>
          <w:color w:val="222222"/>
          <w:szCs w:val="24"/>
        </w:rPr>
        <w:t>. In many instances</w:t>
      </w:r>
      <w:r>
        <w:rPr>
          <w:rFonts w:eastAsia="Times New Roman" w:cs="Times New Roman"/>
          <w:color w:val="222222"/>
          <w:szCs w:val="24"/>
        </w:rPr>
        <w:t>,</w:t>
      </w:r>
      <w:r w:rsidRPr="00EF1F20">
        <w:rPr>
          <w:rFonts w:eastAsia="Times New Roman" w:cs="Times New Roman"/>
          <w:color w:val="222222"/>
          <w:szCs w:val="24"/>
        </w:rPr>
        <w:t xml:space="preserve"> subsidy quantity is proportional to productivity of the donor ecosystem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{"citationItems":[{"id":"ITEM-1","itemData":{"DOI":"10.1146/annurev.ecolsys.28.1.289","ISBN":"0066-4162","ISSN":"0066-4162","PMID":"4606","abstract":"We focus on the implications of movement, landscape variables, and spatial heterogeneity for food web dynamics. Movements of nutrients, detritus, prey, and consumers among habitats are ubiquitous in diverse biomes and can strongly influence population, consumer-resource, food web, and community dynamics. Nutrient and detrital subsidies usually increase primary and secondary productivity, both directly and indirectly. Prey subsidies, by movement of either prey or predators, usually enhance predator abundance beyond what local resources can support. Top-down effects occur when spatially subsidized consumers affect local resources by suppressing key resources and occasionally by initiating trophic cascades. Effects on community dynamics vary with the relative amount of input, the trophic roles of the mobile and recipient entities, and the local food web structure. Landscape variables such as the perimeter/area ratio of the focal habitat, permeability of habitat boundaries, and relative productivity of trophically connected habitats affect the degree and importance of spatial subsidization.","author":[{"dropping-particle":"","family":"Polis","given":"Gary A.","non-dropping-particle":"","parse-names":false,"suffix":""},{"dropping-particle":"","family":"Anderson","given":"Wendy B.","non-dropping-particle":"","parse-names":false,"suffix":""},{"dropping-particle":"","family":"Holt","given":"Robert D.","non-dropping-particle":"","parse-names":false,"suffix":""}],"container-title":"Annual Review of Ecology and Systematics","id":"ITEM-1","issue":"1","issued":{"date-parts":[["1997"]]},"note":"1. Introduction\n2. Landscape Considerations\n3. Flow and matial subsidies: direct effects \n3A. Movement of nutrients and detritus \n3aa. water to water\n3ab. land to water\n3ac. water to land\n3ad. land to land \n3B. Movement of Prey\n3ba. water to water\n3bb. land to water\n3bc. water to land\n3bd. land to land \n3C. Movement of Consumers\n3ca. water to water\n3cb. between land and water\n3bc. land to land\n4. Flow and spatial subsidies: indirect effects on trophic dynamics \n4A. Donor control\n4B. Movement of Nutrients\n4C. Movement of Detritus\n4D. Movement of Prey\n4E. Movement of Consumers\n5. Case Study: Isalnds and the ocean-land interface\n6. Direct and indirect efffects of saptial subsidies: theory \n6A. Prey Flow, Specialist Predator \n6B. Flow of Alternative Prey, Generalist Predator \n6C. Predator Flow, Resident Prey \n6D. Landscape Variables Influencing Immigration and Input Rates \n7. Overview","page":"289-316","title":"Toward an integration of landscape and food web ecology: the dynamics of spatially subsidized food webs","type":"article-journal","volume":"28"},"uris":["http://www.mendeley.com/documents/?uuid=f3f09f25-5139-450d-b5ea-5cd1938f60b3"]},{"id":"ITEM-2","itemData":{"DOI":"10.1007/s10021-013-9688-6","ISBN":"732852","ISSN":"14329840","PMID":"732852","abstract":"Emergent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id":"ITEM-3","itemData":{"author":[{"dropping-particle":"","family":"Gratton","given":"C.","non-dropping-particle":"","parse-names":false,"suffix":""},{"dropping-particle":"","family":"Zanden","given":"M.J.","non-dropping-particle":"Vander","parse-names":false,"suffix":""}],"container-title":"Ecology","id":"ITEM-3","issue":"10","issued":{"date-parts":[["2009"]]},"page":"2689–2699","title":"Flux of aquatic insect productivity to land: comparison of lentic and lotic ecosystems","type":"article-journal","volume":"90"},"uris":["http://www.mendeley.com/documents/?uuid=1919de5e-bc71-4cdb-ad66-d96c78ff5294"]}],"mendeley":{"formattedCitation":"(Polis et al., 1997; Gratton and Vander Zanden, 2009; Bartrons et al., 2013)","plainTextFormattedCitation":"(Polis et al., 1997; Gratton and Vander Zanden, 2009; Bartrons et al., 2013)","previouslyFormattedCitation":"(Polis et al., 1997; Gratton and Vander Zanden, 2009; Bartrons et al., 2013)"},"properties":{"noteIndex":0},"schema":"https://github.com/citation-style-language/schema/raw/master/csl-citation.json"}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(Polis et al., 1997; Gratton and Vander Zanden, 2009; Bartrons et al., 2013)</w:t>
      </w:r>
      <w:r w:rsidRPr="00EF1F20">
        <w:rPr>
          <w:rFonts w:eastAsia="Times New Roman" w:cs="Times New Roman"/>
          <w:color w:val="222222"/>
          <w:szCs w:val="24"/>
        </w:rPr>
        <w:fldChar w:fldCharType="end"/>
      </w:r>
      <w:r w:rsidRPr="00EF1F20">
        <w:rPr>
          <w:rFonts w:eastAsia="Times New Roman" w:cs="Times New Roman"/>
          <w:color w:val="222222"/>
          <w:szCs w:val="24"/>
        </w:rPr>
        <w:t>. Consequently, climate</w:t>
      </w:r>
      <w:r>
        <w:rPr>
          <w:rFonts w:eastAsia="Times New Roman" w:cs="Times New Roman"/>
          <w:color w:val="222222"/>
          <w:szCs w:val="24"/>
        </w:rPr>
        <w:t xml:space="preserve"> change</w:t>
      </w:r>
      <w:r w:rsidRPr="00EF1F20">
        <w:rPr>
          <w:rFonts w:eastAsia="Times New Roman" w:cs="Times New Roman"/>
          <w:color w:val="222222"/>
          <w:szCs w:val="24"/>
        </w:rPr>
        <w:t xml:space="preserve">-induced shifts in ecosystem production could </w:t>
      </w:r>
      <w:r>
        <w:rPr>
          <w:rFonts w:eastAsia="Times New Roman" w:cs="Times New Roman"/>
          <w:color w:val="222222"/>
          <w:szCs w:val="24"/>
        </w:rPr>
        <w:t>resonate</w:t>
      </w:r>
      <w:r w:rsidRPr="00EF1F20">
        <w:rPr>
          <w:rFonts w:eastAsia="Times New Roman" w:cs="Times New Roman"/>
          <w:color w:val="222222"/>
          <w:szCs w:val="24"/>
        </w:rPr>
        <w:t xml:space="preserve"> across ecosystem boundaries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id":"ITEM-2","itemData":{"author":[{"dropping-particle":"","family":"Zhao","given":"Maosheng","non-dropping-particle":"","parse-names":false,"suffix":""},{"dropping-particle":"","family":"Running","given":"Steven W","non-dropping-particle":"","parse-names":false,"suffix":""}],"container-title":"Science","id":"ITEM-2","issue":"August","issued":{"date-parts":[["2010"]]},"page":"940-944","title":"Drought-Induced Reduction in Global Terrestrial Net Primary Production from 2000 Through 2009","type":"article-journal","volume":"329"},"uris":["http://www.mendeley.com/documents/?uuid=10ffd9d3-f24e-4b5d-8fc6-0a4bca0a8ff2"]}],"mendeley":{"formattedCitation":"(Zhao and Running, 2010; Patrick et al., 2019)","plainTextFormattedCitation":"(Zhao and Running, 2010; Patrick et al., 2019)","previouslyFormattedCitation":"(Zhao and Running, 2010; Patrick et al., 2019)"},"properties":{"noteIndex":0},"schema":"https://github.com/citation-style-language/schema/raw/master/csl-citation.json"}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(Zhao and Running, 2010; Patrick et al., 2019)</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p>
    <w:p w14:paraId="22E01591" w14:textId="77777777" w:rsidR="00AB7462" w:rsidRPr="00EF1F20" w:rsidRDefault="00AB7462" w:rsidP="00AB7462">
      <w:pPr>
        <w:shd w:val="clear" w:color="auto" w:fill="FFFFFF"/>
        <w:spacing w:after="0" w:line="480" w:lineRule="auto"/>
        <w:ind w:firstLine="720"/>
        <w:contextualSpacing/>
        <w:rPr>
          <w:rFonts w:eastAsia="Times New Roman" w:cs="Times New Roman"/>
          <w:color w:val="222222"/>
          <w:szCs w:val="24"/>
        </w:rPr>
      </w:pPr>
      <w:r w:rsidRPr="00EF1F20">
        <w:rPr>
          <w:rFonts w:eastAsia="Times New Roman" w:cs="Times New Roman"/>
          <w:color w:val="222222"/>
          <w:szCs w:val="24"/>
        </w:rPr>
        <w:t xml:space="preserve">Insects that develop in </w:t>
      </w:r>
      <w:r>
        <w:rPr>
          <w:rFonts w:eastAsia="Times New Roman" w:cs="Times New Roman"/>
          <w:color w:val="222222"/>
          <w:szCs w:val="24"/>
        </w:rPr>
        <w:t xml:space="preserve">aquatic </w:t>
      </w:r>
      <w:r w:rsidRPr="00EF1F20">
        <w:rPr>
          <w:rFonts w:eastAsia="Times New Roman" w:cs="Times New Roman"/>
          <w:color w:val="222222"/>
          <w:szCs w:val="24"/>
        </w:rPr>
        <w:t>ecosystems</w:t>
      </w:r>
      <w:r>
        <w:rPr>
          <w:rFonts w:eastAsia="Times New Roman" w:cs="Times New Roman"/>
          <w:color w:val="222222"/>
          <w:szCs w:val="24"/>
        </w:rPr>
        <w:t xml:space="preserve"> as larva</w:t>
      </w:r>
      <w:r w:rsidRPr="00EF1F20">
        <w:rPr>
          <w:rFonts w:eastAsia="Times New Roman" w:cs="Times New Roman"/>
          <w:color w:val="222222"/>
          <w:szCs w:val="24"/>
        </w:rPr>
        <w:t xml:space="preserve"> </w:t>
      </w:r>
      <w:r>
        <w:rPr>
          <w:rFonts w:eastAsia="Times New Roman" w:cs="Times New Roman"/>
          <w:color w:val="222222"/>
          <w:szCs w:val="24"/>
        </w:rPr>
        <w:t xml:space="preserve">and </w:t>
      </w:r>
      <w:r w:rsidRPr="00EF1F20">
        <w:rPr>
          <w:rFonts w:eastAsia="Times New Roman" w:cs="Times New Roman"/>
          <w:color w:val="222222"/>
          <w:szCs w:val="24"/>
        </w:rPr>
        <w:t xml:space="preserve">emerge as </w:t>
      </w:r>
      <w:r>
        <w:rPr>
          <w:rFonts w:eastAsia="Times New Roman" w:cs="Times New Roman"/>
          <w:color w:val="222222"/>
          <w:szCs w:val="24"/>
        </w:rPr>
        <w:t xml:space="preserve">flying </w:t>
      </w:r>
      <w:r w:rsidRPr="00EF1F20">
        <w:rPr>
          <w:rFonts w:eastAsia="Times New Roman" w:cs="Times New Roman"/>
          <w:color w:val="222222"/>
          <w:szCs w:val="24"/>
        </w:rPr>
        <w:t xml:space="preserve">terrestrial adults (hereafter, “emergent insects”) subsidize terrestrial ecosystems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{"citationItems":[{"id":"ITEM-1","itemData":{"DOI":"10.1002/rra","ISBN":"1535-1459","ISSN":"&lt;null&gt;","abstract":"The upstream migration of adult anadromous salmonids in the Columbia River Basin (CRB) has been dramatically altered and fish may be experiencing energetically costly delays at dams. To explore this notion, we estimated the energetic costs of migration and reproduction of Yakima River-bound spring Chinook salmon Oncorhynchus tshawytscha using a sequential analysis of their proximate composition (i.e., percent water, fat, protein, and ash). Tissues (muscle, viscera, and gonad) were sampled from fish near the start of their migration (Bonneville Dam), at a mid point (Roza Dam, 510km upstream from Bonneville Dam) and from fresh carcasses on the spawning grounds (about 100km above Roza Dam). At Bonneville Dam, the energy reserves of these fish were remarkably high, primarily due to the high percentage of fat in the muscle (18–20%; energy content over 11 kJ g?1). The median travel time for fish from Bonneville to Roza Dam was 27 d and ranged from 18 to 42 d. Fish lost from 6 to 17% of their energy density in muscle, depending on travel time. On average, fish taking a relatively long time for migration between dams used from 5 to 8%more energy from the muscle than faster fish. From the time they passed Bonneville Damto death, these fish, depending on gender, used 95–99% of their muscle and 73–86% of their visceral lipid stores. Also, both sexes used about 32% of their muscular and very little of their visceral protein stores. However, we were unable to relate energy use and reproductive success to migration history. Our results suggest a possible influence of the CRB hydroelectric system on adult salmonid energetics","author":[{"dropping-particle":"","family":"Richardson","given":"John. S.","non-dropping-particle":"","parse-names":false,"suffix":""},{"dropping-particle":"","family":"Zhang","given":"Yixin","non-dropping-particle":"","parse-names":false,"suffix":""},{"dropping-particle":"","family":"Marczak","given":"Laurie B","non-dropping-particle":"","parse-names":false,"suffix":""}],"container-title":"River Research and Applications","id":"ITEM-1","issued":{"date-parts":[["2010"]]},"note":"Introduction\nHow aquatic science contributed to concepts\nLeaf litter &amp;amp; other Terrestrial inputs \nTerrestrial inveertebrate inputs to treams\nFlows from streams to terrestrial areas\nFlows from upstream/downstream\nLake outlets\nBenthic-plegic coupling iin lentic systems\nLinkages at the community level\nBoundaries","page":"55-66","title":"Resource subsidies across the land-freshwater interface and responses in recipient communities","type":"article-journal","volume":"26"},"uris":["http://www.mendeley.com/documents/?uuid=64df4d31-a9bf-4360-9709-3bd877104402"]},{"id":"ITEM-2","itemData":{"DOI":"10.1007/s10021-016-0050-7","ISBN":"1435-0629","ISSN":"14350629","abstract":"Floods, spatially complex water flows, and organism movements all generate important fluxes of aquatic-derived materials into terrestrial habitats, counteracting the gravity-driven downhill transport of matter from terrestrial-to-aquatic ecosystems. The magnitude of these aquatic subsidies is often smaller than terrestrial subsidies to aquatic ecosystems but higher in nutritional quality, energy density, and nutrient concentration. The lateral extent of biological aquatic subsidies is typically small, extending only a few meters into riparian habitat; however, terrestrial consumers often aggregate on shorelines to capitalize on these high-quality resources. Although the ecological effects of aquatic subsidies remain partially understood, it is clear that ongoing human modification to aquatic ecosystems, riparian habitats and river floodplains affect the magnitude, quality, and spatial and temporal patterning of aquatic subsidies in terrestrial landscapes. These changes will alter the character of aquatic–terrestrial coupling and have consequences for terrestrial organisms that rely on these high-quality and temporally dependable resource subsidies. Homogenization of landscapes and flow regimes, eutrophication, exotic species, and contaminants all represent threats to the vital flows of aquatic-derived resources into terrestrial ecosystems. Research emphasizing that landscapes are integrated terrestrial–aquatic systems, characterized by both biological and hydrological flows among habitats, is needed for understanding the consequences of aquatic subsidies and managing ecological risks of ongoing human development.","author":[{"dropping-particle":"","family":"Schindler","given":"Daniel E.","non-dropping-particle":"","parse-names":false,"suffix":""},{"dropping-particle":"","family":"Smits","given":"Adrianne P.","non-dropping-particle":"","parse-names":false,"suffix":""}],"container-title":"Ecosystems","id":"ITEM-2","issued":{"date-parts":[["2017"]]},"page":"78-93","publisher":"Springer US","title":"Subsidies of Aquatic Resources in Terrestrial Ecosystems","type":"article-journal","volume":"20"},"uris":["http://www.mendeley.com/documents/?uuid=befe7691-520e-4605-a56a-8f676565a217"]},{"id":"ITEM-3","itemData":{"DOI":"10.1111/j.1365-2427.2004.01328.x","ISBN":"0046-5070","ISSN":"00465070","abstract":"1.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Biology","id":"ITEM-3","issue":"2","issued":{"date-parts":[["2005"]]},"note":"1.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zones","type":"article-journal","volume":"50"},"uris":["http://www.mendeley.com/documents/?uuid=02c84270-0e51-41d1-a8fa-ddbed6efb2f2"]}],"mendeley":{"formattedCitation":"(Baxter et al., 2005; Richardson et al., 2010; Schindler and Smits, 2017)","plainTextFormattedCitation":"(Baxter et al., 2005; Richardson et al., 2010; Schindler and Smits, 2017)","previouslyFormattedCitation":"(Baxter et al., 2005; Richardson et al., 2010; Schindler and Smits, 2017)"},"properties":{"noteIndex":0},"schema":"https://github.com/citation-style-language/schema/raw/master/csl-citation.json"}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(Baxter et al., 2005; Richardson et al., 2010; Schindler and Smits, 2017)</w:t>
      </w:r>
      <w:r w:rsidRPr="00EF1F20">
        <w:rPr>
          <w:rFonts w:eastAsia="Times New Roman" w:cs="Times New Roman"/>
          <w:color w:val="222222"/>
          <w:szCs w:val="24"/>
        </w:rPr>
        <w:fldChar w:fldCharType="end"/>
      </w:r>
      <w:r w:rsidRPr="00EF1F20">
        <w:rPr>
          <w:rFonts w:eastAsia="Times New Roman" w:cs="Times New Roman"/>
          <w:color w:val="222222"/>
          <w:szCs w:val="24"/>
        </w:rPr>
        <w:t>. They can account for</w:t>
      </w:r>
      <w:r>
        <w:rPr>
          <w:rFonts w:eastAsia="Times New Roman" w:cs="Times New Roman"/>
          <w:color w:val="222222"/>
          <w:szCs w:val="24"/>
        </w:rPr>
        <w:t xml:space="preserve"> a</w:t>
      </w:r>
      <w:r w:rsidRPr="00EF1F20">
        <w:rPr>
          <w:rFonts w:eastAsia="Times New Roman" w:cs="Times New Roman"/>
          <w:color w:val="222222"/>
          <w:szCs w:val="24"/>
        </w:rPr>
        <w:t xml:space="preserve"> significant proportion of the energy budgets of terrestrial consumers or</w:t>
      </w:r>
      <w:r>
        <w:rPr>
          <w:rFonts w:eastAsia="Times New Roman" w:cs="Times New Roman"/>
          <w:color w:val="222222"/>
          <w:szCs w:val="24"/>
        </w:rPr>
        <w:t xml:space="preserve"> meaningfully</w:t>
      </w:r>
      <w:r w:rsidRPr="00EF1F20">
        <w:rPr>
          <w:rFonts w:eastAsia="Times New Roman" w:cs="Times New Roman"/>
          <w:color w:val="222222"/>
          <w:szCs w:val="24"/>
        </w:rPr>
        <w:t xml:space="preserve"> contribute to the detrital resource pool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Biology","id":"ITEM-1","issue":"2","issued":{"date-parts":[["2005"]]},"note":"1.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zones","type":"article-journal","volume":"50"},"uris":["http://www.mendeley.com/documents/?uuid=02c84270-0e51-41d1-a8fa-ddbed6efb2f2"]},{"id":"ITEM-2","itemData":{"DOI":"10.1890/14-0704.1","ISSN":"00129658","abstract":"Adjacent ecosystems are influenced by organisms that move across boundaries, such as insects with aquatic larval stages and terrestrial adult stages, which transport energy and nutrients from water to land. However, the ecosystem-level effect of aquatic insects on land has generally been ignored, perhaps because the organisms themselves are individually small. At the naturally productive Lake Mývatn, Iceland, we used two readily measured quantities: total insect emergence from water and relative insect density on land, to demonstrate an approach for estimating aquatic insect deposition (e.g., kg N·m−2·yr−1) to shore. Estimates from emergence traps between 2008 and 2011 indicated a range of 0.15–3.7 g·m−2·yr−1, or a whole-lake emergence of 3.1–76 Mg/yr; all masses are given as dry mass. Using aerial infall trap measurements of midge relative abundance over land, we developed a local-maximum decay function model to predict proportional midge deposition with distance from the lake. The dispersal model predicted midge abundance with R2 = 0.89, a pattern consistent among years, with peak midge deposition occurring 20–25 m inland and 70% of midges deposited within 100 m of shore. During a high-midge year (2008), we estimate midge deposition within the first 50 m of shoreline to be 100 kg·ha−1·yr−1, corresponding to inputs of 10 kg N·ha−1·yr−1 and 1 kg P·ha−1·yr−1, or about three to five times above background terrestrial N deposition rates. Consistent with elevated N input where midges are most dense, we observed that soil available nitrate in resin bags decreases with increasing distance from the lake. Our approach, generalizable to other systems, shows that aquatic insects can be a major source of nutrients to terrestrial ecosystems and have the capacity to significantly affect ecosystem processes.","author":[{"dropping-particle":"","family":"Dreyer","given":"Jamin","non-dropping-particle":"","parse-names":false,"suffix":""},{"dropping-particle":"","family":"Townsend","given":"Philip A.","non-dropping-particle":"","parse-names":false,"suffix":""},{"dropping-particle":"","family":"Hook","given":"James C.","non-dropping-particle":"","parse-names":false,"suffix":""},{"dropping-particle":"","family":"Hoekman","given":"David","non-dropping-particle":"","parse-names":false,"suffix":""},{"dropping-particle":"","family":"Zanden","given":"M. Jake","non-dropping-particle":"Vander","parse-names":false,"suffix":""},{"dropping-particle":"","family":"Gratton","given":"Claudio","non-dropping-particle":"","parse-names":false,"suffix":""}],"container-title":"Ecology","id":"ITEM-2","issue":"2","issued":{"date-parts":[["2015"]]},"page":"499-509","title":"Quantifying aquatic insect deposition from lake to land","type":"article-journal","volume":"96"},"uris":["http://www.mendeley.com/documents/?uuid=d67184fa-845d-4dd2-99e3-496f183126b0"]},{"id":"ITEM-3","itemData":{"author":[{"dropping-particle":"","family":"Wesner","given":"Jeff","non-dropping-particle":"","parse-names":false,"suffix":""},{"dropping-particle":"","family":"Walters","given":"David","non-dropping-particle":"","parse-names":false,"suffix":""},{"dropping-particle":"","family":"Zuellig","given":"Robert","non-dropping-particle":"","parse-names":false,"suffix":""}],"container-title":"Food Webs","id":"ITEM-3","issued":{"date-parts":[["2019"]]},"page":"e00105","title":"Pulsed salmonfly emergence and its potential contribution to terrestrial detrital pools","type":"article-journal","volume":"18"},"uris":["http://www.mendeley.com/documents/?uuid=9ea86ff2-58a8-40c5-b70b-665c3f39d200"]}],"mendeley":{"formattedCitation":"(Baxter et al., 2005; Dreyer et al., 2015; Wesner et al., 2019)","plainTextFormattedCitation":"(Baxter et al., 2005; Dreyer et al., 2015; Wesner et al., 2019)","previouslyFormattedCitation":"(Baxter et al., 2005; Dreyer et al., 2015; Wesner et al., 2019)"},"properties":{"noteIndex":0},"schema":"https://github.com/citation-style-language/schema/raw/master/csl-citation.json"}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(Baxter et al., 2005; Dreyer et al., 2015; Wesner et al., 2019)</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Among the consumers that are subsidized, e</w:t>
      </w:r>
      <w:r w:rsidRPr="00EF1F20">
        <w:rPr>
          <w:rFonts w:eastAsia="Times New Roman" w:cs="Times New Roman"/>
          <w:color w:val="222222"/>
          <w:szCs w:val="24"/>
        </w:rPr>
        <w:t xml:space="preserve">mergent insects may be especially beneficial for avian aerial insectivores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{"citationItems":[{"id":"ITEM-1","itemData":{"abstract":"Studies of the effects of cross-habitat resource subsidies have been a feature of food web ecology over the past decade. To date, most studies have focused on demonstrating the magnitude of a subsidy or documenting it effect in the recipient habitat. Ecologists have yet to develop a staisfactory framework for predicting the magnitude of these effects. We used 115 data sets from 32 studies to compare consumer reponses to resource subsidies actross recipient habitat type, trophic level, and functiona group. Changes in consumer denity or biomass in response to subsidies were inconistent actoss habitat, trophic and functional groups. Responses in stream cobble har and coastline habitats were larger that in other habitat. comtrary to expectation, the magnitude of consumer response was not addected by recipient habitat productivity or the ratio of productivity between donor and recipient habitats. however, consumer response was significantly related to the ratio of subsidy resources to equivalent resources in the recipient habitat. Broad contrasts in productivity are modified by subsity type, vector and the physical and abiotic characteristics of both donor and recipient habitats. for this reason, the ratio of subsidy to equilivant resources is a more useful tool for predictin the possible effects of a subsidy than coarser contrasts of in situ productivity. The commonness of subsidy effects suggest that many ecosystems need to be studied as open systems.","author":[{"dropping-particle":"","family":"Marczak","given":"Laurie B","non-dropping-particle":"","parse-names":false,"suffix":""},{"dropping-particle":"","family":"Thompson","given":"Ross M","non-dropping-particle":"","parse-names":false,"suffix":""},{"dropping-particle":"","family":"Richardson","given":"John S","non-dropping-particle":"","parse-names":false,"suffix":""}],"container-title":"Eocology","id":"ITEM-1","issue":"1","issued":{"date-parts":[["2007"]]},"page":"140-148","title":"Meta-Analysis: Trophic Level, Habitat, and Productivity Shape the Food Web Effects of Resource Subsidies","type":"article-journal","volume":"88"},"uris":["http://www.mendeley.com/documents/?uuid=9c48ce22-9a4f-49d8-8056-81e298db9547"]},{"id":"ITEM-2","itemData":{"DOI":"10.1007/s10980-020-01038-0","ISBN":"0123456789","ISSN":"15729761","abstract":"Context: Resource movements across ecosystem boundaries are important determinants of the diversity and abundance of organisms in the donor and recipient ecosystem. However the effects of cross-ecosystem movements of materials at broader spatial extents than a typical field study are not well understood. Objectives: We tested the hypotheses that (1) variation in abundance of 57 forest songbird species within four foraging guilds is explained by modeled emergent aquatic insect biomass inputs from adjacent lakes and streams and (2) the degree of association varies across foraging guilds and species within guilds. We also sought to determine the importance of emergent aquatic insects while accounting for variation in local forest cover and edge. Methods: We spatially modeled the degree to which distribution and abundance of songbirds in different foraging guilds was explained by modeled emergent aquatic insect biomass. We used multilevel models to simultaneously estimate the responses of species in four different insectivorous guilds. Bird abundance was summarized from point counts conducted over 24 years at 317 points. Results: Aerial insectivores were more abundant in areas with high estimated emergent insect biomass inputs to land (regression coefficient 0.30, P &lt; 0.05) but the overall abundance of gleaners, bark-probers, and ground-foragers was not explained by estimated emergent insect abundance. The coursing aerial insectivores had the strongest association with emergent insects followed by willow flycatcher, olive-sided flycatcher, and alder flycatcher. Conclusions: Modeling cross-ecosystem movements of materials at broad spatial extents can effectively characterize the importance of this ecological process for aerial insectivorous songbirds.","author":[{"dropping-particle":"","family":"Schilke","given":"Paul R.","non-dropping-particle":"","parse-names":false,"suffix":""},{"dropping-particle":"","family":"Bartrons","given":"Mireia","non-dropping-particle":"","parse-names":false,"suffix":""},{"dropping-particle":"","family":"Gorzo","given":"Jessica M.","non-dropping-particle":"","parse-names":false,"suffix":""},{"dropping-particle":"","family":"Zanden","given":"M. Jake","non-dropping-particle":"Vander","parse-names":false,"suffix":""},{"dropping-particle":"","family":"Gratton","given":"Claudio","non-dropping-particle":"","parse-names":false,"suffix":""},{"dropping-particle":"","family":"Howe","given":"Robert W.","non-dropping-particle":"","parse-names":false,"suffix":""},{"dropping-particle":"","family":"Pidgeon","given":"Anna M.","non-dropping-particle":"","parse-names":false,"suffix":""}],"container-title":"Landscape Ecology","id":"ITEM-2","issue":"7","issued":{"date-parts":[["2020"]]},"page":"1587-1604","publisher":"Springer Netherlands","title":"Modeling a cross-ecosystem subsidy: forest songbird response to emergent aquatic insects","type":"article-journal","volume":"35"},"uris":["http://www.mendeley.com/documents/?uuid=56cf94e5-27ca-4c54-a54f-72cac08a3e36"]},{"id":"ITEM-3","itemData":{"DOI":"10.1073/pnas.98.1.166","ISBN":"0027-8424","ISSN":"0027-8424","PMID":"11136253","abstract":"Mutual trophic interactions between contiguous habitats have remained poorly understood despite their potential significance for community maintenance in ecological landscapes. In a deciduous forest and stream ecotone. aquatic insect emergence peaked around spring, when terrestrial invertebrate biomass was low. In contrast, terrestrial invertebrate input to the stream occurred primarily during summer, when aquatic invertebrate biomass was nearly at its lowest. Such reciprocal, across-habitat prey flux alternately subsidized both forest birds and stream fishes, accounting for 25.6% and 44.0% of the annual total energy budget of the bird and fish assemblages, respectively. Seasonal contrasts between allochthonous prey supply and in situ prey biomass determine the importance of reciprocal subsidies","author":[{"dropping-particle":"","family":"Nakano","given":"S","non-dropping-particle":"","parse-names":false,"suffix":""},{"dropping-particle":"","family":"Murakami","given":"M","non-dropping-particle":"","parse-names":false,"suffix":""}],"container-title":"Proceedings of the National Academy of Sciences of the United States of America","id":"ITEM-3","issue":"1","issued":{"date-parts":[["2001"]]},"page":"166-170","title":"Reciprocal subsidies: Dynamic interdependence between terrestrial and aquatic food webs","type":"article-journal","volume":"98"},"uris":["http://www.mendeley.com/documents/?uuid=667f1021-4098-4cea-b2fd-ec7069de7c63"]}],"mendeley":{"formattedCitation":"(Nakano and Murakami, 2001; Marczak et al., 2007; Schilke et al., 2020)","plainTextFormattedCitation":"(Nakano and Murakami, 2001; Marczak et al., 2007; Schilke et al., 2020)","previouslyFormattedCitation":"(Nakano and Murakami, 2001; Marczak et al., 2007; Schilke et al., 2020)"},"properties":{"noteIndex":0},"schema":"https://github.com/citation-style-language/schema/raw/master/csl-citation.json"}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(Nakano and Murakami, 2001; Marczak et al., 2007; Schilke et al., 2020)</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For example, emergent insects </w:t>
      </w:r>
      <w:r w:rsidRPr="00EF1F20">
        <w:rPr>
          <w:rFonts w:eastAsia="Times New Roman" w:cs="Times New Roman"/>
          <w:color w:val="222222"/>
          <w:szCs w:val="24"/>
        </w:rPr>
        <w:lastRenderedPageBreak/>
        <w:t xml:space="preserve">have been linked to </w:t>
      </w:r>
      <w:r>
        <w:rPr>
          <w:rFonts w:eastAsia="Times New Roman" w:cs="Times New Roman"/>
          <w:color w:val="222222"/>
          <w:szCs w:val="24"/>
        </w:rPr>
        <w:t xml:space="preserve">avian </w:t>
      </w:r>
      <w:r w:rsidRPr="00EF1F20">
        <w:rPr>
          <w:rFonts w:eastAsia="Times New Roman" w:cs="Times New Roman"/>
          <w:color w:val="222222"/>
          <w:szCs w:val="24"/>
        </w:rPr>
        <w:t xml:space="preserve">breeding success and population density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{"citationItems":[{"id":"ITEM-1","itemData":{"DOI":"10.1111/ele.13156","ISSN":"14610248","PMID":"30251301","abstract":"Ecologists studying bird foraging ecology have generally focused on food quantity over quality. Emerging work suggests that food quality, in terms of highly unsaturated omega-3 fatty acids (HUFA), can have equally important effects on performance. HUFA, which are present in aquatic primary producers, are all but absent in vascular plants, and HUFA content is also correspondingly higher in aquatic insects. Here, we show that Tree Swallow (Tachycineta bicolor) chicks rapidly accumulate HUFA from food during the nestling period. Using data sampled over 24 years, we also show that Tree Swallow breeding success is positively associated with the availability of HUFA-rich aquatic insects. Variation in aquatic insect biomass during chick development was a strong predictor of fledging success, whereas variation in terrestrial insects had little effect on fledging success. Our results highlight the potential for nutritional mismatches between insectivores and high-quality prey to affect avian reproductive performance.","author":[{"dropping-particle":"","family":"Twining","given":"Cornelia Wingfield","non-dropping-particle":"","parse-names":false,"suffix":""},{"dropping-particle":"","family":"Shipley","given":"Jeremy Ryan","non-dropping-particle":"","parse-names":false,"suffix":""},{"dropping-particle":"","family":"Winkler","given":"David W.","non-dropping-particle":"","parse-names":false,"suffix":""}],"container-title":"Ecology Letters","id":"ITEM-1","issue":"12","issued":{"date-parts":[["2018"]]},"page":"1812-1820","title":"Aquatic insects rich in omega-3 fatty acids drive breeding success in a widespread bird","type":"article-journal","volume":"21"},"uris":["http://www.mendeley.com/documents/?uuid=6a8d8ccc-e14c-4056-8e8c-e40380befaab"]},{"id":"ITEM-2","itemData":{"author":[{"dropping-particle":"","family":"Epanchin","given":"Peter","non-dropping-particle":"","parse-names":false,"suffix":""},{"dropping-particle":"","family":"Knapp","given":"Ronald","non-dropping-particle":"","parse-names":false,"suffix":""},{"dropping-particle":"","family":"Lawler","given":"Sharon","non-dropping-particle":"","parse-names":false,"suffix":""}],"container-title":"Ecology","id":"ITEM-2","issued":{"date-parts":[["2010"]]},"page":"2406-2415","title":"Nonnative trout impact an alpine-nesting bird by altering aquatic-insect subsidies","type":"article-journal","volume":"91"},"uris":["http://www.mendeley.com/documents/?uuid=31a6936c-a1b9-4d23-ad2a-620e47ff678f"]},{"id":"ITEM-3","itemData":{"author":[{"dropping-particle":"","family":"Gray","given":"Lawrence J","non-dropping-particle":"","parse-names":false,"suffix":""}],"container-title":"The American Midland Naturalist","id":"ITEM-3","issue":"2","issued":{"date-parts":[["1993"]]},"page":"288-300","title":"Response of insectivorous birds to emerging aquatic insects in riparian habitats of a tallgrass prairie stream","type":"article-journal","volume":"129"},"uris":["http://www.mendeley.com/documents/?uuid=5e0eb032-dbc9-4413-b510-a76facfed76c"]}],"mendeley":{"formattedCitation":"(Gray, 1993; Epanchin et al., 2010; Twining et al., 2018)","plainTextFormattedCitation":"(Gray, 1993; Epanchin et al., 2010; Twining et al., 2018)","previouslyFormattedCitation":"(Gray, 1993; Epanchin et al., 2010; Twining et al., 2018)"},"properties":{"noteIndex":0},"schema":"https://github.com/citation-style-language/schema/raw/master/csl-citation.json"}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(Gray, 1993; Epanchin et al., 2010; Twining et al., 2018)</w:t>
      </w:r>
      <w:r w:rsidRPr="00EF1F20">
        <w:rPr>
          <w:rFonts w:eastAsia="Times New Roman" w:cs="Times New Roman"/>
          <w:color w:val="222222"/>
          <w:szCs w:val="24"/>
        </w:rPr>
        <w:fldChar w:fldCharType="end"/>
      </w:r>
      <w:r w:rsidRPr="00EF1F20">
        <w:rPr>
          <w:rFonts w:eastAsia="Times New Roman" w:cs="Times New Roman"/>
          <w:color w:val="222222"/>
          <w:szCs w:val="24"/>
        </w:rPr>
        <w:t>.</w:t>
      </w:r>
      <w:r>
        <w:rPr>
          <w:rFonts w:eastAsia="Times New Roman" w:cs="Times New Roman"/>
          <w:color w:val="222222"/>
          <w:szCs w:val="24"/>
        </w:rPr>
        <w:t xml:space="preserve"> Unconsumed </w:t>
      </w:r>
      <w:r w:rsidRPr="00EF1F20">
        <w:rPr>
          <w:rFonts w:eastAsia="Times New Roman" w:cs="Times New Roman"/>
          <w:color w:val="222222"/>
          <w:szCs w:val="24"/>
        </w:rPr>
        <w:t>emergent insects</w:t>
      </w:r>
      <w:r>
        <w:rPr>
          <w:rFonts w:eastAsia="Times New Roman" w:cs="Times New Roman"/>
          <w:color w:val="222222"/>
          <w:szCs w:val="24"/>
        </w:rPr>
        <w:t xml:space="preserve"> are also important</w:t>
      </w:r>
      <w:r w:rsidRPr="00EF1F20">
        <w:rPr>
          <w:rFonts w:eastAsia="Times New Roman" w:cs="Times New Roman"/>
          <w:color w:val="222222"/>
          <w:szCs w:val="24"/>
        </w:rPr>
        <w:t xml:space="preserve"> </w:t>
      </w:r>
      <w:r>
        <w:rPr>
          <w:rFonts w:eastAsia="Times New Roman" w:cs="Times New Roman"/>
          <w:color w:val="222222"/>
          <w:szCs w:val="24"/>
        </w:rPr>
        <w:t>for</w:t>
      </w:r>
      <w:r w:rsidRPr="00EF1F20">
        <w:rPr>
          <w:rFonts w:eastAsia="Times New Roman" w:cs="Times New Roman"/>
          <w:color w:val="222222"/>
          <w:szCs w:val="24"/>
        </w:rPr>
        <w:t xml:space="preserve"> detrital food web</w:t>
      </w:r>
      <w:r>
        <w:rPr>
          <w:rFonts w:eastAsia="Times New Roman" w:cs="Times New Roman"/>
          <w:color w:val="222222"/>
          <w:szCs w:val="24"/>
        </w:rPr>
        <w:t>s</w:t>
      </w:r>
      <w:r w:rsidRPr="00EF1F20">
        <w:rPr>
          <w:rFonts w:eastAsia="Times New Roman" w:cs="Times New Roman"/>
          <w:color w:val="222222"/>
          <w:szCs w:val="24"/>
        </w:rPr>
        <w:t xml:space="preserve"> and contribute limiting nutrients</w:t>
      </w:r>
      <w:r>
        <w:rPr>
          <w:rFonts w:eastAsia="Times New Roman" w:cs="Times New Roman"/>
          <w:color w:val="222222"/>
          <w:szCs w:val="24"/>
        </w:rPr>
        <w:t xml:space="preserve"> to plants</w:t>
      </w:r>
      <w:r w:rsidRPr="00EF1F20">
        <w:rPr>
          <w:rFonts w:eastAsia="Times New Roman" w:cs="Times New Roman"/>
          <w:color w:val="222222"/>
          <w:szCs w:val="24"/>
        </w:rPr>
        <w:t xml:space="preserv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{"citationItems":[{"id":"ITEM-1","itemData":{"DOI":"10.1111/een.12118","ISBN":"1365-2311","ISSN":"13652311","abstract":"Abstract. 1. Mobile organisms such as emergent aquatic insects can subsidise land with aquatic nutrients, creating a link between terrestrial and aquatic ecosystems. 2. Deposition of aquatic insects on land produces bottom-up effects in arthropod detritivore communities and may also affect plants and plant–herbivore interactions. 3. To investigate the effects of insect deposition on plant–herbivore interactions, we conducted a field experiment and surveys of tealeaf willow(Salicaceae; Salix phylicifolia Coste) and July highflyer caterpillars (Geometridae; Hydriomena furcata Thunberg) at lakes inNortheast Iceland with either high- or low-midge density and deposition to land. 4. It was found that willow at high-midge lakes had 8–11% higher nitrogen content compared with willow at low-midge lakes. In addition, natural caterpillar density was 4–6 times higher and caterpillars were 72% heavier at high-midge lakes than low-midge lakes. 5. A fully reciprocal caterpillar transplant experiment among willow at high- and low-midge lakes was performed to separate the influence of habitat and midge effects on caterpillar performance. 6. After transplant, pupae of July Highflyer caterpillars were on average 11% heavier at high-midge sites compared with low-midge sites. However, this difference was not statistically significant. 7. The present findings indicate that cross-ecosystem subsidies in the form of aquatic insects can increase plant foliar quality and the abundance of insect herbivores in recipient ecosystems. Key","author":[{"dropping-particle":"","family":"Bultman","given":"Hilary","non-dropping-particle":"","parse-names":false,"suffix":""},{"dropping-particle":"","family":"Hoekman","given":"David","non-dropping-particle":"","parse-names":false,"suffix":""},{"dropping-particle":"","family":"Dreyer","given":"Jamin","non-dropping-particle":"","parse-names":false,"suffix":""},{"dropping-particle":"","family":"Gratton","given":"Claudio","non-dropping-particle":"","parse-names":false,"suffix":""}],"container-title":"Ecological Entomology","id":"ITEM-1","issue":"4","issued":{"date-parts":[["2014"]]},"page":"419-426","title":"Terrestrial deposition of aquatic insects increases plant quality for insect herbivores and herbivore density","type":"article-journal","volume":"39"},"uris":["http://www.mendeley.com/documents/?uuid=03759c81-b1f7-4442-aa3a-b11baf6cd34e"]},{"id":"ITEM-2","itemData":{"DOI":"10.1890/14-0704.1","ISSN":"00129658","abstract":"Adjacent ecosystems are influenced by organisms that move across boundaries, such as insects with aquatic larval stages and terrestrial adult stages, which transport energy and nutrients from water to land. However, the ecosystem-level effect of aquatic insects on land has generally been ignored, perhaps because the organisms themselves are individually small. At the naturally productive Lake Mývatn, Iceland, we used two readily measured quantities: total insect emergence from water and relative insect density on land, to demonstrate an approach for estimating aquatic insect deposition (e.g., kg N·m−2·yr−1) to shore. Estimates from emergence traps between 2008 and 2011 indicated a range of 0.15–3.7 g·m−2·yr−1, or a whole-lake emergence of 3.1–76 Mg/yr; all masses are given as dry mass. Using aerial infall trap measurements of midge relative abundance over land, we developed a local-maximum decay function model to predict proportional midge deposition with distance from the lake. The dispersal model predicted midge abundance with R2 = 0.89, a pattern consistent among years, with peak midge deposition occurring 20–25 m inland and 70% of midges deposited within 100 m of shore. During a high-midge year (2008), we estimate midge deposition within the first 50 m of shoreline to be 100 kg·ha−1·yr−1, corresponding to inputs of 10 kg N·ha−1·yr−1 and 1 kg P·ha−1·yr−1, or about three to five times above background terrestrial N deposition rates. Consistent with elevated N input where midges are most dense, we observed that soil available nitrate in resin bags decreases with increasing distance from the lake. Our approach, generalizable to other systems, shows that aquatic insects can be a major source of nutrients to terrestrial ecosystems and have the capacity to significantly affect ecosystem processes.","author":[{"dropping-particle":"","family":"Dreyer","given":"Jamin","non-dropping-particle":"","parse-names":false,"suffix":""},{"dropping-particle":"","family":"Townsend","given":"Philip A.","non-dropping-particle":"","parse-names":false,"suffix":""},{"dropping-particle":"","family":"Hook","given":"James C.","non-dropping-particle":"","parse-names":false,"suffix":""},{"dropping-particle":"","family":"Hoekman","given":"David","non-dropping-particle":"","parse-names":false,"suffix":""},{"dropping-particle":"","family":"Zanden","given":"M. Jake","non-dropping-particle":"Vander","parse-names":false,"suffix":""},{"dropping-particle":"","family":"Gratton","given":"Claudio","non-dropping-particle":"","parse-names":false,"suffix":""}],"container-title":"Ecology","id":"ITEM-2","issue":"2","issued":{"date-parts":[["2015"]]},"page":"499-509","title":"Quantifying aquatic insect deposition from lake to land","type":"article-journal","volume":"96"},"uris":["http://www.mendeley.com/documents/?uuid=d67184fa-845d-4dd2-99e3-496f183126b0"]},{"id":"ITEM-3","itemData":{"author":[{"dropping-particle":"","family":"Wesner","given":"Jeff","non-dropping-particle":"","parse-names":false,"suffix":""},{"dropping-particle":"","family":"Walters","given":"David","non-dropping-particle":"","parse-names":false,"suffix":""},{"dropping-particle":"","family":"Zuellig","given":"Robert","non-dropping-particle":"","parse-names":false,"suffix":""}],"container-title":"Food Webs","id":"ITEM-3","issued":{"date-parts":[["2019"]]},"page":"e00105","title":"Pulsed salmonfly emergence and its potential contribution to terrestrial detrital pools","type":"article-journal","volume":"18"},"uris":["http://www.mendeley.com/documents/?uuid=9ea86ff2-58a8-40c5-b70b-665c3f39d200"]}],"mendeley":{"formattedCitation":"(Bultman et al., 2014; Dreyer et al., 2015; Wesner et al., 2019)","plainTextFormattedCitation":"(Bultman et al., 2014; Dreyer et al., 2015; Wesner et al., 2019)","previouslyFormattedCitation":"(Bultman et al., 2014; Dreyer et al., 2015; Wesner et al., 2019)"},"properties":{"noteIndex":0},"schema":"https://github.com/citation-style-language/schema/raw/master/csl-citation.json"}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(Bultman et al., 2014; Dreyer et al., 2015; Wesner et al., 2019)</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In many instances the fate of aquatic insect subsidies in terrestrial ecosystems is still unclear but may depend on quantity of insect subsidies relative to energetic demands of terrestrial consumers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Wesner","given":"Jeff","non-dropping-particle":"","parse-names":false,"suffix":""},{"dropping-particle":"","family":"Walters","given":"David","non-dropping-particle":"","parse-names":false,"suffix":""},{"dropping-particle":"","family":"Zuellig","given":"Robert","non-dropping-particle":"","parse-names":false,"suffix":""}],"container-title":"Food Webs","id":"ITEM-1","issued":{"date-parts":[["2019"]]},"page":"e00105","title":"Pulsed salmonfly emergence and its potential contribution to terrestrial detrital pools","type":"article-journal","volume":"18"},"uris":["http://www.mendeley.com/documents/?uuid=9ea86ff2-58a8-40c5-b70b-665c3f39d200"]}],"mendeley":{"formattedCitation":"(Wesner et al., 2019)","plainTextFormattedCitation":"(Wesner et al., 2019)","previouslyFormattedCitation":"(Wesner et al., 2019)"},"properties":{"noteIndex":0},"schema":"https://github.com/citation-style-language/schema/raw/master/csl-citation.json"}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(Wesner et al., 2019)</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p>
    <w:p w14:paraId="09A82F99" w14:textId="77777777" w:rsidR="00AB7462" w:rsidRPr="00EF1F20" w:rsidRDefault="00AB7462" w:rsidP="00AB7462">
      <w:pPr>
        <w:shd w:val="clear" w:color="auto" w:fill="FFFFFF"/>
        <w:spacing w:after="0" w:line="480" w:lineRule="auto"/>
        <w:ind w:firstLine="720"/>
        <w:contextualSpacing/>
        <w:rPr>
          <w:rFonts w:eastAsia="Times New Roman" w:cs="Times New Roman"/>
          <w:color w:val="222222"/>
          <w:szCs w:val="24"/>
        </w:rPr>
      </w:pPr>
      <w:r w:rsidRPr="00EF1F20">
        <w:rPr>
          <w:rFonts w:eastAsia="Times New Roman" w:cs="Times New Roman"/>
          <w:color w:val="222222"/>
          <w:szCs w:val="24"/>
        </w:rPr>
        <w:t>The quantity of emergent insects entering the terrestrial ecosystem is contingent on production</w:t>
      </w:r>
      <w:r>
        <w:rPr>
          <w:rFonts w:eastAsia="Times New Roman" w:cs="Times New Roman"/>
          <w:color w:val="222222"/>
          <w:szCs w:val="24"/>
        </w:rPr>
        <w:t xml:space="preserve"> of aquatic insects</w:t>
      </w:r>
      <w:r w:rsidRPr="00EF1F20">
        <w:rPr>
          <w:rFonts w:eastAsia="Times New Roman" w:cs="Times New Roman"/>
          <w:color w:val="222222"/>
          <w:szCs w:val="24"/>
        </w:rPr>
        <w:t xml:space="preserve"> and surface area of the aquatic ecosystem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Jake","non-dropping-particle":"Vander","parse-names":false,"suffix":""}],"container-title":"Ecosystems","id":"ITEM-1","issue":"7","issued":{"date-parts":[["2013"]]},"page":"1353-1363","title":"Regional-Level Inputs of Emergent Aquatic Insects from Water to Land","type":"article-journal","volume":"16"},"uris":["http://www.mendeley.com/documents/?uuid=76c15ca4-2901-40f7-a4f1-93047a0aa026"]},{"id":"ITEM-2","itemData":{"author":[{"dropping-particle":"","family":"Gratton","given":"C.","non-dropping-particle":"","parse-names":false,"suffix":""},{"dropping-particle":"","family":"Zanden","given":"M.J.","non-dropping-particle":"Vander","parse-names":false,"suffix":""}],"container-title":"Ecology","id":"ITEM-2","issue":"10","issued":{"date-parts":[["2009"]]},"page":"2689–2699","title":"Flux of aquatic insect productivity to land: comparison of lentic and lotic ecosystems","type":"article-journal","volume":"90"},"uris":["http://www.mendeley.com/documents/?uuid=1919de5e-bc71-4cdb-ad66-d96c78ff5294"]}],"mendeley":{"formattedCitation":"(Gratton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(Gratton and Vander Zanden, 2009; Bartrons et al., 2013)</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E</w:t>
      </w:r>
      <w:r w:rsidRPr="00EF1F20">
        <w:rPr>
          <w:rFonts w:eastAsia="Times New Roman" w:cs="Times New Roman"/>
          <w:color w:val="222222"/>
          <w:szCs w:val="24"/>
        </w:rPr>
        <w:t xml:space="preserve">mergent insects are </w:t>
      </w:r>
      <w:r>
        <w:rPr>
          <w:rFonts w:eastAsia="Times New Roman" w:cs="Times New Roman"/>
          <w:color w:val="222222"/>
          <w:szCs w:val="24"/>
        </w:rPr>
        <w:t xml:space="preserve">a </w:t>
      </w:r>
      <w:r w:rsidRPr="00EF1F20">
        <w:rPr>
          <w:rFonts w:eastAsia="Times New Roman" w:cs="Times New Roman"/>
          <w:color w:val="222222"/>
          <w:szCs w:val="24"/>
        </w:rPr>
        <w:t>fraction of</w:t>
      </w:r>
      <w:r>
        <w:rPr>
          <w:rFonts w:eastAsia="Times New Roman" w:cs="Times New Roman"/>
          <w:color w:val="222222"/>
          <w:szCs w:val="24"/>
        </w:rPr>
        <w:t xml:space="preserve"> the entire</w:t>
      </w:r>
      <w:r w:rsidRPr="00EF1F20">
        <w:rPr>
          <w:rFonts w:eastAsia="Times New Roman" w:cs="Times New Roman"/>
          <w:color w:val="222222"/>
          <w:szCs w:val="24"/>
        </w:rPr>
        <w:t xml:space="preserve"> aquatic community</w:t>
      </w:r>
      <w:r>
        <w:rPr>
          <w:rFonts w:eastAsia="Times New Roman" w:cs="Times New Roman"/>
          <w:color w:val="222222"/>
          <w:szCs w:val="24"/>
        </w:rPr>
        <w:t>’s</w:t>
      </w:r>
      <w:r w:rsidRPr="00EF1F20">
        <w:rPr>
          <w:rFonts w:eastAsia="Times New Roman" w:cs="Times New Roman"/>
          <w:color w:val="222222"/>
          <w:szCs w:val="24"/>
        </w:rPr>
        <w:t xml:space="preserve"> secondary production</w:t>
      </w:r>
      <w:r>
        <w:rPr>
          <w:rFonts w:eastAsia="Times New Roman" w:cs="Times New Roman"/>
          <w:color w:val="222222"/>
          <w:szCs w:val="24"/>
        </w:rPr>
        <w:t>, as many aquatic invertebrates do not have flying life stages (e.g. snails, leeches, etc.,</w:t>
      </w:r>
      <w:r w:rsidRPr="00EF1F20">
        <w:rPr>
          <w:rFonts w:eastAsia="Times New Roman" w:cs="Times New Roman"/>
          <w:color w:val="222222"/>
          <w:szCs w:val="24"/>
        </w:rPr>
        <w:t xml:space="preserv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id":"ITEM-2","itemData":{"DOI":"10.1146/annurev.ento.45.1.83","ISBN":"9789174474329","ISSN":"0066-4170","PMID":"10761571","abstract":"Studies of the production of stream insects are now numerous, and general factors controlling the secondary production of stream communities are becoming evident. In this review we focus on how life-history attributes influence the production dynamics of stream insects and other macroinvertebrates. Annual produc- tion of macroinvertebrate communities in streams world-wide ranges from approxi- mately 100 to 103 g dry mass m?2. High levels are reported for communities dominated by filter feeders in temperate streams. Filter feeding enables the accrual and support of high biomass, which drives the very highest production. Frequently disturbed communities in warm-temperate streams are also highly productive. Bio- mass accrual by macroinvertebrates is limited in these streams, and production is driven by rapid growth rates rather than high biomass. The lowest production, reported for macroinvertebrate communities of cool-temperate and arctic streams, is due to the constraints of low seasonal temperatures and nutrient or food limitation. Geographical bias, paucity of community-wide studies, and limited knowledge of the effects of biotic interactions limit current understanding of mechanisms controlling stream productivity.","author":[{"dropping-particle":"","family":"Huryn","given":"Alexander D.","non-dropping-particle":"","parse-names":false,"suffix":""},{"dropping-particle":"","family":"Wallace","given":"J. Bruce","non-dropping-particle":"","parse-names":false,"suffix":""}],"container-title":"Annual Review of Entomology","id":"ITEM-2","issue":"1","issued":{"date-parts":[["2000"]]},"page":"83-110","title":"Life History and Production of Stream Insects","type":"article-journal","volume":"45"},"uris":["http://www.mendeley.com/documents/?uuid=a8d14f19-9c92-44b9-8f8a-62412a2d9957"]}],"mendeley":{"formattedCitation":"(Huryn and Wallace, 2000; Gratton and Vander Zanden, 2009)","manualFormatting":"Huryn and Wallace 2000, Gratton and Vander Zanden 2009)","plainTextFormattedCitation":"(Huryn and Wallace, 2000; Gratton and Vander Zanden, 2009)","previouslyFormattedCitation":"(Huryn and Wallace, 2000; Gratton and Vander Zanden, 2009)"},"properties":{"noteIndex":0},"schema":"https://github.com/citation-style-language/schema/raw/master/csl-citation.json"}</w:instrText>
      </w:r>
      <w:r w:rsidRPr="00EF1F20">
        <w:rPr>
          <w:rFonts w:eastAsia="Times New Roman" w:cs="Times New Roman"/>
          <w:color w:val="222222"/>
          <w:szCs w:val="24"/>
        </w:rPr>
        <w:fldChar w:fldCharType="separate"/>
      </w:r>
      <w:r w:rsidRPr="00EF1F20">
        <w:rPr>
          <w:rFonts w:eastAsia="Times New Roman" w:cs="Times New Roman"/>
          <w:noProof/>
          <w:color w:val="222222"/>
          <w:szCs w:val="24"/>
        </w:rPr>
        <w:t>Huryn and Wallace 2000, Gratton and Vander Zanden 2009)</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Because this fraction is generally consistent among </w:t>
      </w:r>
      <w:r>
        <w:rPr>
          <w:rFonts w:eastAsia="Times New Roman" w:cs="Times New Roman"/>
          <w:color w:val="222222"/>
          <w:szCs w:val="24"/>
        </w:rPr>
        <w:t>invertebrate</w:t>
      </w:r>
      <w:r w:rsidRPr="00EF1F20">
        <w:rPr>
          <w:rFonts w:eastAsia="Times New Roman" w:cs="Times New Roman"/>
          <w:color w:val="222222"/>
          <w:szCs w:val="24"/>
        </w:rPr>
        <w:t xml:space="preserve"> populations, aquatic ecosystems with higher insect production should export more subsidies to terrestrial ecosystems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id":"ITEM-2","itemData":{"author":[{"dropping-particle":"","family":"Statzner","given":"Bernhard","non-dropping-particle":"","parse-names":false,"suffix":""},{"dropping-particle":"","family":"Resh","given":"Vincent H","non-dropping-particle":"","parse-names":false,"suffix":""}],"container-title":"Oecologia","id":"ITEM-2","issued":{"date-parts":[["1993"]]},"page":"65-79","title":"Oecologia Multiple-site and -year analyses of stream insect emergence: a test of ecological theory","type":"article-journal","volume":"96"},"uris":["http://www.mendeley.com/documents/?uuid=d0def64d-98b7-48bb-ab39-f341f94cf4db"]},{"id":"ITEM-3","itemData":{"DOI":"10.1146/annurev.ento.45.1.83","ISBN":"9789174474329","ISSN":"0066-4170","PMID":"10761571","abstract":"Studies of the production of stream insects are now numerous, and general factors controlling the secondary production of stream communities are becoming evident. In this review we focus on how life-history attributes influence the production dynamics of stream insects and other macroinvertebrates. Annual produc- tion of macroinvertebrate communities in streams world-wide ranges from approxi- mately 100 to 103 g dry mass m?2. High levels are reported for communities dominated by filter feeders in temperate streams. Filter feeding enables the accrual and support of high biomass, which drives the very highest production. Frequently disturbed communities in warm-temperate streams are also highly productive. Bio- mass accrual by macroinvertebrates is limited in these streams, and production is driven by rapid growth rates rather than high biomass. The lowest production, reported for macroinvertebrate communities of cool-temperate and arctic streams, is due to the constraints of low seasonal temperatures and nutrient or food limitation. Geographical bias, paucity of community-wide studies, and limited knowledge of the effects of biotic interactions limit current understanding of mechanisms controlling stream productivity.","author":[{"dropping-particle":"","family":"Huryn","given":"Alexander D.","non-dropping-particle":"","parse-names":false,"suffix":""},{"dropping-particle":"","family":"Wallace","given":"J. Bruce","non-dropping-particle":"","parse-names":false,"suffix":""}],"container-title":"Annual Review of Entomology","id":"ITEM-3","issue":"1","issued":{"date-parts":[["2000"]]},"page":"83-110","title":"Life History and Production of Stream Insects","type":"article-journal","volume":"45"},"uris":["http://www.mendeley.com/documents/?uuid=a8d14f19-9c92-44b9-8f8a-62412a2d9957"]}],"mendeley":{"formattedCitation":"(Statzner and Resh, 1993; Huryn and Wallace, 2000; Gratton and Vander Zanden, 2009)","plainTextFormattedCitation":"(Statzner and Resh, 1993; Huryn and Wallace, 2000; Gratton and Vander Zanden, 2009)","previouslyFormattedCitation":"(Statzner and Resh, 1993; Huryn and Wallace, 2000; Gratton and Vander Zanden, 2009)"},"properties":{"noteIndex":0},"schema":"https://github.com/citation-style-language/schema/raw/master/csl-citation.json"}</w:instrText>
      </w:r>
      <w:r w:rsidRPr="00EF1F20">
        <w:rPr>
          <w:rFonts w:eastAsia="Times New Roman" w:cs="Times New Roman"/>
          <w:color w:val="222222"/>
          <w:szCs w:val="24"/>
        </w:rPr>
        <w:fldChar w:fldCharType="separate"/>
      </w:r>
      <w:r w:rsidRPr="00137C7E">
        <w:rPr>
          <w:rFonts w:eastAsia="Times New Roman" w:cs="Times New Roman"/>
          <w:noProof/>
          <w:color w:val="222222"/>
          <w:szCs w:val="24"/>
        </w:rPr>
        <w:t>(Statzner and Resh, 1993; Huryn and Wallace, 2000; Gratton and Vander Zanden, 2009)</w:t>
      </w:r>
      <w:r w:rsidRPr="00EF1F20">
        <w:rPr>
          <w:rFonts w:eastAsia="Times New Roman" w:cs="Times New Roman"/>
          <w:color w:val="222222"/>
          <w:szCs w:val="24"/>
        </w:rPr>
        <w:fldChar w:fldCharType="end"/>
      </w:r>
      <w:r w:rsidRPr="00EF1F20">
        <w:rPr>
          <w:rFonts w:eastAsia="Times New Roman" w:cs="Times New Roman"/>
          <w:color w:val="222222"/>
          <w:szCs w:val="24"/>
        </w:rPr>
        <w:t>.</w:t>
      </w:r>
      <w:r>
        <w:rPr>
          <w:rFonts w:eastAsia="Times New Roman" w:cs="Times New Roman"/>
          <w:color w:val="222222"/>
          <w:szCs w:val="24"/>
        </w:rPr>
        <w:t xml:space="preserve"> On the other hand, </w:t>
      </w:r>
      <w:r w:rsidRPr="00EF1F20">
        <w:rPr>
          <w:rFonts w:eastAsia="Times New Roman" w:cs="Times New Roman"/>
          <w:color w:val="222222"/>
          <w:szCs w:val="24"/>
        </w:rPr>
        <w:t>Surface area is</w:t>
      </w:r>
      <w:r>
        <w:rPr>
          <w:rFonts w:eastAsia="Times New Roman" w:cs="Times New Roman"/>
          <w:color w:val="222222"/>
          <w:szCs w:val="24"/>
        </w:rPr>
        <w:t xml:space="preserve"> one measure of </w:t>
      </w:r>
      <w:r w:rsidRPr="00EF1F20">
        <w:rPr>
          <w:rFonts w:eastAsia="Times New Roman" w:cs="Times New Roman"/>
          <w:color w:val="222222"/>
          <w:szCs w:val="24"/>
        </w:rPr>
        <w:t>aquatic ecosystem</w:t>
      </w:r>
      <w:r>
        <w:rPr>
          <w:rFonts w:eastAsia="Times New Roman" w:cs="Times New Roman"/>
          <w:color w:val="222222"/>
          <w:szCs w:val="24"/>
        </w:rPr>
        <w:t xml:space="preserve"> size</w:t>
      </w:r>
      <w:r w:rsidRPr="00EF1F20">
        <w:rPr>
          <w:rFonts w:eastAsia="Times New Roman" w:cs="Times New Roman"/>
          <w:color w:val="222222"/>
          <w:szCs w:val="24"/>
        </w:rPr>
        <w:t xml:space="preserve"> and, on a per unit area basis, larger ecosystems will export a greater amount of aquatic insect subsidies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(Gratton and Vander Zanden, 2009; Bartrons et al., 2013)</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 xml:space="preserve">Multiplying per unit area insect production by surface area yields estimates for quantity of emergent insects exported from an aquatic ecosystem </w:t>
      </w:r>
      <w:r>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Jake","non-dropping-particle":"Vander","parse-names":false,"suffix":""}],"container-title":"Ecosystems","id":"ITEM-1","issue":"7","issued":{"date-parts":[["2013"]]},"page":"1353-1363","title":"Regional-Level Inputs of Emergent Aquatic Insects from Water to Land","type":"article-journal","volume":"16"},"uris":["http://www.mendeley.com/documents/?uuid=76c15ca4-2901-40f7-a4f1-93047a0aa026"]},{"id":"ITEM-2","itemData":{"DOI":"10.1007/s10980-020-01038-0","ISBN":"0123456789","ISSN":"15729761","abstract":"Context: Resource movements across ecosystem boundaries are important determinants of the diversity and abundance of organisms in the donor and recipient ecosystem. However the effects of cross-ecosystem movements of materials at broader spatial extents than a typical field study are not well understood. Objectives: We tested the hypotheses that (1) variation in abundance of 57 forest songbird species within four foraging guilds is explained by modeled emergent aquatic insect biomass inputs from adjacent lakes and streams and (2) the degree of association varies across foraging guilds and species within guilds. We also sought to determine the importance of emergent aquatic insects while accounting for variation in local forest cover and edge. Methods: We spatially modeled the degree to which distribution and abundance of songbirds in different foraging guilds was explained by modeled emergent aquatic insect biomass. We used multilevel models to simultaneously estimate the responses of species in four different insectivorous guilds. Bird abundance was summarized from point counts conducted over 24 years at 317 points. Results: Aerial insectivores were more abundant in areas with high estimated emergent insect biomass inputs to land (regression coefficient 0.30, P &lt; 0.05) but the overall abundance of gleaners, bark-probers, and ground-foragers was not explained by estimated emergent insect abundance. The coursing aerial insectivores had the strongest association with emergent insects followed by willow flycatcher, olive-sided flycatcher, and alder flycatcher. Conclusions: Modeling cross-ecosystem movements of materials at broad spatial extents can effectively characterize the importance of this ecological process for aerial insectivorous songbirds.","author":[{"dropping-particle":"","family":"Schilke","given":"Paul R.","non-dropping-particle":"","parse-names":false,"suffix":""},{"dropping-particle":"","family":"Bartrons","given":"Mireia","non-dropping-particle":"","parse-names":false,"suffix":""},{"dropping-particle":"","family":"Gorzo","given":"Jessica M.","non-dropping-particle":"","parse-names":false,"suffix":""},{"dropping-particle":"","family":"Zanden","given":"M. Jake","non-dropping-particle":"Vander","parse-names":false,"suffix":""},{"dropping-particle":"","family":"Gratton","given":"Claudio","non-dropping-particle":"","parse-names":false,"suffix":""},{"dropping-particle":"","family":"Howe","given":"Robert W.","non-dropping-particle":"","parse-names":false,"suffix":""},{"dropping-particle":"","family":"Pidgeon","given":"Anna M.","non-dropping-particle":"","parse-names":false,"suffix":""}],"container-title":"Landscape Ecology","id":"ITEM-2","issue":"7","issued":{"date-parts":[["2020"]]},"page":"1587-1604","publisher":"Springer Netherlands","title":"Modeling a cross-ecosystem subsidy: forest songbird response to emergent aquatic insects","type":"article-journal","volume":"35"},"uris":["http://www.mendeley.com/documents/?uuid=56cf94e5-27ca-4c54-a54f-72cac08a3e36"]}],"mendeley":{"formattedCitation":"(Bartrons et al., 2013; Schilke et al., 2020)","plainTextFormattedCitation":"(Bartrons et al., 2013; Schilke et al., 2020)","previouslyFormattedCitation":"(Bartrons et al., 2013; Schilke et al., 2020)"},"properties":{"noteIndex":0},"schema":"https://github.com/citation-style-language/schema/raw/master/csl-citation.json"}</w:instrText>
      </w:r>
      <w:r>
        <w:rPr>
          <w:rFonts w:eastAsia="Times New Roman" w:cs="Times New Roman"/>
          <w:color w:val="222222"/>
          <w:szCs w:val="24"/>
        </w:rPr>
        <w:fldChar w:fldCharType="separate"/>
      </w:r>
      <w:r w:rsidRPr="00D23366">
        <w:rPr>
          <w:rFonts w:eastAsia="Times New Roman" w:cs="Times New Roman"/>
          <w:noProof/>
          <w:color w:val="222222"/>
          <w:szCs w:val="24"/>
        </w:rPr>
        <w:t>(Bartrons et al., 2013; Schilke et al., 2020)</w:t>
      </w:r>
      <w:r>
        <w:rPr>
          <w:rFonts w:eastAsia="Times New Roman" w:cs="Times New Roman"/>
          <w:color w:val="222222"/>
          <w:szCs w:val="24"/>
        </w:rPr>
        <w:fldChar w:fldCharType="end"/>
      </w:r>
      <w:r>
        <w:rPr>
          <w:rFonts w:eastAsia="Times New Roman" w:cs="Times New Roman"/>
          <w:color w:val="222222"/>
          <w:szCs w:val="24"/>
        </w:rPr>
        <w:t>.</w:t>
      </w:r>
    </w:p>
    <w:p w14:paraId="1436C4D8" w14:textId="77777777" w:rsidR="00AB7462" w:rsidRDefault="00AB7462" w:rsidP="00AB7462">
      <w:pPr>
        <w:shd w:val="clear" w:color="auto" w:fill="FFFFFF"/>
        <w:spacing w:after="0" w:line="480" w:lineRule="auto"/>
        <w:ind w:firstLine="720"/>
        <w:contextualSpacing/>
        <w:rPr>
          <w:rFonts w:eastAsia="Times New Roman" w:cs="Times New Roman"/>
          <w:color w:val="222222"/>
          <w:szCs w:val="24"/>
        </w:rPr>
      </w:pPr>
      <w:r w:rsidRPr="00EF1F20">
        <w:rPr>
          <w:rFonts w:eastAsia="Times New Roman" w:cs="Times New Roman"/>
          <w:color w:val="222222"/>
          <w:szCs w:val="24"/>
        </w:rPr>
        <w:t>Climate change could impact secondary production of aquatic ecosystems</w:t>
      </w:r>
      <w:r>
        <w:rPr>
          <w:rFonts w:eastAsia="Times New Roman" w:cs="Times New Roman"/>
          <w:color w:val="222222"/>
          <w:szCs w:val="24"/>
        </w:rPr>
        <w:t xml:space="preserve"> and</w:t>
      </w:r>
      <w:r w:rsidRPr="00EF1F20">
        <w:rPr>
          <w:rFonts w:eastAsia="Times New Roman" w:cs="Times New Roman"/>
          <w:color w:val="222222"/>
          <w:szCs w:val="24"/>
        </w:rPr>
        <w:t xml:space="preserve"> surface area by </w:t>
      </w:r>
      <w:r>
        <w:rPr>
          <w:rFonts w:eastAsia="Times New Roman" w:cs="Times New Roman"/>
          <w:color w:val="222222"/>
          <w:szCs w:val="24"/>
        </w:rPr>
        <w:t xml:space="preserve">altering water </w:t>
      </w:r>
      <w:r w:rsidRPr="00EF1F20">
        <w:rPr>
          <w:rFonts w:eastAsia="Times New Roman" w:cs="Times New Roman"/>
          <w:color w:val="222222"/>
          <w:szCs w:val="24"/>
        </w:rPr>
        <w:t xml:space="preserve">temperatures and water availability </w:t>
      </w:r>
      <w:r>
        <w:rPr>
          <w:rFonts w:eastAsia="Times New Roman" w:cs="Times New Roman"/>
          <w:color w:val="222222"/>
          <w:szCs w:val="24"/>
        </w:rPr>
        <w:t xml:space="preserve">through changes in precipitation and evapotranspiration patterns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id":"ITEM-2","itemData":{"DOI":"10.1038/s41467-020-16757-w","ISSN":"2041-1723","author":[{"dropping-particle":"","family":"Konapala","given":"Goutam","non-dropping-particle":"","parse-names":false,"suffix":""},{"dropping-particle":"","family":"Mishra","given":"Ashok","non-dropping-particle":"","parse-names":false,"suffix":""},{"dropping-particle":"","family":"Wada","given":"Yoshihide","non-dropping-particle":"","parse-names":false,"suffix":""},{"dropping-particle":"","family":"Mann","given":"Michael E","non-dropping-particle":"","parse-names":false,"suffix":""}],"container-title":"Nature Communications","id":"ITEM-2","issued":{"date-parts":[["2020"]]},"page":"1-10","publisher":"Springer US","title":"Climate change will affect global water availability through compounding changes in seasonal precipitation and evaporation","type":"article-journal"},"uris":["http://www.mendeley.com/documents/?uuid=30dc6cf7-5938-451f-9a8d-5dd9b6532936"]},{"id":"ITEM-3","itemData":{"DOI":"10.1098/rstb.2010.0055","author":[{"dropping-particle":"","family":"Woodward","given":"Guy","non-dropping-particle":"","parse-names":false,"suffix":""},{"dropping-particle":"","family":"Perkins","given":"Daniel M","non-dropping-particle":"","parse-names":false,"suffix":""},{"dropping-particle":"","family":"Brown","given":"Lee E","non-dropping-particle":"","parse-names":false,"suffix":""}],"container-title":"Philosophical transactions of the Royal Society B","id":"ITEM-3","issued":{"date-parts":[["2010"]]},"page":"2093-2106","title":"Climate change and freshwater ecosystems: impacts across multiple levels of organization","type":"article-journal","volume":"365"},"uris":["http://www.mendeley.com/documents/?uuid=26eeb9a9-4c1f-4a4b-80c9-f344342e0d19"]}],"mendeley":{"formattedCitation":"(Woodward et al., 2010; Patrick et al., 2019; Konapala et al., 2020)","plainTextFormattedCitation":"(Woodward et al., 2010; Patrick et al., 2019; Konapala et al., 2020)","previouslyFormattedCitation":"(Woodward et al., 2010; Patrick et al., 2019; Konapala et al., 2020)"},"properties":{"noteIndex":0},"schema":"https://github.com/citation-style-language/schema/raw/master/csl-citation.json"}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(Woodward et al., 2010; Patrick et al., 2019; Konapala et al., 2020)</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In the United States, mean annual temperature is expected to increase between 1.6 and 6.6 ºC </w:t>
      </w:r>
      <w:r w:rsidRPr="00EF1F20">
        <w:rPr>
          <w:rFonts w:eastAsia="Times New Roman" w:cs="Times New Roman"/>
          <w:color w:val="222222"/>
          <w:szCs w:val="24"/>
        </w:rPr>
        <w:lastRenderedPageBreak/>
        <w:t xml:space="preserve">while changes in precipitation patterns are expected </w:t>
      </w:r>
      <w:r>
        <w:rPr>
          <w:rFonts w:eastAsia="Times New Roman" w:cs="Times New Roman"/>
          <w:color w:val="222222"/>
          <w:szCs w:val="24"/>
        </w:rPr>
        <w:t xml:space="preserve">to </w:t>
      </w:r>
      <w:r w:rsidRPr="00EF1F20">
        <w:rPr>
          <w:rFonts w:eastAsia="Times New Roman" w:cs="Times New Roman"/>
          <w:color w:val="222222"/>
          <w:szCs w:val="24"/>
        </w:rPr>
        <w:t xml:space="preserve">vary regionally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-1","issued":{"date-parts":[["2018"]]},"number-of-pages":"1515","publisher":"U.S. Global Change Research Program","publisher-place":"Washington, DC","title":"Fourth National Climate Assessment","type":"book","volume":"II"},"uris":["http://www.mendeley.com/documents/?uuid=f31bf739-97a5-40f9-a11f-af5803875055"]}],"mendeley":{"formattedCitation":"(USGCRP, 2018)","plainTextFormattedCitation":"(USGCRP, 2018)","previouslyFormattedCitation":"(USGCRP, 2018)"},"properties":{"noteIndex":0},"schema":"https://github.com/citation-style-language/schema/raw/master/csl-citation.json"}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(USGCRP, 2018)</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S</w:t>
      </w:r>
      <w:r w:rsidRPr="00EF1F20">
        <w:rPr>
          <w:rFonts w:eastAsia="Times New Roman" w:cs="Times New Roman"/>
          <w:color w:val="222222"/>
          <w:szCs w:val="24"/>
        </w:rPr>
        <w:t>econdary production in aquatic ecosystem may increase because increases in water temperature could elevate primary production</w:t>
      </w:r>
      <w:r>
        <w:rPr>
          <w:rFonts w:eastAsia="Times New Roman" w:cs="Times New Roman"/>
          <w:color w:val="222222"/>
          <w:szCs w:val="24"/>
        </w:rPr>
        <w:t xml:space="preserve">, </w:t>
      </w:r>
      <w:r w:rsidRPr="00EF1F20">
        <w:rPr>
          <w:rFonts w:eastAsia="Times New Roman" w:cs="Times New Roman"/>
          <w:color w:val="222222"/>
          <w:szCs w:val="24"/>
        </w:rPr>
        <w:t>provid</w:t>
      </w:r>
      <w:r>
        <w:rPr>
          <w:rFonts w:eastAsia="Times New Roman" w:cs="Times New Roman"/>
          <w:color w:val="222222"/>
          <w:szCs w:val="24"/>
        </w:rPr>
        <w:t>ing a greater resources base for consumers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production","type":"article-journal","volume":"5"},"uris":["http://www.mendeley.com/documents/?uuid=d0b6bf02-b63d-4fa2-afc7-d2233c4c0528"]},{"id":"ITEM-2","itemData":{"DOI":"10.1046/j.1365-2427.2001.00773.x","ISSN":"00465070","abstract":"1. We studied whole-ecosystem metabolism in eight streams from several biomes in North America to identify controls on the rate of stream metabolism over a large geographic range. The streams studied had climates ranging from tropical to cool-temperate and from humid to arid and were all relatively uninfluenced by human disturbances. 2. Rates of gross primary production (GPP), ecosystem respiration (R) and net ecosystem production (NEP) were determined using the open-system, two-station diurnal oxygen change method. 3. Three general patterns in metabolism were evident among streams: (1) relatively high GPP with positive NEP (i.e. net oxygen production) in early afternoon, (2) moderate primary production with a distinct peak in GPP during daylight but negative NEP at all times and (3) little or no evidence of GPP during daylight and a relatively constant and negative NEP over the entire day. 4. Gross primary production was most strongly correlated with photosynthetically active radiation (PAR). A multiple regression model that included log PAR and stream water soluble reactive phosphorus (SRP) concentration explained 90% of the variation in log GPP. 5. Ecosystem respiration was significantly correlated with SRP concentration and size of the transient storage zone and, together; these factors explained 73% of the variation in R. The rate of R was poorly correlated with the rate of GPP. 6. Net ecosystem production was significantly correlated only with PAR, with 53% of the variation in log NEP explained by log PAR. Only Sycamore Creek, a desert stream in Arizona, had positive NEP (GPP: R &gt; 1), supporting the idea that streams are generally net sinks rather than net sources of organic matter. 7. Our results suggest that light, phosphorus concentration and channel hydraulics are important controls on the rate of ecosystem metabolism in streams over very extensive geographic areas.","author":[{"dropping-particle":"","family":"Mulholland","given":"P J","non-dropping-particle":"","parse-names":false,"suffix":""},{"dropping-particle":"","family":"Fellows","given":"C S","non-dropping-particle":"","parse-names":false,"suffix":""},{"dropping-particle":"","family":"Tank","given":"J. L.","non-dropping-particle":"","parse-names":false,"suffix":""},{"dropping-particle":"","family":"Grimm","given":"N. B.","non-dropping-particle":"","parse-names":false,"suffix":""},{"dropping-particle":"","family":"Webster","given":"J. R.","non-dropping-particle":"","parse-names":false,"suffix":""},{"dropping-particle":"","family":"Hamilton","given":"S K","non-dropping-particle":"","parse-names":false,"suffix":""},{"dropping-particle":"","family":"Martí","given":"E.","non-dropping-particle":"","parse-names":false,"suffix":""},{"dropping-particle":"","family":"Ashkenas","given":"L.","non-dropping-particle":"","parse-names":false,"suffix":""},{"dropping-particle":"","family":"Bowden","given":"W. B.","non-dropping-particle":"","parse-names":false,"suffix":""},{"dropping-particle":"","family":"Dodds","given":"W. K.","non-dropping-particle":"","parse-names":false,"suffix":""},{"dropping-particle":"","family":"Mcdowell","given":"W. H.","non-dropping-particle":"","parse-names":false,"suffix":""},{"dropping-particle":"","family":"Paul","given":"M. J.","non-dropping-particle":"","parse-names":false,"suffix":""},{"dropping-particle":"","family":"Peterson","given":"B. J.","non-dropping-particle":"","parse-names":false,"suffix":""}],"container-title":"Freshwater Biology","id":"ITEM-2","issue":"11","issued":{"date-parts":[["2001"]]},"page":"1503-1517","title":"Inter-biome comparison of factors controlling stream metabolism","type":"article-journal","volume":"46"},"uris":["http://www.mendeley.com/documents/?uuid=c6389445-9acd-4f8a-9dfd-16968f53d6b6"]},{"id":"ITEM-3","itemData":{"DOI":"10.1111/j.1365-2427.2010.02554.x","author":[{"dropping-particle":"","family":"Demars","given":"Benoit","non-dropping-particle":"","parse-names":false,"suffix":""},{"dropping-particle":"","family":"Manson","given":"Russell","non-dropping-particle":"","parse-names":false,"suffix":""},{"dropping-particle":"","family":"Ólafsson","given":"Jon","non-dropping-particle":"","parse-names":false,"suffix":""},{"dropping-particle":"","family":"Gíslason","given":"Gisli","non-dropping-particle":"","parse-names":false,"suffix":""},{"dropping-particle":"","family":"Gudmundsdóttir","given":"Rakel","non-dropping-particle":"","parse-names":false,"suffix":""},{"dropping-particle":"","family":"Woodward","given":"Guy","non-dropping-particle":"","parse-names":false,"suffix":""},{"dropping-particle":"","family":"Reiss","given":"Julia","non-dropping-particle":"","parse-names":false,"suffix":""},{"dropping-particle":"","family":"Pichler","given":"Doris","non-dropping-particle":"","parse-names":false,"suffix":""},{"dropping-particle":"","family":"Rasmussen","given":"Jes","non-dropping-particle":"","parse-names":false,"suffix":""},{"dropping-particle":"","family":"Friberg","given":"Nikolai","non-dropping-particle":"","parse-names":false,"suffix":""}],"container-title":"Freshwater Biology","id":"ITEM-3","issued":{"date-parts":[["2011"]]},"page":"1106-1121","title":"Temperature and the metabolic balance of streams","type":"article-journal","volume":"56"},"uris":["http://www.mendeley.com/documents/?uuid=0916b2db-30f6-463d-ad5b-8bd81bb66682"]}],"mendeley":{"formattedCitation":"(Mulholland et al., 2001; Demars et al., 2011; Patrick et al., 2019)","manualFormatting":"Mulholland et al. 2001, Demars et al. 2011, Patrick et al. 2019)","plainTextFormattedCitation":"(Mulholland et al., 2001; Demars et al., 2011; Patrick et al., 2019)","previouslyFormattedCitation":"(Mulholland et al., 2001; Demars et al., 2011; Patrick et al., 2019)"},"properties":{"noteIndex":0},"schema":"https://github.com/citation-style-language/schema/raw/master/csl-citation.json"}</w:instrText>
      </w:r>
      <w:r w:rsidRPr="00EF1F20">
        <w:rPr>
          <w:rFonts w:eastAsia="Times New Roman" w:cs="Times New Roman"/>
          <w:color w:val="222222"/>
          <w:szCs w:val="24"/>
        </w:rPr>
        <w:fldChar w:fldCharType="separate"/>
      </w:r>
      <w:r w:rsidRPr="00EF1F20">
        <w:rPr>
          <w:rFonts w:eastAsia="Times New Roman" w:cs="Times New Roman"/>
          <w:noProof/>
          <w:color w:val="222222"/>
          <w:szCs w:val="24"/>
        </w:rPr>
        <w:t>Mulholland et al. 2001, Demars et al. 2011, Patrick et al. 2019)</w:t>
      </w:r>
      <w:r w:rsidRPr="00EF1F20">
        <w:rPr>
          <w:rFonts w:eastAsia="Times New Roman" w:cs="Times New Roman"/>
          <w:color w:val="222222"/>
          <w:szCs w:val="24"/>
        </w:rPr>
        <w:fldChar w:fldCharType="end"/>
      </w:r>
      <w:r w:rsidRPr="00EF1F20">
        <w:rPr>
          <w:rFonts w:eastAsia="Times New Roman" w:cs="Times New Roman"/>
          <w:color w:val="222222"/>
          <w:szCs w:val="24"/>
        </w:rPr>
        <w:t>. In</w:t>
      </w:r>
      <w:r>
        <w:rPr>
          <w:rFonts w:eastAsia="Times New Roman" w:cs="Times New Roman"/>
          <w:color w:val="222222"/>
          <w:szCs w:val="24"/>
        </w:rPr>
        <w:t>deed,</w:t>
      </w:r>
      <w:r w:rsidRPr="00EF1F20">
        <w:rPr>
          <w:rFonts w:eastAsia="Times New Roman" w:cs="Times New Roman"/>
          <w:color w:val="222222"/>
          <w:szCs w:val="24"/>
        </w:rPr>
        <w:t xml:space="preserve"> a </w:t>
      </w:r>
      <w:proofErr w:type="spellStart"/>
      <w:r w:rsidRPr="00EF1F20">
        <w:rPr>
          <w:rFonts w:eastAsia="Times New Roman" w:cs="Times New Roman"/>
          <w:color w:val="222222"/>
          <w:szCs w:val="24"/>
        </w:rPr>
        <w:t>mesocosm</w:t>
      </w:r>
      <w:proofErr w:type="spellEnd"/>
      <w:r w:rsidRPr="00EF1F20">
        <w:rPr>
          <w:rFonts w:eastAsia="Times New Roman" w:cs="Times New Roman"/>
          <w:color w:val="222222"/>
          <w:szCs w:val="24"/>
        </w:rPr>
        <w:t xml:space="preserve"> experiment</w:t>
      </w:r>
      <w:r>
        <w:rPr>
          <w:rFonts w:eastAsia="Times New Roman" w:cs="Times New Roman"/>
          <w:color w:val="222222"/>
          <w:szCs w:val="24"/>
        </w:rPr>
        <w:t xml:space="preserve"> found </w:t>
      </w:r>
      <w:r w:rsidRPr="00EF1F20">
        <w:rPr>
          <w:rFonts w:eastAsia="Times New Roman" w:cs="Times New Roman"/>
          <w:color w:val="222222"/>
          <w:szCs w:val="24"/>
        </w:rPr>
        <w:t>warming increased the emergence of aquatic insects</w:t>
      </w:r>
      <w:r w:rsidRPr="00DB7802">
        <w:rPr>
          <w:rFonts w:eastAsia="Times New Roman" w:cs="Times New Roman"/>
          <w:color w:val="222222"/>
          <w:szCs w:val="24"/>
        </w:rPr>
        <w:t xml:space="preserve"> </w:t>
      </w:r>
      <w:r>
        <w:rPr>
          <w:rFonts w:eastAsia="Times New Roman" w:cs="Times New Roman"/>
          <w:color w:val="222222"/>
          <w:szCs w:val="24"/>
        </w:rPr>
        <w:t>(</w:t>
      </w:r>
      <w:proofErr w:type="spellStart"/>
      <w:r w:rsidRPr="00EF1F20">
        <w:rPr>
          <w:rFonts w:eastAsia="Times New Roman" w:cs="Times New Roman"/>
          <w:color w:val="222222"/>
          <w:szCs w:val="24"/>
        </w:rPr>
        <w:t>Greig</w:t>
      </w:r>
      <w:proofErr w:type="spellEnd"/>
      <w:r w:rsidRPr="00EF1F20">
        <w:rPr>
          <w:rFonts w:eastAsia="Times New Roman" w:cs="Times New Roman"/>
          <w:color w:val="222222"/>
          <w:szCs w:val="24"/>
        </w:rPr>
        <w:t xml:space="preserve"> et al. 2012)</w:t>
      </w:r>
      <w:r>
        <w:rPr>
          <w:rFonts w:eastAsia="Times New Roman" w:cs="Times New Roman"/>
          <w:color w:val="222222"/>
          <w:szCs w:val="24"/>
        </w:rPr>
        <w:t>.</w:t>
      </w:r>
      <w:r w:rsidRPr="00EF1F20">
        <w:rPr>
          <w:rFonts w:eastAsia="Times New Roman" w:cs="Times New Roman"/>
          <w:color w:val="222222"/>
          <w:szCs w:val="24"/>
        </w:rPr>
        <w:t xml:space="preserve"> As temperatures increase and precipitation patterns change, the surface area of aquatic ecosystems may </w:t>
      </w:r>
      <w:r>
        <w:rPr>
          <w:rFonts w:eastAsia="Times New Roman" w:cs="Times New Roman"/>
          <w:color w:val="222222"/>
          <w:szCs w:val="24"/>
        </w:rPr>
        <w:t xml:space="preserve">also </w:t>
      </w:r>
      <w:r w:rsidRPr="00EF1F20">
        <w:rPr>
          <w:rFonts w:eastAsia="Times New Roman" w:cs="Times New Roman"/>
          <w:color w:val="222222"/>
          <w:szCs w:val="24"/>
        </w:rPr>
        <w:t xml:space="preserve">be impacted by increased evaporation rates or anthropogenic demands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-1","issued":{"date-parts":[["2018"]]},"number-of-pages":"1515","publisher":"U.S. Global Change Research Program","publisher-place":"Washington, DC","title":"Fourth National Climate Assessment","type":"book","volume":"II"},"uris":["http://www.mendeley.com/documents/?uuid=f31bf739-97a5-40f9-a11f-af5803875055"]}],"mendeley":{"formattedCitation":"(USGCRP, 2018)","plainTextFormattedCitation":"(USGCRP, 2018)","previouslyFormattedCitation":"(USGCRP, 2018)"},"properties":{"noteIndex":0},"schema":"https://github.com/citation-style-language/schema/raw/master/csl-citation.json"}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(USGCRP, 2018)</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r>
        <w:rPr>
          <w:rFonts w:eastAsia="Times New Roman" w:cs="Times New Roman"/>
          <w:color w:val="222222"/>
          <w:szCs w:val="24"/>
        </w:rPr>
        <w:t>Although c</w:t>
      </w:r>
      <w:r w:rsidRPr="00EF1F20">
        <w:rPr>
          <w:rFonts w:eastAsia="Times New Roman" w:cs="Times New Roman"/>
          <w:color w:val="222222"/>
          <w:szCs w:val="24"/>
        </w:rPr>
        <w:t xml:space="preserve">limate change </w:t>
      </w:r>
      <w:r>
        <w:rPr>
          <w:rFonts w:eastAsia="Times New Roman" w:cs="Times New Roman"/>
          <w:color w:val="222222"/>
          <w:szCs w:val="24"/>
        </w:rPr>
        <w:t xml:space="preserve">will have widespread </w:t>
      </w:r>
      <w:r w:rsidRPr="00EF1F20">
        <w:rPr>
          <w:rFonts w:eastAsia="Times New Roman" w:cs="Times New Roman"/>
          <w:color w:val="222222"/>
          <w:szCs w:val="24"/>
        </w:rPr>
        <w:t>impact</w:t>
      </w:r>
      <w:r>
        <w:rPr>
          <w:rFonts w:eastAsia="Times New Roman" w:cs="Times New Roman"/>
          <w:color w:val="222222"/>
          <w:szCs w:val="24"/>
        </w:rPr>
        <w:t>s on</w:t>
      </w:r>
      <w:r w:rsidRPr="00EF1F20">
        <w:rPr>
          <w:rFonts w:eastAsia="Times New Roman" w:cs="Times New Roman"/>
          <w:color w:val="222222"/>
          <w:szCs w:val="24"/>
        </w:rPr>
        <w:t xml:space="preserve"> aquatic systems</w:t>
      </w:r>
      <w:r>
        <w:rPr>
          <w:rFonts w:eastAsia="Times New Roman" w:cs="Times New Roman"/>
          <w:color w:val="222222"/>
          <w:szCs w:val="24"/>
        </w:rPr>
        <w:t xml:space="preserv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{"citationItems":[{"id":"ITEM-1","itemData":{"DOI":"10.1098/rstb.2010.0055","author":[{"dropping-particle":"","family":"Woodward","given":"Guy","non-dropping-particle":"","parse-names":false,"suffix":""},{"dropping-particle":"","family":"Perkins","given":"Daniel M","non-dropping-particle":"","parse-names":false,"suffix":""},{"dropping-particle":"","family":"Brown","given":"Lee E","non-dropping-particle":"","parse-names":false,"suffix":""}],"container-title":"Philosophical transactions of the Royal Society B","id":"ITEM-1","issued":{"date-parts":[["2010"]]},"page":"2093-2106","title":"Climate change and freshwater ecosystems: impacts across multiple levels of organization","type":"article-journal","volume":"365"},"uris":["http://www.mendeley.com/documents/?uuid=26eeb9a9-4c1f-4a4b-80c9-f344342e0d19"]}],"mendeley":{"formattedCitation":"(Woodward et al., 2010)","plainTextFormattedCitation":"(Woodward et al., 2010)","previouslyFormattedCitation":"(Woodward et al., 2010)"},"properties":{"noteIndex":0},"schema":"https://github.com/citation-style-language/schema/raw/master/csl-citation.json"}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(Woodward et al., 2010)</w:t>
      </w:r>
      <w:r w:rsidRPr="00EF1F20">
        <w:rPr>
          <w:rFonts w:eastAsia="Times New Roman" w:cs="Times New Roman"/>
          <w:color w:val="222222"/>
          <w:szCs w:val="24"/>
        </w:rPr>
        <w:fldChar w:fldCharType="end"/>
      </w:r>
      <w:r>
        <w:rPr>
          <w:rFonts w:eastAsia="Times New Roman" w:cs="Times New Roman"/>
          <w:color w:val="222222"/>
          <w:szCs w:val="24"/>
        </w:rPr>
        <w:t>,</w:t>
      </w:r>
      <w:r w:rsidRPr="00EF1F20">
        <w:rPr>
          <w:rFonts w:eastAsia="Times New Roman" w:cs="Times New Roman"/>
          <w:color w:val="222222"/>
          <w:szCs w:val="24"/>
        </w:rPr>
        <w:t xml:space="preserve"> there is little information about how these impacts </w:t>
      </w:r>
      <w:r>
        <w:rPr>
          <w:rFonts w:eastAsia="Times New Roman" w:cs="Times New Roman"/>
          <w:color w:val="222222"/>
          <w:szCs w:val="24"/>
        </w:rPr>
        <w:t>could</w:t>
      </w:r>
      <w:r w:rsidRPr="00EF1F20">
        <w:rPr>
          <w:rFonts w:eastAsia="Times New Roman" w:cs="Times New Roman"/>
          <w:color w:val="222222"/>
          <w:szCs w:val="24"/>
        </w:rPr>
        <w:t xml:space="preserve"> resonate across the aquatic-terrestrial interface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change","type":"article-journal","volume":"22"},"uris":["http://www.mendeley.com/documents/?uuid=276fe761-5a80-4012-a137-397d1f4e806c"]}],"mendeley":{"formattedCitation":"(Larsen et al., 2016)","plainTextFormattedCitation":"(Larsen et al., 2016)","previouslyFormattedCitation":"(Larsen et al., 2016)"},"properties":{"noteIndex":0},"schema":"https://github.com/citation-style-language/schema/raw/master/csl-citation.json"}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(Larsen et al., 2016)</w:t>
      </w:r>
      <w:r w:rsidRPr="00EF1F20">
        <w:rPr>
          <w:rFonts w:eastAsia="Times New Roman" w:cs="Times New Roman"/>
          <w:color w:val="222222"/>
          <w:szCs w:val="24"/>
        </w:rPr>
        <w:fldChar w:fldCharType="end"/>
      </w:r>
      <w:r w:rsidRPr="00EF1F20">
        <w:rPr>
          <w:rFonts w:eastAsia="Times New Roman" w:cs="Times New Roman"/>
          <w:color w:val="222222"/>
          <w:szCs w:val="24"/>
        </w:rPr>
        <w:t xml:space="preserve">. </w:t>
      </w:r>
    </w:p>
    <w:p w14:paraId="142A5828" w14:textId="77777777" w:rsidR="00AB7462" w:rsidRPr="00282FD9" w:rsidRDefault="00AB7462" w:rsidP="00AB7462">
      <w:pPr>
        <w:shd w:val="clear" w:color="auto" w:fill="FFFFFF"/>
        <w:spacing w:after="0" w:line="480" w:lineRule="auto"/>
        <w:ind w:firstLine="720"/>
        <w:contextualSpacing/>
        <w:rPr>
          <w:rFonts w:eastAsia="Times New Roman" w:cs="Times New Roman"/>
          <w:color w:val="222222"/>
          <w:szCs w:val="24"/>
        </w:rPr>
      </w:pPr>
      <w:r w:rsidRPr="00EF1F20">
        <w:rPr>
          <w:rFonts w:eastAsia="Times New Roman" w:cs="Times New Roman"/>
          <w:color w:val="222222"/>
          <w:szCs w:val="24"/>
        </w:rPr>
        <w:t xml:space="preserve">Here, we investigate </w:t>
      </w:r>
      <w:r>
        <w:rPr>
          <w:rFonts w:eastAsia="Times New Roman" w:cs="Times New Roman"/>
          <w:color w:val="222222"/>
          <w:szCs w:val="24"/>
        </w:rPr>
        <w:t xml:space="preserve">how </w:t>
      </w:r>
      <w:r w:rsidRPr="00EF1F20">
        <w:rPr>
          <w:rFonts w:eastAsia="Times New Roman" w:cs="Times New Roman"/>
          <w:color w:val="222222"/>
          <w:szCs w:val="24"/>
        </w:rPr>
        <w:t>climate</w:t>
      </w:r>
      <w:r>
        <w:rPr>
          <w:rFonts w:eastAsia="Times New Roman" w:cs="Times New Roman"/>
          <w:color w:val="222222"/>
          <w:szCs w:val="24"/>
        </w:rPr>
        <w:t xml:space="preserve"> influences</w:t>
      </w:r>
      <w:r w:rsidRPr="00EF1F20">
        <w:rPr>
          <w:rFonts w:eastAsia="Times New Roman" w:cs="Times New Roman"/>
          <w:color w:val="222222"/>
          <w:szCs w:val="24"/>
        </w:rPr>
        <w:t>, emergent insect</w:t>
      </w:r>
      <w:r>
        <w:rPr>
          <w:rFonts w:eastAsia="Times New Roman" w:cs="Times New Roman"/>
          <w:color w:val="222222"/>
          <w:szCs w:val="24"/>
        </w:rPr>
        <w:t xml:space="preserve"> production</w:t>
      </w:r>
      <w:r w:rsidRPr="00EF1F20">
        <w:rPr>
          <w:rFonts w:eastAsia="Times New Roman" w:cs="Times New Roman"/>
          <w:color w:val="222222"/>
          <w:szCs w:val="24"/>
        </w:rPr>
        <w:t xml:space="preserve"> and surface area of lotic ecosystems within the contiguous United States (CONUS). We focus on stream ecosystems because, relative to lakes, they are more spatially extensive</w:t>
      </w:r>
      <w:r>
        <w:rPr>
          <w:rFonts w:eastAsia="Times New Roman" w:cs="Times New Roman"/>
          <w:color w:val="222222"/>
          <w:szCs w:val="24"/>
        </w:rPr>
        <w:t xml:space="preserve"> across the CONUS</w:t>
      </w:r>
      <w:r w:rsidRPr="00EF1F20">
        <w:rPr>
          <w:rFonts w:eastAsia="Times New Roman" w:cs="Times New Roman"/>
          <w:color w:val="222222"/>
          <w:szCs w:val="24"/>
        </w:rPr>
        <w:t xml:space="preserve"> and have more contact with adjacent terrestrial ecosystems </w:t>
      </w:r>
      <w:r w:rsidRPr="00EF1F20">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Jake","non-dropping-particle":"Vander","parse-names":false,"suffix":""}],"container-title":"Ecosystems","id":"ITEM-1","issue":"7","issued":{"date-parts":[["2013"]]},"page":"1353-1363","title":"Regional-Level Inputs of Emergent Aquatic Insects from Water to Land","type":"article-journal","volume":"16"},"uris":["http://www.mendeley.com/documents/?uuid=76c15ca4-2901-40f7-a4f1-93047a0aa026"]}],"mendeley":{"formattedCitation":"(Bartrons et al., 2013)","plainTextFormattedCitation":"(Bartrons et al., 2013)","previouslyFormattedCitation":"(Bartrons et al., 2013)"},"properties":{"noteIndex":0},"schema":"https://github.com/citation-style-language/schema/raw/master/csl-citation.json"}</w:instrText>
      </w:r>
      <w:r w:rsidRPr="00EF1F20">
        <w:rPr>
          <w:rFonts w:eastAsia="Times New Roman" w:cs="Times New Roman"/>
          <w:color w:val="222222"/>
          <w:szCs w:val="24"/>
        </w:rPr>
        <w:fldChar w:fldCharType="separate"/>
      </w:r>
      <w:r w:rsidRPr="004F2051">
        <w:rPr>
          <w:rFonts w:eastAsia="Times New Roman" w:cs="Times New Roman"/>
          <w:noProof/>
          <w:color w:val="222222"/>
          <w:szCs w:val="24"/>
        </w:rPr>
        <w:t>(Bartrons et al., 2013)</w:t>
      </w:r>
      <w:r w:rsidRPr="00EF1F20">
        <w:rPr>
          <w:rFonts w:eastAsia="Times New Roman" w:cs="Times New Roman"/>
          <w:color w:val="222222"/>
          <w:szCs w:val="24"/>
        </w:rPr>
        <w:fldChar w:fldCharType="end"/>
      </w:r>
      <w:r w:rsidRPr="00EF1F20">
        <w:rPr>
          <w:rFonts w:eastAsia="Times New Roman" w:cs="Times New Roman"/>
          <w:color w:val="222222"/>
          <w:szCs w:val="24"/>
        </w:rPr>
        <w:t>. After we establish an empirical linkage between climate, stream surface</w:t>
      </w:r>
      <w:r>
        <w:rPr>
          <w:rFonts w:eastAsia="Times New Roman" w:cs="Times New Roman"/>
          <w:color w:val="222222"/>
          <w:szCs w:val="24"/>
        </w:rPr>
        <w:t xml:space="preserve"> area</w:t>
      </w:r>
      <w:r w:rsidRPr="00EF1F20">
        <w:rPr>
          <w:rFonts w:eastAsia="Times New Roman" w:cs="Times New Roman"/>
          <w:color w:val="222222"/>
          <w:szCs w:val="24"/>
        </w:rPr>
        <w:t xml:space="preserve"> </w:t>
      </w:r>
      <w:r>
        <w:rPr>
          <w:rFonts w:eastAsia="Times New Roman" w:cs="Times New Roman"/>
          <w:color w:val="222222"/>
          <w:szCs w:val="24"/>
        </w:rPr>
        <w:t xml:space="preserve">and </w:t>
      </w:r>
      <w:r w:rsidRPr="00EF1F20">
        <w:rPr>
          <w:rFonts w:eastAsia="Times New Roman" w:cs="Times New Roman"/>
          <w:color w:val="222222"/>
          <w:szCs w:val="24"/>
        </w:rPr>
        <w:t>emergent insect production, we extrapolate our results to the approximately 2.3</w:t>
      </w:r>
      <w:r>
        <w:rPr>
          <w:rFonts w:eastAsia="Times New Roman" w:cs="Times New Roman"/>
          <w:color w:val="222222"/>
          <w:szCs w:val="24"/>
        </w:rPr>
        <w:t xml:space="preserve"> </w:t>
      </w:r>
      <w:r w:rsidRPr="00EF1F20">
        <w:rPr>
          <w:rFonts w:eastAsia="Times New Roman" w:cs="Times New Roman"/>
          <w:color w:val="222222"/>
          <w:szCs w:val="24"/>
        </w:rPr>
        <w:t xml:space="preserve">million streams and rivers of the CONUS </w:t>
      </w:r>
      <w:r>
        <w:rPr>
          <w:rFonts w:eastAsia="Times New Roman" w:cs="Times New Roman"/>
          <w:color w:val="222222"/>
          <w:szCs w:val="24"/>
        </w:rPr>
        <w:t xml:space="preserve">under present day climate </w:t>
      </w:r>
      <w:r w:rsidRPr="00EF1F20">
        <w:rPr>
          <w:rFonts w:eastAsia="Times New Roman" w:cs="Times New Roman"/>
          <w:color w:val="222222"/>
          <w:szCs w:val="24"/>
        </w:rPr>
        <w:t xml:space="preserve">and </w:t>
      </w:r>
      <w:r>
        <w:rPr>
          <w:rFonts w:eastAsia="Times New Roman" w:cs="Times New Roman"/>
          <w:color w:val="222222"/>
          <w:szCs w:val="24"/>
        </w:rPr>
        <w:t xml:space="preserve">under </w:t>
      </w:r>
      <w:r w:rsidRPr="00EF1F20">
        <w:rPr>
          <w:rFonts w:eastAsia="Times New Roman" w:cs="Times New Roman"/>
          <w:color w:val="222222"/>
          <w:szCs w:val="24"/>
        </w:rPr>
        <w:t xml:space="preserve">two future climate </w:t>
      </w:r>
      <w:r>
        <w:rPr>
          <w:rFonts w:eastAsia="Times New Roman" w:cs="Times New Roman"/>
          <w:color w:val="222222"/>
          <w:szCs w:val="24"/>
        </w:rPr>
        <w:t>change scenarios (RCP 2.6 and 8.5)</w:t>
      </w:r>
      <w:r w:rsidRPr="00EF1F20">
        <w:rPr>
          <w:rFonts w:eastAsia="Times New Roman" w:cs="Times New Roman"/>
          <w:color w:val="222222"/>
          <w:szCs w:val="24"/>
        </w:rPr>
        <w:t>. This allowed us to assess 1) the large-scale variation in quantity of emergent insects</w:t>
      </w:r>
      <w:r>
        <w:rPr>
          <w:rFonts w:eastAsia="Times New Roman" w:cs="Times New Roman"/>
          <w:color w:val="222222"/>
          <w:szCs w:val="24"/>
        </w:rPr>
        <w:t xml:space="preserve"> across the CONUS</w:t>
      </w:r>
      <w:r w:rsidRPr="00EF1F20">
        <w:rPr>
          <w:rFonts w:eastAsia="Times New Roman" w:cs="Times New Roman"/>
          <w:color w:val="222222"/>
          <w:szCs w:val="24"/>
        </w:rPr>
        <w:t xml:space="preserve"> and 2) how climate change might affect these patterns. Lastly, we compare energy content of emergent insects to the field metabolic rates (FMR) of common</w:t>
      </w:r>
      <w:r>
        <w:rPr>
          <w:rFonts w:eastAsia="Times New Roman" w:cs="Times New Roman"/>
          <w:color w:val="222222"/>
          <w:szCs w:val="24"/>
        </w:rPr>
        <w:t xml:space="preserve"> avian</w:t>
      </w:r>
      <w:r w:rsidRPr="00EF1F20">
        <w:rPr>
          <w:rFonts w:eastAsia="Times New Roman" w:cs="Times New Roman"/>
          <w:color w:val="222222"/>
          <w:szCs w:val="24"/>
        </w:rPr>
        <w:t xml:space="preserve"> aerial insectivores </w:t>
      </w:r>
      <w:r>
        <w:rPr>
          <w:rFonts w:eastAsia="Times New Roman" w:cs="Times New Roman"/>
          <w:color w:val="222222"/>
          <w:szCs w:val="24"/>
        </w:rPr>
        <w:t xml:space="preserve">under both present day and future climate scenarios </w:t>
      </w:r>
      <w:r w:rsidRPr="00EF1F20">
        <w:rPr>
          <w:rFonts w:eastAsia="Times New Roman" w:cs="Times New Roman"/>
          <w:color w:val="222222"/>
          <w:szCs w:val="24"/>
        </w:rPr>
        <w:t xml:space="preserve">to generate insights about the fate and potential conservation implications of aquatic insect subsidies. </w:t>
      </w:r>
    </w:p>
    <w:p w14:paraId="34F6F48F" w14:textId="77777777" w:rsidR="00333AA3" w:rsidRPr="00EF1F20" w:rsidRDefault="00333AA3" w:rsidP="00333AA3">
      <w:pPr>
        <w:shd w:val="clear" w:color="auto" w:fill="FFFFFF"/>
        <w:spacing w:after="0" w:line="480" w:lineRule="auto"/>
        <w:ind w:firstLine="720"/>
        <w:contextualSpacing/>
        <w:rPr>
          <w:rFonts w:cs="Times New Roman"/>
        </w:rPr>
      </w:pPr>
    </w:p>
    <w:p w14:paraId="0110E786" w14:textId="77777777" w:rsidR="00333AA3" w:rsidRPr="00EF1F20" w:rsidRDefault="00333AA3" w:rsidP="003C2554">
      <w:pPr>
        <w:pStyle w:val="Heading2"/>
        <w:spacing w:line="480" w:lineRule="auto"/>
        <w:contextualSpacing/>
      </w:pPr>
      <w:bookmarkStart w:id="71" w:name="_Toc60841229"/>
      <w:r w:rsidRPr="00EF1F20">
        <w:lastRenderedPageBreak/>
        <w:t>Methods</w:t>
      </w:r>
      <w:bookmarkEnd w:id="71"/>
      <w:r w:rsidRPr="00EF1F20">
        <w:t xml:space="preserve"> </w:t>
      </w:r>
    </w:p>
    <w:p w14:paraId="14D17A2C" w14:textId="77777777" w:rsidR="00AB7462" w:rsidRPr="00990E5D" w:rsidRDefault="00AB7462" w:rsidP="00AB7462">
      <w:pPr>
        <w:spacing w:line="480" w:lineRule="auto"/>
        <w:contextualSpacing/>
        <w:rPr>
          <w:rFonts w:cs="Times New Roman"/>
          <w:bCs/>
          <w:i/>
          <w:iCs/>
          <w:szCs w:val="24"/>
        </w:rPr>
      </w:pPr>
      <w:bookmarkStart w:id="72" w:name="_Toc60841230"/>
      <w:r w:rsidRPr="00990E5D">
        <w:rPr>
          <w:rFonts w:cs="Times New Roman"/>
          <w:bCs/>
          <w:i/>
          <w:iCs/>
          <w:szCs w:val="24"/>
        </w:rPr>
        <w:t>Overview</w:t>
      </w:r>
    </w:p>
    <w:p w14:paraId="4348AB79" w14:textId="77777777" w:rsidR="00AB7462" w:rsidRPr="00EF1F20" w:rsidRDefault="00AB7462" w:rsidP="00AB7462">
      <w:pPr>
        <w:spacing w:line="480" w:lineRule="auto"/>
        <w:contextualSpacing/>
        <w:rPr>
          <w:rFonts w:cs="Times New Roman"/>
          <w:iCs/>
          <w:szCs w:val="24"/>
        </w:rPr>
      </w:pPr>
      <w:r w:rsidRPr="00EF1F20">
        <w:rPr>
          <w:rFonts w:cs="Times New Roman"/>
          <w:iCs/>
          <w:szCs w:val="24"/>
        </w:rPr>
        <w:tab/>
        <w:t xml:space="preserve">Our primary goals were to estimate the quantity of insects emerging from lotic ecosystems of the CONUS under </w:t>
      </w:r>
      <w:r>
        <w:rPr>
          <w:rFonts w:cs="Times New Roman"/>
          <w:iCs/>
          <w:szCs w:val="24"/>
        </w:rPr>
        <w:t xml:space="preserve">present day </w:t>
      </w:r>
      <w:r w:rsidRPr="00EF1F20">
        <w:rPr>
          <w:rFonts w:cs="Times New Roman"/>
          <w:iCs/>
          <w:szCs w:val="24"/>
        </w:rPr>
        <w:t>and projected climates</w:t>
      </w:r>
      <w:r>
        <w:rPr>
          <w:rFonts w:cs="Times New Roman"/>
          <w:iCs/>
          <w:szCs w:val="24"/>
        </w:rPr>
        <w:t>,</w:t>
      </w:r>
      <w:r w:rsidRPr="00EF1F20">
        <w:rPr>
          <w:rFonts w:cs="Times New Roman"/>
          <w:iCs/>
          <w:szCs w:val="24"/>
        </w:rPr>
        <w:t xml:space="preserve"> and</w:t>
      </w:r>
      <w:r>
        <w:rPr>
          <w:rFonts w:cs="Times New Roman"/>
          <w:iCs/>
          <w:szCs w:val="24"/>
        </w:rPr>
        <w:t xml:space="preserve"> to</w:t>
      </w:r>
      <w:r w:rsidRPr="00EF1F20">
        <w:rPr>
          <w:rFonts w:cs="Times New Roman"/>
          <w:iCs/>
          <w:szCs w:val="24"/>
        </w:rPr>
        <w:t xml:space="preserve"> compare these estimates to metabolic demands of avian aerial insectivores. To accomplish these objectives, we created two separate models to predict </w:t>
      </w:r>
      <w:r>
        <w:rPr>
          <w:rFonts w:cs="Times New Roman"/>
          <w:iCs/>
          <w:szCs w:val="24"/>
        </w:rPr>
        <w:t xml:space="preserve">1) </w:t>
      </w:r>
      <w:r w:rsidRPr="007E1975">
        <w:rPr>
          <w:rFonts w:cs="Times New Roman"/>
          <w:iCs/>
          <w:szCs w:val="24"/>
        </w:rPr>
        <w:t>per unit area production of emergent aquatic insects and 2) stream surface area using climate</w:t>
      </w:r>
      <w:r>
        <w:rPr>
          <w:rFonts w:cs="Times New Roman"/>
          <w:iCs/>
          <w:szCs w:val="24"/>
        </w:rPr>
        <w:t xml:space="preserve"> and watershed variables</w:t>
      </w:r>
      <w:r w:rsidRPr="00EF1F20">
        <w:rPr>
          <w:rFonts w:cs="Times New Roman"/>
          <w:iCs/>
          <w:szCs w:val="24"/>
        </w:rPr>
        <w:t xml:space="preserve">. We </w:t>
      </w:r>
      <w:r>
        <w:rPr>
          <w:rFonts w:cs="Times New Roman"/>
          <w:iCs/>
          <w:szCs w:val="24"/>
        </w:rPr>
        <w:t xml:space="preserve">combined these estimates to </w:t>
      </w:r>
      <w:r w:rsidRPr="00EF1F20">
        <w:rPr>
          <w:rFonts w:cs="Times New Roman"/>
          <w:iCs/>
          <w:szCs w:val="24"/>
        </w:rPr>
        <w:t>calculate total emergence from each stream in units of grams ash free dry mass per year (</w:t>
      </w:r>
      <w:proofErr w:type="spellStart"/>
      <w:r w:rsidRPr="00EF1F20">
        <w:rPr>
          <w:rFonts w:cs="Times New Roman"/>
          <w:iCs/>
          <w:szCs w:val="24"/>
        </w:rPr>
        <w:t>gAFDM</w:t>
      </w:r>
      <w:proofErr w:type="spellEnd"/>
      <w:r w:rsidRPr="00EF1F20">
        <w:rPr>
          <w:rFonts w:cs="Times New Roman"/>
          <w:iCs/>
          <w:szCs w:val="24"/>
        </w:rPr>
        <w:t xml:space="preserve"> y</w:t>
      </w:r>
      <w:r w:rsidRPr="00EF1F20">
        <w:rPr>
          <w:rFonts w:cs="Times New Roman"/>
          <w:iCs/>
          <w:szCs w:val="24"/>
          <w:vertAlign w:val="superscript"/>
        </w:rPr>
        <w:t>-1</w:t>
      </w:r>
      <w:r w:rsidRPr="00EF1F20">
        <w:rPr>
          <w:rFonts w:cs="Times New Roman"/>
          <w:iCs/>
          <w:szCs w:val="24"/>
        </w:rPr>
        <w:t>) as the product of emergent insect production in grams ash free dry mass per square meter per year (</w:t>
      </w:r>
      <w:proofErr w:type="spellStart"/>
      <w:r w:rsidRPr="00EF1F20">
        <w:rPr>
          <w:rFonts w:cs="Times New Roman"/>
          <w:iCs/>
          <w:szCs w:val="24"/>
        </w:rPr>
        <w:t>gAFDM</w:t>
      </w:r>
      <w:proofErr w:type="spellEnd"/>
      <w:r w:rsidRPr="00EF1F20">
        <w:rPr>
          <w:rFonts w:cs="Times New Roman"/>
          <w:iCs/>
          <w:szCs w:val="24"/>
        </w:rPr>
        <w:t xml:space="preserve"> m</w:t>
      </w:r>
      <w:r w:rsidRPr="00EF1F20">
        <w:rPr>
          <w:rFonts w:cs="Times New Roman"/>
          <w:iCs/>
          <w:szCs w:val="24"/>
          <w:vertAlign w:val="superscript"/>
        </w:rPr>
        <w:t xml:space="preserve">-2 </w:t>
      </w:r>
      <w:r w:rsidRPr="00EF1F20">
        <w:rPr>
          <w:rFonts w:cs="Times New Roman"/>
          <w:iCs/>
          <w:szCs w:val="24"/>
        </w:rPr>
        <w:t>y</w:t>
      </w:r>
      <w:r w:rsidRPr="00EF1F20">
        <w:rPr>
          <w:rFonts w:cs="Times New Roman"/>
          <w:iCs/>
          <w:szCs w:val="24"/>
          <w:vertAlign w:val="superscript"/>
        </w:rPr>
        <w:t>-1</w:t>
      </w:r>
      <w:r w:rsidRPr="00EF1F20">
        <w:rPr>
          <w:rFonts w:cs="Times New Roman"/>
          <w:iCs/>
          <w:szCs w:val="24"/>
        </w:rPr>
        <w:t>) and wetted stream area (m</w:t>
      </w:r>
      <w:r w:rsidRPr="00EF1F20">
        <w:rPr>
          <w:rFonts w:cs="Times New Roman"/>
          <w:iCs/>
          <w:szCs w:val="24"/>
          <w:vertAlign w:val="superscript"/>
        </w:rPr>
        <w:t>2</w:t>
      </w:r>
      <w:r w:rsidRPr="00EF1F20">
        <w:rPr>
          <w:rFonts w:cs="Times New Roman"/>
          <w:iCs/>
          <w:szCs w:val="24"/>
        </w:rPr>
        <w:t>). Both models used a suite of</w:t>
      </w:r>
      <w:r>
        <w:rPr>
          <w:rFonts w:cs="Times New Roman"/>
          <w:iCs/>
          <w:szCs w:val="24"/>
        </w:rPr>
        <w:t xml:space="preserve"> </w:t>
      </w:r>
      <w:proofErr w:type="spellStart"/>
      <w:r>
        <w:rPr>
          <w:rFonts w:cs="Times New Roman"/>
          <w:iCs/>
          <w:szCs w:val="24"/>
        </w:rPr>
        <w:t>bioclimate</w:t>
      </w:r>
      <w:proofErr w:type="spellEnd"/>
      <w:r>
        <w:rPr>
          <w:rFonts w:cs="Times New Roman"/>
          <w:iCs/>
          <w:szCs w:val="24"/>
        </w:rPr>
        <w:t xml:space="preserve"> variables and watershed area</w:t>
      </w:r>
      <w:r w:rsidRPr="00EF1F20">
        <w:rPr>
          <w:rFonts w:cs="Times New Roman"/>
          <w:iCs/>
          <w:szCs w:val="24"/>
        </w:rPr>
        <w:t xml:space="preserve">, that are readily available for the entire CONUS. This </w:t>
      </w:r>
      <w:r>
        <w:rPr>
          <w:rFonts w:cs="Times New Roman"/>
          <w:iCs/>
          <w:szCs w:val="24"/>
        </w:rPr>
        <w:t xml:space="preserve">spatial coverage </w:t>
      </w:r>
      <w:r w:rsidRPr="00EF1F20">
        <w:rPr>
          <w:rFonts w:cs="Times New Roman"/>
          <w:iCs/>
          <w:szCs w:val="24"/>
        </w:rPr>
        <w:t>allowed us to extrapolate predictions to nearly 2.3 million streams and rivers and forecast potential changes given future climate projections. We also used these predictions to calculate potential energy supplied by emergent insects (</w:t>
      </w:r>
      <w:r>
        <w:rPr>
          <w:rFonts w:cs="Times New Roman"/>
          <w:iCs/>
          <w:szCs w:val="24"/>
        </w:rPr>
        <w:t>k</w:t>
      </w:r>
      <w:r w:rsidRPr="00EF1F20">
        <w:rPr>
          <w:rFonts w:cs="Times New Roman"/>
          <w:iCs/>
          <w:szCs w:val="24"/>
        </w:rPr>
        <w:t>ilojoules per year, kJ y</w:t>
      </w:r>
      <w:r w:rsidRPr="00EF1F20">
        <w:rPr>
          <w:rFonts w:cs="Times New Roman"/>
          <w:iCs/>
          <w:szCs w:val="24"/>
          <w:vertAlign w:val="superscript"/>
        </w:rPr>
        <w:t>-1</w:t>
      </w:r>
      <w:r w:rsidRPr="00EF1F20">
        <w:rPr>
          <w:rFonts w:cs="Times New Roman"/>
          <w:iCs/>
          <w:szCs w:val="24"/>
        </w:rPr>
        <w:t>) to terrestrial ecosystems and draw comparisons with energetic demand of avian aerial insectivores (kJ y</w:t>
      </w:r>
      <w:r w:rsidRPr="00EF1F20">
        <w:rPr>
          <w:rFonts w:cs="Times New Roman"/>
          <w:iCs/>
          <w:szCs w:val="24"/>
          <w:vertAlign w:val="superscript"/>
        </w:rPr>
        <w:t>-1</w:t>
      </w:r>
      <w:r w:rsidRPr="00EF1F20">
        <w:rPr>
          <w:rFonts w:cs="Times New Roman"/>
          <w:iCs/>
          <w:szCs w:val="24"/>
        </w:rPr>
        <w:t xml:space="preserve">). </w:t>
      </w:r>
    </w:p>
    <w:p w14:paraId="55E7115B" w14:textId="77777777" w:rsidR="00AB7462" w:rsidRPr="00EF1F20" w:rsidRDefault="00AB7462" w:rsidP="00AB7462">
      <w:pPr>
        <w:spacing w:line="480" w:lineRule="auto"/>
        <w:contextualSpacing/>
        <w:rPr>
          <w:rFonts w:cs="Times New Roman"/>
          <w:iCs/>
          <w:szCs w:val="24"/>
        </w:rPr>
      </w:pPr>
    </w:p>
    <w:p w14:paraId="1C91A614" w14:textId="77777777" w:rsidR="00AB7462" w:rsidRPr="00EF1F20" w:rsidRDefault="00AB7462" w:rsidP="00AB7462">
      <w:pPr>
        <w:spacing w:line="480" w:lineRule="auto"/>
        <w:contextualSpacing/>
        <w:rPr>
          <w:rFonts w:cs="Times New Roman"/>
          <w:i/>
          <w:szCs w:val="24"/>
        </w:rPr>
      </w:pPr>
      <w:r w:rsidRPr="00EF1F20">
        <w:rPr>
          <w:rFonts w:cs="Times New Roman"/>
          <w:i/>
          <w:szCs w:val="24"/>
        </w:rPr>
        <w:t>Datasets for predicting emergent insect production</w:t>
      </w:r>
    </w:p>
    <w:p w14:paraId="1A9D14D3" w14:textId="77777777" w:rsidR="00AB7462" w:rsidRPr="00EF1F20" w:rsidRDefault="00AB7462" w:rsidP="00AB7462">
      <w:pPr>
        <w:spacing w:line="480" w:lineRule="auto"/>
        <w:ind w:firstLine="720"/>
        <w:contextualSpacing/>
        <w:rPr>
          <w:rFonts w:cs="Times New Roman"/>
          <w:iCs/>
          <w:szCs w:val="24"/>
        </w:rPr>
      </w:pPr>
      <w:r w:rsidRPr="00EF1F20">
        <w:rPr>
          <w:rFonts w:cs="Times New Roman"/>
          <w:iCs/>
          <w:szCs w:val="24"/>
        </w:rPr>
        <w:t xml:space="preserve">We used the National Hydrography Dataset Version 2 (NHDPlusV2) as a geospatial hydrologic framework </w:t>
      </w:r>
      <w:r w:rsidRPr="00EF1F20">
        <w:rPr>
          <w:rFonts w:cs="Times New Roman"/>
          <w:iCs/>
          <w:szCs w:val="24"/>
        </w:rPr>
        <w:fldChar w:fldCharType="begin" w:fldLock="1"/>
      </w:r>
      <w:r>
        <w:rPr>
          <w:rFonts w:cs="Times New Roman"/>
          <w:iCs/>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Guide","type":"article"},"uris":["http://www.mendeley.com/documents/?uuid=2eacd0aa-0fb0-448e-b8cc-991c6eb293fe"]},{"id":"ITEM-2","itemData":{"DOI":"10.1111/1752-1688.12389","ISSN":"17521688","abstract":"ABSTRACT: A progression of advancements in Geographic Information Systems techniques for hydrologic network and associated catchment delineation has led to the production of the National Hydrography Dataset Plus (NHDPlus). NHDPlus is a digital stream network for hydrologic modeling with catchments and a suite of related geospatial data. Digital stream networks with associated catchments provide a geospatial framework for linking and integrating water-related data. Advancements in the development of NHDPlus are expected to continue to improve the capabilities of this national geospatial hydrologic framework. NHDPlus is built upon the mediumresolution NHD and, like NHD, was developed by the U.S. Environmental Protection Agency and U.S. Geological Survey to support the estimation of streamflow and stream velocity used in fate-and-transport modeling. Catchments included with NHDPlus were created by integrating vector information from the NHD and from the Watershed Boundary Dataset with the gridded land surface elevation as represented by the National Elevation Dataset. NHDPlus is an actively used and continually improved dataset. Users recognize the importance of a reliable stream network and associated catchments. The NHDPlus spatial features and associated data tables will continue to be improved to support regional water quality and streamflow models and other user-defined applications.","author":[{"dropping-particle":"","family":"Moore","given":"Richard B.","non-dropping-particle":"","parse-names":false,"suffix":""},{"dropping-particle":"","family":"Dewald","given":"Thomas G.","non-dropping-particle":"","parse-names":false,"suffix":""}],"container-title":"Journal of the American Water Resources Association","id":"ITEM-2","issue":"4","issued":{"date-parts":[["2016"]]},"note":"Introduction \nThe Network \nThe Catchment \nThe Value Added Attributes\nEstimates of Streamflow and Velocity \nThe Application \nConclusions","page":"890-900","title":"The Road to NHDPlus - Advancements in Digital Stream Networks and Associated Catchments","type":"article-journal","volume":"52"},"uris":["http://www.mendeley.com/documents/?uuid=4c91617f-d4a6-4f20-9b3d-82fdecab6669"]}],"mendeley":{"formattedCitation":"(McKay et al., 2012; Moore and Dewald, 2016)","plainTextFormattedCitation":"(McKay et al., 2012; Moore and Dewald, 2016)","previouslyFormattedCitation":"(McKay et al., 2012; Moore and Dewald, 2016)"},"properties":{"noteIndex":0},"schema":"https://github.com/citation-style-language/schema/raw/master/csl-citation.json"}</w:instrText>
      </w:r>
      <w:r w:rsidRPr="00EF1F20">
        <w:rPr>
          <w:rFonts w:cs="Times New Roman"/>
          <w:iCs/>
          <w:szCs w:val="24"/>
        </w:rPr>
        <w:fldChar w:fldCharType="separate"/>
      </w:r>
      <w:r w:rsidRPr="004F2051">
        <w:rPr>
          <w:rFonts w:cs="Times New Roman"/>
          <w:iCs/>
          <w:noProof/>
          <w:szCs w:val="24"/>
        </w:rPr>
        <w:t>(McKay et al., 2012; Moore and Dewald, 2016)</w:t>
      </w:r>
      <w:r w:rsidRPr="00EF1F20">
        <w:rPr>
          <w:rFonts w:cs="Times New Roman"/>
          <w:iCs/>
          <w:szCs w:val="24"/>
        </w:rPr>
        <w:fldChar w:fldCharType="end"/>
      </w:r>
      <w:r w:rsidRPr="00EF1F20">
        <w:rPr>
          <w:rFonts w:cs="Times New Roman"/>
          <w:iCs/>
          <w:szCs w:val="24"/>
        </w:rPr>
        <w:t xml:space="preserve">. This dataset was assembled at 1:100K resolution and available for all major hydrologic regions and </w:t>
      </w:r>
      <w:proofErr w:type="spellStart"/>
      <w:r w:rsidRPr="00EF1F20">
        <w:rPr>
          <w:rFonts w:cs="Times New Roman"/>
          <w:iCs/>
          <w:szCs w:val="24"/>
        </w:rPr>
        <w:t>subregions</w:t>
      </w:r>
      <w:proofErr w:type="spellEnd"/>
      <w:r w:rsidRPr="00EF1F20">
        <w:rPr>
          <w:rFonts w:cs="Times New Roman"/>
          <w:iCs/>
          <w:szCs w:val="24"/>
        </w:rPr>
        <w:t xml:space="preserve"> with the CONUS (i.e. 2-digit and 4-digit hydrologic unit codes, Figure 1). It consists of digital </w:t>
      </w:r>
      <w:proofErr w:type="spellStart"/>
      <w:r w:rsidRPr="00EF1F20">
        <w:rPr>
          <w:rFonts w:cs="Times New Roman"/>
          <w:iCs/>
          <w:szCs w:val="24"/>
        </w:rPr>
        <w:t>flowlines</w:t>
      </w:r>
      <w:proofErr w:type="spellEnd"/>
      <w:r w:rsidRPr="00EF1F20">
        <w:rPr>
          <w:rFonts w:cs="Times New Roman"/>
          <w:iCs/>
          <w:szCs w:val="24"/>
        </w:rPr>
        <w:t xml:space="preserve"> and value-added attribute tables that contain ancillary data. Since we were focused on insect emergence from lotic ecosystems, we did not consider </w:t>
      </w:r>
      <w:proofErr w:type="spellStart"/>
      <w:r w:rsidRPr="00EF1F20">
        <w:rPr>
          <w:rFonts w:cs="Times New Roman"/>
          <w:iCs/>
          <w:szCs w:val="24"/>
        </w:rPr>
        <w:t>flowlines</w:t>
      </w:r>
      <w:proofErr w:type="spellEnd"/>
      <w:r w:rsidRPr="00EF1F20">
        <w:rPr>
          <w:rFonts w:cs="Times New Roman"/>
          <w:iCs/>
          <w:szCs w:val="24"/>
        </w:rPr>
        <w:t xml:space="preserve"> that were classified as a </w:t>
      </w:r>
      <w:r w:rsidRPr="00EF1F20">
        <w:rPr>
          <w:rFonts w:cs="Times New Roman"/>
          <w:iCs/>
          <w:szCs w:val="24"/>
        </w:rPr>
        <w:lastRenderedPageBreak/>
        <w:t>divergent path, connector, coastline, pipeline, canal or ditch</w:t>
      </w:r>
      <w:r>
        <w:rPr>
          <w:rFonts w:cs="Times New Roman"/>
          <w:iCs/>
          <w:szCs w:val="24"/>
        </w:rPr>
        <w:t>,</w:t>
      </w:r>
      <w:r w:rsidRPr="00EF1F20">
        <w:rPr>
          <w:rFonts w:cs="Times New Roman"/>
          <w:iCs/>
          <w:szCs w:val="24"/>
        </w:rPr>
        <w:t xml:space="preserve"> or associated with a lake, pond, ice mass, reservoir, swamp, marsh or playa. After removing these features, 2.3 million streams and rivers </w:t>
      </w:r>
      <w:r>
        <w:rPr>
          <w:rFonts w:cs="Times New Roman"/>
          <w:iCs/>
          <w:szCs w:val="24"/>
        </w:rPr>
        <w:t>remained</w:t>
      </w:r>
      <w:r w:rsidRPr="00EF1F20">
        <w:rPr>
          <w:rFonts w:cs="Times New Roman"/>
          <w:iCs/>
          <w:szCs w:val="24"/>
        </w:rPr>
        <w:t>.</w:t>
      </w:r>
    </w:p>
    <w:p w14:paraId="1734A80A" w14:textId="77777777" w:rsidR="00AB7462" w:rsidRPr="00EF1F20" w:rsidRDefault="00AB7462" w:rsidP="00AB7462">
      <w:pPr>
        <w:spacing w:line="480" w:lineRule="auto"/>
        <w:ind w:firstLine="720"/>
        <w:contextualSpacing/>
        <w:rPr>
          <w:rFonts w:cs="Times New Roman"/>
          <w:szCs w:val="24"/>
        </w:rPr>
      </w:pPr>
      <w:r w:rsidRPr="00EF1F20">
        <w:rPr>
          <w:rFonts w:cs="Times New Roman"/>
          <w:szCs w:val="24"/>
        </w:rPr>
        <w:t xml:space="preserve">Insects that emerge from streams are sourced from in-stream production of aquatic insects </w:t>
      </w:r>
      <w:r w:rsidRPr="00EF1F20">
        <w:rPr>
          <w:rFonts w:cs="Times New Roman"/>
          <w:szCs w:val="24"/>
        </w:rPr>
        <w:fldChar w:fldCharType="begin" w:fldLock="1"/>
      </w:r>
      <w:r>
        <w:rPr>
          <w:rFonts w:cs="Times New Roman"/>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ecosystems","type":"article-journal","volume":"90"},"uris":["http://www.mendeley.com/documents/?uuid=1919de5e-bc71-4cdb-ad66-d96c78ff5294"]}],"mendeley":{"formattedCitation":"(Gratton and Vander Zanden, 2009)","plainTextFormattedCitation":"(Gratton and Vander Zanden, 2009)","previouslyFormattedCitation":"(Gratton and Vander Zanden, 2009)"},"properties":{"noteIndex":0},"schema":"https://github.com/citation-style-language/schema/raw/master/csl-citation.json"}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(Gratton and Vander Zanden, 2009)</w:t>
      </w:r>
      <w:r w:rsidRPr="00EF1F20">
        <w:rPr>
          <w:rFonts w:cs="Times New Roman"/>
          <w:szCs w:val="24"/>
        </w:rPr>
        <w:fldChar w:fldCharType="end"/>
      </w:r>
      <w:r w:rsidRPr="00EF1F20">
        <w:rPr>
          <w:rFonts w:cs="Times New Roman"/>
          <w:szCs w:val="24"/>
        </w:rPr>
        <w:t xml:space="preserve">. We obtained </w:t>
      </w:r>
      <w:r w:rsidRPr="00EF1F20">
        <w:rPr>
          <w:rFonts w:eastAsiaTheme="minorEastAsia" w:cs="Times New Roman"/>
          <w:szCs w:val="24"/>
        </w:rPr>
        <w:t>estimates of</w:t>
      </w:r>
      <w:r w:rsidRPr="00EF1F20">
        <w:rPr>
          <w:rFonts w:cs="Times New Roman"/>
          <w:szCs w:val="24"/>
        </w:rPr>
        <w:t xml:space="preserve"> aquatic insect production </w:t>
      </w:r>
      <w:r w:rsidRPr="00EF1F20">
        <w:rPr>
          <w:rFonts w:eastAsiaTheme="minorEastAsia" w:cs="Times New Roman"/>
          <w:szCs w:val="24"/>
        </w:rPr>
        <w:t>from a global database of annual invertebrate community secondary production</w:t>
      </w:r>
      <w:r>
        <w:rPr>
          <w:rFonts w:eastAsiaTheme="minorEastAsia" w:cs="Times New Roman"/>
          <w:szCs w:val="24"/>
        </w:rPr>
        <w:t xml:space="preserve"> measurements</w:t>
      </w:r>
      <w:r w:rsidRPr="00EF1F20">
        <w:rPr>
          <w:rFonts w:eastAsiaTheme="minorEastAsia" w:cs="Times New Roman"/>
          <w:szCs w:val="24"/>
        </w:rPr>
        <w:t xml:space="preserve"> (</w:t>
      </w:r>
      <w:r w:rsidRPr="00EF1F20">
        <w:rPr>
          <w:rFonts w:cs="Times New Roman"/>
          <w:szCs w:val="24"/>
        </w:rPr>
        <w:fldChar w:fldCharType="begin" w:fldLock="1"/>
      </w:r>
      <w:r>
        <w:rPr>
          <w:rFonts w:cs="Times New Roman"/>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production","type":"article-journal","volume":"5"},"uris":["http://www.mendeley.com/documents/?uuid=d0b6bf02-b63d-4fa2-afc7-d2233c4c0528"]}],"mendeley":{"formattedCitation":"(Patrick et al., 2019)","manualFormatting":"Patrick et al. 2019)","plainTextFormattedCitation":"(Patrick et al., 2019)","previouslyFormattedCitation":"(Patrick et al., 2019)"},"properties":{"noteIndex":0},"schema":"https://github.com/citation-style-language/schema/raw/master/csl-citation.json"}</w:instrText>
      </w:r>
      <w:r w:rsidRPr="00EF1F20">
        <w:rPr>
          <w:rFonts w:cs="Times New Roman"/>
          <w:szCs w:val="24"/>
        </w:rPr>
        <w:fldChar w:fldCharType="separate"/>
      </w:r>
      <w:r w:rsidRPr="00EF1F20">
        <w:rPr>
          <w:rFonts w:cs="Times New Roman"/>
          <w:noProof/>
          <w:szCs w:val="24"/>
        </w:rPr>
        <w:t>Patrick et al. 2019)</w:t>
      </w:r>
      <w:r w:rsidRPr="00EF1F20">
        <w:rPr>
          <w:rFonts w:cs="Times New Roman"/>
          <w:szCs w:val="24"/>
        </w:rPr>
        <w:fldChar w:fldCharType="end"/>
      </w:r>
      <w:r w:rsidRPr="00EF1F20">
        <w:rPr>
          <w:rFonts w:cs="Times New Roman"/>
          <w:szCs w:val="24"/>
        </w:rPr>
        <w:t xml:space="preserve">. This database was compiled from a literature review and included studies that measured the annual production of stream invertebrate communities using repeated field sampling </w:t>
      </w:r>
      <w:r w:rsidRPr="00EF1F20">
        <w:rPr>
          <w:rFonts w:cs="Times New Roman"/>
          <w:szCs w:val="24"/>
        </w:rPr>
        <w:fldChar w:fldCharType="begin" w:fldLock="1"/>
      </w:r>
      <w:r>
        <w:rPr>
          <w:rFonts w:cs="Times New Roman"/>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production","type":"article-journal","volume":"5"},"uris":["http://www.mendeley.com/documents/?uuid=d0b6bf02-b63d-4fa2-afc7-d2233c4c0528"]}],"mendeley":{"formattedCitation":"(Patrick et al., 2019)","plainTextFormattedCitation":"(Patrick et al., 2019)","previouslyFormattedCitation":"(Patrick et al., 2019)"},"properties":{"noteIndex":0},"schema":"https://github.com/citation-style-language/schema/raw/master/csl-citation.json"}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(Patrick et al., 2019)</w:t>
      </w:r>
      <w:r w:rsidRPr="00EF1F20">
        <w:rPr>
          <w:rFonts w:cs="Times New Roman"/>
          <w:szCs w:val="24"/>
        </w:rPr>
        <w:fldChar w:fldCharType="end"/>
      </w:r>
      <w:r w:rsidRPr="00EF1F20">
        <w:rPr>
          <w:rFonts w:cs="Times New Roman"/>
          <w:szCs w:val="24"/>
        </w:rPr>
        <w:t>. We reviewed the 56 publications within the database and identified 92 locations with taxa-specific production estimates (Figure 1). For these 92 studies, we subtracted the non-insect production from the total invertebrate production to calculate annual insect production (</w:t>
      </w:r>
      <w:proofErr w:type="spellStart"/>
      <w:r w:rsidRPr="00EF1F20">
        <w:rPr>
          <w:rFonts w:cs="Times New Roman"/>
          <w:szCs w:val="24"/>
        </w:rPr>
        <w:t>gAFDM</w:t>
      </w:r>
      <w:proofErr w:type="spellEnd"/>
      <w:r w:rsidRPr="00EF1F20">
        <w:rPr>
          <w:rFonts w:cs="Times New Roman"/>
          <w:szCs w:val="24"/>
        </w:rPr>
        <w:t xml:space="preserve"> m</w:t>
      </w:r>
      <w:r w:rsidRPr="00EF1F20">
        <w:rPr>
          <w:rFonts w:cs="Times New Roman"/>
          <w:szCs w:val="24"/>
          <w:vertAlign w:val="superscript"/>
        </w:rPr>
        <w:t>-2</w:t>
      </w:r>
      <w:r w:rsidRPr="00EF1F20">
        <w:rPr>
          <w:rFonts w:cs="Times New Roman"/>
          <w:szCs w:val="24"/>
        </w:rPr>
        <w:t xml:space="preserve"> yr</w:t>
      </w:r>
      <w:r w:rsidRPr="00EF1F20">
        <w:rPr>
          <w:rFonts w:cs="Times New Roman"/>
          <w:szCs w:val="24"/>
          <w:vertAlign w:val="superscript"/>
        </w:rPr>
        <w:t>-1</w:t>
      </w:r>
      <w:r w:rsidRPr="00EF1F20">
        <w:rPr>
          <w:rFonts w:cs="Times New Roman"/>
          <w:szCs w:val="24"/>
        </w:rPr>
        <w:t xml:space="preserve">). We then multiplied annual insect production by </w:t>
      </w:r>
      <w:r>
        <w:rPr>
          <w:rFonts w:cs="Times New Roman"/>
          <w:szCs w:val="24"/>
        </w:rPr>
        <w:t xml:space="preserve">0.19, an </w:t>
      </w:r>
      <w:r w:rsidRPr="00EF1F20">
        <w:rPr>
          <w:rFonts w:cs="Times New Roman"/>
          <w:szCs w:val="24"/>
        </w:rPr>
        <w:t>estimate of the fraction that emerges from stream</w:t>
      </w:r>
      <w:r>
        <w:rPr>
          <w:rFonts w:cs="Times New Roman"/>
          <w:szCs w:val="24"/>
        </w:rPr>
        <w:t>s,</w:t>
      </w:r>
      <w:r w:rsidRPr="00EF1F20">
        <w:rPr>
          <w:rFonts w:cs="Times New Roman"/>
          <w:szCs w:val="24"/>
        </w:rPr>
        <w:t xml:space="preserve"> to obtain </w:t>
      </w:r>
      <w:r>
        <w:rPr>
          <w:rFonts w:cs="Times New Roman"/>
          <w:szCs w:val="24"/>
        </w:rPr>
        <w:t xml:space="preserve">our estimate of </w:t>
      </w:r>
      <w:r w:rsidRPr="00EF1F20">
        <w:rPr>
          <w:rFonts w:cs="Times New Roman"/>
          <w:szCs w:val="24"/>
        </w:rPr>
        <w:t xml:space="preserve">annual </w:t>
      </w:r>
      <w:r>
        <w:rPr>
          <w:rFonts w:cs="Times New Roman"/>
          <w:szCs w:val="24"/>
        </w:rPr>
        <w:t xml:space="preserve">insect </w:t>
      </w:r>
      <w:r w:rsidRPr="00EF1F20">
        <w:rPr>
          <w:rFonts w:cs="Times New Roman"/>
          <w:szCs w:val="24"/>
        </w:rPr>
        <w:t>emergence (</w:t>
      </w:r>
      <w:r w:rsidRPr="00EF1F20">
        <w:rPr>
          <w:rFonts w:cs="Times New Roman"/>
          <w:szCs w:val="24"/>
        </w:rPr>
        <w:fldChar w:fldCharType="begin" w:fldLock="1"/>
      </w:r>
      <w:r>
        <w:rPr>
          <w:rFonts w:cs="Times New Roman"/>
          <w:szCs w:val="24"/>
        </w:rPr>
        <w:instrText>ADDIN CSL_CITATION {"citationItems":[{"id":"ITEM-1","itemData":{"DOI":"10.1007/s10021-013-9688-6","ISBN":"732852","ISSN":"14329840","PMID":"732852","abstract":"Emergent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Jake","non-dropping-particle":"Vander","parse-names":false,"suffix":""}],"container-title":"Ecosystems","id":"ITEM-1","issue":"7","issued":{"date-parts":[["2013"]]},"page":"1353-1363","title":"Regional-Level Inputs of Emergent Aquatic Insects from Water to Land","type":"article-journal","volume":"16"},"uris":["http://www.mendeley.com/documents/?uuid=76c15ca4-2901-40f7-a4f1-93047a0aa026"]},{"id":"ITEM-2","itemData":{"author":[{"dropping-particle":"","family":"Gratton","given":"C.","non-dropping-particle":"","parse-names":false,"suffix":""},{"dropping-particle":"","family":"Zanden","given":"M.J.","non-dropping-particle":"Vander","parse-names":false,"suffix":""}],"container-title":"Ecology","id":"ITEM-2","issue":"10","issued":{"date-parts":[["2009"]]},"page":"2689–2699","title":"Flux of aquatic insect productivity to land: comparison of lentic and lotic ecosystems","type":"article-journal","volume":"90"},"uris":["http://www.mendeley.com/documents/?uuid=1919de5e-bc71-4cdb-ad66-d96c78ff5294"]},{"id":"ITEM-3","itemData":{"DOI":"10.1007/s10980-020-01038-0","ISBN":"0123456789","ISSN":"15729761","abstract":"Context: Resource movements across ecosystem boundaries are important determinants of the diversity and abundance of organisms in the donor and recipient ecosystem. However the effects of cross-ecosystem movements of materials at broader spatial extents than a typical field study are not well understood. Objectives: We tested the hypotheses that (1) variation in abundance of 57 forest songbird species within four foraging guilds is explained by modeled emergent aquatic insect biomass inputs from adjacent lakes and streams and (2) the degree of association varies across foraging guilds and species within guilds. We also sought to determine the importance of emergent aquatic insects while accounting for variation in local forest cover and edge. Methods: We spatially modeled the degree to which distribution and abundance of songbirds in different foraging guilds was explained by modeled emergent aquatic insect biomass. We used multilevel models to simultaneously estimate the responses of species in four different insectivorous guilds. Bird abundance was summarized from point counts conducted over 24 years at 317 points. Results: Aerial insectivores were more abundant in areas with high estimated emergent insect biomass inputs to land (regression coefficient 0.30, P &lt; 0.05) but the overall abundance of gleaners, bark-probers, and ground-foragers was not explained by estimated emergent insect abundance. The coursing aerial insectivores had the strongest association with emergent insects followed by willow flycatcher, olive-sided flycatcher, and alder flycatcher. Conclusions: Modeling cross-ecosystem movements of materials at broad spatial extents can effectively characterize the importance of this ecological process for aerial insectivorous songbirds.","author":[{"dropping-particle":"","family":"Schilke","given":"Paul R.","non-dropping-particle":"","parse-names":false,"suffix":""},{"dropping-particle":"","family":"Bartrons","given":"Mireia","non-dropping-particle":"","parse-names":false,"suffix":""},{"dropping-particle":"","family":"Gorzo","given":"Jessica M.","non-dropping-particle":"","parse-names":false,"suffix":""},{"dropping-particle":"","family":"Zanden","given":"M. Jake","non-dropping-particle":"Vander","parse-names":false,"suffix":""},{"dropping-particle":"","family":"Gratton","given":"Claudio","non-dropping-particle":"","parse-names":false,"suffix":""},{"dropping-particle":"","family":"Howe","given":"Robert W.","non-dropping-particle":"","parse-names":false,"suffix":""},{"dropping-particle":"","family":"Pidgeon","given":"Anna M.","non-dropping-particle":"","parse-names":false,"suffix":""}],"container-title":"Landscape Ecology","id":"ITEM-3","issue":"7","issued":{"date-parts":[["2020"]]},"page":"1587-1604","publisher":"Springer Netherlands","title":"Modeling a cross-ecosystem subsidy: forest songbird response to emergent aquatic insects","type":"article-journal","volume":"35"},"uris":["http://www.mendeley.com/documents/?uuid=56cf94e5-27ca-4c54-a54f-72cac08a3e36"]}],"mendeley":{"formattedCitation":"(Gratton and Vander Zanden, 2009; Bartrons et al., 2013; Schilke et al., 2020)","manualFormatting":"Gratton and Vander Zanden 2009, Bartrons et al. 2013, Schilke et al. 2020)","plainTextFormattedCitation":"(Gratton and Vander Zanden, 2009; Bartrons et al., 2013; Schilke et al., 2020)","previouslyFormattedCitation":"(Gratton and Vander Zanden, 2009; Bartrons et al., 2013; Schilke et al., 2020)"},"properties":{"noteIndex":0},"schema":"https://github.com/citation-style-language/schema/raw/master/csl-citation.json"}</w:instrText>
      </w:r>
      <w:r w:rsidRPr="00EF1F20">
        <w:rPr>
          <w:rFonts w:cs="Times New Roman"/>
          <w:szCs w:val="24"/>
        </w:rPr>
        <w:fldChar w:fldCharType="separate"/>
      </w:r>
      <w:r w:rsidRPr="00EF1F20">
        <w:rPr>
          <w:rFonts w:cs="Times New Roman"/>
          <w:noProof/>
          <w:szCs w:val="24"/>
        </w:rPr>
        <w:t>Gratton and Vander Zanden 2009, Bartrons et al. 2013, Schilke et al. 2020)</w:t>
      </w:r>
      <w:r w:rsidRPr="00EF1F20">
        <w:rPr>
          <w:rFonts w:cs="Times New Roman"/>
          <w:szCs w:val="24"/>
        </w:rPr>
        <w:fldChar w:fldCharType="end"/>
      </w:r>
      <w:r w:rsidRPr="00EF1F20">
        <w:rPr>
          <w:rFonts w:cs="Times New Roman"/>
          <w:szCs w:val="24"/>
        </w:rPr>
        <w:t xml:space="preserve">. </w:t>
      </w:r>
    </w:p>
    <w:p w14:paraId="5A1F42C0" w14:textId="77777777" w:rsidR="00AB7462" w:rsidRPr="00EF1F20" w:rsidRDefault="00AB7462" w:rsidP="00AB7462">
      <w:pPr>
        <w:spacing w:line="480" w:lineRule="auto"/>
        <w:ind w:firstLine="720"/>
        <w:contextualSpacing/>
      </w:pPr>
      <w:r w:rsidRPr="00EF1F20">
        <w:rPr>
          <w:rFonts w:cs="Times New Roman"/>
          <w:iCs/>
          <w:szCs w:val="24"/>
        </w:rPr>
        <w:t>To estimate stream surface area we obtained 2,077 field measurements of summer wetted stream width from the National Rivers and Streams Assessment (NRSA, Figure 1,</w:t>
      </w:r>
      <w:r w:rsidRPr="00EF1F20">
        <w:t xml:space="preserve"> </w:t>
      </w:r>
      <w:r w:rsidRPr="00EF1F20">
        <w:rPr>
          <w:rFonts w:cs="Times New Roman"/>
          <w:iCs/>
          <w:szCs w:val="24"/>
        </w:rPr>
        <w:fldChar w:fldCharType="begin" w:fldLock="1"/>
      </w:r>
      <w:r>
        <w:rPr>
          <w:rFonts w:cs="Times New Roman"/>
          <w:iCs/>
          <w:szCs w:val="24"/>
        </w:rPr>
        <w:instrText>ADDIN CSL_CITATION {"citationItems":[{"id":"ITEM-1","itemData":{"author":[{"dropping-particle":"","family":"U.S. EPA","given":"","non-dropping-particle":"","parse-names":false,"suffix":""}],"id":"ITEM-1","issued":{"date-parts":[["2016"]]},"number-of-pages":"116","publisher-place":"Washington, DC","title":"National Rivers and Streams Assessment 2008-2009: A Collaborative Survey, Office of Water and Office of Research and Development, Washington, DC EPA-841-R-16-008","type":"report"},"uris":["http://www.mendeley.com/documents/?uuid=49a07194-0cef-4948-9569-d6061d883442"]}],"mendeley":{"formattedCitation":"(U.S. EPA, 2016a)","manualFormatting":"U.S. EPA 2016a)","plainTextFormattedCitation":"(U.S. EPA, 2016a)","previouslyFormattedCitation":"(U.S. EPA, 2016a)"},"properties":{"noteIndex":0},"schema":"https://github.com/citation-style-language/schema/raw/master/csl-citation.json"}</w:instrText>
      </w:r>
      <w:r w:rsidRPr="00EF1F20">
        <w:rPr>
          <w:rFonts w:cs="Times New Roman"/>
          <w:iCs/>
          <w:szCs w:val="24"/>
        </w:rPr>
        <w:fldChar w:fldCharType="separate"/>
      </w:r>
      <w:r w:rsidRPr="00EF1F20">
        <w:rPr>
          <w:rFonts w:cs="Times New Roman"/>
          <w:iCs/>
          <w:noProof/>
          <w:szCs w:val="24"/>
        </w:rPr>
        <w:t>U.S. EPA 2016a)</w:t>
      </w:r>
      <w:r w:rsidRPr="00EF1F20">
        <w:rPr>
          <w:rFonts w:cs="Times New Roman"/>
          <w:iCs/>
          <w:szCs w:val="24"/>
        </w:rPr>
        <w:fldChar w:fldCharType="end"/>
      </w:r>
      <w:r w:rsidRPr="00EF1F20">
        <w:rPr>
          <w:rFonts w:cs="Times New Roman"/>
          <w:iCs/>
          <w:szCs w:val="24"/>
        </w:rPr>
        <w:t xml:space="preserve">. The NRSA was established to inventory the biological condition of the nation’s streams. At each biomonitoring site, sampling reaches are defined as a length 40x the wetted width or a minimum of 150m. The mean wetted width for each site was derived from measurements taken at 11 equally spaced transects in summer 2008-2009 </w:t>
      </w:r>
      <w:r w:rsidRPr="00EF1F20">
        <w:rPr>
          <w:rFonts w:cs="Times New Roman"/>
          <w:iCs/>
          <w:szCs w:val="24"/>
        </w:rPr>
        <w:fldChar w:fldCharType="begin" w:fldLock="1"/>
      </w:r>
      <w:r>
        <w:rPr>
          <w:rFonts w:cs="Times New Roman"/>
          <w:iCs/>
          <w:szCs w:val="24"/>
        </w:rPr>
        <w:instrText>ADDIN CSL_CITATION {"citationItems":[{"id":"ITEM-1","itemData":{"DOI":"EPA/841/R-16/008","abstract":"Acknowledgements This report resulted from a groundbreaking collaboration to monitor and assess the nation's rivers and streams. The U.S. Environmental Protection Agency (EPA) Office of Water (OW) would like to thank the many participants who contributed to this important effort. Without the collaborative efforts and support from state and tribal environmental agencies, federal agencies, universities and other organizations, this significant assessment of the nation's rivers and streams would not have been possible. EPA OW would like to thank the field crews, biologists, taxonomists, laboratory staff, data analysts, program administrators, EPA regional coordinators, statisticians, quality control staff, data management staff and many reviewers for their dedication and hard work. Your collective efforts made this report possible. To the many hundreds of participants, EPA expresses its profound thanks and gratitude.","author":[{"dropping-particle":"","family":"U.S. EPA","given":"","non-dropping-particle":"","parse-names":false,"suffix":""}],"id":"ITEM-1","issue":"March","issued":{"date-parts":[["2016"]]},"number-of-pages":"140","title":"National Rivers and Streams Assessment 2008-2009: Technical Report, Office of Water and Office of Research and Development, Washington, DC EPA-841-R-16-008","type":"report"},"uris":["http://www.mendeley.com/documents/?uuid=0895abcd-10d3-450c-866a-0a52a3a681ef"]}],"mendeley":{"formattedCitation":"(U.S. EPA, 2016b)","plainTextFormattedCitation":"(U.S. EPA, 2016b)","previouslyFormattedCitation":"(U.S. EPA, 2016b)"},"properties":{"noteIndex":0},"schema":"https://github.com/citation-style-language/schema/raw/master/csl-citation.json"}</w:instrText>
      </w:r>
      <w:r w:rsidRPr="00EF1F20">
        <w:rPr>
          <w:rFonts w:cs="Times New Roman"/>
          <w:iCs/>
          <w:szCs w:val="24"/>
        </w:rPr>
        <w:fldChar w:fldCharType="separate"/>
      </w:r>
      <w:r w:rsidRPr="004F2051">
        <w:rPr>
          <w:rFonts w:cs="Times New Roman"/>
          <w:iCs/>
          <w:noProof/>
          <w:szCs w:val="24"/>
        </w:rPr>
        <w:t>(U.S. EPA, 2016b)</w:t>
      </w:r>
      <w:r w:rsidRPr="00EF1F20">
        <w:rPr>
          <w:rFonts w:cs="Times New Roman"/>
          <w:iCs/>
          <w:szCs w:val="24"/>
        </w:rPr>
        <w:fldChar w:fldCharType="end"/>
      </w:r>
      <w:r w:rsidRPr="00EF1F20">
        <w:rPr>
          <w:rFonts w:cs="Times New Roman"/>
          <w:iCs/>
          <w:szCs w:val="24"/>
        </w:rPr>
        <w:t xml:space="preserve">. We georeferenced each location to the closest NHDPlusV2 </w:t>
      </w:r>
      <w:proofErr w:type="spellStart"/>
      <w:r w:rsidRPr="00EF1F20">
        <w:rPr>
          <w:rFonts w:cs="Times New Roman"/>
          <w:iCs/>
          <w:szCs w:val="24"/>
        </w:rPr>
        <w:t>flowline</w:t>
      </w:r>
      <w:proofErr w:type="spellEnd"/>
      <w:r w:rsidRPr="00EF1F20">
        <w:rPr>
          <w:rFonts w:cs="Times New Roman"/>
          <w:iCs/>
          <w:szCs w:val="24"/>
        </w:rPr>
        <w:t xml:space="preserve"> to identify the hydrologic region, upstream catchment area and extract climate variables for modeling (discussed below). We used the </w:t>
      </w:r>
      <w:r w:rsidRPr="00EF1F20">
        <w:rPr>
          <w:rFonts w:cs="Times New Roman"/>
          <w:iCs/>
          <w:szCs w:val="24"/>
        </w:rPr>
        <w:lastRenderedPageBreak/>
        <w:t xml:space="preserve">predicted wetted width to create </w:t>
      </w:r>
      <w:r>
        <w:rPr>
          <w:rFonts w:cs="Times New Roman"/>
          <w:iCs/>
          <w:szCs w:val="24"/>
        </w:rPr>
        <w:t xml:space="preserve">a </w:t>
      </w:r>
      <w:r w:rsidRPr="00EF1F20">
        <w:rPr>
          <w:rFonts w:cs="Times New Roman"/>
          <w:iCs/>
          <w:szCs w:val="24"/>
        </w:rPr>
        <w:t xml:space="preserve">uniform buffer around </w:t>
      </w:r>
      <w:r>
        <w:rPr>
          <w:rFonts w:cs="Times New Roman"/>
          <w:iCs/>
          <w:szCs w:val="24"/>
        </w:rPr>
        <w:t>each</w:t>
      </w:r>
      <w:r w:rsidRPr="00EF1F20">
        <w:rPr>
          <w:rFonts w:cs="Times New Roman"/>
          <w:iCs/>
          <w:szCs w:val="24"/>
        </w:rPr>
        <w:t xml:space="preserve"> NHDPlusV2 </w:t>
      </w:r>
      <w:proofErr w:type="spellStart"/>
      <w:r w:rsidRPr="00EF1F20">
        <w:rPr>
          <w:rFonts w:cs="Times New Roman"/>
          <w:iCs/>
          <w:szCs w:val="24"/>
        </w:rPr>
        <w:t>flowline</w:t>
      </w:r>
      <w:proofErr w:type="spellEnd"/>
      <w:r w:rsidRPr="00EF1F20">
        <w:rPr>
          <w:rFonts w:cs="Times New Roman"/>
          <w:iCs/>
          <w:szCs w:val="24"/>
        </w:rPr>
        <w:t xml:space="preserve"> to estimate the stream surface area. </w:t>
      </w:r>
    </w:p>
    <w:p w14:paraId="7C50A5A6" w14:textId="77777777" w:rsidR="00AB7462" w:rsidRPr="00EF1F20" w:rsidRDefault="00AB7462" w:rsidP="00AB7462">
      <w:pPr>
        <w:spacing w:line="480" w:lineRule="auto"/>
        <w:ind w:firstLine="720"/>
        <w:contextualSpacing/>
        <w:rPr>
          <w:rFonts w:cs="Times New Roman"/>
          <w:iCs/>
          <w:szCs w:val="24"/>
        </w:rPr>
      </w:pPr>
      <w:r w:rsidRPr="00EF1F20">
        <w:rPr>
          <w:rFonts w:cs="Times New Roman"/>
          <w:iCs/>
          <w:szCs w:val="24"/>
        </w:rPr>
        <w:t xml:space="preserve">We obtained climate data for current and future projections from the </w:t>
      </w:r>
      <w:proofErr w:type="spellStart"/>
      <w:r w:rsidRPr="00EF1F20">
        <w:rPr>
          <w:rFonts w:cs="Times New Roman"/>
          <w:iCs/>
          <w:szCs w:val="24"/>
        </w:rPr>
        <w:t>Worldclim</w:t>
      </w:r>
      <w:proofErr w:type="spellEnd"/>
      <w:r w:rsidRPr="00EF1F20">
        <w:rPr>
          <w:rFonts w:cs="Times New Roman"/>
          <w:iCs/>
          <w:szCs w:val="24"/>
        </w:rPr>
        <w:t xml:space="preserve"> database </w:t>
      </w:r>
      <w:r w:rsidRPr="00EF1F20">
        <w:rPr>
          <w:rFonts w:cs="Times New Roman"/>
          <w:iCs/>
          <w:szCs w:val="24"/>
        </w:rPr>
        <w:fldChar w:fldCharType="begin" w:fldLock="1"/>
      </w:r>
      <w:r>
        <w:rPr>
          <w:rFonts w:cs="Times New Roman"/>
          <w:iCs/>
          <w:szCs w:val="24"/>
        </w:rPr>
        <w:instrText>ADDIN CSL_CITATION {"citationItems":[{"id":"ITEM-1","itemData":{"DOI":"10.1002/joc.1276","ISSN":"08998418","abstract":"We developed interpolated climate surfaces for global land areas (excluding Antarctica) at a spatial resolution of 30 arc s (often referred to as 1-km spatial resolution). The climate elements considered were monthly precipitation and mean, minimum, and maximum temperature. Input data were gathered from a variety of sources and, where possible, were restricted to records from the 1950-2000 period. We used the thin-plate smoothing spline algorithm implemented in the ANUSPLIN package for interpolation, using latitude, longitude, and elevation as independent variables. We quantified uncertainty arising from the input data and the interpolation by mapping weather station density, elevation bias in the weather stations, and elevation variation within grid cells and through data partitioning and cross validation. Elevation bias tended to be negative (stations lower than expected) at high latitudes but positive in the tropics. Uncertainty is highest in mountainous and in poorly sampled areas. Data partitioning showed high uncertainty of the surfaces on isolated islands, e.g. in the Pacific. Aggregating the elevation and climate data to 10 arc min resolution showed an enormous variation within grid cells, illustrating the value of high-resolution surfaces. A comparison with an existing data set at 10 arc min resolution showed overall agreement, but with significant variation in some regions. A comparison with two high-resolution data sets for the United States also identified areas with large local differences, particularly in mountainous areas. Compared to previous global climatologies, ours has the following advantages: the data are at a higher spatial resolution (400 times greater or more); more weather station records were used; improved elevation data were used; and more information about spatial patterns of uncertainty in the data is available. Owing to the overall low density of available climate stations, our surfaces do not capture of all variation that may occur at a resolution of 1 km, particularly of precipitation in mountainous areas. In future work, such variation might be captured through knowledge-based methods and inclusion of additional co-variates, particularly layers obtained through remote sensing. Copyright © 2005 Royal Meteorological Society.","author":[{"dropping-particle":"","family":"Hijmans","given":"Robert J.","non-dropping-particle":"","parse-names":false,"suffix":""},{"dropping-particle":"","family":"Cameron","given":"Susan E.","non-dropping-particle":"","parse-names":false,"suffix":""},{"dropping-particle":"","family":"Parra","given":"Juan L.","non-dropping-particle":"","parse-names":false,"suffix":""},{"dropping-particle":"","family":"Jones","given":"Peter G.","non-dropping-particle":"","parse-names":false,"suffix":""},{"dropping-particle":"","family":"Jarvis","given":"Andy","non-dropping-particle":"","parse-names":false,"suffix":""}],"container-title":"International Journal of Climatology","id":"ITEM-1","issue":"15","issued":{"date-parts":[["2005"]]},"page":"1965-1978","title":"Very high resolution interpolated climate surfaces for global land areas","type":"article-journal","volume":"25"},"uris":["http://www.mendeley.com/documents/?uuid=ba898398-5c2b-4da9-beed-d3f3a36511e7"]}],"mendeley":{"formattedCitation":"(Hijmans et al., 2005)","manualFormatting":"(https://www.worldclim.org/, Hijmans et al. 2005)","plainTextFormattedCitation":"(Hijmans et al., 2005)","previouslyFormattedCitation":"(Hijmans et al., 2005)"},"properties":{"noteIndex":0},"schema":"https://github.com/citation-style-language/schema/raw/master/csl-citation.json"}</w:instrText>
      </w:r>
      <w:r w:rsidRPr="00EF1F20">
        <w:rPr>
          <w:rFonts w:cs="Times New Roman"/>
          <w:iCs/>
          <w:szCs w:val="24"/>
        </w:rPr>
        <w:fldChar w:fldCharType="separate"/>
      </w:r>
      <w:r w:rsidRPr="00EF1F20">
        <w:rPr>
          <w:rFonts w:cs="Times New Roman"/>
          <w:iCs/>
          <w:noProof/>
          <w:szCs w:val="24"/>
        </w:rPr>
        <w:t>(https://www.worldclim.org/, Hijmans et al. 2005)</w:t>
      </w:r>
      <w:r w:rsidRPr="00EF1F20">
        <w:rPr>
          <w:rFonts w:cs="Times New Roman"/>
          <w:iCs/>
          <w:szCs w:val="24"/>
        </w:rPr>
        <w:fldChar w:fldCharType="end"/>
      </w:r>
      <w:r w:rsidRPr="00EF1F20">
        <w:rPr>
          <w:rFonts w:cs="Times New Roman"/>
          <w:iCs/>
          <w:szCs w:val="24"/>
        </w:rPr>
        <w:t xml:space="preserve">. These data are available at a ~4.5 x 4.5 km resolution and consist of mean monthly precipitation and temperature, and 18 bioclimatic </w:t>
      </w:r>
      <w:r w:rsidRPr="00577AFE">
        <w:rPr>
          <w:rFonts w:cs="Times New Roman"/>
          <w:iCs/>
          <w:szCs w:val="24"/>
        </w:rPr>
        <w:t>variables (Table S1).</w:t>
      </w:r>
      <w:r w:rsidRPr="00EF1F20">
        <w:rPr>
          <w:rFonts w:cs="Times New Roman"/>
          <w:iCs/>
          <w:szCs w:val="24"/>
        </w:rPr>
        <w:t xml:space="preserve"> Bioclimat</w:t>
      </w:r>
      <w:r>
        <w:rPr>
          <w:rFonts w:cs="Times New Roman"/>
          <w:iCs/>
          <w:szCs w:val="24"/>
        </w:rPr>
        <w:t>ic</w:t>
      </w:r>
      <w:r w:rsidRPr="00EF1F20">
        <w:rPr>
          <w:rFonts w:cs="Times New Roman"/>
          <w:iCs/>
          <w:szCs w:val="24"/>
        </w:rPr>
        <w:t xml:space="preserve"> variables represent climatic trends, seasonality or extreme or limiting factors and are </w:t>
      </w:r>
      <w:r>
        <w:rPr>
          <w:rFonts w:cs="Times New Roman"/>
          <w:iCs/>
          <w:szCs w:val="24"/>
        </w:rPr>
        <w:t>often</w:t>
      </w:r>
      <w:r w:rsidRPr="00EF1F20">
        <w:rPr>
          <w:rFonts w:cs="Times New Roman"/>
          <w:iCs/>
          <w:szCs w:val="24"/>
        </w:rPr>
        <w:t xml:space="preserve"> used in species distribution modeling </w:t>
      </w:r>
      <w:r w:rsidRPr="00EF1F20">
        <w:rPr>
          <w:rFonts w:cs="Times New Roman"/>
          <w:iCs/>
          <w:szCs w:val="24"/>
        </w:rPr>
        <w:fldChar w:fldCharType="begin" w:fldLock="1"/>
      </w:r>
      <w:r>
        <w:rPr>
          <w:rFonts w:cs="Times New Roman"/>
          <w:iCs/>
          <w:szCs w:val="24"/>
        </w:rPr>
        <w:instrText>ADDIN CSL_CITATION {"citationItems":[{"id":"ITEM-1","itemData":{"DOI":"10.1002/joc.1276","ISSN":"08998418","abstract":"We developed interpolated climate surfaces for global land areas (excluding Antarctica) at a spatial resolution of 30 arc s (often referred to as 1-km spatial resolution). The climate elements considered were monthly precipitation and mean, minimum, and maximum temperature. Input data were gathered from a variety of sources and, where possible, were restricted to records from the 1950-2000 period. We used the thin-plate smoothing spline algorithm implemented in the ANUSPLIN package for interpolation, using latitude, longitude, and elevation as independent variables. We quantified uncertainty arising from the input data and the interpolation by mapping weather station density, elevation bias in the weather stations, and elevation variation within grid cells and through data partitioning and cross validation. Elevation bias tended to be negative (stations lower than expected) at high latitudes but positive in the tropics. Uncertainty is highest in mountainous and in poorly sampled areas. Data partitioning showed high uncertainty of the surfaces on isolated islands, e.g. in the Pacific. Aggregating the elevation and climate data to 10 arc min resolution showed an enormous variation within grid cells, illustrating the value of high-resolution surfaces. A comparison with an existing data set at 10 arc min resolution showed overall agreement, but with significant variation in some regions. A comparison with two high-resolution data sets for the United States also identified areas with large local differences, particularly in mountainous areas. Compared to previous global climatologies, ours has the following advantages: the data are at a higher spatial resolution (400 times greater or more); more weather station records were used; improved elevation data were used; and more information about spatial patterns of uncertainty in the data is available. Owing to the overall low density of available climate stations, our surfaces do not capture of all variation that may occur at a resolution of 1 km, particularly of precipitation in mountainous areas. In future work, such variation might be captured through knowledge-based methods and inclusion of additional co-variates, particularly layers obtained through remote sensing. Copyright © 2005 Royal Meteorological Society.","author":[{"dropping-particle":"","family":"Hijmans","given":"Robert J.","non-dropping-particle":"","parse-names":false,"suffix":""},{"dropping-particle":"","family":"Cameron","given":"Susan E.","non-dropping-particle":"","parse-names":false,"suffix":""},{"dropping-particle":"","family":"Parra","given":"Juan L.","non-dropping-particle":"","parse-names":false,"suffix":""},{"dropping-particle":"","family":"Jones","given":"Peter G.","non-dropping-particle":"","parse-names":false,"suffix":""},{"dropping-particle":"","family":"Jarvis","given":"Andy","non-dropping-particle":"","parse-names":false,"suffix":""}],"container-title":"International Journal of Climatology","id":"ITEM-1","issue":"15","issued":{"date-parts":[["2005"]]},"page":"1965-1978","title":"Very high resolution interpolated climate surfaces for global land areas","type":"article-journal","volume":"25"},"uris":["http://www.mendeley.com/documents/?uuid=ba898398-5c2b-4da9-beed-d3f3a36511e7"]},{"id":"ITEM-2","itemData":{"DOI":"10.1002/ece3.6597","ISSN":"20457758","abstract":"Climate change is expected to alter the distributions of species around the world, but estimates of species’ outcomes vary widely among competing climate scenarios. Where should conservation resources be directed to maximize expected conservation benefits given future climate uncertainty? Here, we explore this question by quantifying variation in fish species’ distributions across future climate scenarios in the Red River basin south-central United States. We modeled historical and future stream fish distributions using a suite of environmental covariates derived from high-resolution hydrologic and climatic modeling of the basin. We quantified variation in outcomes for individual species across climate scenarios and across space, and identified hotspots of species loss by summing changes in probability of occurrence across species. Under all climate scenarios, we find that the distribution of most fish species in the Red River Basin will contract by 2050. However, the variability across climate scenarios was more than 10 times higher for some species than for others. Despite this uncertainty in outcomes for individual species, hotspots of species loss tended to occur in the same portions of the basin across all climate scenarios. We also find that the most common species are projected to experience the greatest range contractions, underscoring the need for directing conservation resources toward both common and rare species. Our results suggest that while it may be difficult to predict which species will be most impacted by climate change, it may nevertheless be possible to identify spatial priorities for climate mitigation actions that are robust to future climate uncertainty. These findings are likely to be generalizable to other ecosystems around the world where future climate conditions follow prevailing historical patterns of key environmental covariates.","author":[{"dropping-particle":"","family":"Gill","given":"Kenneth C.","non-dropping-particle":"","parse-names":false,"suffix":""},{"dropping-particle":"","family":"Fovargue","given":"Rachel E.","non-dropping-particle":"","parse-names":false,"suffix":""},{"dropping-particle":"","family":"Neeson","given":"Thomas M.","non-dropping-particle":"","parse-names":false,"suffix":""}],"container-title":"Ecology and Evolution","id":"ITEM-2","issue":"17","issued":{"date-parts":[["2020"]]},"page":"9200-9213","title":"Hotspots of species loss do not vary across future climate scenarios in a drought-prone river basin","type":"article-journal","volume":"10"},"uris":["http://www.mendeley.com/documents/?uuid=df22f8b4-0711-467d-b5c1-f3161dd5a315"]}],"mendeley":{"formattedCitation":"(Hijmans et al., 2005; Gill et al., 2020)","plainTextFormattedCitation":"(Hijmans et al., 2005; Gill et al., 2020)","previouslyFormattedCitation":"(Hijmans et al., 2005; Gill et al., 2020)"},"properties":{"noteIndex":0},"schema":"https://github.com/citation-style-language/schema/raw/master/csl-citation.json"}</w:instrText>
      </w:r>
      <w:r w:rsidRPr="00EF1F20">
        <w:rPr>
          <w:rFonts w:cs="Times New Roman"/>
          <w:iCs/>
          <w:szCs w:val="24"/>
        </w:rPr>
        <w:fldChar w:fldCharType="separate"/>
      </w:r>
      <w:r w:rsidRPr="00B42E3E">
        <w:rPr>
          <w:rFonts w:cs="Times New Roman"/>
          <w:iCs/>
          <w:noProof/>
          <w:szCs w:val="24"/>
        </w:rPr>
        <w:t>(Hijmans et al., 2005; Gill et al., 2020)</w:t>
      </w:r>
      <w:r w:rsidRPr="00EF1F20">
        <w:rPr>
          <w:rFonts w:cs="Times New Roman"/>
          <w:iCs/>
          <w:szCs w:val="24"/>
        </w:rPr>
        <w:fldChar w:fldCharType="end"/>
      </w:r>
      <w:r w:rsidRPr="00EF1F20">
        <w:rPr>
          <w:rFonts w:cs="Times New Roman"/>
          <w:iCs/>
          <w:szCs w:val="24"/>
        </w:rPr>
        <w:t>. Future projections of these variables were derived from several General Circulation Models</w:t>
      </w:r>
      <w:r>
        <w:rPr>
          <w:rFonts w:cs="Times New Roman"/>
          <w:iCs/>
          <w:szCs w:val="24"/>
        </w:rPr>
        <w:t xml:space="preserve"> (GCM)</w:t>
      </w:r>
      <w:r w:rsidRPr="00EF1F20">
        <w:rPr>
          <w:rFonts w:cs="Times New Roman"/>
          <w:iCs/>
          <w:szCs w:val="24"/>
        </w:rPr>
        <w:t xml:space="preserve"> at four representative concentration pathways (RCP) (https://worldclim.org/). We selected projections for the year 2070 generated by the HadGEM2-ES model </w:t>
      </w:r>
      <w:r w:rsidRPr="00EF1F20">
        <w:rPr>
          <w:rFonts w:cs="Times New Roman"/>
          <w:iCs/>
          <w:szCs w:val="24"/>
        </w:rPr>
        <w:fldChar w:fldCharType="begin" w:fldLock="1"/>
      </w:r>
      <w:r>
        <w:rPr>
          <w:rFonts w:cs="Times New Roman"/>
          <w:iCs/>
          <w:szCs w:val="24"/>
        </w:rPr>
        <w:instrText>ADDIN CSL_CITATION {"citationItems":[{"id":"ITEM-1","itemData":{"DOI":"10.5194/gmd-4-543-2011","ISSN":"19919603","abstract":"The scientific understanding of the Earth's climate system, including thecentral question of how the climate system is likely to respond tohuman-induced perturbations, is comprehensively captured in GCMs and EarthSystem Models (ESM). Diagnosing the simulated climate response, andcomparing responses across different models, is crucially dependent ontransparent assumptions of how the GCM/ESM has been driven - especiallybecause the implementation can involve subjective decisions and may differbetween modelling groups performing the same experiment. This paper outlinesthe climate forcings and setup of the Met Office Hadley Centre ESM, HadGEM2-ES for the CMIP5 set of centennial experiments. We document theprescribed greenhouse gas concentrations, aerosol precursors, stratosphericand tropospheric ozone assumptions, as well as implementation of land-usechange and natural forcings for the HadGEM2-ES historical and futureexperiments following the Representative Concentration Pathways. Inaddition, we provide details of how HadGEM2-ES ensemble members wereinitialised from the control run and how the palaeoclimate and AMIPexperiments, as well as the \"emission-driven\" RCP experiments wereperformed. © 2011 Author(s).","author":[{"dropping-particle":"","family":"Jones","given":"C. D.","non-dropping-particle":"","parse-names":false,"suffix":""},{"dropping-particle":"","family":"Hughes","given":"J. K.","non-dropping-particle":"","parse-names":false,"suffix":""},{"dropping-particle":"","family":"Bellouin","given":"N.","non-dropping-particle":"","parse-names":false,"suffix":""},{"dropping-particle":"","family":"Hardiman","given":"S. C.","non-dropping-particle":"","parse-names":false,"suffix":""},{"dropping-particle":"","family":"Jones","given":"G. S.","non-dropping-particle":"","parse-names":false,"suffix":""},{"dropping-particle":"","family":"Knight","given":"J.","non-dropping-particle":"","parse-names":false,"suffix":""},{"dropping-particle":"","family":"Liddicoat","given":"S.","non-dropping-particle":"","parse-names":false,"suffix":""},{"dropping-particle":"","family":"O'Connor","given":"F. M.","non-dropping-particle":"","parse-names":false,"suffix":""},{"dropping-particle":"","family":"Andres","given":"R. J.","non-dropping-particle":"","parse-names":false,"suffix":""},{"dropping-particle":"","family":"Bell","given":"C.","non-dropping-particle":"","parse-names":false,"suffix":""},{"dropping-particle":"","family":"Boo","given":"K. O.","non-dropping-particle":"","parse-names":false,"suffix":""},{"dropping-particle":"","family":"Bozzo","given":"A.","non-dropping-particle":"","parse-names":false,"suffix":""},{"dropping-particle":"","family":"Butchart","given":"N.","non-dropping-particle":"","parse-names":false,"suffix":""},{"dropping-particle":"","family":"Cadule","given":"P.","non-dropping-particle":"","parse-names":false,"suffix":""},{"dropping-particle":"","family":"Corbin","given":"K. D.","non-dropping-particle":"","parse-names":false,"suffix":""},{"dropping-particle":"","family":"Doutriaux-Boucher","given":"M.","non-dropping-particle":"","parse-names":false,"suffix":""},{"dropping-particle":"","family":"Friedlingstein","given":"P.","non-dropping-particle":"","parse-names":false,"suffix":""},{"dropping-particle":"","family":"Gornall","given":"J.","non-dropping-particle":"","parse-names":false,"suffix":""},{"dropping-particle":"","family":"Gray","given":"L.","non-dropping-particle":"","parse-names":false,"suffix":""},{"dropping-particle":"","family":"Halloran","given":"P. R.","non-dropping-particle":"","parse-names":false,"suffix":""},{"dropping-particle":"","family":"Hurtt","given":"G.","non-dropping-particle":"","parse-names":false,"suffix":""},{"dropping-particle":"","family":"Ingram","given":"W. J.","non-dropping-particle":"","parse-names":false,"suffix":""},{"dropping-particle":"","family":"Lamarque","given":"J. F.","non-dropping-particle":"","parse-names":false,"suffix":""},{"dropping-particle":"","family":"Law","given":"R. M.","non-dropping-particle":"","parse-names":false,"suffix":""},{"dropping-particle":"","family":"Meinshausen","given":"M.","non-dropping-particle":"","parse-names":false,"suffix":""},{"dropping-particle":"","family":"Osprey","given":"S.","non-dropping-particle":"","parse-names":false,"suffix":""},{"dropping-particle":"","family":"Palin","given":"E. J.","non-dropping-particle":"","parse-names":false,"suffix":""},{"dropping-particle":"","family":"Parsons Chini","given":"L.","non-dropping-particle":"","parse-names":false,"suffix":""},{"dropping-particle":"","family":"Raddatz","given":"T.","non-dropping-particle":"","parse-names":false,"suffix":""},{"dropping-particle":"","family":"Sanderson","given":"M. G.","non-dropping-particle":"","parse-names":false,"suffix":""},{"dropping-particle":"","family":"Sellar","given":"A. A.","non-dropping-particle":"","parse-names":false,"suffix":""},{"dropping-particle":"","family":"Schurer","given":"A.","non-dropping-particle":"","parse-names":false,"suffix":""},{"dropping-particle":"","family":"Valdes","given":"P.","non-dropping-particle":"","parse-names":false,"suffix":""},{"dropping-particle":"","family":"Wood","given":"N.","non-dropping-particle":"","parse-names":false,"suffix":""},{"dropping-particle":"","family":"Woodward","given":"S.","non-dropping-particle":"","parse-names":false,"suffix":""},{"dropping-particle":"","family":"Yoshioka","given":"M.","non-dropping-particle":"","parse-names":false,"suffix":""},{"dropping-particle":"","family":"Zerroukat","given":"M.","non-dropping-particle":"","parse-names":false,"suffix":""}],"container-title":"Geoscientific Model Development","id":"ITEM-1","issue":"3","issued":{"date-parts":[["2011"]]},"page":"543-570","title":"The HadGEM2-ES implementation of CMIP5 centennial simulations","type":"article-journal","volume":"4"},"uris":["http://www.mendeley.com/documents/?uuid=7b8added-43a1-43f6-b4e7-a6c701eae000"]}],"mendeley":{"formattedCitation":"(Jones et al., 2011)","plainTextFormattedCitation":"(Jones et al., 2011)","previouslyFormattedCitation":"(Jones et al., 2011)"},"properties":{"noteIndex":0},"schema":"https://github.com/citation-style-language/schema/raw/master/csl-citation.json"}</w:instrText>
      </w:r>
      <w:r w:rsidRPr="00EF1F20">
        <w:rPr>
          <w:rFonts w:cs="Times New Roman"/>
          <w:iCs/>
          <w:szCs w:val="24"/>
        </w:rPr>
        <w:fldChar w:fldCharType="separate"/>
      </w:r>
      <w:r w:rsidRPr="004F2051">
        <w:rPr>
          <w:rFonts w:cs="Times New Roman"/>
          <w:iCs/>
          <w:noProof/>
          <w:szCs w:val="24"/>
        </w:rPr>
        <w:t>(Jones et al., 2011)</w:t>
      </w:r>
      <w:r w:rsidRPr="00EF1F20">
        <w:rPr>
          <w:rFonts w:cs="Times New Roman"/>
          <w:iCs/>
          <w:szCs w:val="24"/>
        </w:rPr>
        <w:fldChar w:fldCharType="end"/>
      </w:r>
      <w:r w:rsidRPr="00EF1F20">
        <w:rPr>
          <w:rFonts w:cs="Times New Roman"/>
          <w:iCs/>
          <w:szCs w:val="24"/>
        </w:rPr>
        <w:t>.</w:t>
      </w:r>
      <w:r>
        <w:rPr>
          <w:rFonts w:cs="Times New Roman"/>
          <w:iCs/>
          <w:szCs w:val="24"/>
        </w:rPr>
        <w:t xml:space="preserve"> The HadGEM2-ES is one of 17 core models used in the Coupled Model </w:t>
      </w:r>
      <w:proofErr w:type="spellStart"/>
      <w:r>
        <w:rPr>
          <w:rFonts w:cs="Times New Roman"/>
          <w:iCs/>
          <w:szCs w:val="24"/>
        </w:rPr>
        <w:t>Intercomparison</w:t>
      </w:r>
      <w:proofErr w:type="spellEnd"/>
      <w:r>
        <w:rPr>
          <w:rFonts w:cs="Times New Roman"/>
          <w:iCs/>
          <w:szCs w:val="24"/>
        </w:rPr>
        <w:t xml:space="preserve"> Project (CMIP5) to evaluate large-scale climatology </w:t>
      </w:r>
      <w:r>
        <w:rPr>
          <w:rFonts w:cs="Times New Roman"/>
          <w:iCs/>
          <w:szCs w:val="24"/>
        </w:rPr>
        <w:fldChar w:fldCharType="begin" w:fldLock="1"/>
      </w:r>
      <w:r>
        <w:rPr>
          <w:rFonts w:cs="Times New Roman"/>
          <w:iCs/>
          <w:szCs w:val="24"/>
        </w:rPr>
        <w:instrText>ADDIN CSL_CITATION {"citationItems":[{"id":"ITEM-1","itemData":{"DOI":"10.1175/JCLI-D-12-00592.1","ISSN":"08948755","abstract":"This is the first part of a three-part paper on North American climate in phase 5 of the Coupled Model Intercomparison Project (CMIP5) that evaluates the historical simulations of continental and regional climatology with a focus on a core set of 17 models. The authors evaluate the models for a set of basic surface climate and hydrological variables and their extremes for the continent. This is supplemented by evaluations for selected regional climate processes relevant to North American climate, including cool season western Atlantic cyclones, the North American monsoon, the U.S. Great Plains low-level jet, and Arctic sea ice. In general, the multimodel ensemble mean represents the observed spatial patterns of basic climate and hydrological variables but with large variability across models and regions in the magnitude and sign of errors. No single model stands out as being particularly better or worse across all analyses, although some models consistently outperform the others for certain variables across most regions and seasons and higher-resolution models tend to perform better for regional processes. The CMIP5 multimodel ensemble shows a slight improvement relative to CMIP3 models in representing basic climate variables, in terms of the mean and spread, although performance has decreased for some models. Improvements in CMIP5 model performance are noticeable for some regional climate processes analyzed, such as the timing of the North American monsoon. The results of this paper have implications for the robustness of future projections of climate and its associated impacts, which are examined in the third part of the paper. © 2013 American Meteorological Society.","author":[{"dropping-particle":"","family":"Sheffield","given":"Justin","non-dropping-particle":"","parse-names":false,"suffix":""},{"dropping-particle":"","family":"Barrett","given":"Andrew P.","non-dropping-particle":"","parse-names":false,"suffix":""},{"dropping-particle":"","family":"Colle","given":"Brian","non-dropping-particle":"","parse-names":false,"suffix":""},{"dropping-particle":"","family":"Fernando","given":"D. Nelun","non-dropping-particle":"","parse-names":false,"suffix":""},{"dropping-particle":"","family":"Fu","given":"Rong","non-dropping-particle":"","parse-names":false,"suffix":""},{"dropping-particle":"","family":"Geil","given":"Kerrie L.","non-dropping-particle":"","parse-names":false,"suffix":""},{"dropping-particle":"","family":"Hu","given":"Qi","non-dropping-particle":"","parse-names":false,"suffix":""},{"dropping-particle":"","family":"Kinter","given":"Jim","non-dropping-particle":"","parse-names":false,"suffix":""},{"dropping-particle":"","family":"Kumar","given":"Sanjiv","non-dropping-particle":"","parse-names":false,"suffix":""},{"dropping-particle":"","family":"Langenbrunner","given":"Baird","non-dropping-particle":"","parse-names":false,"suffix":""},{"dropping-particle":"","family":"Lombardo","given":"Kelly","non-dropping-particle":"","parse-names":false,"suffix":""},{"dropping-particle":"","family":"Long","given":"Lindsey N.","non-dropping-particle":"","parse-names":false,"suffix":""},{"dropping-particle":"","family":"Maloney","given":"Eric","non-dropping-particle":"","parse-names":false,"suffix":""},{"dropping-particle":"","family":"Mariotti","given":"Annarita","non-dropping-particle":"","parse-names":false,"suffix":""},{"dropping-particle":"","family":"Meyerson","given":"Joyce E.","non-dropping-particle":"","parse-names":false,"suffix":""},{"dropping-particle":"","family":"Mo","given":"Kingtse C.","non-dropping-particle":"","parse-names":false,"suffix":""},{"dropping-particle":"","family":"Neelin","given":"J. David","non-dropping-particle":"","parse-names":false,"suffix":""},{"dropping-particle":"","family":"Nigam","given":"Sumant","non-dropping-particle":"","parse-names":false,"suffix":""},{"dropping-particle":"","family":"Pan","given":"Zaitao","non-dropping-particle":"","parse-names":false,"suffix":""},{"dropping-particle":"","family":"Ren","given":"Tong","non-dropping-particle":"","parse-names":false,"suffix":""},{"dropping-particle":"","family":"Ruiz-Barradas","given":"Alfredo","non-dropping-particle":"","parse-names":false,"suffix":""},{"dropping-particle":"","family":"Serra","given":"Yolande L.","non-dropping-particle":"","parse-names":false,"suffix":""},{"dropping-particle":"","family":"Seth","given":"Anji","non-dropping-particle":"","parse-names":false,"suffix":""},{"dropping-particle":"","family":"Thibeault","given":"Jeanne M.","non-dropping-particle":"","parse-names":false,"suffix":""},{"dropping-particle":"","family":"Stroeve","given":"Julienne C.","non-dropping-particle":"","parse-names":false,"suffix":""},{"dropping-particle":"","family":"Yang","given":"Ze","non-dropping-particle":"","parse-names":false,"suffix":""},{"dropping-particle":"","family":"Yin","given":"Lei","non-dropping-particle":"","parse-names":false,"suffix":""}],"container-title":"Journal of Climate","id":"ITEM-1","issue":"23","issued":{"date-parts":[["2013"]]},"page":"9209-9245","title":"North American Climate in CMIP5 experiments. Part I: Evaluation of historical simulations of continental and regional climatology","type":"article-journal","volume":"26"},"uris":["http://www.mendeley.com/documents/?uuid=7347565e-461a-434d-97b3-f095960ab53d"]}],"mendeley":{"formattedCitation":"(Sheffield et al., 2013)","plainTextFormattedCitation":"(Sheffield et al., 2013)","previouslyFormattedCitation":"(Sheffield et al., 2013)"},"properties":{"noteIndex":0},"schema":"https://github.com/citation-style-language/schema/raw/master/csl-citation.json"}</w:instrText>
      </w:r>
      <w:r>
        <w:rPr>
          <w:rFonts w:cs="Times New Roman"/>
          <w:iCs/>
          <w:szCs w:val="24"/>
        </w:rPr>
        <w:fldChar w:fldCharType="separate"/>
      </w:r>
      <w:r w:rsidRPr="00983A22">
        <w:rPr>
          <w:rFonts w:cs="Times New Roman"/>
          <w:iCs/>
          <w:noProof/>
          <w:szCs w:val="24"/>
        </w:rPr>
        <w:t>(Sheffield et al., 2013)</w:t>
      </w:r>
      <w:r>
        <w:rPr>
          <w:rFonts w:cs="Times New Roman"/>
          <w:iCs/>
          <w:szCs w:val="24"/>
        </w:rPr>
        <w:fldChar w:fldCharType="end"/>
      </w:r>
      <w:r>
        <w:rPr>
          <w:rFonts w:cs="Times New Roman"/>
          <w:iCs/>
          <w:szCs w:val="24"/>
        </w:rPr>
        <w:t xml:space="preserve"> and includes components of the Earth System to integrate chemical reactions and biological interactions with physical processes that influence climate </w:t>
      </w:r>
      <w:r>
        <w:rPr>
          <w:rFonts w:cs="Times New Roman"/>
          <w:iCs/>
          <w:szCs w:val="24"/>
        </w:rPr>
        <w:fldChar w:fldCharType="begin" w:fldLock="1"/>
      </w:r>
      <w:r>
        <w:rPr>
          <w:rFonts w:cs="Times New Roman"/>
          <w:iCs/>
          <w:szCs w:val="24"/>
        </w:rPr>
        <w:instrText>ADDIN CSL_CITATION {"citationItems":[{"id":"ITEM-1","itemData":{"DOI":"10.5194/gmd-4-1051-2011","ISSN":"19919603","abstract":"We describe here the development and evaluation of an Earth system model suitable for centennial-scale climate prediction. The principal new components added to the physical climate model are the terrestrial and ocean ecosystems and gas-phase tropospheric chemistry, along with their coupled interactions. The individual Earth system components are described briefly and the relevant interactions between the components are explained. Because the multiple interactions could lead to unstable feedbacks, we go through a careful process of model spin up to ensure that all components are stable and the interactions balanced. This spun-up configuration is evaluated against observed data for the Earth system components and is generally found to perform very satisfactorily. The reason for the evaluation phase is that the model is to be used for the core climate simulations carried out by the Met Office Hadley Centre for the Coupled Model Intercomparison Project (CMIP5), so it is essential that addition of the extra complexity does not detract substantially from its climate performance. Localised changes in some specific meteorological variables can be identified, but the impacts on the overall simulation of present day climate are slight. This model is proving valuable both for climate predictions, and for investigating the strengths of biogeochemical feedbacks. © 2011. Author(s).","author":[{"dropping-particle":"","family":"Collins","given":"W. J.","non-dropping-particle":"","parse-names":false,"suffix":""},{"dropping-particle":"","family":"Bellouin","given":"N.","non-dropping-particle":"","parse-names":false,"suffix":""},{"dropping-particle":"","family":"Doutriaux-Boucher","given":"M.","non-dropping-particle":"","parse-names":false,"suffix":""},{"dropping-particle":"","family":"Gedney","given":"N.","non-dropping-particle":"","parse-names":false,"suffix":""},{"dropping-particle":"","family":"Halloran","given":"P.","non-dropping-particle":"","parse-names":false,"suffix":""},{"dropping-particle":"","family":"Hinton","given":"T.","non-dropping-particle":"","parse-names":false,"suffix":""},{"dropping-particle":"","family":"Hughes","given":"J.","non-dropping-particle":"","parse-names":false,"suffix":""},{"dropping-particle":"","family":"Jones","given":"C. D.","non-dropping-particle":"","parse-names":false,"suffix":""},{"dropping-particle":"","family":"Joshi","given":"M.","non-dropping-particle":"","parse-names":false,"suffix":""},{"dropping-particle":"","family":"Liddicoat","given":"S.","non-dropping-particle":"","parse-names":false,"suffix":""},{"dropping-particle":"","family":"Martin","given":"G.","non-dropping-particle":"","parse-names":false,"suffix":""},{"dropping-particle":"","family":"O'Connor","given":"F.","non-dropping-particle":"","parse-names":false,"suffix":""},{"dropping-particle":"","family":"Rae","given":"J.","non-dropping-particle":"","parse-names":false,"suffix":""},{"dropping-particle":"","family":"Senior","given":"C.","non-dropping-particle":"","parse-names":false,"suffix":""},{"dropping-particle":"","family":"Sitch","given":"S.","non-dropping-particle":"","parse-names":false,"suffix":""},{"dropping-particle":"","family":"Totterdell","given":"I.","non-dropping-particle":"","parse-names":false,"suffix":""},{"dropping-particle":"","family":"Wiltshire","given":"A.","non-dropping-particle":"","parse-names":false,"suffix":""},{"dropping-particle":"","family":"Woodward","given":"S.","non-dropping-particle":"","parse-names":false,"suffix":""}],"container-title":"Geoscientific Model Development","id":"ITEM-1","issue":"4","issued":{"date-parts":[["2011"]]},"page":"1051-1075","title":"Development and evaluation of an Earth-System model - HadGEM2","type":"article-journal","volume":"4"},"uris":["http://www.mendeley.com/documents/?uuid=d21ea52a-a951-4415-bcf4-171001e14deb"]}],"mendeley":{"formattedCitation":"(Collins et al., 2011)","plainTextFormattedCitation":"(Collins et al., 2011)","previouslyFormattedCitation":"(Collins et al., 2011)"},"properties":{"noteIndex":0},"schema":"https://github.com/citation-style-language/schema/raw/master/csl-citation.json"}</w:instrText>
      </w:r>
      <w:r>
        <w:rPr>
          <w:rFonts w:cs="Times New Roman"/>
          <w:iCs/>
          <w:szCs w:val="24"/>
        </w:rPr>
        <w:fldChar w:fldCharType="separate"/>
      </w:r>
      <w:r w:rsidRPr="009C4040">
        <w:rPr>
          <w:rFonts w:cs="Times New Roman"/>
          <w:iCs/>
          <w:noProof/>
          <w:szCs w:val="24"/>
        </w:rPr>
        <w:t>(Collins et al., 2011)</w:t>
      </w:r>
      <w:r>
        <w:rPr>
          <w:rFonts w:cs="Times New Roman"/>
          <w:iCs/>
          <w:szCs w:val="24"/>
        </w:rPr>
        <w:fldChar w:fldCharType="end"/>
      </w:r>
      <w:r>
        <w:rPr>
          <w:rFonts w:cs="Times New Roman"/>
          <w:iCs/>
          <w:szCs w:val="24"/>
        </w:rPr>
        <w:t xml:space="preserve">. We parametrized this model with two representative concentrations pathways (RCP) that reflect future greenhouse gas emissions. </w:t>
      </w:r>
      <w:r w:rsidRPr="00EF1F20">
        <w:rPr>
          <w:rFonts w:cs="Times New Roman"/>
          <w:iCs/>
          <w:szCs w:val="24"/>
        </w:rPr>
        <w:t xml:space="preserve">RCP 8.5 reflects a very high emissions scenario while RCP 2.6 reflects stringent mitigation of greenhouse gases </w:t>
      </w:r>
      <w:r w:rsidRPr="00EF1F20">
        <w:rPr>
          <w:rFonts w:cs="Times New Roman"/>
          <w:iCs/>
          <w:szCs w:val="24"/>
        </w:rPr>
        <w:fldChar w:fldCharType="begin" w:fldLock="1"/>
      </w:r>
      <w:r>
        <w:rPr>
          <w:rFonts w:cs="Times New Roman"/>
          <w:iCs/>
          <w:szCs w:val="24"/>
        </w:rPr>
        <w:instrText>ADDIN CSL_CITATION {"citationItems":[{"id":"ITEM-1","itemData":{"author":[{"dropping-particle":"","family":"IPCC","given":"","non-dropping-particle":"","parse-names":false,"suffix":""}],"id":"ITEM-1","issued":{"date-parts":[["2014"]]},"title":"Climate Change 2014: Synthesis Report. Contribution of Working Groups I, II, III to the 5th Assessment Report of the Intergovernmental Panel on Climate Change","type":"report"},"uris":["http://www.mendeley.com/documents/?uuid=7bb45bd9-e765-48d8-9e14-5cd6ce4f823c"]}],"mendeley":{"formattedCitation":"(IPCC, 2014)","plainTextFormattedCitation":"(IPCC, 2014)","previouslyFormattedCitation":"(IPCC, 2014)"},"properties":{"noteIndex":0},"schema":"https://github.com/citation-style-language/schema/raw/master/csl-citation.json"}</w:instrText>
      </w:r>
      <w:r w:rsidRPr="00EF1F20">
        <w:rPr>
          <w:rFonts w:cs="Times New Roman"/>
          <w:iCs/>
          <w:szCs w:val="24"/>
        </w:rPr>
        <w:fldChar w:fldCharType="separate"/>
      </w:r>
      <w:r w:rsidRPr="004F2051">
        <w:rPr>
          <w:rFonts w:cs="Times New Roman"/>
          <w:iCs/>
          <w:noProof/>
          <w:szCs w:val="24"/>
        </w:rPr>
        <w:t>(IPCC, 2014)</w:t>
      </w:r>
      <w:r w:rsidRPr="00EF1F20">
        <w:rPr>
          <w:rFonts w:cs="Times New Roman"/>
          <w:iCs/>
          <w:szCs w:val="24"/>
        </w:rPr>
        <w:fldChar w:fldCharType="end"/>
      </w:r>
      <w:r w:rsidRPr="00EF1F20">
        <w:rPr>
          <w:rFonts w:cs="Times New Roman"/>
          <w:iCs/>
          <w:szCs w:val="24"/>
        </w:rPr>
        <w:t xml:space="preserve">. We downloaded the three </w:t>
      </w:r>
      <w:r>
        <w:rPr>
          <w:rFonts w:cs="Times New Roman"/>
          <w:iCs/>
          <w:szCs w:val="24"/>
        </w:rPr>
        <w:t xml:space="preserve">downscaled climate </w:t>
      </w:r>
      <w:r w:rsidRPr="00EF1F20">
        <w:rPr>
          <w:rFonts w:cs="Times New Roman"/>
          <w:iCs/>
          <w:szCs w:val="24"/>
        </w:rPr>
        <w:t xml:space="preserve">raster datasets using the “raster” R package </w:t>
      </w:r>
      <w:r w:rsidRPr="00EF1F20">
        <w:rPr>
          <w:rFonts w:cs="Times New Roman"/>
          <w:iCs/>
          <w:szCs w:val="24"/>
        </w:rPr>
        <w:fldChar w:fldCharType="begin" w:fldLock="1"/>
      </w:r>
      <w:r>
        <w:rPr>
          <w:rFonts w:cs="Times New Roman"/>
          <w:iCs/>
          <w:szCs w:val="24"/>
        </w:rPr>
        <w:instrText>ADDIN CSL_CITATION {"citationItems":[{"id":"ITEM-1","itemData":{"author":[{"dropping-particle":"","family":"Hijmans","given":"R.J.","non-dropping-particle":"","parse-names":false,"suffix":""}],"id":"ITEM-1","issued":{"date-parts":[["2017"]]},"title":"raster: Geographic Data Analysis and Modeling. R package version 2.6-7.","type":"patent"},"uris":["http://www.mendeley.com/documents/?uuid=750776f1-f33a-47ad-95b7-6373867d50f6"]}],"mendeley":{"formattedCitation":"(Hijmans, 2017)","plainTextFormattedCitation":"(Hijmans, 2017)","previouslyFormattedCitation":"(Hijmans, 2017)"},"properties":{"noteIndex":0},"schema":"https://github.com/citation-style-language/schema/raw/master/csl-citation.json"}</w:instrText>
      </w:r>
      <w:r w:rsidRPr="00EF1F20">
        <w:rPr>
          <w:rFonts w:cs="Times New Roman"/>
          <w:iCs/>
          <w:szCs w:val="24"/>
        </w:rPr>
        <w:fldChar w:fldCharType="separate"/>
      </w:r>
      <w:r w:rsidRPr="004F2051">
        <w:rPr>
          <w:rFonts w:cs="Times New Roman"/>
          <w:iCs/>
          <w:noProof/>
          <w:szCs w:val="24"/>
        </w:rPr>
        <w:t>(Hijmans, 2017)</w:t>
      </w:r>
      <w:r w:rsidRPr="00EF1F20">
        <w:rPr>
          <w:rFonts w:cs="Times New Roman"/>
          <w:iCs/>
          <w:szCs w:val="24"/>
        </w:rPr>
        <w:fldChar w:fldCharType="end"/>
      </w:r>
      <w:r w:rsidRPr="00EF1F20">
        <w:rPr>
          <w:rFonts w:cs="Times New Roman"/>
          <w:iCs/>
          <w:szCs w:val="24"/>
        </w:rPr>
        <w:t xml:space="preserve">. </w:t>
      </w:r>
    </w:p>
    <w:p w14:paraId="3CEFD2B5" w14:textId="77777777" w:rsidR="00AB7462" w:rsidRPr="00EF1F20" w:rsidRDefault="00AB7462" w:rsidP="00AB7462">
      <w:pPr>
        <w:spacing w:line="480" w:lineRule="auto"/>
        <w:contextualSpacing/>
        <w:rPr>
          <w:rFonts w:cs="Times New Roman"/>
          <w:i/>
          <w:szCs w:val="24"/>
        </w:rPr>
      </w:pPr>
    </w:p>
    <w:p w14:paraId="577337E7" w14:textId="77777777" w:rsidR="00AB7462" w:rsidRPr="00EF1F20" w:rsidRDefault="00AB7462" w:rsidP="00AB7462">
      <w:pPr>
        <w:spacing w:line="480" w:lineRule="auto"/>
        <w:contextualSpacing/>
        <w:rPr>
          <w:rFonts w:cs="Times New Roman"/>
          <w:i/>
          <w:iCs/>
          <w:szCs w:val="24"/>
        </w:rPr>
      </w:pPr>
      <w:r w:rsidRPr="00EF1F20">
        <w:rPr>
          <w:rFonts w:ascii="TimesNewRomanPSMT" w:hAnsi="TimesNewRomanPSMT" w:cs="TimesNewRomanPSMT"/>
          <w:i/>
          <w:iCs/>
          <w:color w:val="000000"/>
          <w:szCs w:val="24"/>
        </w:rPr>
        <w:t>Avian</w:t>
      </w:r>
      <w:r w:rsidRPr="00EF1F20">
        <w:rPr>
          <w:rFonts w:cs="Times New Roman"/>
          <w:i/>
          <w:iCs/>
          <w:szCs w:val="24"/>
        </w:rPr>
        <w:t xml:space="preserve"> aerial insectivore </w:t>
      </w:r>
      <w:r w:rsidRPr="00EF1F20">
        <w:rPr>
          <w:rFonts w:ascii="TimesNewRomanPSMT" w:hAnsi="TimesNewRomanPSMT" w:cs="TimesNewRomanPSMT"/>
          <w:i/>
          <w:iCs/>
          <w:color w:val="000000"/>
          <w:szCs w:val="24"/>
        </w:rPr>
        <w:t>field metabolic rates</w:t>
      </w:r>
    </w:p>
    <w:p w14:paraId="7A348410" w14:textId="77777777" w:rsidR="00AB7462" w:rsidRPr="00EF1F20" w:rsidRDefault="00AB7462" w:rsidP="00AB74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contextualSpacing/>
        <w:rPr>
          <w:rFonts w:ascii="TimesNewRomanPSMT" w:hAnsi="TimesNewRomanPSMT" w:cs="TimesNewRomanPSMT"/>
          <w:color w:val="000000"/>
          <w:szCs w:val="24"/>
        </w:rPr>
      </w:pPr>
      <w:r w:rsidRPr="00EF1F20">
        <w:rPr>
          <w:rFonts w:ascii="TimesNewRomanPSMT" w:hAnsi="TimesNewRomanPSMT" w:cs="TimesNewRomanPSMT"/>
          <w:color w:val="000000"/>
          <w:szCs w:val="24"/>
        </w:rPr>
        <w:tab/>
        <w:t>Avian aerial insectivores are birds that catch insects exclusively or almost exclusively in flight and consume emergent aquatic insects to</w:t>
      </w:r>
      <w:r>
        <w:rPr>
          <w:rFonts w:ascii="TimesNewRomanPSMT" w:hAnsi="TimesNewRomanPSMT" w:cs="TimesNewRomanPSMT"/>
          <w:color w:val="000000"/>
          <w:szCs w:val="24"/>
        </w:rPr>
        <w:t>, at least partially,</w:t>
      </w:r>
      <w:r w:rsidRPr="00EF1F20">
        <w:rPr>
          <w:rFonts w:ascii="TimesNewRomanPSMT" w:hAnsi="TimesNewRomanPSMT" w:cs="TimesNewRomanPSMT"/>
          <w:color w:val="000000"/>
          <w:szCs w:val="24"/>
        </w:rPr>
        <w:t xml:space="preserve"> meet their energetic demands </w:t>
      </w:r>
      <w:r w:rsidRPr="00EF1F20">
        <w:rPr>
          <w:rFonts w:ascii="TimesNewRomanPSMT" w:hAnsi="TimesNewRomanPSMT" w:cs="TimesNewRomanPSMT"/>
          <w:color w:val="000000"/>
          <w:szCs w:val="24"/>
        </w:rPr>
        <w:fldChar w:fldCharType="begin" w:fldLock="1"/>
      </w:r>
      <w:r>
        <w:rPr>
          <w:rFonts w:ascii="TimesNewRomanPSMT" w:hAnsi="TimesNewRomanPSMT" w:cs="TimesNewRomanPSMT"/>
          <w:color w:val="000000"/>
          <w:szCs w:val="24"/>
        </w:rPr>
        <w:instrText>ADDIN CSL_CITATION {"citationItems":[{"id":"ITEM-1","itemData":{"DOI":"10.1111/j.1365-2427.2004.01328.x","ISBN":"0046-5070","ISSN":"00465070","abstract":"1.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Biology","id":"ITEM-1","issue":"2","issued":{"date-parts":[["2005"]]},"note":"1.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zones","type":"article-journal","volume":"50"},"uris":["http://www.mendeley.com/documents/?uuid=02c84270-0e51-41d1-a8fa-ddbed6efb2f2"]}],"mendeley":{"formattedCitation":"(Baxter et al., 2005)","plainTextFormattedCitation":"(Baxter et al., 2005)","previouslyFormattedCitation":"(Baxter et al., 2005)"},"properties":{"noteIndex":0},"schema":"https://github.com/citation-style-language/schema/raw/master/csl-citation.json"}</w:instrText>
      </w:r>
      <w:r w:rsidRPr="00EF1F20">
        <w:rPr>
          <w:rFonts w:ascii="TimesNewRomanPSMT" w:hAnsi="TimesNewRomanPSMT" w:cs="TimesNewRomanPSMT"/>
          <w:color w:val="000000"/>
          <w:szCs w:val="24"/>
        </w:rPr>
        <w:fldChar w:fldCharType="separate"/>
      </w:r>
      <w:r w:rsidRPr="004F2051">
        <w:rPr>
          <w:rFonts w:ascii="TimesNewRomanPSMT" w:hAnsi="TimesNewRomanPSMT" w:cs="TimesNewRomanPSMT"/>
          <w:noProof/>
          <w:color w:val="000000"/>
          <w:szCs w:val="24"/>
        </w:rPr>
        <w:t>(Baxter et al., 2005)</w:t>
      </w:r>
      <w:r w:rsidRPr="00EF1F20">
        <w:rPr>
          <w:rFonts w:ascii="TimesNewRomanPSMT" w:hAnsi="TimesNewRomanPSMT" w:cs="TimesNewRomanPSMT"/>
          <w:color w:val="000000"/>
          <w:szCs w:val="24"/>
        </w:rPr>
        <w:fldChar w:fldCharType="end"/>
      </w:r>
      <w:r w:rsidRPr="00EF1F20">
        <w:rPr>
          <w:rFonts w:ascii="TimesNewRomanPSMT" w:hAnsi="TimesNewRomanPSMT" w:cs="TimesNewRomanPSMT"/>
          <w:color w:val="000000"/>
          <w:szCs w:val="24"/>
        </w:rPr>
        <w:t xml:space="preserve">. We identified 53 species of North American breeding birds that belong to </w:t>
      </w:r>
      <w:r w:rsidRPr="00EF1F20">
        <w:rPr>
          <w:rFonts w:ascii="TimesNewRomanPSMT" w:hAnsi="TimesNewRomanPSMT" w:cs="TimesNewRomanPSMT"/>
          <w:color w:val="000000"/>
          <w:szCs w:val="24"/>
        </w:rPr>
        <w:lastRenderedPageBreak/>
        <w:t>Nightjars and Allies (</w:t>
      </w:r>
      <w:proofErr w:type="spellStart"/>
      <w:r w:rsidRPr="00EF1F20">
        <w:rPr>
          <w:rFonts w:ascii="TimesNewRomanPSMT" w:hAnsi="TimesNewRomanPSMT" w:cs="TimesNewRomanPSMT"/>
          <w:color w:val="000000"/>
          <w:szCs w:val="24"/>
        </w:rPr>
        <w:t>Caprimulgidae</w:t>
      </w:r>
      <w:proofErr w:type="spellEnd"/>
      <w:r w:rsidRPr="00EF1F20">
        <w:rPr>
          <w:rFonts w:ascii="TimesNewRomanPSMT" w:hAnsi="TimesNewRomanPSMT" w:cs="TimesNewRomanPSMT"/>
          <w:color w:val="000000"/>
          <w:szCs w:val="24"/>
        </w:rPr>
        <w:t>), Swifts (</w:t>
      </w:r>
      <w:proofErr w:type="spellStart"/>
      <w:r w:rsidRPr="00EF1F20">
        <w:rPr>
          <w:rFonts w:ascii="TimesNewRomanPSMT" w:hAnsi="TimesNewRomanPSMT" w:cs="TimesNewRomanPSMT"/>
          <w:color w:val="000000"/>
          <w:szCs w:val="24"/>
        </w:rPr>
        <w:t>Apodidae</w:t>
      </w:r>
      <w:proofErr w:type="spellEnd"/>
      <w:r w:rsidRPr="00EF1F20">
        <w:rPr>
          <w:rFonts w:ascii="TimesNewRomanPSMT" w:hAnsi="TimesNewRomanPSMT" w:cs="TimesNewRomanPSMT"/>
          <w:color w:val="000000"/>
          <w:szCs w:val="24"/>
        </w:rPr>
        <w:t>), Tyrant Flycatchers (</w:t>
      </w:r>
      <w:proofErr w:type="spellStart"/>
      <w:r w:rsidRPr="00EF1F20">
        <w:rPr>
          <w:rFonts w:ascii="TimesNewRomanPSMT" w:hAnsi="TimesNewRomanPSMT" w:cs="TimesNewRomanPSMT"/>
          <w:color w:val="000000"/>
          <w:szCs w:val="24"/>
        </w:rPr>
        <w:t>Tyrannidae</w:t>
      </w:r>
      <w:proofErr w:type="spellEnd"/>
      <w:r w:rsidRPr="00EF1F20">
        <w:rPr>
          <w:rFonts w:ascii="TimesNewRomanPSMT" w:hAnsi="TimesNewRomanPSMT" w:cs="TimesNewRomanPSMT"/>
          <w:color w:val="000000"/>
          <w:szCs w:val="24"/>
        </w:rPr>
        <w:t>), or Swallows (</w:t>
      </w:r>
      <w:proofErr w:type="spellStart"/>
      <w:r w:rsidRPr="00EF1F20">
        <w:rPr>
          <w:rFonts w:ascii="TimesNewRomanPSMT" w:hAnsi="TimesNewRomanPSMT" w:cs="TimesNewRomanPSMT"/>
          <w:color w:val="000000"/>
          <w:szCs w:val="24"/>
        </w:rPr>
        <w:t>Hirundinidae</w:t>
      </w:r>
      <w:proofErr w:type="spellEnd"/>
      <w:r w:rsidRPr="00EF1F20">
        <w:rPr>
          <w:rFonts w:ascii="TimesNewRomanPSMT" w:hAnsi="TimesNewRomanPSMT" w:cs="TimesNewRomanPSMT"/>
          <w:color w:val="000000"/>
          <w:szCs w:val="24"/>
        </w:rPr>
        <w:t xml:space="preserve">) from </w:t>
      </w:r>
      <w:r>
        <w:rPr>
          <w:rFonts w:ascii="TimesNewRomanPSMT" w:hAnsi="TimesNewRomanPSMT" w:cs="TimesNewRomanPSMT"/>
          <w:color w:val="000000"/>
          <w:szCs w:val="24"/>
        </w:rPr>
        <w:t xml:space="preserve">the </w:t>
      </w:r>
      <w:r w:rsidRPr="00EF1F20">
        <w:rPr>
          <w:rFonts w:ascii="TimesNewRomanPSMT" w:hAnsi="TimesNewRomanPSMT" w:cs="TimesNewRomanPSMT"/>
          <w:color w:val="000000"/>
          <w:szCs w:val="24"/>
        </w:rPr>
        <w:t>Birds of the World</w:t>
      </w:r>
      <w:r>
        <w:rPr>
          <w:rFonts w:ascii="TimesNewRomanPSMT" w:hAnsi="TimesNewRomanPSMT" w:cs="TimesNewRomanPSMT"/>
          <w:color w:val="000000"/>
          <w:szCs w:val="24"/>
        </w:rPr>
        <w:t xml:space="preserve"> database </w:t>
      </w:r>
      <w:r w:rsidRPr="00EF1F20">
        <w:rPr>
          <w:rFonts w:ascii="TimesNewRomanPSMT" w:hAnsi="TimesNewRomanPSMT" w:cs="TimesNewRomanPSMT"/>
          <w:color w:val="000000"/>
          <w:szCs w:val="24"/>
        </w:rPr>
        <w:t>(https://birdsoftheworld.org). For each species, we estimated</w:t>
      </w:r>
      <w:r>
        <w:rPr>
          <w:rFonts w:ascii="TimesNewRomanPSMT" w:hAnsi="TimesNewRomanPSMT" w:cs="TimesNewRomanPSMT"/>
          <w:color w:val="000000"/>
          <w:szCs w:val="24"/>
        </w:rPr>
        <w:t xml:space="preserve"> the</w:t>
      </w:r>
      <w:r w:rsidRPr="00EF1F20">
        <w:rPr>
          <w:rFonts w:ascii="TimesNewRomanPSMT" w:hAnsi="TimesNewRomanPSMT" w:cs="TimesNewRomanPSMT"/>
          <w:color w:val="000000"/>
          <w:szCs w:val="24"/>
        </w:rPr>
        <w:t xml:space="preserve"> field metabolic rate following </w:t>
      </w:r>
      <w:r w:rsidRPr="00EF1F20">
        <w:rPr>
          <w:rFonts w:ascii="TimesNewRomanPSMT" w:hAnsi="TimesNewRomanPSMT" w:cs="TimesNewRomanPSMT"/>
          <w:color w:val="000000"/>
          <w:szCs w:val="24"/>
        </w:rPr>
        <w:fldChar w:fldCharType="begin" w:fldLock="1"/>
      </w:r>
      <w:r>
        <w:rPr>
          <w:rFonts w:ascii="TimesNewRomanPSMT" w:hAnsi="TimesNewRomanPSMT" w:cs="TimesNewRomanPSMT"/>
          <w:color w:val="000000"/>
          <w:szCs w:val="24"/>
        </w:rPr>
        <w:instrText>ADDIN CSL_CITATION {"citationItems":[{"id":"ITEM-1","itemData":{"DOI":"10.1146/annurev.nutr.19.1.247","ISSN":"01999885","PMID":"10448524","abstract":"We summarize the recent information on field metabolic rates (FMR) of wild terrestrial vertebrates as determined by the doubly labeled water technique. Allometric (scaling) relationships are calculated for mammals (79 species), reptiles (55 species), and birds (95 species) and for various taxonomic, dietary, and habitat groups within these categories. Exponential equations based on body mass are offered for predicting rates of daily energy expenditure and daily food requirements of free-ranging mammals, reptiles, and birds. Significant scaling differences between various taxa, dietary, and habitat groups (detected by analysis of covariance with P &lt; 0.05) include the following: (a) The allometric slope for reptiles (0.889) is greater than that for mammals (0.734), which is greater than that for birds (0.681); (b) the slope for eutherian mammals (0.772) is greater than that for marsupial mammals (0.590); (c) among families of birds, slopes do not differ but elevations (intercepts) do, with passerine and procellariid birds having relatively high FMRs and gallinaceous birds having low FMRs; (d) Scleroglossan lizards have a higher slope (0.949) than do Iguanian lizards (0.793); (e) desert mammals have a higher slope (0.785) than do nondesert mammals; (f) marine birds have relatively high FMRs and desert birds have low FMRs; and (g) carnivorous mammals have a relatively high slope and carnivorous, insectivorous, and nectarivorous birds have relatively higher FMRs than do omnivores and granivores. The difference detected between passerine and nonpasserine birds reported in earlier reviews is not evident in the larger data set analyzed here. When the results are adjusted for phylogenetic effects using independent contrasts analysis, the difference between allometric slopes for marsupials and eutherians is no longer significant and the slope difference between Scleroglossan and Iguanian lizards disappears as well, but other taxonomic differences remain significant. Possible causes of the unexplained variations in FMR that could improve our currently inaccurate FMR prediction capabilities should be evaluated, including many important groups of terrestrial vertebrates that remain under- or unstudied and such factors as reproductive, thermoregulatory, social, and predator-avoidance behavior.","author":[{"dropping-particle":"","family":"Nagy","given":"K. A.","non-dropping-particle":"","parse-names":false,"suffix":""},{"dropping-particle":"","family":"Girard","given":"I. A.","non-dropping-particle":"","parse-names":false,"suffix":""},{"dropping-particle":"","family":"Brown","given":"T. K.","non-dropping-particle":"","parse-names":false,"suffix":""}],"container-title":"Annual Review of Nutrition","id":"ITEM-1","issued":{"date-parts":[["1999"]]},"page":"247-277","title":"Energetics of free-ranging mammals, reptiles, and birds","type":"article-journal","volume":"19"},"uris":["http://www.mendeley.com/documents/?uuid=c4e19643-3622-4396-b15c-ba45d3adc640"]}],"mendeley":{"formattedCitation":"(Nagy et al., 1999)","manualFormatting":"Nagy et al. (1999)","plainTextFormattedCitation":"(Nagy et al., 1999)","previouslyFormattedCitation":"(Nagy et al., 1999)"},"properties":{"noteIndex":0},"schema":"https://github.com/citation-style-language/schema/raw/master/csl-citation.json"}</w:instrText>
      </w:r>
      <w:r w:rsidRPr="00EF1F20">
        <w:rPr>
          <w:rFonts w:ascii="TimesNewRomanPSMT" w:hAnsi="TimesNewRomanPSMT" w:cs="TimesNewRomanPSMT"/>
          <w:color w:val="000000"/>
          <w:szCs w:val="24"/>
        </w:rPr>
        <w:fldChar w:fldCharType="separate"/>
      </w:r>
      <w:r w:rsidRPr="00EF1F20">
        <w:rPr>
          <w:rFonts w:ascii="TimesNewRomanPSMT" w:hAnsi="TimesNewRomanPSMT" w:cs="TimesNewRomanPSMT"/>
          <w:noProof/>
          <w:color w:val="000000"/>
          <w:szCs w:val="24"/>
        </w:rPr>
        <w:t>Nagy et al. (1999)</w:t>
      </w:r>
      <w:r w:rsidRPr="00EF1F20">
        <w:rPr>
          <w:rFonts w:ascii="TimesNewRomanPSMT" w:hAnsi="TimesNewRomanPSMT" w:cs="TimesNewRomanPSMT"/>
          <w:color w:val="000000"/>
          <w:szCs w:val="24"/>
        </w:rPr>
        <w:fldChar w:fldCharType="end"/>
      </w:r>
      <w:r w:rsidRPr="00EF1F20">
        <w:rPr>
          <w:rFonts w:ascii="TimesNewRomanPSMT" w:hAnsi="TimesNewRomanPSMT" w:cs="TimesNewRomanPSMT"/>
          <w:color w:val="000000"/>
          <w:szCs w:val="24"/>
        </w:rPr>
        <w:t>:</w:t>
      </w:r>
    </w:p>
    <w:p w14:paraId="4BBB5046" w14:textId="77777777" w:rsidR="00AB7462" w:rsidRPr="00EF1F20" w:rsidRDefault="00AB7462" w:rsidP="00AB74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contextualSpacing/>
        <w:rPr>
          <w:rFonts w:ascii="TimesNewRomanPSMT" w:hAnsi="TimesNewRomanPSMT" w:cs="TimesNewRomanPSMT"/>
          <w:color w:val="000000"/>
          <w:szCs w:val="24"/>
        </w:rPr>
      </w:pPr>
      <m:oMathPara>
        <m:oMath>
          <m:r>
            <w:rPr>
              <w:rFonts w:ascii="Cambria Math" w:hAnsi="Cambria Math" w:cs="TimesNewRomanPSMT"/>
              <w:color w:val="000000"/>
              <w:szCs w:val="24"/>
            </w:rPr>
            <m:t>FMR=</m:t>
          </m:r>
          <m:sSup>
            <m:sSupPr>
              <m:ctrlPr>
                <w:rPr>
                  <w:rFonts w:ascii="Cambria Math" w:hAnsi="Cambria Math" w:cs="TimesNewRomanPSMT"/>
                  <w:i/>
                  <w:color w:val="000000"/>
                  <w:szCs w:val="24"/>
                </w:rPr>
              </m:ctrlPr>
            </m:sSupPr>
            <m:e>
              <m:r>
                <w:rPr>
                  <w:rFonts w:ascii="Cambria Math" w:hAnsi="Cambria Math" w:cs="TimesNewRomanPSMT"/>
                  <w:color w:val="000000"/>
                  <w:szCs w:val="24"/>
                </w:rPr>
                <m:t>10.5 M</m:t>
              </m:r>
            </m:e>
            <m:sup>
              <m:r>
                <w:rPr>
                  <w:rFonts w:ascii="Cambria Math" w:hAnsi="Cambria Math" w:cs="TimesNewRomanPSMT"/>
                  <w:color w:val="000000"/>
                  <w:szCs w:val="24"/>
                </w:rPr>
                <m:t>0.681</m:t>
              </m:r>
            </m:sup>
          </m:sSup>
        </m:oMath>
      </m:oMathPara>
    </w:p>
    <w:p w14:paraId="6C036E03" w14:textId="77777777" w:rsidR="00AB7462" w:rsidRPr="00EF1F20" w:rsidRDefault="00AB7462" w:rsidP="00AB74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contextualSpacing/>
        <w:rPr>
          <w:rFonts w:ascii="TimesNewRomanPSMT" w:hAnsi="TimesNewRomanPSMT" w:cs="TimesNewRomanPSMT"/>
          <w:color w:val="000000"/>
          <w:szCs w:val="24"/>
        </w:rPr>
      </w:pPr>
      <w:r w:rsidRPr="00EF1F20">
        <w:rPr>
          <w:rFonts w:ascii="TimesNewRomanPSMT" w:hAnsi="TimesNewRomanPSMT" w:cs="TimesNewRomanPSMT"/>
          <w:color w:val="000000"/>
          <w:szCs w:val="24"/>
        </w:rPr>
        <w:t>where FMR is the field metabolic rate (kJ d</w:t>
      </w:r>
      <w:r w:rsidRPr="00EF1F20">
        <w:rPr>
          <w:rFonts w:ascii="TimesNewRomanPSMT" w:hAnsi="TimesNewRomanPSMT" w:cs="TimesNewRomanPSMT"/>
          <w:color w:val="000000"/>
          <w:szCs w:val="24"/>
          <w:vertAlign w:val="superscript"/>
        </w:rPr>
        <w:t>-1</w:t>
      </w:r>
      <w:r w:rsidRPr="00EF1F20">
        <w:rPr>
          <w:rFonts w:ascii="TimesNewRomanPSMT" w:hAnsi="TimesNewRomanPSMT" w:cs="TimesNewRomanPSMT"/>
          <w:color w:val="000000"/>
          <w:szCs w:val="24"/>
        </w:rPr>
        <w:t xml:space="preserve">) and M is the body mass (g). We obtained body mass estimates from </w:t>
      </w:r>
      <w:r w:rsidRPr="00EF1F20">
        <w:rPr>
          <w:rFonts w:ascii="TimesNewRomanPSMT" w:hAnsi="TimesNewRomanPSMT" w:cs="TimesNewRomanPSMT"/>
          <w:color w:val="000000"/>
          <w:szCs w:val="24"/>
        </w:rPr>
        <w:fldChar w:fldCharType="begin" w:fldLock="1"/>
      </w:r>
      <w:r>
        <w:rPr>
          <w:rFonts w:ascii="TimesNewRomanPSMT" w:hAnsi="TimesNewRomanPSMT" w:cs="TimesNewRomanPSMT"/>
          <w:color w:val="000000"/>
          <w:szCs w:val="24"/>
        </w:rPr>
        <w:instrText>ADDIN CSL_CITATION {"citationItems":[{"id":"ITEM-1","itemData":{"editor":[{"dropping-particle":"","family":"Dunning","given":"John B.","non-dropping-particle":"","parse-names":false,"suffix":""}],"id":"ITEM-1","issued":{"date-parts":[["2008"]]},"publisher":"CRC Press","title":"CRC Handbook of Avian Body Masses","type":"book"},"uris":["http://www.mendeley.com/documents/?uuid=9d6960cf-e320-4d4e-ae07-418fd0a6129d"]}],"mendeley":{"formattedCitation":"(Dunning, 2008)","manualFormatting":"Dunning (2008)","plainTextFormattedCitation":"(Dunning, 2008)","previouslyFormattedCitation":"(Dunning, 2008)"},"properties":{"noteIndex":0},"schema":"https://github.com/citation-style-language/schema/raw/master/csl-citation.json"}</w:instrText>
      </w:r>
      <w:r w:rsidRPr="00EF1F20">
        <w:rPr>
          <w:rFonts w:ascii="TimesNewRomanPSMT" w:hAnsi="TimesNewRomanPSMT" w:cs="TimesNewRomanPSMT"/>
          <w:color w:val="000000"/>
          <w:szCs w:val="24"/>
        </w:rPr>
        <w:fldChar w:fldCharType="separate"/>
      </w:r>
      <w:r w:rsidRPr="00EF1F20">
        <w:rPr>
          <w:rFonts w:ascii="TimesNewRomanPSMT" w:hAnsi="TimesNewRomanPSMT" w:cs="TimesNewRomanPSMT"/>
          <w:noProof/>
          <w:color w:val="000000"/>
          <w:szCs w:val="24"/>
        </w:rPr>
        <w:t>Dunning (2008)</w:t>
      </w:r>
      <w:r w:rsidRPr="00EF1F20">
        <w:rPr>
          <w:rFonts w:ascii="TimesNewRomanPSMT" w:hAnsi="TimesNewRomanPSMT" w:cs="TimesNewRomanPSMT"/>
          <w:color w:val="000000"/>
          <w:szCs w:val="24"/>
        </w:rPr>
        <w:fldChar w:fldCharType="end"/>
      </w:r>
      <w:r w:rsidRPr="00EF1F20">
        <w:rPr>
          <w:rFonts w:ascii="TimesNewRomanPSMT" w:hAnsi="TimesNewRomanPSMT" w:cs="TimesNewRomanPSMT"/>
          <w:color w:val="000000"/>
          <w:szCs w:val="24"/>
        </w:rPr>
        <w:t>. When multiple estimates of body mass were available for a species, we used a weighted average as a single estimate (Table S</w:t>
      </w:r>
      <w:r>
        <w:rPr>
          <w:rFonts w:ascii="TimesNewRomanPSMT" w:hAnsi="TimesNewRomanPSMT" w:cs="TimesNewRomanPSMT"/>
          <w:color w:val="000000"/>
          <w:szCs w:val="24"/>
        </w:rPr>
        <w:t>3</w:t>
      </w:r>
      <w:r w:rsidRPr="00EF1F20">
        <w:rPr>
          <w:rFonts w:ascii="TimesNewRomanPSMT" w:hAnsi="TimesNewRomanPSMT" w:cs="TimesNewRomanPSMT"/>
          <w:color w:val="000000"/>
          <w:szCs w:val="24"/>
        </w:rPr>
        <w:t xml:space="preserve">). </w:t>
      </w:r>
    </w:p>
    <w:p w14:paraId="5AA04819" w14:textId="77777777" w:rsidR="00AB7462" w:rsidRPr="00EF1F20" w:rsidRDefault="00AB7462" w:rsidP="00AB7462">
      <w:pPr>
        <w:spacing w:line="480" w:lineRule="auto"/>
        <w:ind w:firstLine="720"/>
        <w:contextualSpacing/>
        <w:rPr>
          <w:rFonts w:cs="Times New Roman"/>
          <w:szCs w:val="24"/>
        </w:rPr>
      </w:pPr>
      <w:r w:rsidRPr="00EF1F20">
        <w:rPr>
          <w:rFonts w:cs="Times New Roman"/>
          <w:szCs w:val="24"/>
        </w:rPr>
        <w:t xml:space="preserve">We obtained abundance information for each species from the </w:t>
      </w:r>
      <w:proofErr w:type="spellStart"/>
      <w:r w:rsidRPr="00EF1F20">
        <w:rPr>
          <w:rFonts w:cs="Times New Roman"/>
          <w:szCs w:val="24"/>
        </w:rPr>
        <w:t>eBird</w:t>
      </w:r>
      <w:proofErr w:type="spellEnd"/>
      <w:r w:rsidRPr="00EF1F20">
        <w:rPr>
          <w:rFonts w:cs="Times New Roman"/>
          <w:szCs w:val="24"/>
        </w:rPr>
        <w:t xml:space="preserve"> Status and Trends data products </w:t>
      </w:r>
      <w:r w:rsidRPr="00EF1F20">
        <w:rPr>
          <w:rFonts w:cs="Times New Roman"/>
          <w:szCs w:val="24"/>
        </w:rPr>
        <w:fldChar w:fldCharType="begin" w:fldLock="1"/>
      </w:r>
      <w:r>
        <w:rPr>
          <w:rFonts w:cs="Times New Roman"/>
          <w:szCs w:val="24"/>
        </w:rPr>
        <w:instrText>ADDIN CSL_CITATION {"citationItems":[{"id":"ITEM-1","itemData":{"author":[{"dropping-particle":"","family":"Fink","given":"D.","non-dropping-particle":"","parse-names":false,"suffix":""},{"dropping-particle":"","family":"Auer","given":"T.","non-dropping-particle":"","parse-names":false,"suffix":""},{"dropping-particle":"","family":"Johnston","given":"A.","non-dropping-particle":"","parse-names":false,"suffix":""},{"dropping-particle":"","family":"Strimas-Mackey","given":"M.","non-dropping-particle":"","parse-names":false,"suffix":""},{"dropping-particle":"","family":"Robinson","given":"O.","non-dropping-particle":"","parse-names":false,"suffix":""},{"dropping-particle":"","family":"Ligocki","given":"S.","non-dropping-particle":"","parse-names":false,"suffix":""},{"dropping-particle":"","family":"Petersen","given":"B.","non-dropping-particle":"","parse-names":false,"suffix":""},{"dropping-particle":"","family":"Wood","given":"C.","non-dropping-particle":"","parse-names":false,"suffix":""},{"dropping-particle":"","family":"Davies","given":"I.","non-dropping-particle":"","parse-names":false,"suffix":""},{"dropping-particle":"","family":"Sullivan","given":"B.","non-dropping-particle":"","parse-names":false,"suffix":""},{"dropping-particle":"","family":"Iliff","given":"M.","non-dropping-particle":"","parse-names":false,"suffix":""},{"dropping-particle":"","family":"Kelling","given":"S.","non-dropping-particle":"","parse-names":false,"suffix":""}],"id":"ITEM-1","issued":{"date-parts":[["2020"]]},"publisher":"Cornell Lab of Ornithology, Ithaca, New York","title":"eBird Status and Trends, Data Version: 2018; Released: 2020","type":"article"},"uris":["http://www.mendeley.com/documents/?uuid=95487c68-568b-4a4c-a904-60282095faaf"]}],"mendeley":{"formattedCitation":"(Fink et al., 2020b)","plainTextFormattedCitation":"(Fink et al., 2020b)","previouslyFormattedCitation":"(Fink et al., 2020b)"},"properties":{"noteIndex":0},"schema":"https://github.com/citation-style-language/schema/raw/master/csl-citation.json"}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(Fink et al., 2020b)</w:t>
      </w:r>
      <w:r w:rsidRPr="00EF1F20">
        <w:rPr>
          <w:rFonts w:cs="Times New Roman"/>
          <w:szCs w:val="24"/>
        </w:rPr>
        <w:fldChar w:fldCharType="end"/>
      </w:r>
      <w:r w:rsidRPr="00EF1F20">
        <w:rPr>
          <w:rFonts w:cs="Times New Roman"/>
          <w:szCs w:val="24"/>
        </w:rPr>
        <w:t xml:space="preserve">. These data are available at weekly intervals for the entire Western Hemisphere at a ~2.96 x 2.96 km resolution. Abundance estimates were derived from birding observations conducted by citizen scientists and reflect the number of individuals a skilled observer would count beginning at the optimal time of day and expending the effort necessary to maximize detection </w:t>
      </w:r>
      <w:r w:rsidRPr="00EF1F20">
        <w:rPr>
          <w:rFonts w:cs="Times New Roman"/>
          <w:szCs w:val="24"/>
        </w:rPr>
        <w:fldChar w:fldCharType="begin" w:fldLock="1"/>
      </w:r>
      <w:r>
        <w:rPr>
          <w:rFonts w:cs="Times New Roman"/>
          <w:szCs w:val="24"/>
        </w:rPr>
        <w:instrText>ADDIN CSL_CITATION {"citationItems":[{"id":"ITEM-1","itemData":{"DOI":"10.1002/eap.2056","ISSN":"19395582","PMID":"31837058","abstract":"Information on species’ distributions, abundances, and how they change over time is central to the study of the ecology and conservation of animal populations. This information is challenging to obtain at landscape scales across range-wide extents for two main reasons. First, landscape-scale processes that affect populations vary throughout the year and across species’ ranges, requiring high-resolution, year-round data across broad, sometimes hemispheric, spatial extents. Second, while citizen science projects can collect data at these resolutions and extents, using these data requires appropriate analysis to address known sources of bias. Here, we present an analytical framework to address these challenges and generate year-round, range-wide distributional information using citizen science data. To illustrate this approach, we apply the framework to Wood Thrush (Hylocichla mustelina), a long-distance Neotropical migrant and species of conservation concern, using data from the citizen science project eBird. We estimate occurrence and abundance across a range of spatial scales throughout the annual cycle. Additionally, we generate intra-annual estimates of the range, intra-annual estimates of the associations between species and characteristics of the landscape, and interannual trends in abundance for breeding and non-breeding seasons. The range-wide population trajectories for Wood Thrush show a close correspondence between breeding and non-breeding seasons with steep declines between 2010 and 2013 followed by shallower rates of decline from 2013 to 2016. The breeding season range-wide population trajectory based on the independently collected and analyzed North American Breeding Bird Survey data also shows this pattern. The information provided here fills important knowledge gaps for Wood Thrush, especially during the less studied migration and non-breeding periods. More generally, the modeling framework presented here can be used to accurately capture landscape scale intra- and interannual distributional dynamics for broadly distributed, highly mobile species.","author":[{"dropping-particle":"","family":"Fink","given":"Daniel","non-dropping-particle":"","parse-names":false,"suffix":""},{"dropping-particle":"","family":"Auer","given":"Tom","non-dropping-particle":"","parse-names":false,"suffix":""},{"dropping-particle":"","family":"Johnston","given":"Alison","non-dropping-particle":"","parse-names":false,"suffix":""},{"dropping-particle":"","family":"Ruiz-Gutierrez","given":"Viviana","non-dropping-particle":"","parse-names":false,"suffix":""},{"dropping-particle":"","family":"Hochachka","given":"Wesley M.","non-dropping-particle":"","parse-names":false,"suffix":""},{"dropping-particle":"","family":"Kelling","given":"Steve","non-dropping-particle":"","parse-names":false,"suffix":""}],"container-title":"Ecological Applications","id":"ITEM-1","issue":"3","issued":{"date-parts":[["2020"]]},"page":"1-16","title":"Modeling avian full annual cycle distribution and population trends with citizen science data","type":"article-journal","volume":"30"},"uris":["http://www.mendeley.com/documents/?uuid=8c8570b0-f4f2-4030-867a-c23726632db1"]},{"id":"ITEM-2","itemData":{"DOI":"10.1002/eap.2058","ISSN":"19395582","PMID":"31838775","abstract":"Most spatial conservation planning for wide-ranging or migratory species is constrained by poor knowledge of species’ spatiotemporal dynamics and is only based on static species’ ranges. However, species have substantial variation in abundance across their range and migratory species have important spatiotemporal population dynamics. With growing ecological data and advancing analytics, both of these can be estimated and incorporated into spatial conservation planning. However, there is limited information on the degree to which including this information affects conservation planning. We compared the performance of systematic conservation prioritizations for different scenarios based on varying the input species’ distributions by ecological metric (abundance distributions versus range maps) and temporal sampling resolution (weekly, monthly, or quarterly). We used the example of a community of 41 species of migratory shorebirds that breed in North America, and we used eBird data to produce weekly estimates of species’ abundances and ranges. Abundance distributions at a monthly or weekly resolution led to prioritizations that most efficiently protected species throughout the full annual cycle. Conversely, spatial prioritizations based on species’ ranges required more sites and left most species insufficiently protected for at least part of their annual cycle. Prioritizations with only quarterly species ranges were very inefficient as they needed to target 40% of species’ ranges to include 10% of populations. We highlight the high value of abundance information for spatial conservation planning, which leads to more efficient and effective spatial prioritization for conservation. Overall, we provide evidence that spatial conservation planning for wide-ranging migratory species is most robust and efficient when informed by species’ abundance information from the full annual cycle.","author":[{"dropping-particle":"","family":"Johnston","given":"A.","non-dropping-particle":"","parse-names":false,"suffix":""},{"dropping-particle":"","family":"Auer","given":"T.","non-dropping-particle":"","parse-names":false,"suffix":""},{"dropping-particle":"","family":"Fink","given":"D.","non-dropping-particle":"","parse-names":false,"suffix":""},{"dropping-particle":"","family":"Strimas-Mackey","given":"M.","non-dropping-particle":"","parse-names":false,"suffix":""},{"dropping-particle":"","family":"Iliff","given":"M.","non-dropping-particle":"","parse-names":false,"suffix":""},{"dropping-particle":"V.","family":"Rosenberg","given":"K.","non-dropping-particle":"","parse-names":false,"suffix":""},{"dropping-particle":"","family":"Brown","given":"S.","non-dropping-particle":"","parse-names":false,"suffix":""},{"dropping-particle":"","family":"Lanctot","given":"R.","non-dropping-particle":"","parse-names":false,"suffix":""},{"dropping-particle":"","family":"Rodewald","given":"A. D.","non-dropping-particle":"","parse-names":false,"suffix":""},{"dropping-particle":"","family":"Kelling","given":"S.","non-dropping-particle":"","parse-names":false,"suffix":""}],"container-title":"Ecological Applications","id":"ITEM-2","issue":"3","issued":{"date-parts":[["2020"]]},"page":"1-13","title":"Comparing abundance distributions and range maps in spatial conservation planning for migratory species","type":"article-journal","volume":"30"},"uris":["http://www.mendeley.com/documents/?uuid=054619a1-1329-4a2e-9642-b46a14c75a86"]}],"mendeley":{"formattedCitation":"(Fink et al., 2020a; Johnston et al., 2020)","plainTextFormattedCitation":"(Fink et al., 2020a; Johnston et al., 2020)","previouslyFormattedCitation":"(Fink et al., 2020a; Johnston et al., 2020)"},"properties":{"noteIndex":0},"schema":"https://github.com/citation-style-language/schema/raw/master/csl-citation.json"}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(Fink et al., 2020a; Johnston et al., 2020)</w:t>
      </w:r>
      <w:r w:rsidRPr="00EF1F20">
        <w:rPr>
          <w:rFonts w:cs="Times New Roman"/>
          <w:szCs w:val="24"/>
        </w:rPr>
        <w:fldChar w:fldCharType="end"/>
      </w:r>
      <w:r w:rsidRPr="00EF1F20">
        <w:rPr>
          <w:rFonts w:cs="Times New Roman"/>
          <w:szCs w:val="24"/>
        </w:rPr>
        <w:t xml:space="preserve">. Although these values underestimate absolute abundance, they are relative to all other sites such that it is possible to draw informative comparisons among them </w:t>
      </w:r>
      <w:r w:rsidRPr="00EF1F20">
        <w:rPr>
          <w:rFonts w:cs="Times New Roman"/>
          <w:szCs w:val="24"/>
        </w:rPr>
        <w:fldChar w:fldCharType="begin" w:fldLock="1"/>
      </w:r>
      <w:r>
        <w:rPr>
          <w:rFonts w:cs="Times New Roman"/>
          <w:szCs w:val="24"/>
        </w:rPr>
        <w:instrText>ADDIN CSL_CITATION {"citationItems":[{"id":"ITEM-1","itemData":{"DOI":"10.1002/eap.2058","ISSN":"19395582","PMID":"31838775","abstract":"Most spatial conservation planning for wide-ranging or migratory species is constrained by poor knowledge of species’ spatiotemporal dynamics and is only based on static species’ ranges. However, species have substantial variation in abundance across their range and migratory species have important spatiotemporal population dynamics. With growing ecological data and advancing analytics, both of these can be estimated and incorporated into spatial conservation planning. However, there is limited information on the degree to which including this information affects conservation planning. We compared the performance of systematic conservation prioritizations for different scenarios based on varying the input species’ distributions by ecological metric (abundance distributions versus range maps) and temporal sampling resolution (weekly, monthly, or quarterly). We used the example of a community of 41 species of migratory shorebirds that breed in North America, and we used eBird data to produce weekly estimates of species’ abundances and ranges. Abundance distributions at a monthly or weekly resolution led to prioritizations that most efficiently protected species throughout the full annual cycle. Conversely, spatial prioritizations based on species’ ranges required more sites and left most species insufficiently protected for at least part of their annual cycle. Prioritizations with only quarterly species ranges were very inefficient as they needed to target 40% of species’ ranges to include 10% of populations. We highlight the high value of abundance information for spatial conservation planning, which leads to more efficient and effective spatial prioritization for conservation. Overall, we provide evidence that spatial conservation planning for wide-ranging migratory species is most robust and efficient when informed by species’ abundance information from the full annual cycle.","author":[{"dropping-particle":"","family":"Johnston","given":"A.","non-dropping-particle":"","parse-names":false,"suffix":""},{"dropping-particle":"","family":"Auer","given":"T.","non-dropping-particle":"","parse-names":false,"suffix":""},{"dropping-particle":"","family":"Fink","given":"D.","non-dropping-particle":"","parse-names":false,"suffix":""},{"dropping-particle":"","family":"Strimas-Mackey","given":"M.","non-dropping-particle":"","parse-names":false,"suffix":""},{"dropping-particle":"","family":"Iliff","given":"M.","non-dropping-particle":"","parse-names":false,"suffix":""},{"dropping-particle":"V.","family":"Rosenberg","given":"K.","non-dropping-particle":"","parse-names":false,"suffix":""},{"dropping-particle":"","family":"Brown","given":"S.","non-dropping-particle":"","parse-names":false,"suffix":""},{"dropping-particle":"","family":"Lanctot","given":"R.","non-dropping-particle":"","parse-names":false,"suffix":""},{"dropping-particle":"","family":"Rodewald","given":"A. D.","non-dropping-particle":"","parse-names":false,"suffix":""},{"dropping-particle":"","family":"Kelling","given":"S.","non-dropping-particle":"","parse-names":false,"suffix":""}],"container-title":"Ecological Applications","id":"ITEM-1","issue":"3","issued":{"date-parts":[["2020"]]},"page":"1-13","title":"Comparing abundance distributions and range maps in spatial conservation planning for migratory species","type":"article-journal","volume":"30"},"uris":["http://www.mendeley.com/documents/?uuid=054619a1-1329-4a2e-9642-b46a14c75a86"]}],"mendeley":{"formattedCitation":"(Johnston et al., 2020)","plainTextFormattedCitation":"(Johnston et al., 2020)","previouslyFormattedCitation":"(Johnston et al., 2020)"},"properties":{"noteIndex":0},"schema":"https://github.com/citation-style-language/schema/raw/master/csl-citation.json"}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(Johnston et al., 2020)</w:t>
      </w:r>
      <w:r w:rsidRPr="00EF1F20">
        <w:rPr>
          <w:rFonts w:cs="Times New Roman"/>
          <w:szCs w:val="24"/>
        </w:rPr>
        <w:fldChar w:fldCharType="end"/>
      </w:r>
      <w:r w:rsidRPr="00EF1F20">
        <w:rPr>
          <w:rFonts w:cs="Times New Roman"/>
          <w:szCs w:val="24"/>
        </w:rPr>
        <w:t>. To calculate the annual energetic demand of the avian aerial insectivores, we first multiplied the abundance of a species by its FMR (kJ d</w:t>
      </w:r>
      <w:r w:rsidRPr="00EF1F20">
        <w:rPr>
          <w:rFonts w:cs="Times New Roman"/>
          <w:szCs w:val="24"/>
          <w:vertAlign w:val="superscript"/>
        </w:rPr>
        <w:t>-1</w:t>
      </w:r>
      <w:r w:rsidRPr="00EF1F20">
        <w:rPr>
          <w:rFonts w:cs="Times New Roman"/>
          <w:szCs w:val="24"/>
        </w:rPr>
        <w:t>) and then multiplied this value by 7 days to obtain the weekly FMR for each species. The annual energetic demand (kJ y</w:t>
      </w:r>
      <w:r w:rsidRPr="00EF1F20">
        <w:rPr>
          <w:rFonts w:cs="Times New Roman"/>
          <w:szCs w:val="24"/>
          <w:vertAlign w:val="superscript"/>
        </w:rPr>
        <w:t>-1</w:t>
      </w:r>
      <w:r w:rsidRPr="00EF1F20">
        <w:rPr>
          <w:rFonts w:cs="Times New Roman"/>
          <w:szCs w:val="24"/>
        </w:rPr>
        <w:t xml:space="preserve">) is the sum of weekly FMR for all weeks and species. </w:t>
      </w:r>
    </w:p>
    <w:p w14:paraId="51FACD35" w14:textId="77777777" w:rsidR="00AB7462" w:rsidRPr="00EF1F20" w:rsidRDefault="00AB7462" w:rsidP="00AB7462">
      <w:pPr>
        <w:rPr>
          <w:rFonts w:cs="Times New Roman"/>
          <w:i/>
          <w:iCs/>
          <w:szCs w:val="24"/>
        </w:rPr>
      </w:pPr>
    </w:p>
    <w:p w14:paraId="1D9F5A33" w14:textId="77777777" w:rsidR="00AB7462" w:rsidRPr="00EF1F20" w:rsidRDefault="00AB7462" w:rsidP="00AB7462">
      <w:pPr>
        <w:rPr>
          <w:rFonts w:cs="Times New Roman"/>
          <w:i/>
          <w:iCs/>
          <w:szCs w:val="24"/>
        </w:rPr>
      </w:pPr>
      <w:r w:rsidRPr="00EF1F20">
        <w:rPr>
          <w:rFonts w:cs="Times New Roman"/>
          <w:i/>
          <w:iCs/>
          <w:szCs w:val="24"/>
        </w:rPr>
        <w:t>Analysis</w:t>
      </w:r>
    </w:p>
    <w:p w14:paraId="0554183E" w14:textId="77777777" w:rsidR="00AB7462" w:rsidRPr="00EF1F20" w:rsidRDefault="00AB7462" w:rsidP="00AB7462">
      <w:pPr>
        <w:spacing w:line="480" w:lineRule="auto"/>
        <w:ind w:firstLine="720"/>
        <w:contextualSpacing/>
        <w:rPr>
          <w:rFonts w:cs="Times New Roman"/>
          <w:szCs w:val="24"/>
        </w:rPr>
      </w:pPr>
      <w:r w:rsidRPr="00EF1F20">
        <w:rPr>
          <w:rFonts w:cs="Times New Roman"/>
          <w:szCs w:val="24"/>
        </w:rPr>
        <w:t>We used random forest regression</w:t>
      </w:r>
      <w:r>
        <w:rPr>
          <w:rFonts w:cs="Times New Roman"/>
          <w:szCs w:val="24"/>
        </w:rPr>
        <w:t xml:space="preserve"> to</w:t>
      </w:r>
      <w:r w:rsidRPr="00EF1F20">
        <w:rPr>
          <w:rFonts w:cs="Times New Roman"/>
          <w:szCs w:val="24"/>
        </w:rPr>
        <w:t xml:space="preserve"> establish an empirical relationship between the annual production </w:t>
      </w:r>
      <w:r>
        <w:rPr>
          <w:rFonts w:cs="Times New Roman"/>
          <w:szCs w:val="24"/>
        </w:rPr>
        <w:t xml:space="preserve">of </w:t>
      </w:r>
      <w:r w:rsidRPr="00EF1F20">
        <w:rPr>
          <w:rFonts w:cs="Times New Roman"/>
          <w:szCs w:val="24"/>
        </w:rPr>
        <w:t>aquatic insects and the suite of bioclimat</w:t>
      </w:r>
      <w:r>
        <w:rPr>
          <w:rFonts w:cs="Times New Roman"/>
          <w:szCs w:val="24"/>
        </w:rPr>
        <w:t>ic</w:t>
      </w:r>
      <w:r w:rsidRPr="00EF1F20">
        <w:rPr>
          <w:rFonts w:cs="Times New Roman"/>
          <w:szCs w:val="24"/>
        </w:rPr>
        <w:t xml:space="preserve"> variables</w:t>
      </w:r>
      <w:r>
        <w:rPr>
          <w:rFonts w:cs="Times New Roman"/>
          <w:szCs w:val="24"/>
        </w:rPr>
        <w:t xml:space="preserve"> (Table S1)</w:t>
      </w:r>
      <w:r w:rsidRPr="00EF1F20">
        <w:rPr>
          <w:rFonts w:cs="Times New Roman"/>
          <w:szCs w:val="24"/>
        </w:rPr>
        <w:t xml:space="preserve">. Random forest is a nonparametric ensemble modeling technique that combines results of multiple </w:t>
      </w:r>
      <w:r w:rsidRPr="00EF1F20">
        <w:rPr>
          <w:rFonts w:cs="Times New Roman"/>
          <w:szCs w:val="24"/>
        </w:rPr>
        <w:lastRenderedPageBreak/>
        <w:t xml:space="preserve">independent decision trees </w:t>
      </w:r>
      <w:r w:rsidRPr="00EF1F20">
        <w:rPr>
          <w:rFonts w:cs="Times New Roman"/>
          <w:szCs w:val="24"/>
        </w:rPr>
        <w:fldChar w:fldCharType="begin" w:fldLock="1"/>
      </w:r>
      <w:r>
        <w:rPr>
          <w:rFonts w:cs="Times New Roman"/>
          <w:szCs w:val="24"/>
        </w:rPr>
        <w:instrText xml:space="preserve">ADDIN CSL_CITATION {"citationItems":[{"id":"ITEM-1","itemData":{"DOI":"10.1007/978-3-662-56776-0_10","ISBN":"9783110941975","abstract":"Random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w:instrText>
      </w:r>
      <w:r>
        <w:rPr>
          <w:rFonts w:ascii="Cambria Math" w:hAnsi="Cambria Math" w:cs="Cambria Math"/>
          <w:szCs w:val="24"/>
        </w:rPr>
        <w:instrText>∗∗∗</w:instrText>
      </w:r>
      <w:r>
        <w:rPr>
          <w:rFonts w:cs="Times New Roman"/>
          <w:szCs w:val="24"/>
        </w:rPr>
        <w:instrText>,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regression.","author":[{"dropping-particle":"","family":"Breiman","given":"Leo","non-dropping-particle":"","parse-names":false,"suffix":""}],"container-title":"Machine Learning","id":"ITEM-1","issued":{"date-parts":[["2001"]]},"page":"5-32","title":"Random forests","type":"article-journal","volume":"45"},"uris":["http://www.mendeley.com/documents/?uuid=bc6ef2d8-941f-473a-b32f-135a50a61503"]}],"mendeley":{"formattedCitation":"(Breiman, 2001)","plainTextFormattedCitation":"(Breiman, 2001)","previouslyFormattedCitation":"(Breiman, 2001)"},"properties":{"noteIndex":0},"schema":"https://github.com/citation-style-language/schema/raw/master/csl-citation.json"}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(Breiman, 2001)</w:t>
      </w:r>
      <w:r w:rsidRPr="00EF1F20">
        <w:rPr>
          <w:rFonts w:cs="Times New Roman"/>
          <w:szCs w:val="24"/>
        </w:rPr>
        <w:fldChar w:fldCharType="end"/>
      </w:r>
      <w:r w:rsidRPr="00EF1F20">
        <w:rPr>
          <w:rFonts w:cs="Times New Roman"/>
          <w:szCs w:val="24"/>
        </w:rPr>
        <w:t xml:space="preserve">. These models are commonly used in ecology </w:t>
      </w:r>
      <w:r w:rsidRPr="00EF1F20">
        <w:rPr>
          <w:rFonts w:cs="Times New Roman"/>
          <w:szCs w:val="24"/>
        </w:rPr>
        <w:fldChar w:fldCharType="begin" w:fldLock="1"/>
      </w:r>
      <w:r>
        <w:rPr>
          <w:rFonts w:cs="Times New Roman"/>
          <w:szCs w:val="24"/>
        </w:rPr>
        <w:instrText>ADDIN CSL_CITATION {"citationItems":[{"id":"ITEM-1","itemData":{"DOI":"10.1002/eap.1617","ISSN":"19395582","abstract":"© 2017 by the Ecological Society of America. Understanding and mapping the spatial variation in stream biological condition could provide an important tool for conservation, assessment, and restoration of stream ecosystems. The USEPA's 2008-2009 National Rivers and Streams Assessment (NRSA) summarizes the percentage of stream lengths within the conterminous United States that are in good, fair, or poor biological condition based on a multimetric index of benthic invertebrate assemblages. However, condition is usually summarized at regional or national scales, and these assessments do not provide substantial insight into the spatial distribution of conditions at unsampled locations. We used random forests to model and predict the probable condition of several million kilometers of streams across the conterminous United States based on nearby and upstream landscape features, including human-related alterations to watersheds. To do so, we linked NRSA sample sites to the USEPA's StreamCat Dataset; a database of several hundred landscape metrics for all 1:100,000-scale streams and their associated watersheds within the conterminous United States. The StreamCat data provided geospatial indicators of nearby and upstream land use, land cover, climate, and other landscape features for modeling. Nationally, the model correctly predicted the biological condition class of 75% of NRSA sites. Although model evaluations suggested good discrimination among condition classes, we present maps as predicted probabilities of good condition, given upstream and nearby landscape settings. Inversely, the maps can be interpreted as the probability of a stream being in poor condition, given human-related watershed alterations. These predictions are available for download from the USEPA's StreamCat website. Finally, we illustrate how these predictions could be used to prioritize streams for conservation or restoration.","author":[{"dropping-particle":"","family":"Hill","given":"Ryan A.","non-dropping-particle":"","parse-names":false,"suffix":""},{"dropping-particle":"","family":"Fox","given":"Eric W.","non-dropping-particle":"","parse-names":false,"suffix":""},{"dropping-particle":"","family":"Leibowitz","given":"Scott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H.","non-dropping-particle":"","parse-names":false,"suffix":""}],"container-title":"Ecological Applications","id":"ITEM-1","issue":"8","issued":{"date-parts":[["2017"]]},"page":"2397-2415","title":"Predictive mapping of the biotic condition of conterminous U.S. rivers and streams","type":"article-journal","volume":"27"},"uris":["http://www.mendeley.com/documents/?uuid=c41186d5-02ef-4dae-b391-6577f4aa23cd"]},{"id":"ITEM-2","itemData":{"DOI":"10.1007/s10661-017-6025-0","ISBN":"1066101760","ISSN":"15732959","abstract":"Random forest (RF) modeling has emerged as an important statistical learning method in ecology due to its exceptional predictive performance. However, for large and complex ecological data sets, there is limited guidance on variable selection methods for RF modeling. Typically, either a preselected set of predictor variables are used or stepwise procedures are employed which iteratively remove variables according to their importance measures. This paper investigates the application of variable selection methods to RF models for predicting probable biological stream condition. Our motivating data set consists of the good/poor condition of n = 1365 stream survey sites from the 2008/2009 National Rivers and Stream Assessment, and a large set (p = 212) of landscape features from the StreamCat data set as potential predictors. We compare two types of RF models: a full variable set model with all 212 predictors and a reduced variable set model selected using a backward elimination approach. We assess model accuracy using RF’s internal out-of-bag estimate, and a cross-validation procedure with validation folds external to the variable selection process. We also assess the stability of the spatial predictions generated by the RF models to changes in the number of predictors and argue that model selection needs to consider both accuracy and stability. The results suggest that RF modeling is robust to the inclusion of many variables of moderate to low importance. We found no substantial improvement in cross-validated accuracy as a result of variable reduction. Moreover, the backward elimination procedure tended to select too few variables and exhibited numerous issues such as upwardly biased out-of-bag accuracy estimates and instabilities in the spatial predictions. We use simulations to further support and generalize results from the analysis of real data. A main purpose of this work is to elucidate issues of model selection bias and instability to ecologists interested in using RF to develop predictive models with large environmental data sets.","author":[{"dropping-particle":"","family":"Fox","given":"Eric W.","non-dropping-particle":"","parse-names":false,"suffix":""},{"dropping-particle":"","family":"Hill","given":"Ryan A.","non-dropping-particle":"","parse-names":false,"suffix":""},{"dropping-particle":"","family":"Leibowitz","given":"Scott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H.","non-dropping-particle":"","parse-names":false,"suffix":""}],"container-title":"Environmental Monitoring and Assessment","id":"ITEM-2","issued":{"date-parts":[["2017"]]},"page":"316","publisher":"Environmental Monitoring and Assessment","title":"Assessing the accuracy and stability of variable selection methods for random forest modeling in ecology","type":"article-journal","volume":"189"},"uris":["http://www.mendeley.com/documents/?uuid=e8433c01-1170-41d9-9dba-12f173c6e914"]}],"mendeley":{"formattedCitation":"(Fox et al., 2017; Hill et al., 2017)","plainTextFormattedCitation":"(Fox et al., 2017; Hill et al., 2017)","previouslyFormattedCitation":"(Fox et al., 2017; Hill et al., 2017)"},"properties":{"noteIndex":0},"schema":"https://github.com/citation-style-language/schema/raw/master/csl-citation.json"}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(Fox et al., 2017; Hill et al., 2017)</w:t>
      </w:r>
      <w:r w:rsidRPr="00EF1F20">
        <w:rPr>
          <w:rFonts w:cs="Times New Roman"/>
          <w:szCs w:val="24"/>
        </w:rPr>
        <w:fldChar w:fldCharType="end"/>
      </w:r>
      <w:r w:rsidRPr="00EF1F20">
        <w:rPr>
          <w:rFonts w:cs="Times New Roman"/>
          <w:szCs w:val="24"/>
        </w:rPr>
        <w:t xml:space="preserve"> but predictions from new data are single point estimates </w:t>
      </w:r>
      <w:r w:rsidRPr="00EF1F20">
        <w:rPr>
          <w:rFonts w:cs="Times New Roman"/>
          <w:szCs w:val="24"/>
        </w:rPr>
        <w:fldChar w:fldCharType="begin" w:fldLock="1"/>
      </w:r>
      <w:r>
        <w:rPr>
          <w:rFonts w:cs="Times New Roman"/>
          <w:szCs w:val="24"/>
        </w:rPr>
        <w:instrText>ADDIN CSL_CITATION {"citationItems":[{"id":"ITEM-1","itemData":{"DOI":"10.1016/j.jmva.2014.06.005","ISSN":"10957243","author":[{"dropping-particle":"","family":"Meinshausen","given":"Nicolai","non-dropping-particle":"","parse-names":false,"suffix":""}],"container-title":"Journal of Multivariate Analysis","id":"ITEM-1","issued":{"date-parts":[["2006"]]},"page":"983-999","title":"Quantile Regression Forests","type":"article-journal","volume":"7"},"uris":["http://www.mendeley.com/documents/?uuid=da8b58ae-910e-4ab5-80f9-9ff1a757d142"]}],"mendeley":{"formattedCitation":"(Meinshausen, 2006)","manualFormatting":"(i.e. mean response, Meinshausen 2006)","plainTextFormattedCitation":"(Meinshausen, 2006)","previouslyFormattedCitation":"(Meinshausen, 2006)"},"properties":{"noteIndex":0},"schema":"https://github.com/citation-style-language/schema/raw/master/csl-citation.json"}</w:instrText>
      </w:r>
      <w:r w:rsidRPr="00EF1F20">
        <w:rPr>
          <w:rFonts w:cs="Times New Roman"/>
          <w:szCs w:val="24"/>
        </w:rPr>
        <w:fldChar w:fldCharType="separate"/>
      </w:r>
      <w:r w:rsidRPr="00EF1F20">
        <w:rPr>
          <w:rFonts w:cs="Times New Roman"/>
          <w:noProof/>
          <w:szCs w:val="24"/>
        </w:rPr>
        <w:t>(i.e. mean response, Meinshausen 2006)</w:t>
      </w:r>
      <w:r w:rsidRPr="00EF1F20">
        <w:rPr>
          <w:rFonts w:cs="Times New Roman"/>
          <w:szCs w:val="24"/>
        </w:rPr>
        <w:fldChar w:fldCharType="end"/>
      </w:r>
      <w:r w:rsidRPr="00EF1F20">
        <w:rPr>
          <w:rFonts w:cs="Times New Roman"/>
          <w:szCs w:val="24"/>
        </w:rPr>
        <w:t>. Therefore</w:t>
      </w:r>
      <w:r>
        <w:rPr>
          <w:rFonts w:cs="Times New Roman"/>
          <w:szCs w:val="24"/>
        </w:rPr>
        <w:t>,</w:t>
      </w:r>
      <w:r w:rsidRPr="00EF1F20">
        <w:rPr>
          <w:rFonts w:cs="Times New Roman"/>
          <w:szCs w:val="24"/>
        </w:rPr>
        <w:t xml:space="preserve"> we also estimated 95% prediction intervals using quantile regression forests </w:t>
      </w:r>
      <w:r w:rsidRPr="00EF1F20">
        <w:rPr>
          <w:rFonts w:cs="Times New Roman"/>
          <w:szCs w:val="24"/>
        </w:rPr>
        <w:fldChar w:fldCharType="begin" w:fldLock="1"/>
      </w:r>
      <w:r>
        <w:rPr>
          <w:rFonts w:cs="Times New Roman"/>
          <w:szCs w:val="24"/>
        </w:rPr>
        <w:instrText>ADDIN CSL_CITATION {"citationItems":[{"id":"ITEM-1","itemData":{"DOI":"10.1016/j.jmva.2014.06.005","ISSN":"10957243","author":[{"dropping-particle":"","family":"Meinshausen","given":"Nicolai","non-dropping-particle":"","parse-names":false,"suffix":""}],"container-title":"Journal of Multivariate Analysis","id":"ITEM-1","issued":{"date-parts":[["2006"]]},"page":"983-999","title":"Quantile Regression Forests","type":"article-journal","volume":"7"},"uris":["http://www.mendeley.com/documents/?uuid=da8b58ae-910e-4ab5-80f9-9ff1a757d142"]}],"mendeley":{"formattedCitation":"(Meinshausen, 2006)","plainTextFormattedCitation":"(Meinshausen, 2006)","previouslyFormattedCitation":"(Meinshausen, 2006)"},"properties":{"noteIndex":0},"schema":"https://github.com/citation-style-language/schema/raw/master/csl-citation.json"}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(Meinshausen, 2006)</w:t>
      </w:r>
      <w:r w:rsidRPr="00EF1F20">
        <w:rPr>
          <w:rFonts w:cs="Times New Roman"/>
          <w:szCs w:val="24"/>
        </w:rPr>
        <w:fldChar w:fldCharType="end"/>
      </w:r>
      <w:r w:rsidRPr="00EF1F20">
        <w:rPr>
          <w:rFonts w:cs="Times New Roman"/>
          <w:szCs w:val="24"/>
        </w:rPr>
        <w:t xml:space="preserve">. In brief, quantile regression forests are a generalization of random forest regression that considers the full conditional distribution of the response variable </w:t>
      </w:r>
      <w:r w:rsidRPr="00EF1F20">
        <w:rPr>
          <w:rFonts w:cs="Times New Roman"/>
          <w:szCs w:val="24"/>
        </w:rPr>
        <w:fldChar w:fldCharType="begin" w:fldLock="1"/>
      </w:r>
      <w:r>
        <w:rPr>
          <w:rFonts w:cs="Times New Roman"/>
          <w:szCs w:val="24"/>
        </w:rPr>
        <w:instrText>ADDIN CSL_CITATION {"citationItems":[{"id":"ITEM-1","itemData":{"DOI":"10.1016/j.jmva.2014.06.005","ISSN":"10957243","author":[{"dropping-particle":"","family":"Meinshausen","given":"Nicolai","non-dropping-particle":"","parse-names":false,"suffix":""}],"container-title":"Journal of Multivariate Analysis","id":"ITEM-1","issued":{"date-parts":[["2006"]]},"page":"983-999","title":"Quantile Regression Forests","type":"article-journal","volume":"7"},"uris":["http://www.mendeley.com/documents/?uuid=da8b58ae-910e-4ab5-80f9-9ff1a757d142"]}],"mendeley":{"formattedCitation":"(Meinshausen, 2006)","plainTextFormattedCitation":"(Meinshausen, 2006)","previouslyFormattedCitation":"(Meinshausen, 2006)"},"properties":{"noteIndex":0},"schema":"https://github.com/citation-style-language/schema/raw/master/csl-citation.json"}</w:instrText>
      </w:r>
      <w:r w:rsidRPr="00EF1F20">
        <w:rPr>
          <w:rFonts w:cs="Times New Roman"/>
          <w:szCs w:val="24"/>
        </w:rPr>
        <w:fldChar w:fldCharType="separate"/>
      </w:r>
      <w:r w:rsidRPr="004F2051">
        <w:rPr>
          <w:rFonts w:cs="Times New Roman"/>
          <w:noProof/>
          <w:szCs w:val="24"/>
        </w:rPr>
        <w:t>(Meinshausen, 2006)</w:t>
      </w:r>
      <w:r w:rsidRPr="00EF1F20">
        <w:rPr>
          <w:rFonts w:cs="Times New Roman"/>
          <w:szCs w:val="24"/>
        </w:rPr>
        <w:fldChar w:fldCharType="end"/>
      </w:r>
      <w:r w:rsidRPr="00EF1F20">
        <w:rPr>
          <w:rFonts w:cs="Times New Roman"/>
          <w:szCs w:val="24"/>
        </w:rPr>
        <w:t>. As such, upper and lower bounds of a prediction can be established for a given interval</w:t>
      </w:r>
      <w:r>
        <w:rPr>
          <w:rFonts w:cs="Times New Roman"/>
          <w:szCs w:val="24"/>
        </w:rPr>
        <w:t xml:space="preserve"> as a measure of uncertainty of an estimate</w:t>
      </w:r>
      <w:r w:rsidRPr="00EF1F20">
        <w:rPr>
          <w:rFonts w:cs="Times New Roman"/>
          <w:szCs w:val="24"/>
        </w:rPr>
        <w:t xml:space="preserve">. </w:t>
      </w:r>
    </w:p>
    <w:p w14:paraId="0632C178" w14:textId="77777777" w:rsidR="00AB7462" w:rsidRDefault="00AB7462" w:rsidP="00AB7462">
      <w:pPr>
        <w:spacing w:line="480" w:lineRule="auto"/>
        <w:ind w:firstLine="720"/>
        <w:contextualSpacing/>
        <w:rPr>
          <w:rFonts w:cs="Times New Roman"/>
          <w:szCs w:val="24"/>
        </w:rPr>
      </w:pPr>
      <w:r w:rsidRPr="00EF1F20">
        <w:rPr>
          <w:rFonts w:cs="Times New Roman"/>
          <w:szCs w:val="24"/>
        </w:rPr>
        <w:t>Prior</w:t>
      </w:r>
      <w:r>
        <w:rPr>
          <w:rFonts w:cs="Times New Roman"/>
          <w:szCs w:val="24"/>
        </w:rPr>
        <w:t xml:space="preserve"> to model fitting, we randomly split the 92 estimates of insect production into training (80%) and testing data (20%) and removed strongly correlated bioclimatic variables (i.e. r &gt; 0.7). The final model included mean annual temperature, mean diurnal range, </w:t>
      </w:r>
      <w:proofErr w:type="spellStart"/>
      <w:r>
        <w:rPr>
          <w:rFonts w:cs="Times New Roman"/>
          <w:szCs w:val="24"/>
        </w:rPr>
        <w:t>isothermality</w:t>
      </w:r>
      <w:proofErr w:type="spellEnd"/>
      <w:r>
        <w:rPr>
          <w:rFonts w:cs="Times New Roman"/>
          <w:szCs w:val="24"/>
        </w:rPr>
        <w:t xml:space="preserve">, mean temperature of wettest quarter, mean temperature of driest quarter, mean annual precipitation and precipitation seasonality as predictor variables (Table S1, </w:t>
      </w:r>
      <w:r w:rsidRPr="00572A17">
        <w:rPr>
          <w:rFonts w:cs="Times New Roman"/>
          <w:iCs/>
          <w:noProof/>
          <w:szCs w:val="24"/>
        </w:rPr>
        <w:t>https://www.worldclim.org/</w:t>
      </w:r>
      <w:r>
        <w:rPr>
          <w:rFonts w:cs="Times New Roman"/>
          <w:iCs/>
          <w:noProof/>
          <w:szCs w:val="24"/>
        </w:rPr>
        <w:t>)</w:t>
      </w:r>
      <w:r>
        <w:rPr>
          <w:rFonts w:cs="Times New Roman"/>
          <w:szCs w:val="24"/>
        </w:rPr>
        <w:t>. We optimized the number of variables that are randomly selected at each node (</w:t>
      </w:r>
      <w:proofErr w:type="spellStart"/>
      <w:r>
        <w:rPr>
          <w:rFonts w:cs="Times New Roman"/>
          <w:szCs w:val="24"/>
        </w:rPr>
        <w:t>mtry</w:t>
      </w:r>
      <w:proofErr w:type="spellEnd"/>
      <w:r>
        <w:rPr>
          <w:rFonts w:cs="Times New Roman"/>
          <w:szCs w:val="24"/>
        </w:rPr>
        <w:t xml:space="preserve"> = 4) and the number of independent trees (</w:t>
      </w:r>
      <w:proofErr w:type="spellStart"/>
      <w:r>
        <w:rPr>
          <w:rFonts w:cs="Times New Roman"/>
          <w:szCs w:val="24"/>
        </w:rPr>
        <w:t>ntree</w:t>
      </w:r>
      <w:proofErr w:type="spellEnd"/>
      <w:r>
        <w:rPr>
          <w:rFonts w:cs="Times New Roman"/>
          <w:szCs w:val="24"/>
        </w:rPr>
        <w:t xml:space="preserve"> = 400) by choosing the combination that maximized the percent variation explained by, and repeatability of, the model </w:t>
      </w:r>
      <w:r>
        <w:rPr>
          <w:rFonts w:cs="Times New Roman"/>
          <w:szCs w:val="24"/>
        </w:rPr>
        <w:fldChar w:fldCharType="begin" w:fldLock="1"/>
      </w:r>
      <w:r>
        <w:rPr>
          <w:rFonts w:cs="Times New Roman"/>
          <w:szCs w:val="24"/>
        </w:rPr>
        <w:instrText>ADDIN CSL_CITATION {"citationItems":[{"id":"ITEM-1","itemData":{"DOI":"10.1111/1755-0998.12773","ISSN":"17550998","abstract":"Large genomic studies are becoming increasingly common with advances in sequencing technology, and our ability to understand how genomic variation influences phenotypic variation between individuals has never been greater. The exploration of such relationships first requires the identification of associations between molecular markers and phenotypes. Here, we explore the use of Random Forest (RF), a powerful machine-learning algorithm, in genomic studies to discern loci underlying both discrete and quantitative traits, particularly when studying wild or nonmodel organisms. RF is becoming increasingly used in ecological and population genetics because, unlike traditional methods, it can efficiently analyse thousands of loci simultaneously and account for nonadditive interactions. However, understanding both the power and limitations of Random Forest is important for its proper implementation and the interpretation of results. We therefore provide a practical introduction to the algorithm and its use for identifying associations between molecular markers and phenotypes, discussing such topics as data limitations, algorithm initiation and optimization, as well as interpretation. We also provide short R tutorials as examples, with the aim of providing a guide to the implementation of the algorithm. Topics discussed here are intended to serve as an entry point for molecular ecologists interested in employing Random Forest to identify trait associations in genomic data sets.","author":[{"dropping-particle":"","family":"Brieuc","given":"Marine S.O.","non-dropping-particle":"","parse-names":false,"suffix":""},{"dropping-particle":"","family":"Waters","given":"Charles D.","non-dropping-particle":"","parse-names":false,"suffix":""},{"dropping-particle":"","family":"Drinan","given":"Daniel P.","non-dropping-particle":"","parse-names":false,"suffix":""},{"dropping-particle":"","family":"Naish","given":"Kerry A.","non-dropping-particle":"","parse-names":false,"suffix":""}],"container-title":"Molecular Ecology Resources","id":"ITEM-1","issue":"4","issued":{"date-parts":[["2018"]]},"page":"755-766","title":"A practical introduction to Random Forest for genetic association studies in ecology and evolution","type":"article-journal","volume":"18"},"uris":["http://www.mendeley.com/documents/?uuid=c8551b35-e003-4272-8296-ca51f230aa5f"]},{"id":"ITEM-2","itemData":{"DOI":"10.1007/s10661-017-6025-0","ISBN":"1066101760","ISSN":"15732959","abstract":"Random forest (RF) modeling has emerged as an important statistical learning method in ecology due to its exceptional predictive performance. However, for large and complex ecological data sets, there is limited guidance on variable selection methods for RF modeling. Typically, either a preselected set of predictor variables are used or stepwise procedures are employed which iteratively remove variables according to their importance measures. This paper investigates the application of variable selection methods to RF models for predicting probable biological stream condition. Our motivating data set consists of the good/poor condition of n = 1365 stream survey sites from the 2008/2009 National Rivers and Stream Assessment, and a large set (p = 212) of landscape features from the StreamCat data set as potential predictors. We compare two types of RF models: a full variable set model with all 212 predictors and a reduced variable set model selected using a backward elimination approach. We assess model accuracy using RF’s internal out-of-bag estimate, and a cross-validation procedure with validation folds external to the variable selection process. We also assess the stability of the spatial predictions generated by the RF models to changes in the number of predictors and argue that model selection needs to consider both accuracy and stability. The results suggest that RF modeling is robust to the inclusion of many variables of moderate to low importance. We found no substantial improvement in cross-validated accuracy as a result of variable reduction. Moreover, the backward elimination procedure tended to select too few variables and exhibited numerous issues such as upwardly biased out-of-bag accuracy estimates and instabilities in the spatial predictions. We use simulations to further support and generalize results from the analysis of real data. A main purpose of this work is to elucidate issues of model selection bias and instability to ecologists interested in using RF to develop predictive models with large environmental data sets.","author":[{"dropping-particle":"","family":"Fox","given":"Eric W.","non-dropping-particle":"","parse-names":false,"suffix":""},{"dropping-particle":"","family":"Hill","given":"Ryan A.","non-dropping-particle":"","parse-names":false,"suffix":""},{"dropping-particle":"","family":"Leibowitz","given":"Scott G.","non-dropping-particle":"","parse-names":false,"suffix":""},{"dropping-particle":"","family":"Olsen","given":"Anthony R.","non-dropping-particle":"","parse-names":false,"suffix":""},{"dropping-particle":"","family":"Thornbrugh","given":"Darren J.","non-dropping-particle":"","parse-names":false,"suffix":""},{"dropping-particle":"","family":"Weber","given":"Marc H.","non-dropping-particle":"","parse-names":false,"suffix":""}],"container-title":"Environmental Monitoring and Assessment","id":"ITEM-2","issued":{"date-parts":[["2017"]]},"page":"316","publisher":"Environmental Monitoring and Assessment","title":"Assessing the accuracy and stability of variable selection methods for random forest modeling in ecology","type":"article-journal","volume":"189"},"uris":["http://www.mendeley.com/documents/?uuid=e8433c01-1170-41d9-9dba-12f173c6e914"]}],"mendeley":{"formattedCitation":"(Fox et al., 2017; Brieuc et al., 2018)","plainTextFormattedCitation":"(Fox et al., 2017; Brieuc et al., 2018)","previouslyFormattedCitation":"(Fox et al., 2017; Brieuc et al., 2018)"},"properties":{"noteIndex":0},"schema":"https://github.com/citation-style-language/schema/raw/master/csl-citation.json"}</w:instrText>
      </w:r>
      <w:r>
        <w:rPr>
          <w:rFonts w:cs="Times New Roman"/>
          <w:szCs w:val="24"/>
        </w:rPr>
        <w:fldChar w:fldCharType="separate"/>
      </w:r>
      <w:r w:rsidRPr="004F2051">
        <w:rPr>
          <w:rFonts w:cs="Times New Roman"/>
          <w:noProof/>
          <w:szCs w:val="24"/>
        </w:rPr>
        <w:t>(Fox et al., 2017; Brieuc et al., 2018)</w:t>
      </w:r>
      <w:r>
        <w:rPr>
          <w:rFonts w:cs="Times New Roman"/>
          <w:szCs w:val="24"/>
        </w:rPr>
        <w:fldChar w:fldCharType="end"/>
      </w:r>
      <w:r>
        <w:rPr>
          <w:rFonts w:cs="Times New Roman"/>
          <w:szCs w:val="24"/>
        </w:rPr>
        <w:t>. The mean conditional response (i.e. point estimates) were generated using the “</w:t>
      </w:r>
      <w:proofErr w:type="spellStart"/>
      <w:r>
        <w:rPr>
          <w:rFonts w:cs="Times New Roman"/>
          <w:szCs w:val="24"/>
        </w:rPr>
        <w:t>randomForest</w:t>
      </w:r>
      <w:proofErr w:type="spellEnd"/>
      <w:r>
        <w:rPr>
          <w:rFonts w:cs="Times New Roman"/>
          <w:szCs w:val="24"/>
        </w:rPr>
        <w:t xml:space="preserve">” R-package </w:t>
      </w:r>
      <w:r>
        <w:rPr>
          <w:rFonts w:cs="Times New Roman"/>
          <w:szCs w:val="24"/>
        </w:rPr>
        <w:fldChar w:fldCharType="begin" w:fldLock="1"/>
      </w:r>
      <w:r>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News","id":"ITEM-1","issued":{"date-parts":[["2002"]]},"page":"18-22","title":"Classification and Regression by randomForest","type":"article-journal","volume":"2"},"uris":["http://www.mendeley.com/documents/?uuid=8cc4db5f-3104-4fa0-97ea-d90b77201f16"]}],"mendeley":{"formattedCitation":"(Liaw and Wiener, 2002)","plainTextFormattedCitation":"(Liaw and Wiener, 2002)","previouslyFormattedCitation":"(Liaw and Wiener, 2002)"},"properties":{"noteIndex":0},"schema":"https://github.com/citation-style-language/schema/raw/master/csl-citation.json"}</w:instrText>
      </w:r>
      <w:r>
        <w:rPr>
          <w:rFonts w:cs="Times New Roman"/>
          <w:szCs w:val="24"/>
        </w:rPr>
        <w:fldChar w:fldCharType="separate"/>
      </w:r>
      <w:r w:rsidRPr="004F2051">
        <w:rPr>
          <w:rFonts w:cs="Times New Roman"/>
          <w:noProof/>
          <w:szCs w:val="24"/>
        </w:rPr>
        <w:t>(Liaw and Wiener, 2002)</w:t>
      </w:r>
      <w:r>
        <w:rPr>
          <w:rFonts w:cs="Times New Roman"/>
          <w:szCs w:val="24"/>
        </w:rPr>
        <w:fldChar w:fldCharType="end"/>
      </w:r>
      <w:r>
        <w:rPr>
          <w:rFonts w:cs="Times New Roman"/>
          <w:szCs w:val="24"/>
        </w:rPr>
        <w:t xml:space="preserve"> and we constructed 95% prediction intervals using the “</w:t>
      </w:r>
      <w:proofErr w:type="spellStart"/>
      <w:r>
        <w:rPr>
          <w:rFonts w:cs="Times New Roman"/>
          <w:szCs w:val="24"/>
        </w:rPr>
        <w:t>quantregForest</w:t>
      </w:r>
      <w:proofErr w:type="spellEnd"/>
      <w:r>
        <w:rPr>
          <w:rFonts w:cs="Times New Roman"/>
          <w:szCs w:val="24"/>
        </w:rPr>
        <w:t xml:space="preserve">” R-package </w:t>
      </w:r>
      <w:r>
        <w:rPr>
          <w:rFonts w:cs="Times New Roman"/>
          <w:szCs w:val="24"/>
        </w:rPr>
        <w:fldChar w:fldCharType="begin" w:fldLock="1"/>
      </w:r>
      <w:r>
        <w:rPr>
          <w:rFonts w:cs="Times New Roman"/>
          <w:szCs w:val="24"/>
        </w:rPr>
        <w:instrText>ADDIN CSL_CITATION {"citationItems":[{"id":"ITEM-1","itemData":{"author":[{"dropping-particle":"","family":"Meinshausen","given":"Nicolai","non-dropping-particle":"","parse-names":false,"suffix":""}],"id":"ITEM-1","issued":{"date-parts":[["2017"]]},"title":"quantregForest: Quantile Regression Forests. R package version 1.3-7","type":"report"},"uris":["http://www.mendeley.com/documents/?uuid=e255844a-2cb6-4a4c-9b53-fa3b0cd9fb05"]}],"mendeley":{"formattedCitation":"(Meinshausen, 2017)","plainTextFormattedCitation":"(Meinshausen, 2017)","previouslyFormattedCitation":"(Meinshausen, 2017)"},"properties":{"noteIndex":0},"schema":"https://github.com/citation-style-language/schema/raw/master/csl-citation.json"}</w:instrText>
      </w:r>
      <w:r>
        <w:rPr>
          <w:rFonts w:cs="Times New Roman"/>
          <w:szCs w:val="24"/>
        </w:rPr>
        <w:fldChar w:fldCharType="separate"/>
      </w:r>
      <w:r w:rsidRPr="004F2051">
        <w:rPr>
          <w:rFonts w:cs="Times New Roman"/>
          <w:noProof/>
          <w:szCs w:val="24"/>
        </w:rPr>
        <w:t>(Meinshausen, 2017)</w:t>
      </w:r>
      <w:r>
        <w:rPr>
          <w:rFonts w:cs="Times New Roman"/>
          <w:szCs w:val="24"/>
        </w:rPr>
        <w:fldChar w:fldCharType="end"/>
      </w:r>
      <w:r>
        <w:rPr>
          <w:rFonts w:cs="Times New Roman"/>
          <w:szCs w:val="24"/>
        </w:rPr>
        <w:t>.</w:t>
      </w:r>
    </w:p>
    <w:p w14:paraId="6434BBE2" w14:textId="77777777" w:rsidR="00AB7462" w:rsidRDefault="00AB7462" w:rsidP="00AB7462">
      <w:pPr>
        <w:spacing w:line="480" w:lineRule="auto"/>
        <w:ind w:firstLine="720"/>
        <w:contextualSpacing/>
        <w:rPr>
          <w:rFonts w:cs="Times New Roman"/>
          <w:iCs/>
          <w:szCs w:val="24"/>
        </w:rPr>
      </w:pPr>
      <w:r>
        <w:rPr>
          <w:rFonts w:cs="Times New Roman"/>
          <w:iCs/>
          <w:szCs w:val="24"/>
        </w:rPr>
        <w:t xml:space="preserve">We used a Bayesian mixed effects model to assess the relationship between mean stream width and climate variables and watershed area (Table S1). Climatic variables (i.e. mean annual precipitation, mean annual temperature, and precipitation seasonality) were considered population-level effects and drainage area was a group-level effect with hydrologic region as the single grouping term. The wetted width measurements from the NRSA and catchment area were </w:t>
      </w:r>
      <w:r>
        <w:rPr>
          <w:rFonts w:cs="Times New Roman"/>
          <w:iCs/>
          <w:szCs w:val="24"/>
        </w:rPr>
        <w:lastRenderedPageBreak/>
        <w:t xml:space="preserve">log-transformed prior to modeling because stream channel properties typically follow simple power functions with changing catchment area </w:t>
      </w:r>
      <w:r>
        <w:rPr>
          <w:rFonts w:cs="Times New Roman"/>
          <w:iCs/>
          <w:szCs w:val="24"/>
        </w:rPr>
        <w:fldChar w:fldCharType="begin" w:fldLock="1"/>
      </w:r>
      <w:r>
        <w:rPr>
          <w:rFonts w:cs="Times New Roman"/>
          <w:iCs/>
          <w:szCs w:val="24"/>
        </w:rPr>
        <w:instrText>ADDIN CSL_CITATION {"citationItems":[{"id":"ITEM-1","itemData":{"DOI":"10.1016/j.geomorph.2009.02.005","ISBN":"0169-555X","ISSN":"0169555X","abstract":"Bankfull channel width is a fundamental measure of stream size and a key parameter of interest for many applications in hydrology, fluvial geomorphology, and stream ecology. We developed downstream hydraulic geometry relationships for bankfull channel width w as a function of drainage area A, w = ?? A??, (DHGwA) for nine aggregate ecoregions comprising the conterminous United States using 1588 sites from the U.S. Environmental Protection Agency's National Wadeable Streams Assessment (WSA), including 1152 sites from a randomized probability survey sample. Sampled stream reaches ranged from 1 to 75??m in bankfull width and 1 to 10,000??km2 in drainage area. The DHGwA exponent ??, which expresses the rate at which bankfull stream width scales with drainage area, fell into three distinct clusters ranging from 0.22 to 0.38. Width increases more rapidly with basin area in the humid Eastern Highlands (encompassing the Northern and Southern Appalachians and the Ozark Mountains) and the Upper Midwest (Great Lakes region) than for the West (both mountainous and xeric areas), the southeastern Coastal Plain, and the Northern Plains (the Dakotas and Montana). Stream width increases least rapidly with basin area in the Temperate Plains (cornbelt) and Southern Plains (Great Prairies) in the heartland. The coefficient of determination (r2) was least in the noncoastal plains (0.36-0.41) and greatest in the Appalachians and Upper Midwest (0.68-0.77). DHGwA equations differed between streams with dominantly fine bed material (silt/sand) and those with dominantly coarse bed material (gravel/cobble/boulder) in six of the nine analysis regions. Where DHGwA equations varied by sediment size, fine-bedded streams were consistently narrower than coarse-bedded streams. Within the Western Mountains ecoregion, where there were sufficient sites to develop DHGwA relationships at a finer spatial scale, ?? and ?? ranged from 1.23 to 3.79 and 0.23 to 0.40, respectively, with r2 &gt; 0.50 for 10 of 13 subregions (range: 0.36 to 0.92). Enhanced DHG equations incorporating additional data for three landscape variables that can be derived from GIS-mean annual precipitation, elevation, and mean reach slope-significantly improved equation fit and predictive value in several regions, most notably the Western Mountains and the Temperate Plains. Channel width was also related to human disturbance. We examined the influence of human disturbance on channel width using several indices of local and bas…","author":[{"dropping-particle":"","family":"Faustini","given":"John M.","non-dropping-particle":"","parse-names":false,"suffix":""},{"dropping-particle":"","family":"Kaufmann","given":"Philip R.","non-dropping-particle":"","parse-names":false,"suffix":""},{"dropping-particle":"","family":"Herlihy","given":"Alan T.","non-dropping-particle":"","parse-names":false,"suffix":""}],"container-title":"Geomorphology","id":"ITEM-1","issue":"3-4","issued":{"date-parts":[["2009"]]},"page":"292-311","publisher":"Elsevier B.V.","title":"Downstream variation in bankfull width of wadeable streams across the conterminous United States","type":"article-journal","volume":"108"},"uris":["http://www.mendeley.com/documents/?uuid=2919787a-7fbf-446c-bf04-d2bd048b76ca"]}],"mendeley":{"formattedCitation":"(Faustini et al., 2009)","plainTextFormattedCitation":"(Faustini et al., 2009)","previouslyFormattedCitation":"(Faustini et al., 2009)"},"properties":{"noteIndex":0},"schema":"https://github.com/citation-style-language/schema/raw/master/csl-citation.json"}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(Faustini et al., 2009)</w:t>
      </w:r>
      <w:r>
        <w:rPr>
          <w:rFonts w:cs="Times New Roman"/>
          <w:iCs/>
          <w:szCs w:val="24"/>
        </w:rPr>
        <w:fldChar w:fldCharType="end"/>
      </w:r>
      <w:r>
        <w:rPr>
          <w:rFonts w:cs="Times New Roman"/>
          <w:iCs/>
          <w:szCs w:val="24"/>
        </w:rPr>
        <w:t xml:space="preserve">. We also centered and scaled the predictor and response variables and split the dataset into random training (80%) and testing (20%) portions. We then used a backwards stepwise routine to iteratively remove the single variable with the weakest relationship to wetted width and generate a suite of competing models. Leave-one-out cross validation was then used to identify the model with the best predictive accuracy </w:t>
      </w:r>
      <w:r>
        <w:rPr>
          <w:rFonts w:cs="Times New Roman"/>
          <w:iCs/>
          <w:szCs w:val="24"/>
        </w:rPr>
        <w:fldChar w:fldCharType="begin" w:fldLock="1"/>
      </w:r>
      <w:r>
        <w:rPr>
          <w:rFonts w:cs="Times New Roman"/>
          <w:iCs/>
          <w:szCs w:val="24"/>
        </w:rPr>
        <w:instrText>ADDIN CSL_CITATION {"citationItems":[{"id":"ITEM-1","itemData":{"DOI":"10.1007/s11222-016-9696-4","ISSN":"15731375","abstract":"Leave-one-out cross-validation (LOO) and the widely applicable information criterion (WAIC) are methods for estimating pointwise out-of-sample prediction accuracy from a fitted Bayesian model using the log-likelihood evaluated at the posterior simulations of the parameter values. LOO and WAIC have various advantages over simpler estimates of predictive error such as AIC and DIC but are less used in practice because they involve additional computational steps. Here we lay out fast and stable computations for LOO and WAIC that can be performed using existing simulation draws. We introduce an efficient computation of LOO using Pareto-smoothed importance sampling (PSIS), a new procedure for regularizing importance weights. Although WAIC is asymptotically equal to LOO, we demonstrate that PSIS-LOO is more robust in the finite case with weak priors or influential observations. As a byproduct of our calculations, we also obtain approximate standard errors for estimated predictive errors and for comparison of predictive errors between two models. We implement the computations in an R package called loo and demonstrate using models fit with the Bayesian inference package Stan.","author":[{"dropping-particle":"","family":"Vehtari","given":"Aki","non-dropping-particle":"","parse-names":false,"suffix":""},{"dropping-particle":"","family":"Gelman","given":"Andrew","non-dropping-particle":"","parse-names":false,"suffix":""},{"dropping-particle":"","family":"Gabry","given":"Jonah","non-dropping-particle":"","parse-names":false,"suffix":""}],"container-title":"Statistics and Computing","id":"ITEM-1","issue":"5","issued":{"date-parts":[["2017"]]},"page":"1413-1432","publisher":"Springer US","title":"Practical Bayesian model evaluation using leave-one-out cross-validation and WAIC","type":"article-journal","volume":"27"},"uris":["http://www.mendeley.com/documents/?uuid=95790e65-4c47-403c-bf0b-61922a4aea7b"]}],"mendeley":{"formattedCitation":"(Vehtari et al., 2017)","plainTextFormattedCitation":"(Vehtari et al., 2017)","previouslyFormattedCitation":"(Vehtari et al., 2017)"},"properties":{"noteIndex":0},"schema":"https://github.com/citation-style-language/schema/raw/master/csl-citation.json"}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(Vehtari et al., 2017)</w:t>
      </w:r>
      <w:r>
        <w:rPr>
          <w:rFonts w:cs="Times New Roman"/>
          <w:iCs/>
          <w:szCs w:val="24"/>
        </w:rPr>
        <w:fldChar w:fldCharType="end"/>
      </w:r>
      <w:r>
        <w:rPr>
          <w:rFonts w:cs="Times New Roman"/>
          <w:iCs/>
          <w:szCs w:val="24"/>
        </w:rPr>
        <w:t xml:space="preserve">. All models were fit with 5,000 iterations (2,000 warmup) using the BRMS R-package </w:t>
      </w:r>
      <w:r>
        <w:rPr>
          <w:rFonts w:cs="Times New Roman"/>
          <w:iCs/>
          <w:szCs w:val="24"/>
        </w:rPr>
        <w:fldChar w:fldCharType="begin" w:fldLock="1"/>
      </w:r>
      <w:r>
        <w:rPr>
          <w:rFonts w:cs="Times New Roman"/>
          <w:iCs/>
          <w:szCs w:val="24"/>
        </w:rPr>
        <w:instrText>ADDIN CSL_CITATION {"citationItems":[{"id":"ITEM-1","itemData":{"DOI":"10.18637/jss.v080.i01","ISSN":"15487660","abstract":"The brms package implements Bayesian multilevel models in R using the probabilistic programming language Stan. A wide range of distributions and link functions are supported, allowing users to fit – among others – linear, robust linear, binomial, Poisson, survival, ordinal, zero-inflated, hurdle, and even non-linear models all in a multilevel context. Further modeling options include autocorrelation of the response variable, user defined covariance structures, censored data, as well as meta-analytic standard errors. Prior specifications are flexible and explicitly encourage users to apply prior distributions that actually reflect their beliefs. In addition, model fit can easily be assessed and compared with the Watanabe-Akaike information criterion and leave-one-out cross-validation.","author":[{"dropping-particle":"","family":"Bürkner","given":"Paul Christian","non-dropping-particle":"","parse-names":false,"suffix":""}],"container-title":"Journal of Statistical Software","id":"ITEM-1","issue":"1","issued":{"date-parts":[["2017"]]},"page":"1-28","title":"brms: An R package for Bayesian multilevel models using Stan","type":"article-journal","volume":"80"},"uris":["http://www.mendeley.com/documents/?uuid=518d2a56-705c-456e-8f37-382d66a8a93b"]}],"mendeley":{"formattedCitation":"(Bürkner, 2017)","plainTextFormattedCitation":"(Bürkner, 2017)","previouslyFormattedCitation":"(Bürkner, 2017)"},"properties":{"noteIndex":0},"schema":"https://github.com/citation-style-language/schema/raw/master/csl-citation.json"}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(Bürkner, 2017)</w:t>
      </w:r>
      <w:r>
        <w:rPr>
          <w:rFonts w:cs="Times New Roman"/>
          <w:iCs/>
          <w:szCs w:val="24"/>
        </w:rPr>
        <w:fldChar w:fldCharType="end"/>
      </w:r>
      <w:r>
        <w:rPr>
          <w:rFonts w:cs="Times New Roman"/>
          <w:iCs/>
          <w:szCs w:val="24"/>
        </w:rPr>
        <w:t xml:space="preserve">. </w:t>
      </w:r>
    </w:p>
    <w:p w14:paraId="5618BC25" w14:textId="77777777" w:rsidR="00AB7462" w:rsidRDefault="00AB7462" w:rsidP="00AB7462">
      <w:pPr>
        <w:spacing w:line="480" w:lineRule="auto"/>
        <w:ind w:firstLine="720"/>
        <w:contextualSpacing/>
        <w:rPr>
          <w:rFonts w:cs="Times New Roman"/>
          <w:iCs/>
          <w:szCs w:val="24"/>
        </w:rPr>
      </w:pPr>
      <w:r>
        <w:rPr>
          <w:rFonts w:cs="Times New Roman"/>
          <w:iCs/>
          <w:szCs w:val="24"/>
        </w:rPr>
        <w:t xml:space="preserve">We extrapolated the empirical relationships established for insect production and stream width to the nearly 2.3 million NHDPlusV2 stream reaches in the CONUS for present day and future climate projections. For each reach we obtained the upstream catchment area from the NHDPlusV2 and extracted climate variables (current and projected, Table S1) at the center of each </w:t>
      </w:r>
      <w:proofErr w:type="spellStart"/>
      <w:r>
        <w:rPr>
          <w:rFonts w:cs="Times New Roman"/>
          <w:iCs/>
          <w:szCs w:val="24"/>
        </w:rPr>
        <w:t>flowline</w:t>
      </w:r>
      <w:proofErr w:type="spellEnd"/>
      <w:r>
        <w:rPr>
          <w:rFonts w:cs="Times New Roman"/>
          <w:iCs/>
          <w:szCs w:val="24"/>
        </w:rPr>
        <w:t xml:space="preserve">. We used these data to predict per unit area production of emergent aquatic insects </w:t>
      </w:r>
      <w:r>
        <w:rPr>
          <w:rFonts w:cs="Times New Roman"/>
          <w:szCs w:val="24"/>
        </w:rPr>
        <w:t>(</w:t>
      </w:r>
      <w:proofErr w:type="spellStart"/>
      <w:r>
        <w:rPr>
          <w:rFonts w:cs="Times New Roman"/>
          <w:szCs w:val="24"/>
        </w:rPr>
        <w:t>gAFDM</w:t>
      </w:r>
      <w:proofErr w:type="spellEnd"/>
      <w:r>
        <w:rPr>
          <w:rFonts w:cs="Times New Roman"/>
          <w:szCs w:val="24"/>
        </w:rPr>
        <w:t xml:space="preserve"> m</w:t>
      </w:r>
      <w:r>
        <w:rPr>
          <w:rFonts w:cs="Times New Roman"/>
          <w:szCs w:val="24"/>
          <w:vertAlign w:val="superscript"/>
        </w:rPr>
        <w:t>-2</w:t>
      </w:r>
      <w:r>
        <w:rPr>
          <w:rFonts w:cs="Times New Roman"/>
          <w:szCs w:val="24"/>
        </w:rPr>
        <w:t xml:space="preserve"> yr</w:t>
      </w:r>
      <w:r w:rsidRPr="009B5B80">
        <w:rPr>
          <w:rFonts w:cs="Times New Roman"/>
          <w:szCs w:val="24"/>
          <w:vertAlign w:val="superscript"/>
        </w:rPr>
        <w:t>-1</w:t>
      </w:r>
      <w:r>
        <w:rPr>
          <w:rFonts w:cs="Times New Roman"/>
          <w:szCs w:val="24"/>
        </w:rPr>
        <w:t>)</w:t>
      </w:r>
      <w:r>
        <w:rPr>
          <w:rFonts w:cs="Times New Roman"/>
          <w:iCs/>
          <w:szCs w:val="24"/>
        </w:rPr>
        <w:t xml:space="preserve"> and stream surface area (m</w:t>
      </w:r>
      <w:r w:rsidRPr="00EF59BA">
        <w:rPr>
          <w:rFonts w:cs="Times New Roman"/>
          <w:iCs/>
          <w:szCs w:val="24"/>
          <w:vertAlign w:val="superscript"/>
        </w:rPr>
        <w:t>2</w:t>
      </w:r>
      <w:r>
        <w:rPr>
          <w:rFonts w:cs="Times New Roman"/>
          <w:iCs/>
          <w:szCs w:val="24"/>
        </w:rPr>
        <w:t xml:space="preserve">). </w:t>
      </w:r>
      <w:r w:rsidRPr="003243DA">
        <w:rPr>
          <w:rFonts w:cs="Times New Roman"/>
          <w:iCs/>
          <w:color w:val="000000" w:themeColor="text1"/>
          <w:szCs w:val="24"/>
        </w:rPr>
        <w:t xml:space="preserve">Since both models </w:t>
      </w:r>
      <w:r>
        <w:rPr>
          <w:rFonts w:cs="Times New Roman"/>
          <w:iCs/>
          <w:color w:val="000000" w:themeColor="text1"/>
          <w:szCs w:val="24"/>
        </w:rPr>
        <w:t xml:space="preserve">were </w:t>
      </w:r>
      <w:r w:rsidRPr="003243DA">
        <w:rPr>
          <w:rFonts w:cs="Times New Roman"/>
          <w:iCs/>
          <w:color w:val="000000" w:themeColor="text1"/>
          <w:szCs w:val="24"/>
        </w:rPr>
        <w:t xml:space="preserve">fit on the log scale, we </w:t>
      </w:r>
      <w:r>
        <w:rPr>
          <w:rFonts w:cs="Times New Roman"/>
          <w:iCs/>
          <w:color w:val="000000" w:themeColor="text1"/>
          <w:szCs w:val="24"/>
        </w:rPr>
        <w:t xml:space="preserve">used </w:t>
      </w:r>
      <w:r w:rsidRPr="003243DA">
        <w:rPr>
          <w:rFonts w:cs="Times New Roman"/>
          <w:iCs/>
          <w:color w:val="000000" w:themeColor="text1"/>
          <w:szCs w:val="24"/>
        </w:rPr>
        <w:t xml:space="preserve">exponentiation to back-transformed predictions. </w:t>
      </w:r>
      <w:r>
        <w:rPr>
          <w:rFonts w:cs="Times New Roman"/>
          <w:iCs/>
          <w:szCs w:val="24"/>
        </w:rPr>
        <w:t>We bounded our estimate of total emergence using the product of the lower and upper bounds of the 95% prediction intervals for per unit area insect production and stream surface area. Finally, the potential effect of climate change on emergent aquatic insect subsidies was assessed using the percent change in per unit area emergent insect production (</w:t>
      </w:r>
      <w:proofErr w:type="spellStart"/>
      <w:r>
        <w:rPr>
          <w:rFonts w:cs="Times New Roman"/>
          <w:iCs/>
          <w:szCs w:val="24"/>
        </w:rPr>
        <w:t>gAFDM</w:t>
      </w:r>
      <w:proofErr w:type="spellEnd"/>
      <w:r>
        <w:rPr>
          <w:rFonts w:cs="Times New Roman"/>
          <w:iCs/>
          <w:szCs w:val="24"/>
        </w:rPr>
        <w:t xml:space="preserve"> m</w:t>
      </w:r>
      <w:r w:rsidRPr="00ED5E3A">
        <w:rPr>
          <w:rFonts w:cs="Times New Roman"/>
          <w:iCs/>
          <w:szCs w:val="24"/>
          <w:vertAlign w:val="superscript"/>
        </w:rPr>
        <w:t>-2</w:t>
      </w:r>
      <w:r>
        <w:rPr>
          <w:rFonts w:cs="Times New Roman"/>
          <w:iCs/>
          <w:szCs w:val="24"/>
        </w:rPr>
        <w:t xml:space="preserve"> yr</w:t>
      </w:r>
      <w:r w:rsidRPr="00ED5E3A">
        <w:rPr>
          <w:rFonts w:cs="Times New Roman"/>
          <w:iCs/>
          <w:szCs w:val="24"/>
          <w:vertAlign w:val="superscript"/>
        </w:rPr>
        <w:t>-1</w:t>
      </w:r>
      <w:r>
        <w:rPr>
          <w:rFonts w:cs="Times New Roman"/>
          <w:iCs/>
          <w:szCs w:val="24"/>
        </w:rPr>
        <w:t>), stream surface area (m</w:t>
      </w:r>
      <w:r w:rsidRPr="00D60C0C">
        <w:rPr>
          <w:rFonts w:cs="Times New Roman"/>
          <w:iCs/>
          <w:szCs w:val="24"/>
          <w:vertAlign w:val="superscript"/>
        </w:rPr>
        <w:t>2</w:t>
      </w:r>
      <w:r>
        <w:rPr>
          <w:rFonts w:cs="Times New Roman"/>
          <w:iCs/>
          <w:szCs w:val="24"/>
        </w:rPr>
        <w:t>) and total emergence (</w:t>
      </w:r>
      <w:proofErr w:type="spellStart"/>
      <w:r>
        <w:rPr>
          <w:rFonts w:cs="Times New Roman"/>
          <w:iCs/>
          <w:szCs w:val="24"/>
        </w:rPr>
        <w:t>tADFM</w:t>
      </w:r>
      <w:proofErr w:type="spellEnd"/>
      <w:r>
        <w:rPr>
          <w:rFonts w:cs="Times New Roman"/>
          <w:iCs/>
          <w:szCs w:val="24"/>
        </w:rPr>
        <w:t xml:space="preserve"> yr</w:t>
      </w:r>
      <w:r w:rsidRPr="00ED5E3A">
        <w:rPr>
          <w:rFonts w:cs="Times New Roman"/>
          <w:iCs/>
          <w:szCs w:val="24"/>
          <w:vertAlign w:val="superscript"/>
        </w:rPr>
        <w:t>-1</w:t>
      </w:r>
      <w:r>
        <w:rPr>
          <w:rFonts w:cs="Times New Roman"/>
          <w:iCs/>
          <w:szCs w:val="24"/>
        </w:rPr>
        <w:t xml:space="preserve">). To explore potential regional variation, we present the median percent change of all reaches within each major hydrologic region (HUC 2, Figure 1). </w:t>
      </w:r>
    </w:p>
    <w:p w14:paraId="0DF6B8A0" w14:textId="77777777" w:rsidR="00AB7462" w:rsidRDefault="00AB7462" w:rsidP="00AB7462">
      <w:pPr>
        <w:spacing w:line="480" w:lineRule="auto"/>
        <w:ind w:firstLine="720"/>
        <w:contextualSpacing/>
        <w:rPr>
          <w:rFonts w:cs="Times New Roman"/>
          <w:szCs w:val="24"/>
        </w:rPr>
      </w:pPr>
      <w:r>
        <w:rPr>
          <w:rFonts w:cs="Times New Roman"/>
          <w:szCs w:val="24"/>
        </w:rPr>
        <w:t xml:space="preserve">To investigate how energy provided by aquatic insect subsidies could support terrestrial consumers, we compared energy content of emergent aquatic insect to field metabolic rates </w:t>
      </w:r>
      <w:r>
        <w:rPr>
          <w:rFonts w:cs="Times New Roman"/>
          <w:szCs w:val="24"/>
        </w:rPr>
        <w:lastRenderedPageBreak/>
        <w:t>(FMR) of common avian aerial insectivores (kJ yr</w:t>
      </w:r>
      <w:r w:rsidRPr="00F97ED4">
        <w:rPr>
          <w:rFonts w:cs="Times New Roman"/>
          <w:szCs w:val="24"/>
          <w:vertAlign w:val="superscript"/>
        </w:rPr>
        <w:t>-1</w:t>
      </w:r>
      <w:r>
        <w:rPr>
          <w:rFonts w:cs="Times New Roman"/>
          <w:szCs w:val="24"/>
        </w:rPr>
        <w:t xml:space="preserve">). Since the resolution of the insectivore dataset was large enough to intersect several individual streams, we reduced our analysis to </w:t>
      </w:r>
      <w:r w:rsidRPr="003537DF">
        <w:rPr>
          <w:rFonts w:cs="Times New Roman"/>
          <w:szCs w:val="24"/>
        </w:rPr>
        <w:t xml:space="preserve">8,221 </w:t>
      </w:r>
      <w:r>
        <w:rPr>
          <w:rFonts w:cs="Times New Roman"/>
          <w:szCs w:val="24"/>
        </w:rPr>
        <w:t xml:space="preserve">randomly sampled </w:t>
      </w:r>
      <w:r w:rsidRPr="003537DF">
        <w:rPr>
          <w:rFonts w:cs="Times New Roman"/>
          <w:szCs w:val="24"/>
        </w:rPr>
        <w:t xml:space="preserve">pixels (Figure 1). We stratified sampling by hydrologic </w:t>
      </w:r>
      <w:proofErr w:type="spellStart"/>
      <w:r w:rsidRPr="003537DF">
        <w:rPr>
          <w:rFonts w:cs="Times New Roman"/>
          <w:szCs w:val="24"/>
        </w:rPr>
        <w:t>subregions</w:t>
      </w:r>
      <w:proofErr w:type="spellEnd"/>
      <w:r w:rsidRPr="003537DF">
        <w:rPr>
          <w:rFonts w:cs="Times New Roman"/>
          <w:szCs w:val="24"/>
        </w:rPr>
        <w:t xml:space="preserve"> (4-digit hydrologic units, HUC4) such that there were approximately 30 </w:t>
      </w:r>
      <w:r>
        <w:rPr>
          <w:rFonts w:cs="Times New Roman"/>
          <w:szCs w:val="24"/>
        </w:rPr>
        <w:t>pixels</w:t>
      </w:r>
      <w:r w:rsidRPr="003537DF">
        <w:rPr>
          <w:rFonts w:cs="Times New Roman"/>
          <w:szCs w:val="24"/>
        </w:rPr>
        <w:t xml:space="preserve"> within each (Figure 1). We</w:t>
      </w:r>
      <w:r>
        <w:rPr>
          <w:rFonts w:cs="Times New Roman"/>
          <w:szCs w:val="24"/>
        </w:rPr>
        <w:t xml:space="preserve"> calculated the total emergence as the product of stream surface area within pixel and the predicted emergence production for both current and future climate scenarios. We converted</w:t>
      </w:r>
      <w:r w:rsidRPr="007D2DBE">
        <w:rPr>
          <w:rFonts w:cs="Times New Roman"/>
          <w:szCs w:val="24"/>
        </w:rPr>
        <w:t xml:space="preserve"> </w:t>
      </w:r>
      <w:r>
        <w:rPr>
          <w:rFonts w:cs="Times New Roman"/>
          <w:szCs w:val="24"/>
        </w:rPr>
        <w:t>units of total emergence (</w:t>
      </w:r>
      <w:proofErr w:type="spellStart"/>
      <w:r>
        <w:rPr>
          <w:rFonts w:cs="Times New Roman"/>
          <w:szCs w:val="24"/>
        </w:rPr>
        <w:t>gAFDM</w:t>
      </w:r>
      <w:proofErr w:type="spellEnd"/>
      <w:r>
        <w:rPr>
          <w:rFonts w:cs="Times New Roman"/>
          <w:szCs w:val="24"/>
        </w:rPr>
        <w:t xml:space="preserve"> yr</w:t>
      </w:r>
      <w:r w:rsidRPr="009B5B80">
        <w:rPr>
          <w:rFonts w:cs="Times New Roman"/>
          <w:szCs w:val="24"/>
          <w:vertAlign w:val="superscript"/>
        </w:rPr>
        <w:t>-1</w:t>
      </w:r>
      <w:r>
        <w:rPr>
          <w:rFonts w:cs="Times New Roman"/>
          <w:szCs w:val="24"/>
        </w:rPr>
        <w:t>) to grams carbon per year (</w:t>
      </w:r>
      <w:proofErr w:type="spellStart"/>
      <w:r>
        <w:rPr>
          <w:rFonts w:cs="Times New Roman"/>
          <w:szCs w:val="24"/>
        </w:rPr>
        <w:t>gC</w:t>
      </w:r>
      <w:proofErr w:type="spellEnd"/>
      <w:r>
        <w:rPr>
          <w:rFonts w:cs="Times New Roman"/>
          <w:szCs w:val="24"/>
        </w:rPr>
        <w:t xml:space="preserve"> yr</w:t>
      </w:r>
      <w:r w:rsidRPr="00B758A8">
        <w:rPr>
          <w:rFonts w:cs="Times New Roman"/>
          <w:szCs w:val="24"/>
          <w:vertAlign w:val="superscript"/>
        </w:rPr>
        <w:t>-1</w:t>
      </w:r>
      <w:r>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{"citationItems":[{"id":"ITEM-1","itemData":{"DOI":"10.1016/S0065-2504(08)60235-4","ISSN":"00652504","abstract":"The measurement of production is being employed as an indicator of the health of an ecosystem, assessing the effect of environmental pollution or other disturbance. Additionally, secondary production is of vital interest to natural resource administrators responsible for the management of wild populations utilized for both food and recreation and in inland waters, particularly for vertebrate fisheries. This chapter discusses a selected portion of aquatic production biology, secondary production in inland waters. The chapter focuses on three groups, fishes, zoobenthos, and zooplankton, which have received most attention, for which methodology has been best worked out, and which are of most immediate concern to man. The production of other secondary producers, including heterotrophic algae, bacteria and fungi, protozoans, amphibians, reptiles, and other aquatic vertebrates, such as some birds and mammals more commonly associated with the terrestrial environment, must await further advances and reviews by other specialists. The energy flow through these other groups may be extremely important. © 1977, Academic Press Inc. (London) Ltd.","author":[{"dropping-particle":"","family":"Waters","given":"Thomas F.","non-dropping-particle":"","parse-names":false,"suffix":""}],"container-title":"Advances in Ecological Research","id":"ITEM-1","issue":"C","issued":{"date-parts":[["1977"]]},"page":"91-164","title":"Secondary Production in Inland Waters","type":"article-journal","volume":"10"},"uris":["http://www.mendeley.com/documents/?uuid=563df784-5ab0-4cd4-8df5-d31bbef4cbad"]}],"mendeley":{"formattedCitation":"(Waters, 1977)","manualFormatting":"(1 gAFDM = 0.55 gC, Waters 1977)","plainTextFormattedCitation":"(Waters, 1977)","previouslyFormattedCitation":"(Waters, 1977)"},"properties":{"noteIndex":0},"schema":"https://github.com/citation-style-language/schema/raw/master/csl-citation.json"}</w:instrText>
      </w:r>
      <w:r>
        <w:rPr>
          <w:rFonts w:cs="Times New Roman"/>
          <w:szCs w:val="24"/>
        </w:rPr>
        <w:fldChar w:fldCharType="separate"/>
      </w:r>
      <w:r w:rsidRPr="00B758A8">
        <w:rPr>
          <w:rFonts w:cs="Times New Roman"/>
          <w:noProof/>
          <w:szCs w:val="24"/>
        </w:rPr>
        <w:t>(</w:t>
      </w:r>
      <w:r w:rsidRPr="00322CCB">
        <w:rPr>
          <w:rFonts w:cs="Times New Roman"/>
          <w:noProof/>
          <w:szCs w:val="24"/>
        </w:rPr>
        <w:t>1</w:t>
      </w:r>
      <w:r>
        <w:rPr>
          <w:rFonts w:cs="Times New Roman"/>
          <w:noProof/>
          <w:szCs w:val="24"/>
        </w:rPr>
        <w:t xml:space="preserve"> </w:t>
      </w:r>
      <w:r w:rsidRPr="00322CCB">
        <w:rPr>
          <w:rFonts w:cs="Times New Roman"/>
          <w:noProof/>
          <w:szCs w:val="24"/>
        </w:rPr>
        <w:t>gAFDM = 0.</w:t>
      </w:r>
      <w:r>
        <w:rPr>
          <w:rFonts w:cs="Times New Roman"/>
          <w:noProof/>
          <w:szCs w:val="24"/>
        </w:rPr>
        <w:t>55</w:t>
      </w:r>
      <w:r w:rsidRPr="00322CCB">
        <w:rPr>
          <w:rFonts w:cs="Times New Roman"/>
          <w:noProof/>
          <w:szCs w:val="24"/>
        </w:rPr>
        <w:t xml:space="preserve"> gC, Waters 1977</w:t>
      </w:r>
      <w:r w:rsidRPr="00B758A8">
        <w:rPr>
          <w:rFonts w:cs="Times New Roman"/>
          <w:noProof/>
          <w:szCs w:val="24"/>
        </w:rPr>
        <w:t>)</w:t>
      </w:r>
      <w:r>
        <w:rPr>
          <w:rFonts w:cs="Times New Roman"/>
          <w:szCs w:val="24"/>
        </w:rPr>
        <w:fldChar w:fldCharType="end"/>
      </w:r>
      <w:r>
        <w:rPr>
          <w:rFonts w:cs="Times New Roman"/>
          <w:szCs w:val="24"/>
        </w:rPr>
        <w:t xml:space="preserve"> and assumed 1 </w:t>
      </w:r>
      <w:proofErr w:type="spellStart"/>
      <w:r>
        <w:rPr>
          <w:rFonts w:cs="Times New Roman"/>
          <w:szCs w:val="24"/>
        </w:rPr>
        <w:t>gC</w:t>
      </w:r>
      <w:proofErr w:type="spellEnd"/>
      <w:r>
        <w:rPr>
          <w:rFonts w:cs="Times New Roman"/>
          <w:szCs w:val="24"/>
        </w:rPr>
        <w:t xml:space="preserve"> of insect biomass contains 23.01 kJ of energy </w:t>
      </w:r>
      <w:r>
        <w:rPr>
          <w:rFonts w:cs="Times New Roman"/>
          <w:szCs w:val="24"/>
        </w:rPr>
        <w:fldChar w:fldCharType="begin" w:fldLock="1"/>
      </w:r>
      <w:r>
        <w:rPr>
          <w:rFonts w:cs="Times New Roman"/>
          <w:szCs w:val="24"/>
        </w:rPr>
        <w:instrText>ADDIN CSL_CITATION {"citationItems":[{"id":"ITEM-1","itemData":{"DOI":"10.1007/s10021-019-00391-9","ISSN":"1432-9840","author":[{"dropping-particle":"","family":"Wesner","given":"Jeff S.","non-dropping-particle":"","parse-names":false,"suffix":""},{"dropping-particle":"","family":"Swanson","given":"David L.","non-dropping-particle":"","parse-names":false,"suffix":""},{"dropping-particle":"","family":"Dixon","given":"Mark D.","non-dropping-particle":"","parse-names":false,"suffix":""},{"dropping-particle":"","family":"Soluk","given":"Daniel A.","non-dropping-particle":"","parse-names":false,"suffix":""},{"dropping-particle":"","family":"Quist","given":"Danielle J.","non-dropping-particle":"","parse-names":false,"suffix":""},{"dropping-particle":"","family":"Yager","given":"Lisa A.","non-dropping-particle":"","parse-names":false,"suffix":""},{"dropping-particle":"","family":"Warmbold","given":"Jerry W.","non-dropping-particle":"","parse-names":false,"suffix":""},{"dropping-particle":"","family":"Oddy","given":"Erika","non-dropping-particle":"","parse-names":false,"suffix":""},{"dropping-particle":"","family":"Seidel","given":"Tyler C.","non-dropping-particle":"","parse-names":false,"suffix":""}],"container-title":"Ecosystems","id":"ITEM-1","issued":{"date-parts":[["2020"]]},"page":"111-123","publisher":"Springer US","title":"Loss of Potential Aquatic-Terrestrial Subsidies Along the Missouri River Floodplain","type":"article-journal","volume":"23"},"uris":["http://www.mendeley.com/documents/?uuid=4b2e7816-89e2-4e8d-834e-0ce3e45b523c"]}],"mendeley":{"formattedCitation":"(Wesner et al., 2020)","plainTextFormattedCitation":"(Wesner et al., 2020)","previouslyFormattedCitation":"(Wesner et al., 2020)"},"properties":{"noteIndex":0},"schema":"https://github.com/citation-style-language/schema/raw/master/csl-citation.json"}</w:instrText>
      </w:r>
      <w:r>
        <w:rPr>
          <w:rFonts w:cs="Times New Roman"/>
          <w:szCs w:val="24"/>
        </w:rPr>
        <w:fldChar w:fldCharType="separate"/>
      </w:r>
      <w:r w:rsidRPr="004F2051">
        <w:rPr>
          <w:rFonts w:cs="Times New Roman"/>
          <w:noProof/>
          <w:szCs w:val="24"/>
        </w:rPr>
        <w:t>(Wesner et al., 2020)</w:t>
      </w:r>
      <w:r>
        <w:rPr>
          <w:rFonts w:cs="Times New Roman"/>
          <w:szCs w:val="24"/>
        </w:rPr>
        <w:fldChar w:fldCharType="end"/>
      </w:r>
      <w:r>
        <w:rPr>
          <w:rFonts w:cs="Times New Roman"/>
          <w:szCs w:val="24"/>
        </w:rPr>
        <w:t xml:space="preserve">.  </w:t>
      </w:r>
    </w:p>
    <w:p w14:paraId="4D159C27" w14:textId="63C814D1" w:rsidR="00AB7462" w:rsidRDefault="00AB7462" w:rsidP="00AB7462">
      <w:pPr>
        <w:spacing w:line="480" w:lineRule="auto"/>
        <w:ind w:firstLine="720"/>
        <w:contextualSpacing/>
        <w:rPr>
          <w:rFonts w:cs="Times New Roman"/>
          <w:szCs w:val="24"/>
        </w:rPr>
      </w:pPr>
      <w:r>
        <w:rPr>
          <w:rFonts w:cs="Times New Roman"/>
          <w:szCs w:val="24"/>
        </w:rPr>
        <w:t>We used supply and demand ratios (SDR) to assess energy supplied by emergent insects relative to energy demanded by insectivores for each site. We log-</w:t>
      </w:r>
      <w:r w:rsidRPr="00EF1F20">
        <w:rPr>
          <w:rFonts w:cs="Times New Roman"/>
          <w:szCs w:val="24"/>
        </w:rPr>
        <w:t xml:space="preserve">transformed SDR such that values &lt; 0 indicate locations where energy supply exceeds demand. We assessed change caused by future climate </w:t>
      </w:r>
      <w:r>
        <w:rPr>
          <w:rFonts w:cs="Times New Roman"/>
          <w:szCs w:val="24"/>
        </w:rPr>
        <w:t xml:space="preserve">by subtracting the SDR under </w:t>
      </w:r>
      <w:r w:rsidRPr="00EF1F20">
        <w:rPr>
          <w:rFonts w:cs="Times New Roman"/>
          <w:szCs w:val="24"/>
        </w:rPr>
        <w:t>current conditions</w:t>
      </w:r>
      <w:r>
        <w:rPr>
          <w:rFonts w:cs="Times New Roman"/>
          <w:szCs w:val="24"/>
        </w:rPr>
        <w:t xml:space="preserve"> from the SDR under both future climate scenarios</w:t>
      </w:r>
      <w:r w:rsidRPr="00EF1F20">
        <w:rPr>
          <w:rFonts w:cs="Times New Roman"/>
          <w:szCs w:val="24"/>
        </w:rPr>
        <w:t xml:space="preserve">. Here, negative values indicate </w:t>
      </w:r>
      <w:r>
        <w:rPr>
          <w:rFonts w:cs="Times New Roman"/>
          <w:szCs w:val="24"/>
        </w:rPr>
        <w:t xml:space="preserve">that the SDR declines under future conditions. </w:t>
      </w:r>
      <w:r w:rsidRPr="00EF1F20">
        <w:rPr>
          <w:rFonts w:cs="Times New Roman"/>
          <w:szCs w:val="24"/>
        </w:rPr>
        <w:t xml:space="preserve">Of the 8,221 randomly selected </w:t>
      </w:r>
      <w:r>
        <w:rPr>
          <w:rFonts w:cs="Times New Roman"/>
          <w:szCs w:val="24"/>
        </w:rPr>
        <w:t>pixels</w:t>
      </w:r>
      <w:r w:rsidRPr="00EF1F20">
        <w:rPr>
          <w:rFonts w:cs="Times New Roman"/>
          <w:szCs w:val="24"/>
        </w:rPr>
        <w:t>, we removed 16 f</w:t>
      </w:r>
      <w:r>
        <w:rPr>
          <w:rFonts w:cs="Times New Roman"/>
          <w:szCs w:val="24"/>
        </w:rPr>
        <w:t>ro</w:t>
      </w:r>
      <w:r w:rsidRPr="00EF1F20">
        <w:rPr>
          <w:rFonts w:cs="Times New Roman"/>
          <w:szCs w:val="24"/>
        </w:rPr>
        <w:t xml:space="preserve">m the analysis because </w:t>
      </w:r>
      <w:r>
        <w:rPr>
          <w:rFonts w:cs="Times New Roman"/>
          <w:szCs w:val="24"/>
        </w:rPr>
        <w:t xml:space="preserve">the common </w:t>
      </w:r>
      <w:r w:rsidRPr="00EF1F20">
        <w:rPr>
          <w:rFonts w:cs="Times New Roman"/>
          <w:szCs w:val="24"/>
        </w:rPr>
        <w:t>aerial insectivores</w:t>
      </w:r>
      <w:r>
        <w:rPr>
          <w:rFonts w:cs="Times New Roman"/>
          <w:szCs w:val="24"/>
        </w:rPr>
        <w:t xml:space="preserve"> we identified</w:t>
      </w:r>
      <w:r w:rsidRPr="00EF1F20">
        <w:rPr>
          <w:rFonts w:cs="Times New Roman"/>
          <w:szCs w:val="24"/>
        </w:rPr>
        <w:t xml:space="preserve"> </w:t>
      </w:r>
      <w:r>
        <w:rPr>
          <w:rFonts w:cs="Times New Roman"/>
          <w:szCs w:val="24"/>
        </w:rPr>
        <w:t xml:space="preserve">from the </w:t>
      </w:r>
      <w:proofErr w:type="spellStart"/>
      <w:r>
        <w:rPr>
          <w:rFonts w:cs="Times New Roman"/>
          <w:szCs w:val="24"/>
        </w:rPr>
        <w:t>eBird</w:t>
      </w:r>
      <w:proofErr w:type="spellEnd"/>
      <w:r>
        <w:rPr>
          <w:rFonts w:cs="Times New Roman"/>
          <w:szCs w:val="24"/>
        </w:rPr>
        <w:t xml:space="preserve"> dataset </w:t>
      </w:r>
      <w:r w:rsidRPr="00EF1F20">
        <w:rPr>
          <w:rFonts w:cs="Times New Roman"/>
          <w:szCs w:val="24"/>
        </w:rPr>
        <w:t>were</w:t>
      </w:r>
      <w:r>
        <w:rPr>
          <w:rFonts w:cs="Times New Roman"/>
          <w:szCs w:val="24"/>
        </w:rPr>
        <w:t xml:space="preserve"> not predicted to be present</w:t>
      </w:r>
      <w:r w:rsidRPr="00EF1F20">
        <w:rPr>
          <w:rFonts w:cs="Times New Roman"/>
          <w:szCs w:val="24"/>
        </w:rPr>
        <w:t xml:space="preserve">. We aggregated remaining sites to the </w:t>
      </w:r>
      <w:proofErr w:type="spellStart"/>
      <w:r w:rsidRPr="00EF1F20">
        <w:rPr>
          <w:rFonts w:cs="Times New Roman"/>
          <w:szCs w:val="24"/>
        </w:rPr>
        <w:t>subregional</w:t>
      </w:r>
      <w:proofErr w:type="spellEnd"/>
      <w:r w:rsidRPr="00EF1F20">
        <w:rPr>
          <w:rFonts w:cs="Times New Roman"/>
          <w:szCs w:val="24"/>
        </w:rPr>
        <w:t xml:space="preserve"> scale (HUC4) using median </w:t>
      </w:r>
      <w:r>
        <w:rPr>
          <w:rFonts w:cs="Times New Roman"/>
          <w:szCs w:val="24"/>
        </w:rPr>
        <w:t>pixel</w:t>
      </w:r>
      <w:r w:rsidRPr="00EF1F20">
        <w:rPr>
          <w:rFonts w:cs="Times New Roman"/>
          <w:szCs w:val="24"/>
        </w:rPr>
        <w:t xml:space="preserve"> value</w:t>
      </w:r>
      <w:r>
        <w:rPr>
          <w:rFonts w:cs="Times New Roman"/>
          <w:szCs w:val="24"/>
        </w:rPr>
        <w:t xml:space="preserve"> </w:t>
      </w:r>
      <w:r w:rsidRPr="00EF1F20">
        <w:rPr>
          <w:rFonts w:cs="Times New Roman"/>
          <w:szCs w:val="24"/>
        </w:rPr>
        <w:t>(Figure 1).</w:t>
      </w:r>
      <w:r>
        <w:rPr>
          <w:rFonts w:cs="Times New Roman"/>
          <w:szCs w:val="24"/>
        </w:rPr>
        <w:t xml:space="preserve"> </w:t>
      </w:r>
    </w:p>
    <w:p w14:paraId="0DD371DE" w14:textId="77777777" w:rsidR="00AB7462" w:rsidRDefault="00AB7462" w:rsidP="00AB7462">
      <w:pPr>
        <w:spacing w:line="480" w:lineRule="auto"/>
        <w:ind w:firstLine="720"/>
        <w:contextualSpacing/>
        <w:rPr>
          <w:rFonts w:cs="Times New Roman"/>
          <w:szCs w:val="24"/>
        </w:rPr>
      </w:pPr>
    </w:p>
    <w:p w14:paraId="6B263FDF" w14:textId="77777777" w:rsidR="00333AA3" w:rsidRDefault="00333AA3" w:rsidP="003C2554">
      <w:pPr>
        <w:pStyle w:val="Heading2"/>
        <w:spacing w:line="480" w:lineRule="auto"/>
        <w:contextualSpacing/>
      </w:pPr>
      <w:r w:rsidRPr="00DF6A22">
        <w:t>Results</w:t>
      </w:r>
      <w:bookmarkEnd w:id="72"/>
      <w:r w:rsidRPr="00DF6A22">
        <w:t xml:space="preserve"> </w:t>
      </w:r>
    </w:p>
    <w:p w14:paraId="6F937951" w14:textId="77777777" w:rsidR="00AB7462" w:rsidRDefault="00AB7462" w:rsidP="00AB7462">
      <w:pPr>
        <w:spacing w:line="480" w:lineRule="auto"/>
        <w:ind w:firstLine="720"/>
        <w:contextualSpacing/>
        <w:rPr>
          <w:rFonts w:cs="Times New Roman"/>
          <w:bCs/>
          <w:szCs w:val="24"/>
        </w:rPr>
      </w:pPr>
      <w:bookmarkStart w:id="73" w:name="_Toc60841231"/>
      <w:r>
        <w:rPr>
          <w:rFonts w:cs="Times New Roman"/>
          <w:bCs/>
          <w:szCs w:val="24"/>
        </w:rPr>
        <w:t xml:space="preserve">The emergent insect production and stream width models provided adequate reflections of the underlying structure of the data (Figure 2). The insect production model explained 56% of the variation in the data and mean annual precipitation, mean annual temperature and </w:t>
      </w:r>
      <w:r>
        <w:rPr>
          <w:rFonts w:cs="Times New Roman"/>
          <w:bCs/>
          <w:szCs w:val="24"/>
        </w:rPr>
        <w:lastRenderedPageBreak/>
        <w:t xml:space="preserve">precipitation seasonality were positively related to insect production (Figure 3, Table S1). The stream width model explained 88% (95% </w:t>
      </w:r>
      <w:proofErr w:type="spellStart"/>
      <w:r>
        <w:rPr>
          <w:rFonts w:cs="Times New Roman"/>
          <w:bCs/>
          <w:szCs w:val="24"/>
        </w:rPr>
        <w:t>CrI</w:t>
      </w:r>
      <w:proofErr w:type="spellEnd"/>
      <w:r>
        <w:rPr>
          <w:rFonts w:cs="Times New Roman"/>
          <w:bCs/>
          <w:szCs w:val="24"/>
        </w:rPr>
        <w:t xml:space="preserve">: 0.87, 0.88) of the variation among wetted width measurements and included upstream catchment area, mean annual precipitation, mean annual temperature, and precipitation seasonality </w:t>
      </w:r>
      <w:r w:rsidRPr="00282FD9">
        <w:rPr>
          <w:rFonts w:cs="Times New Roman"/>
          <w:bCs/>
          <w:szCs w:val="24"/>
        </w:rPr>
        <w:t>(Table S</w:t>
      </w:r>
      <w:r>
        <w:rPr>
          <w:rFonts w:cs="Times New Roman"/>
          <w:bCs/>
          <w:szCs w:val="24"/>
        </w:rPr>
        <w:t>1 &amp; S3</w:t>
      </w:r>
      <w:r w:rsidRPr="00282FD9">
        <w:rPr>
          <w:rFonts w:cs="Times New Roman"/>
          <w:bCs/>
          <w:szCs w:val="24"/>
        </w:rPr>
        <w:t>).</w:t>
      </w:r>
      <w:r>
        <w:rPr>
          <w:rFonts w:cs="Times New Roman"/>
          <w:bCs/>
          <w:szCs w:val="24"/>
        </w:rPr>
        <w:t xml:space="preserve"> Wetted width was positively associated with larger catchment areas (β = 0.95,</w:t>
      </w:r>
      <w:r w:rsidRPr="00DB6F75">
        <w:rPr>
          <w:rFonts w:cs="Times New Roman"/>
          <w:bCs/>
          <w:szCs w:val="24"/>
        </w:rPr>
        <w:t xml:space="preserve"> </w:t>
      </w:r>
      <w:r>
        <w:rPr>
          <w:rFonts w:cs="Times New Roman"/>
          <w:bCs/>
          <w:szCs w:val="24"/>
        </w:rPr>
        <w:t xml:space="preserve">95% </w:t>
      </w:r>
      <w:proofErr w:type="spellStart"/>
      <w:r>
        <w:rPr>
          <w:rFonts w:cs="Times New Roman"/>
          <w:bCs/>
          <w:szCs w:val="24"/>
        </w:rPr>
        <w:t>CrI</w:t>
      </w:r>
      <w:proofErr w:type="spellEnd"/>
      <w:r>
        <w:rPr>
          <w:rFonts w:cs="Times New Roman"/>
          <w:bCs/>
          <w:szCs w:val="24"/>
        </w:rPr>
        <w:t xml:space="preserve">: 0.88, 1.01) and higher mean annual precipitation (β = 0.26, 95% </w:t>
      </w:r>
      <w:proofErr w:type="spellStart"/>
      <w:r>
        <w:rPr>
          <w:rFonts w:cs="Times New Roman"/>
          <w:bCs/>
          <w:szCs w:val="24"/>
        </w:rPr>
        <w:t>CrI</w:t>
      </w:r>
      <w:proofErr w:type="spellEnd"/>
      <w:r>
        <w:rPr>
          <w:rFonts w:cs="Times New Roman"/>
          <w:bCs/>
          <w:szCs w:val="24"/>
        </w:rPr>
        <w:t xml:space="preserve">: 0.23, 0.29) and negatively associated with higher mean annual temperatures (β = -0.12, 95% </w:t>
      </w:r>
      <w:proofErr w:type="spellStart"/>
      <w:r>
        <w:rPr>
          <w:rFonts w:cs="Times New Roman"/>
          <w:bCs/>
          <w:szCs w:val="24"/>
        </w:rPr>
        <w:t>CrI</w:t>
      </w:r>
      <w:proofErr w:type="spellEnd"/>
      <w:r>
        <w:rPr>
          <w:rFonts w:cs="Times New Roman"/>
          <w:bCs/>
          <w:szCs w:val="24"/>
        </w:rPr>
        <w:t xml:space="preserve">: -0.15, -0.08) and precipitation seasonality (β = -0.15, 95% </w:t>
      </w:r>
      <w:proofErr w:type="spellStart"/>
      <w:r>
        <w:rPr>
          <w:rFonts w:cs="Times New Roman"/>
          <w:bCs/>
          <w:szCs w:val="24"/>
        </w:rPr>
        <w:t>CrI</w:t>
      </w:r>
      <w:proofErr w:type="spellEnd"/>
      <w:r>
        <w:rPr>
          <w:rFonts w:cs="Times New Roman"/>
          <w:bCs/>
          <w:szCs w:val="24"/>
        </w:rPr>
        <w:t xml:space="preserve">: -0.18, -0.12, Figure 4). </w:t>
      </w:r>
    </w:p>
    <w:p w14:paraId="07A1FA96" w14:textId="77777777" w:rsidR="00AB7462" w:rsidRDefault="00AB7462" w:rsidP="00AB7462">
      <w:pPr>
        <w:spacing w:line="480" w:lineRule="auto"/>
        <w:ind w:firstLine="720"/>
        <w:contextualSpacing/>
        <w:rPr>
          <w:rFonts w:cs="Times New Roman"/>
          <w:bCs/>
          <w:szCs w:val="24"/>
        </w:rPr>
      </w:pPr>
      <w:r>
        <w:rPr>
          <w:rFonts w:cs="Times New Roman"/>
          <w:bCs/>
          <w:szCs w:val="24"/>
        </w:rPr>
        <w:t>We estimate that streams and rivers within the CONUS export 78,197 (95% PI: 2,155 - 2.19 x 10</w:t>
      </w:r>
      <w:r w:rsidRPr="00694B41">
        <w:rPr>
          <w:rFonts w:cs="Times New Roman"/>
          <w:bCs/>
          <w:szCs w:val="24"/>
          <w:vertAlign w:val="superscript"/>
        </w:rPr>
        <w:t>6</w:t>
      </w:r>
      <w:r>
        <w:rPr>
          <w:rFonts w:cs="Times New Roman"/>
          <w:bCs/>
          <w:szCs w:val="24"/>
        </w:rPr>
        <w:t>) metric tons of insect biomass to terrestrial ecosystems annually (</w:t>
      </w:r>
      <w:proofErr w:type="spellStart"/>
      <w:r>
        <w:rPr>
          <w:rFonts w:cs="Times New Roman"/>
          <w:bCs/>
          <w:szCs w:val="24"/>
        </w:rPr>
        <w:t>tAFDM</w:t>
      </w:r>
      <w:proofErr w:type="spellEnd"/>
      <w:r>
        <w:rPr>
          <w:rFonts w:cs="Times New Roman"/>
          <w:bCs/>
          <w:szCs w:val="24"/>
        </w:rPr>
        <w:t xml:space="preserve"> yr</w:t>
      </w:r>
      <w:r w:rsidRPr="00694B41">
        <w:rPr>
          <w:rFonts w:cs="Times New Roman"/>
          <w:bCs/>
          <w:szCs w:val="24"/>
          <w:vertAlign w:val="superscript"/>
        </w:rPr>
        <w:t>-1</w:t>
      </w:r>
      <w:r>
        <w:rPr>
          <w:rFonts w:cs="Times New Roman"/>
          <w:bCs/>
          <w:szCs w:val="24"/>
        </w:rPr>
        <w:t>). Emergent insect production (</w:t>
      </w:r>
      <w:proofErr w:type="spellStart"/>
      <w:r>
        <w:rPr>
          <w:rFonts w:cs="Times New Roman"/>
          <w:szCs w:val="24"/>
        </w:rPr>
        <w:t>gAFDM</w:t>
      </w:r>
      <w:proofErr w:type="spellEnd"/>
      <w:r>
        <w:rPr>
          <w:rFonts w:cs="Times New Roman"/>
          <w:szCs w:val="24"/>
        </w:rPr>
        <w:t xml:space="preserve"> m</w:t>
      </w:r>
      <w:r>
        <w:rPr>
          <w:rFonts w:cs="Times New Roman"/>
          <w:szCs w:val="24"/>
          <w:vertAlign w:val="superscript"/>
        </w:rPr>
        <w:t>-2</w:t>
      </w:r>
      <w:r>
        <w:rPr>
          <w:rFonts w:cs="Times New Roman"/>
          <w:szCs w:val="24"/>
        </w:rPr>
        <w:t xml:space="preserve"> yr</w:t>
      </w:r>
      <w:r w:rsidRPr="009B5B80">
        <w:rPr>
          <w:rFonts w:cs="Times New Roman"/>
          <w:szCs w:val="24"/>
          <w:vertAlign w:val="superscript"/>
        </w:rPr>
        <w:t>-1</w:t>
      </w:r>
      <w:r>
        <w:rPr>
          <w:rFonts w:cs="Times New Roman"/>
          <w:szCs w:val="24"/>
        </w:rPr>
        <w:t xml:space="preserve">), </w:t>
      </w:r>
      <w:r>
        <w:rPr>
          <w:rFonts w:cs="Times New Roman"/>
          <w:bCs/>
          <w:szCs w:val="24"/>
        </w:rPr>
        <w:t>stream surface area, and total emergence (</w:t>
      </w:r>
      <w:proofErr w:type="spellStart"/>
      <w:r>
        <w:rPr>
          <w:rFonts w:cs="Times New Roman"/>
          <w:bCs/>
          <w:szCs w:val="24"/>
        </w:rPr>
        <w:t>gAFDM</w:t>
      </w:r>
      <w:proofErr w:type="spellEnd"/>
      <w:r>
        <w:rPr>
          <w:rFonts w:cs="Times New Roman"/>
          <w:bCs/>
          <w:szCs w:val="24"/>
        </w:rPr>
        <w:t xml:space="preserve"> y</w:t>
      </w:r>
      <w:r w:rsidRPr="006C5D99">
        <w:rPr>
          <w:rFonts w:cs="Times New Roman"/>
          <w:bCs/>
          <w:szCs w:val="24"/>
          <w:vertAlign w:val="superscript"/>
        </w:rPr>
        <w:t>-1</w:t>
      </w:r>
      <w:r>
        <w:rPr>
          <w:rFonts w:cs="Times New Roman"/>
          <w:bCs/>
          <w:szCs w:val="24"/>
        </w:rPr>
        <w:t xml:space="preserve">) varied among hydrologic regions (Table 1). The geometric mean of emergence production for each region ranged from 0.53 to 4.61 </w:t>
      </w:r>
      <w:proofErr w:type="spellStart"/>
      <w:r>
        <w:rPr>
          <w:rFonts w:cs="Times New Roman"/>
          <w:szCs w:val="24"/>
        </w:rPr>
        <w:t>gAFDM</w:t>
      </w:r>
      <w:proofErr w:type="spellEnd"/>
      <w:r>
        <w:rPr>
          <w:rFonts w:cs="Times New Roman"/>
          <w:szCs w:val="24"/>
        </w:rPr>
        <w:t xml:space="preserve"> m</w:t>
      </w:r>
      <w:r>
        <w:rPr>
          <w:rFonts w:cs="Times New Roman"/>
          <w:szCs w:val="24"/>
          <w:vertAlign w:val="superscript"/>
        </w:rPr>
        <w:t>-2</w:t>
      </w:r>
      <w:r>
        <w:rPr>
          <w:rFonts w:cs="Times New Roman"/>
          <w:szCs w:val="24"/>
        </w:rPr>
        <w:t xml:space="preserve"> yr</w:t>
      </w:r>
      <w:r w:rsidRPr="009B5B80">
        <w:rPr>
          <w:rFonts w:cs="Times New Roman"/>
          <w:szCs w:val="24"/>
          <w:vertAlign w:val="superscript"/>
        </w:rPr>
        <w:t>-1</w:t>
      </w:r>
      <w:r>
        <w:rPr>
          <w:rFonts w:cs="Times New Roman"/>
          <w:bCs/>
          <w:szCs w:val="24"/>
        </w:rPr>
        <w:t>, which is comparable to other estimates (i.e.</w:t>
      </w:r>
      <w:r w:rsidRPr="00726E7A">
        <w:rPr>
          <w:rFonts w:cs="Times New Roman"/>
          <w:bCs/>
          <w:noProof/>
          <w:szCs w:val="24"/>
        </w:rPr>
        <w:t xml:space="preserve"> Gratton and Vander Zanden 2009</w:t>
      </w:r>
      <w:r>
        <w:rPr>
          <w:rFonts w:cs="Times New Roman"/>
          <w:bCs/>
          <w:noProof/>
          <w:szCs w:val="24"/>
        </w:rPr>
        <w:t>,</w:t>
      </w:r>
      <w:r>
        <w:rPr>
          <w:rFonts w:cs="Times New Roman"/>
          <w:bCs/>
          <w:szCs w:val="24"/>
        </w:rPr>
        <w:t xml:space="preserve"> mean [95% Confidence Interval]: 2.104 [0.844, 6.238] </w:t>
      </w:r>
      <w:proofErr w:type="spellStart"/>
      <w:r>
        <w:rPr>
          <w:rFonts w:cs="Times New Roman"/>
          <w:szCs w:val="24"/>
        </w:rPr>
        <w:t>gAFDM</w:t>
      </w:r>
      <w:proofErr w:type="spellEnd"/>
      <w:r>
        <w:rPr>
          <w:rFonts w:cs="Times New Roman"/>
          <w:szCs w:val="24"/>
        </w:rPr>
        <w:t xml:space="preserve"> m</w:t>
      </w:r>
      <w:r>
        <w:rPr>
          <w:rFonts w:cs="Times New Roman"/>
          <w:szCs w:val="24"/>
          <w:vertAlign w:val="superscript"/>
        </w:rPr>
        <w:t>-2</w:t>
      </w:r>
      <w:r>
        <w:rPr>
          <w:rFonts w:cs="Times New Roman"/>
          <w:szCs w:val="24"/>
        </w:rPr>
        <w:t xml:space="preserve"> yr</w:t>
      </w:r>
      <w:r w:rsidRPr="009B5B80">
        <w:rPr>
          <w:rFonts w:cs="Times New Roman"/>
          <w:szCs w:val="24"/>
          <w:vertAlign w:val="superscript"/>
        </w:rPr>
        <w:t>-1</w:t>
      </w:r>
      <w:r>
        <w:rPr>
          <w:rFonts w:cs="Times New Roman"/>
          <w:szCs w:val="24"/>
          <w:vertAlign w:val="superscript"/>
        </w:rPr>
        <w:t xml:space="preserve"> </w:t>
      </w:r>
      <w:r>
        <w:rPr>
          <w:rFonts w:cs="Times New Roman"/>
          <w:bCs/>
          <w:szCs w:val="24"/>
        </w:rPr>
        <w:fldChar w:fldCharType="begin" w:fldLock="1"/>
      </w:r>
      <w:r>
        <w:rPr>
          <w:rFonts w:cs="Times New Roman"/>
          <w:bCs/>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ecosystems","type":"article-journal","volume":"90"},"uris":["http://www.mendeley.com/documents/?uuid=1919de5e-bc71-4cdb-ad66-d96c78ff5294"]}],"mendeley":{"formattedCitation":"(Gratton and Vander Zanden, 2009)","manualFormatting":")","plainTextFormattedCitation":"(Gratton and Vander Zanden, 2009)","previouslyFormattedCitation":"(Gratton and Vander Zanden, 2009)"},"properties":{"noteIndex":0},"schema":"https://github.com/citation-style-language/schema/raw/master/csl-citation.json"}</w:instrText>
      </w:r>
      <w:r>
        <w:rPr>
          <w:rFonts w:cs="Times New Roman"/>
          <w:bCs/>
          <w:szCs w:val="24"/>
        </w:rPr>
        <w:fldChar w:fldCharType="separate"/>
      </w:r>
      <w:r w:rsidRPr="00726E7A">
        <w:rPr>
          <w:rFonts w:cs="Times New Roman"/>
          <w:bCs/>
          <w:noProof/>
          <w:szCs w:val="24"/>
        </w:rPr>
        <w:t>)</w:t>
      </w:r>
      <w:r>
        <w:rPr>
          <w:rFonts w:cs="Times New Roman"/>
          <w:bCs/>
          <w:szCs w:val="24"/>
        </w:rPr>
        <w:fldChar w:fldCharType="end"/>
      </w:r>
      <w:r>
        <w:rPr>
          <w:rFonts w:cs="Times New Roman"/>
          <w:bCs/>
          <w:szCs w:val="24"/>
        </w:rPr>
        <w:t xml:space="preserve">. The California, Rio Grande, and Upper Missouri hydrologic regions had the lowest median stream surface area while Texas, Northeast, and Tennessee had the greatest stream surface area. Often per unit area emergent production did not track total emergence in the same region. For example, the Pacific Northwest was among the lowest in emergent insect production per unit area, but among the highest in total emergence. Similarly, the </w:t>
      </w:r>
      <w:r w:rsidRPr="00C84DE4">
        <w:rPr>
          <w:rFonts w:eastAsia="Times New Roman" w:cs="Times New Roman"/>
          <w:color w:val="000000"/>
          <w:szCs w:val="24"/>
        </w:rPr>
        <w:t>Souris Red Rainy</w:t>
      </w:r>
      <w:r>
        <w:rPr>
          <w:rFonts w:cs="Times New Roman"/>
          <w:bCs/>
          <w:szCs w:val="24"/>
        </w:rPr>
        <w:t xml:space="preserve"> hydrologic region had moderate production per unit area but generally low total emergence (Table 1).  </w:t>
      </w:r>
    </w:p>
    <w:p w14:paraId="6C16FE2B" w14:textId="77777777" w:rsidR="00AB7462" w:rsidRDefault="00AB7462" w:rsidP="00AB7462">
      <w:pPr>
        <w:spacing w:line="480" w:lineRule="auto"/>
        <w:ind w:firstLine="720"/>
        <w:contextualSpacing/>
        <w:rPr>
          <w:rFonts w:cs="Times New Roman"/>
          <w:bCs/>
          <w:szCs w:val="24"/>
        </w:rPr>
      </w:pPr>
      <w:r>
        <w:rPr>
          <w:rFonts w:cs="Times New Roman"/>
          <w:bCs/>
          <w:szCs w:val="24"/>
        </w:rPr>
        <w:t>We found that climate projections under RCP 2.6 and RCP 8.5 scenarios could alter per unit area emergent insect production, stream surface area, and total emergence (Figure 4).</w:t>
      </w:r>
      <w:r w:rsidRPr="006857E9">
        <w:rPr>
          <w:rFonts w:cs="Times New Roman"/>
          <w:bCs/>
          <w:szCs w:val="24"/>
        </w:rPr>
        <w:t xml:space="preserve"> </w:t>
      </w:r>
      <w:r>
        <w:rPr>
          <w:rFonts w:cs="Times New Roman"/>
          <w:bCs/>
          <w:szCs w:val="24"/>
        </w:rPr>
        <w:lastRenderedPageBreak/>
        <w:t xml:space="preserve">emergent insect production could increase in northern hydrologic regions (i.e. Pacific Northwest, Upper Missouri and Northeast) and decrease in southern regions (i.e. Rio Grande, Texas, Lower Mississippi, and Southern Atlantic). On the other hand, median stream surface area will decline in all regions by as much as 20% under RCP 2.6 scenario and 40% under RCP 8.5 scenario (Figure 4). The combined effects of climate-induced changes on per unit area emergent insect production and stream surface area could cause several southern hydrologic regions (e.g. South Atlantic, Lower Mississippi and Rig Grande) to experience a decline in total aquatic insect emergence and northern hydrologic regions (e.g. Northeast, Great Lakes, and Pacific Northwest) to experience an increase. In general, climate-induced changes are more extreme under RCP 8.5 than RCP 2.6 scenario (Figure 5). </w:t>
      </w:r>
    </w:p>
    <w:p w14:paraId="4921A1DF" w14:textId="77777777" w:rsidR="00AB7462" w:rsidRPr="00491241" w:rsidRDefault="00AB7462" w:rsidP="00AB7462">
      <w:pPr>
        <w:spacing w:line="480" w:lineRule="auto"/>
        <w:ind w:firstLine="720"/>
        <w:contextualSpacing/>
        <w:rPr>
          <w:rFonts w:cs="Times New Roman"/>
          <w:bCs/>
          <w:szCs w:val="24"/>
        </w:rPr>
      </w:pPr>
      <w:r>
        <w:rPr>
          <w:rFonts w:cs="Times New Roman"/>
          <w:bCs/>
          <w:szCs w:val="24"/>
        </w:rPr>
        <w:t xml:space="preserve">The contribution of emergent aquatic insects to the annual energetic demands of avian aerial insectivorous varied within the CONUS (Figure 5). The median demand within a hydrologic </w:t>
      </w:r>
      <w:proofErr w:type="spellStart"/>
      <w:r>
        <w:rPr>
          <w:rFonts w:cs="Times New Roman"/>
          <w:bCs/>
          <w:szCs w:val="24"/>
        </w:rPr>
        <w:t>subregion</w:t>
      </w:r>
      <w:proofErr w:type="spellEnd"/>
      <w:r>
        <w:rPr>
          <w:rFonts w:cs="Times New Roman"/>
          <w:bCs/>
          <w:szCs w:val="24"/>
        </w:rPr>
        <w:t xml:space="preserve"> ranged from 31 to 1,542 (kJ x1000 yr</w:t>
      </w:r>
      <w:r w:rsidRPr="00101913">
        <w:rPr>
          <w:rFonts w:cs="Times New Roman"/>
          <w:bCs/>
          <w:szCs w:val="24"/>
          <w:vertAlign w:val="superscript"/>
        </w:rPr>
        <w:t>-1</w:t>
      </w:r>
      <w:r>
        <w:rPr>
          <w:rFonts w:cs="Times New Roman"/>
          <w:bCs/>
          <w:szCs w:val="24"/>
        </w:rPr>
        <w:t xml:space="preserve">) (Figure 5A). In much of the southeastern US, the energy content provided by emergent insects exceeded the demand by aerial insectivores. Alternatively, throughout the western US, demand exceeded supply (Figure 5B). Under future climate projections the amount of energy supplied by aquatic insects is predicted to decline the greatest in </w:t>
      </w:r>
      <w:proofErr w:type="spellStart"/>
      <w:r>
        <w:rPr>
          <w:rFonts w:cs="Times New Roman"/>
          <w:bCs/>
          <w:szCs w:val="24"/>
        </w:rPr>
        <w:t>subregions</w:t>
      </w:r>
      <w:proofErr w:type="spellEnd"/>
      <w:r>
        <w:rPr>
          <w:rFonts w:cs="Times New Roman"/>
          <w:bCs/>
          <w:szCs w:val="24"/>
        </w:rPr>
        <w:t xml:space="preserve"> of the upper Missouri, Lower Colorado, and Rio Grande while in many </w:t>
      </w:r>
      <w:proofErr w:type="spellStart"/>
      <w:r>
        <w:rPr>
          <w:rFonts w:cs="Times New Roman"/>
          <w:bCs/>
          <w:szCs w:val="24"/>
        </w:rPr>
        <w:t>subregions</w:t>
      </w:r>
      <w:proofErr w:type="spellEnd"/>
      <w:r>
        <w:rPr>
          <w:rFonts w:cs="Times New Roman"/>
          <w:bCs/>
          <w:szCs w:val="24"/>
        </w:rPr>
        <w:t xml:space="preserve"> in the northern US, insect supply will exceed current demand (Figure 5C-D). </w:t>
      </w:r>
    </w:p>
    <w:p w14:paraId="1149F486" w14:textId="42FD94AD" w:rsidR="002E1442" w:rsidRPr="00491241" w:rsidRDefault="002E1442" w:rsidP="00F62C63">
      <w:pPr>
        <w:spacing w:line="480" w:lineRule="auto"/>
        <w:contextualSpacing/>
        <w:rPr>
          <w:rFonts w:cs="Times New Roman"/>
          <w:bCs/>
          <w:szCs w:val="24"/>
        </w:rPr>
      </w:pPr>
      <w:r>
        <w:rPr>
          <w:rFonts w:cs="Times New Roman"/>
          <w:bCs/>
          <w:szCs w:val="24"/>
        </w:rPr>
        <w:t xml:space="preserve"> </w:t>
      </w:r>
    </w:p>
    <w:p w14:paraId="2FE4F39C" w14:textId="77777777" w:rsidR="00333AA3" w:rsidRPr="005A51D7" w:rsidRDefault="00333AA3" w:rsidP="003C2554">
      <w:pPr>
        <w:pStyle w:val="Heading2"/>
        <w:spacing w:line="480" w:lineRule="auto"/>
        <w:contextualSpacing/>
      </w:pPr>
      <w:r w:rsidRPr="00DF6A22">
        <w:t>Discussion</w:t>
      </w:r>
      <w:bookmarkEnd w:id="73"/>
    </w:p>
    <w:p w14:paraId="26A93F54" w14:textId="77777777" w:rsidR="00AB7462" w:rsidRPr="004D5C43" w:rsidRDefault="00AB7462" w:rsidP="00AB7462">
      <w:pPr>
        <w:spacing w:line="480" w:lineRule="auto"/>
        <w:ind w:firstLine="720"/>
        <w:contextualSpacing/>
        <w:rPr>
          <w:rFonts w:cs="Times New Roman"/>
          <w:bCs/>
          <w:szCs w:val="24"/>
        </w:rPr>
      </w:pPr>
      <w:r>
        <w:rPr>
          <w:rFonts w:cs="Times New Roman"/>
          <w:iCs/>
          <w:szCs w:val="24"/>
        </w:rPr>
        <w:t xml:space="preserve">Although climate change is a pervasive threat to aquatic ecosystems </w:t>
      </w:r>
      <w:r>
        <w:rPr>
          <w:rFonts w:cs="Times New Roman"/>
          <w:iCs/>
          <w:szCs w:val="24"/>
        </w:rPr>
        <w:fldChar w:fldCharType="begin" w:fldLock="1"/>
      </w:r>
      <w:r>
        <w:rPr>
          <w:rFonts w:cs="Times New Roman"/>
          <w:iCs/>
          <w:szCs w:val="24"/>
        </w:rPr>
        <w:instrText>ADDIN CSL_CITATION {"citationItems":[{"id":"ITEM-1","itemData":{"DOI":"10.1098/rstb.2010.0055","author":[{"dropping-particle":"","family":"Woodward","given":"Guy","non-dropping-particle":"","parse-names":false,"suffix":""},{"dropping-particle":"","family":"Perkins","given":"Daniel M","non-dropping-particle":"","parse-names":false,"suffix":""},{"dropping-particle":"","family":"Brown","given":"Lee E","non-dropping-particle":"","parse-names":false,"suffix":""}],"container-title":"Philosophical transactions of the Royal Society B","id":"ITEM-1","issued":{"date-parts":[["2010"]]},"page":"2093-2106","title":"Climate change and freshwater ecosystems: impacts across multiple levels of organization","type":"article-journal","volume":"365"},"uris":["http://www.mendeley.com/documents/?uuid=26eeb9a9-4c1f-4a4b-80c9-f344342e0d19"]}],"mendeley":{"formattedCitation":"(Woodward et al., 2010)","plainTextFormattedCitation":"(Woodward et al., 2010)","previouslyFormattedCitation":"(Woodward et al., 2010)"},"properties":{"noteIndex":0},"schema":"https://github.com/citation-style-language/schema/raw/master/csl-citation.json"}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(Woodward et al., 2010)</w:t>
      </w:r>
      <w:r>
        <w:rPr>
          <w:rFonts w:cs="Times New Roman"/>
          <w:iCs/>
          <w:szCs w:val="24"/>
        </w:rPr>
        <w:fldChar w:fldCharType="end"/>
      </w:r>
      <w:r>
        <w:rPr>
          <w:rFonts w:cs="Times New Roman"/>
          <w:iCs/>
          <w:szCs w:val="24"/>
        </w:rPr>
        <w:t xml:space="preserve">, little is known about how the effects could resonate throughout terrestrial ecosystems </w:t>
      </w:r>
      <w:r>
        <w:rPr>
          <w:rFonts w:cs="Times New Roman"/>
          <w:iCs/>
          <w:szCs w:val="24"/>
        </w:rPr>
        <w:fldChar w:fldCharType="begin" w:fldLock="1"/>
      </w:r>
      <w:r>
        <w:rPr>
          <w:rFonts w:cs="Times New Roman"/>
          <w:iCs/>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change","type":"article-journal","volume":"22"},"uris":["http://www.mendeley.com/documents/?uuid=276fe761-5a80-4012-a137-397d1f4e806c"]},{"id":"ITEM-2","itemData":{"DOI":"10.1111/j.1365-2486.2011.02540.x","author":[{"dropping-particle":"","family":"Greig","given":"Hamish S","non-dropping-particle":"","parse-names":false,"suffix":""},{"dropping-particle":"","family":"Kratina","given":"Pavel","non-dropping-particle":"","parse-names":false,"suffix":""},{"dropping-particle":"","family":"Thompson","given":"Patrick L","non-dropping-particle":"","parse-names":false,"suffix":""},{"dropping-particle":"","family":"Palen","given":"Wendy J","non-dropping-particle":"","parse-names":false,"suffix":""}],"container-title":"Global Change Biology","id":"ITEM-2","issued":{"date-parts":[["2012"]]},"page":"504-514","title":"Warming, eutrophication, and predator loss amplify subsidies between aquatic and terrestrial ecosystems","type":"article-journal","volume":"18"},"uris":["http://www.mendeley.com/documents/?uuid=b19199ee-0cf3-483a-9521-16fb3fef01be"]}],"mendeley":{"formattedCitation":"(Greig et al., 2012; Larsen et al., 2016)","plainTextFormattedCitation":"(Greig et al., 2012; Larsen et al., 2016)","previouslyFormattedCitation":"(Greig et al., 2012; Larsen et al., 2016)"},"properties":{"noteIndex":0},"schema":"https://github.com/citation-style-language/schema/raw/master/csl-citation.json"}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(Greig et al., 2012; Larsen et al., 2016)</w:t>
      </w:r>
      <w:r>
        <w:rPr>
          <w:rFonts w:cs="Times New Roman"/>
          <w:iCs/>
          <w:szCs w:val="24"/>
        </w:rPr>
        <w:fldChar w:fldCharType="end"/>
      </w:r>
      <w:r>
        <w:rPr>
          <w:rFonts w:cs="Times New Roman"/>
          <w:iCs/>
          <w:szCs w:val="24"/>
        </w:rPr>
        <w:t xml:space="preserve">. We expand the frameworks of </w:t>
      </w:r>
      <w:proofErr w:type="spellStart"/>
      <w:r>
        <w:rPr>
          <w:rFonts w:cs="Times New Roman"/>
          <w:iCs/>
          <w:szCs w:val="24"/>
        </w:rPr>
        <w:t>Gratton</w:t>
      </w:r>
      <w:proofErr w:type="spellEnd"/>
      <w:r>
        <w:rPr>
          <w:rFonts w:cs="Times New Roman"/>
          <w:iCs/>
          <w:szCs w:val="24"/>
        </w:rPr>
        <w:t xml:space="preserve"> and Vander </w:t>
      </w:r>
      <w:proofErr w:type="spellStart"/>
      <w:r>
        <w:rPr>
          <w:rFonts w:cs="Times New Roman"/>
          <w:iCs/>
          <w:szCs w:val="24"/>
        </w:rPr>
        <w:lastRenderedPageBreak/>
        <w:t>Zanden</w:t>
      </w:r>
      <w:proofErr w:type="spellEnd"/>
      <w:r>
        <w:rPr>
          <w:rFonts w:cs="Times New Roman"/>
          <w:iCs/>
          <w:szCs w:val="24"/>
        </w:rPr>
        <w:t xml:space="preserve"> (2009) and </w:t>
      </w:r>
      <w:proofErr w:type="spellStart"/>
      <w:r>
        <w:rPr>
          <w:rFonts w:cs="Times New Roman"/>
          <w:iCs/>
          <w:szCs w:val="24"/>
        </w:rPr>
        <w:t>Bartrons</w:t>
      </w:r>
      <w:proofErr w:type="spellEnd"/>
      <w:r>
        <w:rPr>
          <w:rFonts w:cs="Times New Roman"/>
          <w:iCs/>
          <w:szCs w:val="24"/>
        </w:rPr>
        <w:t xml:space="preserve"> et al. (2013) to estimate that </w:t>
      </w:r>
      <w:r>
        <w:rPr>
          <w:rFonts w:cs="Times New Roman"/>
          <w:bCs/>
          <w:szCs w:val="24"/>
        </w:rPr>
        <w:t xml:space="preserve">approximately 78,000 </w:t>
      </w:r>
      <w:proofErr w:type="spellStart"/>
      <w:r>
        <w:rPr>
          <w:rFonts w:cs="Times New Roman"/>
          <w:bCs/>
          <w:szCs w:val="24"/>
        </w:rPr>
        <w:t>tAFDM</w:t>
      </w:r>
      <w:proofErr w:type="spellEnd"/>
      <w:r>
        <w:rPr>
          <w:rFonts w:cs="Times New Roman"/>
          <w:bCs/>
          <w:szCs w:val="24"/>
        </w:rPr>
        <w:t xml:space="preserve"> yr</w:t>
      </w:r>
      <w:r w:rsidRPr="00694B41">
        <w:rPr>
          <w:rFonts w:cs="Times New Roman"/>
          <w:bCs/>
          <w:szCs w:val="24"/>
          <w:vertAlign w:val="superscript"/>
        </w:rPr>
        <w:t>-1</w:t>
      </w:r>
      <w:r>
        <w:rPr>
          <w:rFonts w:cs="Times New Roman"/>
          <w:bCs/>
          <w:szCs w:val="24"/>
        </w:rPr>
        <w:t xml:space="preserve"> (95% PI: 2,155 - 2.19 x 10</w:t>
      </w:r>
      <w:r w:rsidRPr="00694B41">
        <w:rPr>
          <w:rFonts w:cs="Times New Roman"/>
          <w:bCs/>
          <w:szCs w:val="24"/>
          <w:vertAlign w:val="superscript"/>
        </w:rPr>
        <w:t>6</w:t>
      </w:r>
      <w:r>
        <w:rPr>
          <w:rFonts w:cs="Times New Roman"/>
          <w:bCs/>
          <w:szCs w:val="24"/>
        </w:rPr>
        <w:t>) of insect biomass are exported from streams and rivers to terrestrial ecosystems within the CONUS</w:t>
      </w:r>
      <w:r>
        <w:rPr>
          <w:rFonts w:cs="Times New Roman"/>
          <w:iCs/>
          <w:szCs w:val="24"/>
        </w:rPr>
        <w:t xml:space="preserve">. Together, variation in emergent insect production per unit area and stream width revealed that under present day conditions </w:t>
      </w:r>
      <w:r>
        <w:rPr>
          <w:rFonts w:cs="Times New Roman"/>
          <w:bCs/>
          <w:szCs w:val="24"/>
        </w:rPr>
        <w:t xml:space="preserve">quantity of aquatic insect subsidies entering terrestrial ecosystems varies among hydrologic regions. For example, the Lower Mississippi hydrologic region could potentially export 60-fold more aquatic insect subsidies than the Great Basin hydrologic region. </w:t>
      </w:r>
      <w:r>
        <w:rPr>
          <w:rFonts w:cs="Times New Roman"/>
          <w:iCs/>
          <w:szCs w:val="24"/>
        </w:rPr>
        <w:t xml:space="preserve">We also demonstrate that climate change could impact terrestrial ecosystems by altering the quantity of aquatic insect subsidies. Indeed, some regions could experience up to a 50% decline in total emergence, while others could experience up to a 250% increase. Finally, these changes could subsequently alter energy budgets for common aerial insectivores by either increasing or decreasing the amount of energy that aquatic insect subsidies could contribute to their metabolic demands. </w:t>
      </w:r>
      <w:r w:rsidRPr="009D5B60">
        <w:rPr>
          <w:rFonts w:cs="Times New Roman"/>
          <w:bCs/>
          <w:szCs w:val="24"/>
        </w:rPr>
        <w:t>Collectively</w:t>
      </w:r>
      <w:r w:rsidRPr="00EF1F20">
        <w:rPr>
          <w:rFonts w:cs="Times New Roman"/>
          <w:bCs/>
          <w:szCs w:val="24"/>
        </w:rPr>
        <w:t xml:space="preserve">, our results </w:t>
      </w:r>
      <w:r>
        <w:rPr>
          <w:rFonts w:cs="Times New Roman"/>
          <w:bCs/>
          <w:szCs w:val="24"/>
        </w:rPr>
        <w:t xml:space="preserve">reveal </w:t>
      </w:r>
      <w:r w:rsidRPr="00EF1F20">
        <w:rPr>
          <w:rFonts w:cs="Times New Roman"/>
          <w:bCs/>
          <w:szCs w:val="24"/>
        </w:rPr>
        <w:t xml:space="preserve">that </w:t>
      </w:r>
      <w:r>
        <w:rPr>
          <w:rFonts w:cs="Times New Roman"/>
          <w:bCs/>
          <w:szCs w:val="24"/>
        </w:rPr>
        <w:t xml:space="preserve">the effects of </w:t>
      </w:r>
      <w:r w:rsidRPr="00EF1F20">
        <w:rPr>
          <w:rFonts w:cs="Times New Roman"/>
          <w:bCs/>
          <w:szCs w:val="24"/>
        </w:rPr>
        <w:t>climate change</w:t>
      </w:r>
      <w:r>
        <w:rPr>
          <w:rFonts w:cs="Times New Roman"/>
          <w:bCs/>
          <w:szCs w:val="24"/>
        </w:rPr>
        <w:t xml:space="preserve"> on one ecosystem can resonate throughout other ecosystems by altering subsidy quantity. </w:t>
      </w:r>
    </w:p>
    <w:p w14:paraId="45EF3815" w14:textId="77777777" w:rsidR="00AB7462" w:rsidRDefault="00AB7462" w:rsidP="00AB7462">
      <w:pPr>
        <w:spacing w:line="480" w:lineRule="auto"/>
        <w:ind w:firstLine="720"/>
        <w:contextualSpacing/>
        <w:rPr>
          <w:rFonts w:cs="Times New Roman"/>
          <w:iCs/>
          <w:szCs w:val="24"/>
        </w:rPr>
      </w:pPr>
      <w:r>
        <w:rPr>
          <w:rFonts w:cs="Times New Roman"/>
          <w:iCs/>
          <w:szCs w:val="24"/>
        </w:rPr>
        <w:t xml:space="preserve">Per unit area insect production was influenced most by mean annual precipitation, seasonality of precipitation, and mean annual temperature. In our study, insect production had a nonlinear response with mean annual precipitation, increasing near mean precipitation levels and leveling at the extremes. Others have found that precipitation patterns may influence insect production through floods and droughts </w:t>
      </w:r>
      <w:r>
        <w:rPr>
          <w:rFonts w:cs="Times New Roman"/>
          <w:iCs/>
          <w:szCs w:val="24"/>
        </w:rPr>
        <w:fldChar w:fldCharType="begin" w:fldLock="1"/>
      </w:r>
      <w:r>
        <w:rPr>
          <w:rFonts w:cs="Times New Roman"/>
          <w:iCs/>
          <w:szCs w:val="24"/>
        </w:rPr>
        <w:instrText xml:space="preserve">ADDIN CSL_CITATION {"citationItems":[{"id":"ITEM-1","itemData":{"DOI":"10.1139/f95-832","ISSN":"0706-652X","abstract":"Recovery of the macroinvertebrate community inhabiting a headwater stream (C54) that received three years of seasonal insecticide treatment was investigated. Estimates of abundance, biomass, and production in C54 during 1989 and 1990 were compared with those of a nearby undisturbed reference stream (C55), and those of C54 during 1985. Biomass and production, which decreased during treatment, increased to levels similar to those of C54 in the pretreatment year and those of the reference stream during recovery. By 1990, the functional structure of C54 was similar to that of C55 and that of C54 before the treatment, but taxonomic and developmental stage differences within some functional groups, particularly shredders, persisted. Rapid recovery of a relatively small trichopteran shredder, Lepidostoma spp., contributed significantly to recovery of ecosystem processes associated with shredders. Invertebrate taxa with shorter life cycles recolonized rapidly while those with life cycles &gt;1 year generally displayed limited recovery. Hydrologic extremes during treatment (drought) and recovery (wet) periods affected organic matter and macroinvertebrate community dynamics in both streams. -from Authors","author":[{"dropping-particle":"","family":"Whiles","given":"M. R.","non-dropping-particle":"","parse-names":false,"suffix":""},{"dropping-particle":"","family":"Wallace","given":"J. B.","non-dropping-particle":"","parse-names":false,"suffix":""}],"container-title":"Canadian Journal of Fisheries and Aquatic Sciences","id":"ITEM-1","issue":"11","issued":{"date-parts":[["1995"]]},"page":"2402-2422","title":"Macroinvertebrate production in a headwater stream during recovery from anthropogenic disturbance and hydrologic extremes","type":"article-journal","volume":"52"},"uris":["http://www.mendeley.com/documents/?uuid=b187eed9-b127-4e3c-8a93-7ae64b474dce"]},{"id":"ITEM-2","itemData":{"DOI":"10.1002/lno.10942","ISSN":"19395590","abstract":"Climate change is expected to alter disturbance regimes and biogeochemical cycles that underlie the structure and function of ecosystems worldwide. In the Arctic, rapid warming is already affecting these processes via changes in precipitation and thawing permafrost. We assessed how anticipated changes in disturbance regimes and nutrient availability may affect an arctic river ecosystem (Kuparuk River, Alaska) by analyzing temporal patterns of biofilm chlorophyll mass and macroinvertebrate community structure and productivity. Our study incorporated an upstream reach (sampled 2001–2012) and a downstream reach (sampled 2011–2012) to which phosphorus (P) was added to simulate increases in nutrient supply that are anticipated as permafrost thaws. Greater hydrologic disturbance during the open-water season correlated with reduced algal biomass and invertebrate secondary production (range </w:instrText>
      </w:r>
      <w:r>
        <w:rPr>
          <w:rFonts w:ascii="Cambria Math" w:hAnsi="Cambria Math" w:cs="Cambria Math"/>
          <w:iCs/>
          <w:szCs w:val="24"/>
        </w:rPr>
        <w:instrText>∼</w:instrText>
      </w:r>
      <w:r>
        <w:rPr>
          <w:rFonts w:cs="Times New Roman"/>
          <w:iCs/>
          <w:szCs w:val="24"/>
        </w:rPr>
        <w:instrText xml:space="preserve"> 2–7 g DM m −2 yr −1 ) in the following spring and summer. Bed disturbing flows also altered macroinvertebrate community structure with distinct “high-flow” and “base-flow” assemblages documented. Recovery time was shorter for chlorophyll mass and macroinvertebrate production (</w:instrText>
      </w:r>
      <w:r>
        <w:rPr>
          <w:rFonts w:ascii="Cambria Math" w:hAnsi="Cambria Math" w:cs="Cambria Math"/>
          <w:iCs/>
          <w:szCs w:val="24"/>
        </w:rPr>
        <w:instrText>∼</w:instrText>
      </w:r>
      <w:r>
        <w:rPr>
          <w:rFonts w:cs="Times New Roman"/>
          <w:iCs/>
          <w:szCs w:val="24"/>
        </w:rPr>
        <w:instrText xml:space="preserve"> 1 yr) than community structure (</w:instrText>
      </w:r>
      <w:r>
        <w:rPr>
          <w:rFonts w:ascii="Cambria Math" w:hAnsi="Cambria Math" w:cs="Cambria Math"/>
          <w:iCs/>
          <w:szCs w:val="24"/>
        </w:rPr>
        <w:instrText>∼</w:instrText>
      </w:r>
      <w:r>
        <w:rPr>
          <w:rFonts w:cs="Times New Roman"/>
          <w:iCs/>
          <w:szCs w:val="24"/>
        </w:rPr>
        <w:instrText xml:space="preserve"> 3 yr). Experimental P-addition increased algal biomass and invertebrate production, but also resulted in a third macroinvertebrate assemblage dominated by mobile grazers rather than filter-feeders. Our results suggest that a decrease in the return interval for bed disturbing floods to &lt; 4 yr will result in persistent changes in macroinvertebrate community structure and fundamental alterations to the food web. These results also demonstrate how arctic river communities may be affected by increases in the magnitude and variability of river discharge and nutrient supplies that are anticipated as the climate warms.","author":[{"dropping-particle":"","family":"Kendrick","given":"Michael R.","non-dropping-particle":"","parse-names":false,"suffix":""},{"dropping-particle":"","family":"Hershey","given":"Anne E.","non-dropping-particle":"","parse-names":false,"suffix":""},{"dropping-particle":"","family":"Huryn","given":"Alexander D.","non-dropping-particle":"","parse-names":false,"suffix":""}],"container-title":"Limnology and Oceanography","id":"ITEM-2","issue":"Odum 1969","issued":{"date-parts":[["2019"]]},"page":"S93-S104","title":"Disturbance, nutrients, and antecedent flow conditions affect macroinvertebrate community structure and productivity in an Arctic river","type":"article-journal","volume":"64"},"uris":["http://www.mendeley.com/documents/?uuid=3a0ad1c0-9179-4d7c-b25e-ffd346dbf6c8"]},{"id":"ITEM-3","itemData":{"DOI":"10.1126/sciadv.aav2348","ISSN":"23752548","abstract":"&lt;p&gt;Secondary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Advances","id":"ITEM-3","issue":"4","issued":{"date-parts":[["2019"]]},"page":"1-10","title":"Precipitation and temperature drive continental-scale patterns in stream invertebrate production","type":"article-journal","volume":"5"},"uris":["http://www.mendeley.com/documents/?uuid=d0b6bf02-b63d-4fa2-afc7-d2233c4c0528"]}],"mendeley":{"formattedCitation":"(Whiles and Wallace, 1995; Kendrick et al., 2019; Patrick et al., 2019)","plainTextFormattedCitation":"(Whiles and Wallace, 1995; Kendrick et al., 2019; Patrick et al., 2019)","previouslyFormattedCitation":"(Whiles and Wallace, 1995; Kendrick et al., 2019; Patrick et al., 2019)"},"properties":{"noteIndex":0},"schema":"https://github.com/citation-style-language/schema/raw/master/csl-citation.json"}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(Whiles and Wallace, 1995; Kendrick et al., 2019; Patrick et al., 2019)</w:t>
      </w:r>
      <w:r>
        <w:rPr>
          <w:rFonts w:cs="Times New Roman"/>
          <w:iCs/>
          <w:szCs w:val="24"/>
        </w:rPr>
        <w:fldChar w:fldCharType="end"/>
      </w:r>
      <w:r>
        <w:rPr>
          <w:rFonts w:cs="Times New Roman"/>
          <w:iCs/>
          <w:szCs w:val="24"/>
        </w:rPr>
        <w:t xml:space="preserve">. For example, Fisher et al. (1982) found a flash flood reduced invertebrate biomass by 98% but recovered to </w:t>
      </w:r>
      <w:proofErr w:type="spellStart"/>
      <w:r>
        <w:rPr>
          <w:rFonts w:cs="Times New Roman"/>
          <w:iCs/>
          <w:szCs w:val="24"/>
        </w:rPr>
        <w:t>preflood</w:t>
      </w:r>
      <w:proofErr w:type="spellEnd"/>
      <w:r>
        <w:rPr>
          <w:rFonts w:cs="Times New Roman"/>
          <w:iCs/>
          <w:szCs w:val="24"/>
        </w:rPr>
        <w:t xml:space="preserve"> levels 2-3 weeks later. Similarly, Ledger et al. (2011) found drought reduced aquatic secondary production by half. The positive relationship between insect production and precipitation seasonality could be driven by taxa with multiple cohorts and </w:t>
      </w:r>
      <w:r>
        <w:rPr>
          <w:rFonts w:cs="Times New Roman"/>
          <w:iCs/>
          <w:szCs w:val="24"/>
        </w:rPr>
        <w:lastRenderedPageBreak/>
        <w:t xml:space="preserve">fast development traits </w:t>
      </w:r>
      <w:r>
        <w:rPr>
          <w:rFonts w:cs="Times New Roman"/>
          <w:iCs/>
          <w:szCs w:val="24"/>
        </w:rPr>
        <w:fldChar w:fldCharType="begin" w:fldLock="1"/>
      </w:r>
      <w:r>
        <w:rPr>
          <w:rFonts w:cs="Times New Roman"/>
          <w:iCs/>
          <w:szCs w:val="24"/>
        </w:rPr>
        <w:instrText>ADDIN CSL_CITATION {"citationItems":[{"id":"ITEM-1","itemData":{"abstract":"Abstract. Aquatic insect secondary production, emergence, and export of adults to the adjacent terrestrial ecosystem were assessed in Sycamore Creek, Arizona, by means of benthic sampling, emer- gence traps, and catch-nets that passively sampled adults falling into the stream. Annual secondary production was 120.9 ? 18.0 g-m-2 yr-t and emergence was 23.1 g.m-2 yr-t (in dry mass units). The ratio of annual emergence to annual production (E/P) varied among taxa and ranged from 2 to 29%. Chironomids comprised 48.2% of production and 59.7% of emergence and mayflies accounted for 45.9 and 19.2%, respectively. Approximately 3% of emergent insect biomass returned to the stream; thus 22.4 g m-2 yr-I was transferred to the adjacent terrestrial ecosystem. The transfer of a significant portion of aquatic insect biomass to the terrestrial habitat reduced insects available to stream insec- tivores while providing prey for insectivores in neighboring terrestrial ecosystems.","author":[{"dropping-particle":"","family":"Jackson","given":"John K.","non-dropping-particle":"","parse-names":false,"suffix":""},{"dropping-particle":"","family":"Fisher","given":"Stuart G.","non-dropping-particle":"","parse-names":false,"suffix":""}],"container-title":"Ecology","id":"ITEM-1","issue":"3","issued":{"date-parts":[["1986"]]},"note":"describes the amount of aquatic terrestrial export. also incorporates statement about losses and gains","page":"629-638","title":"Secondary production, emergence, and export of aquatic insects of a sonoran desert stream","type":"article-journal","volume":"67"},"uris":["http://www.mendeley.com/documents/?uuid=b9827dc7-916c-4c1b-9411-301f2d4f533f"]}],"mendeley":{"formattedCitation":"(Jackson and Fisher, 1986)","plainTextFormattedCitation":"(Jackson and Fisher, 1986)","previouslyFormattedCitation":"(Jackson and Fisher, 1986)"},"properties":{"noteIndex":0},"schema":"https://github.com/citation-style-language/schema/raw/master/csl-citation.json"}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(Jackson and Fisher, 1986)</w:t>
      </w:r>
      <w:r>
        <w:rPr>
          <w:rFonts w:cs="Times New Roman"/>
          <w:iCs/>
          <w:szCs w:val="24"/>
        </w:rPr>
        <w:fldChar w:fldCharType="end"/>
      </w:r>
      <w:r>
        <w:rPr>
          <w:rFonts w:cs="Times New Roman"/>
          <w:iCs/>
          <w:szCs w:val="24"/>
        </w:rPr>
        <w:t xml:space="preserve">. Finally, the positive effect of mean annual temperature could be underpinned by concomitant increases in water temperatures and the availability of nutrients or food resources </w:t>
      </w:r>
      <w:r>
        <w:rPr>
          <w:rFonts w:cs="Times New Roman"/>
          <w:iCs/>
          <w:szCs w:val="24"/>
        </w:rPr>
        <w:fldChar w:fldCharType="begin" w:fldLock="1"/>
      </w:r>
      <w:r>
        <w:rPr>
          <w:rFonts w:cs="Times New Roman"/>
          <w:iCs/>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id":"ITEM-2","itemData":{"author":[{"dropping-particle":"","family":"Morin","given":"Antoine","non-dropping-particle":"","parse-names":false,"suffix":""},{"dropping-particle":"","family":"Dumont","given":"Paul","non-dropping-particle":"","parse-names":false,"suffix":""}],"container-title":"Journal of the North American Benthological Society","id":"ITEM-2","issue":"3","issued":{"date-parts":[["1994"]]},"page":"357-367","title":"A Simple Model to Estimate Growth Rate of Lotic Insect Larvae and Its Value for Estimating Population and Community Production","type":"article-journal","volume":"13"},"uris":["http://www.mendeley.com/documents/?uuid=6dd36060-b4b0-460a-af62-b8fb81af025d"]},{"id":"ITEM-3","itemData":{"DOI":"10.1146/annurev.ento.45.1.83","ISBN":"9789174474329","ISSN":"0066-4170","PMID":"10761571","abstract":"Studies of the production of stream insects are now numerous, and general factors controlling the secondary production of stream communities are becoming evident. In this review we focus on how life-history attributes influence the production dynamics of stream insects and other macroinvertebrates. Annual produc- tion of macroinvertebrate communities in streams world-wide ranges from approxi- mately 100 to 103 g dry mass m?2. High levels are reported for communities dominated by filter feeders in temperate streams. Filter feeding enables the accrual and support of high biomass, which drives the very highest production. Frequently disturbed communities in warm-temperate streams are also highly productive. Bio- mass accrual by macroinvertebrates is limited in these streams, and production is driven by rapid growth rates rather than high biomass. The lowest production, reported for macroinvertebrate communities of cool-temperate and arctic streams, is due to the constraints of low seasonal temperatures and nutrient or food limitation. Geographical bias, paucity of community-wide studies, and limited knowledge of the effects of biotic interactions limit current understanding of mechanisms controlling stream productivity.","author":[{"dropping-particle":"","family":"Huryn","given":"Alexander D.","non-dropping-particle":"","parse-names":false,"suffix":""},{"dropping-particle":"","family":"Wallace","given":"J. Bruce","non-dropping-particle":"","parse-names":false,"suffix":""}],"container-title":"Annual Review of Entomology","id":"ITEM-3","issue":"1","issued":{"date-parts":[["2000"]]},"page":"83-110","title":"Life History and Production of Stream Insects","type":"article-journal","volume":"45"},"uris":["http://www.mendeley.com/documents/?uuid=a8d14f19-9c92-44b9-8f8a-62412a2d9957"]}],"mendeley":{"formattedCitation":"(Morin and Dumont, 1994; Huryn and Wallace, 2000; Patrick et al., 2019)","plainTextFormattedCitation":"(Morin and Dumont, 1994; Huryn and Wallace, 2000; Patrick et al., 2019)","previouslyFormattedCitation":"(Morin and Dumont, 1994; Huryn and Wallace, 2000; Patrick et al., 2019)"},"properties":{"noteIndex":0},"schema":"https://github.com/citation-style-language/schema/raw/master/csl-citation.json"}</w:instrText>
      </w:r>
      <w:r>
        <w:rPr>
          <w:rFonts w:cs="Times New Roman"/>
          <w:iCs/>
          <w:szCs w:val="24"/>
        </w:rPr>
        <w:fldChar w:fldCharType="separate"/>
      </w:r>
      <w:r w:rsidRPr="00137C7E">
        <w:rPr>
          <w:rFonts w:cs="Times New Roman"/>
          <w:iCs/>
          <w:noProof/>
          <w:szCs w:val="24"/>
        </w:rPr>
        <w:t>(Morin and Dumont, 1994; Huryn and Wallace, 2000; Patrick et al., 2019)</w:t>
      </w:r>
      <w:r>
        <w:rPr>
          <w:rFonts w:cs="Times New Roman"/>
          <w:iCs/>
          <w:szCs w:val="24"/>
        </w:rPr>
        <w:fldChar w:fldCharType="end"/>
      </w:r>
      <w:r>
        <w:rPr>
          <w:rFonts w:cs="Times New Roman"/>
          <w:iCs/>
          <w:szCs w:val="24"/>
        </w:rPr>
        <w:t xml:space="preserve">. Collectively, our results may support the notion that aquatic insect production is constrained by climate and large-scale climatic patterns could explain regional differences in the per unit area emergent insect production. </w:t>
      </w:r>
    </w:p>
    <w:p w14:paraId="05474ACF" w14:textId="77777777" w:rsidR="00AB7462" w:rsidRDefault="00AB7462" w:rsidP="00AB7462">
      <w:pPr>
        <w:spacing w:line="480" w:lineRule="auto"/>
        <w:ind w:firstLine="720"/>
        <w:contextualSpacing/>
        <w:rPr>
          <w:rFonts w:cs="Times New Roman"/>
          <w:iCs/>
          <w:szCs w:val="24"/>
        </w:rPr>
      </w:pPr>
      <w:r>
        <w:rPr>
          <w:rFonts w:cs="Times New Roman"/>
          <w:iCs/>
          <w:szCs w:val="24"/>
        </w:rPr>
        <w:t xml:space="preserve">Future climate scenarios may affect insect production per unit area differently depending on the region. In many northern hydrologic regions (e.g. Pacific Northwest, Upper Missouri, and Northeast) insect production is expected to increase </w:t>
      </w:r>
      <w:r w:rsidRPr="000F00A9">
        <w:rPr>
          <w:rFonts w:cs="Times New Roman"/>
          <w:iCs/>
          <w:szCs w:val="24"/>
        </w:rPr>
        <w:t xml:space="preserve">presumably because of the expected increases in mean annual air temperature </w:t>
      </w:r>
      <w:r w:rsidRPr="000F00A9">
        <w:rPr>
          <w:rFonts w:cs="Times New Roman"/>
          <w:iCs/>
          <w:szCs w:val="24"/>
        </w:rPr>
        <w:fldChar w:fldCharType="begin" w:fldLock="1"/>
      </w:r>
      <w:r w:rsidRPr="000F00A9">
        <w:rPr>
          <w:rFonts w:cs="Times New Roman"/>
          <w:iCs/>
          <w:szCs w:val="24"/>
        </w:rPr>
        <w:instrText>ADDIN CSL_CITATION {"citationItems":[{"id":"ITEM-1","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-1","issued":{"date-parts":[["2018"]]},"number-of-pages":"1515","publisher":"U.S. Global Change Research Program","publisher-place":"Washington, DC","title":"Fourth National Climate Assessment","type":"book","volume":"II"},"uris":["http://www.mendeley.com/documents/?uuid=f31bf739-97a5-40f9-a11f-af5803875055"]}],"mendeley":{"formattedCitation":"(USGCRP, 2018)","plainTextFormattedCitation":"(USGCRP, 2018)","previouslyFormattedCitation":"(USGCRP, 2018)"},"properties":{"noteIndex":0},"schema":"https://github.com/citation-style-language/schema/raw/master/csl-citation.json"}</w:instrText>
      </w:r>
      <w:r w:rsidRPr="000F00A9">
        <w:rPr>
          <w:rFonts w:cs="Times New Roman"/>
          <w:iCs/>
          <w:szCs w:val="24"/>
        </w:rPr>
        <w:fldChar w:fldCharType="separate"/>
      </w:r>
      <w:r w:rsidRPr="000F00A9">
        <w:rPr>
          <w:rFonts w:cs="Times New Roman"/>
          <w:iCs/>
          <w:noProof/>
          <w:szCs w:val="24"/>
        </w:rPr>
        <w:t>(USGCRP, 2018)</w:t>
      </w:r>
      <w:r w:rsidRPr="000F00A9">
        <w:rPr>
          <w:rFonts w:cs="Times New Roman"/>
          <w:iCs/>
          <w:szCs w:val="24"/>
        </w:rPr>
        <w:fldChar w:fldCharType="end"/>
      </w:r>
      <w:r w:rsidRPr="000F00A9">
        <w:rPr>
          <w:rFonts w:cs="Times New Roman"/>
          <w:iCs/>
          <w:szCs w:val="24"/>
        </w:rPr>
        <w:t xml:space="preserve">.  Higher temperatures could benefit organism metabolism and, by extension, increased emergence </w:t>
      </w:r>
      <w:r w:rsidRPr="000F00A9">
        <w:rPr>
          <w:rFonts w:cs="Times New Roman"/>
          <w:iCs/>
          <w:szCs w:val="24"/>
        </w:rPr>
        <w:fldChar w:fldCharType="begin" w:fldLock="1"/>
      </w:r>
      <w:r>
        <w:rPr>
          <w:rFonts w:cs="Times New Roman"/>
          <w:iCs/>
          <w:szCs w:val="24"/>
        </w:rPr>
        <w:instrText>ADDIN CSL_CITATION {"citationItems":[{"id":"ITEM-1","itemData":{"author":[{"dropping-particle":"","family":"Muehlbauer","given":"Jeffrey","non-dropping-particle":"","parse-names":false,"suffix":""},{"dropping-particle":"","family":"Larsen","given":"Stefano","non-dropping-particle":"","parse-names":false,"suffix":""},{"dropping-particle":"","family":"Jonsson","given":"Michael","non-dropping-particle":"","parse-names":false,"suffix":""},{"dropping-particle":"","family":"Emilson","given":"Erik","non-dropping-particle":"","parse-names":false,"suffix":""}],"container-title":"Contaminants and Ecological Subsidies","editor":[{"dropping-particle":"","family":"Kraus","given":"Johanna","non-dropping-particle":"","parse-names":false,"suffix":""},{"dropping-particle":"","family":"Walters","given":"David","non-dropping-particle":"","parse-names":false,"suffix":""},{"dropping-particle":"","family":"Mills","given":"Marc","non-dropping-particle":"","parse-names":false,"suffix":""}],"id":"ITEM-1","issued":{"date-parts":[["2020"]]},"page":"129-155","publisher":"Springer Nature","publisher-place":"Switzerland","title":"Variables Affecting Resource Subsidies from Streams and Rivers to Land and their Susceptibility to Global Change Stressors","type":"chapter"},"uris":["http://www.mendeley.com/documents/?uuid=f9b9e93e-9a24-46b0-9856-e0b2971a3816"]},{"id":"ITEM-2","itemData":{"DOI":"10.1111/j.1365-2486.2011.02540.x","author":[{"dropping-particle":"","family":"Greig","given":"Hamish S","non-dropping-particle":"","parse-names":false,"suffix":""},{"dropping-particle":"","family":"Kratina","given":"Pavel","non-dropping-particle":"","parse-names":false,"suffix":""},{"dropping-particle":"","family":"Thompson","given":"Patrick L","non-dropping-particle":"","parse-names":false,"suffix":""},{"dropping-particle":"","family":"Palen","given":"Wendy J","non-dropping-particle":"","parse-names":false,"suffix":""}],"container-title":"Global Change Biology","id":"ITEM-2","issued":{"date-parts":[["2012"]]},"page":"504-514","title":"Warming, eutrophication, and predator loss amplify subsidies between aquatic and terrestrial ecosystems","type":"article-journal","volume":"18"},"uris":["http://www.mendeley.com/documents/?uuid=b19199ee-0cf3-483a-9521-16fb3fef01be"]}],"mendeley":{"formattedCitation":"(Greig et al., 2012; Muehlbauer et al., 2020)","plainTextFormattedCitation":"(Greig et al., 2012; Muehlbauer et al., 2020)","previouslyFormattedCitation":"(Greig et al., 2012; Muehlbauer et al., 2020)"},"properties":{"noteIndex":0},"schema":"https://github.com/citation-style-language/schema/raw/master/csl-citation.json"}</w:instrText>
      </w:r>
      <w:r w:rsidRPr="000F00A9">
        <w:rPr>
          <w:rFonts w:cs="Times New Roman"/>
          <w:iCs/>
          <w:szCs w:val="24"/>
        </w:rPr>
        <w:fldChar w:fldCharType="separate"/>
      </w:r>
      <w:r w:rsidRPr="000F00A9">
        <w:rPr>
          <w:rFonts w:cs="Times New Roman"/>
          <w:iCs/>
          <w:noProof/>
          <w:szCs w:val="24"/>
        </w:rPr>
        <w:t>(Greig et al., 2012; Muehlbauer et al., 2020)</w:t>
      </w:r>
      <w:r w:rsidRPr="000F00A9">
        <w:rPr>
          <w:rFonts w:cs="Times New Roman"/>
          <w:iCs/>
          <w:szCs w:val="24"/>
        </w:rPr>
        <w:fldChar w:fldCharType="end"/>
      </w:r>
      <w:r w:rsidRPr="000F00A9">
        <w:rPr>
          <w:rFonts w:cs="Times New Roman"/>
          <w:iCs/>
          <w:szCs w:val="24"/>
        </w:rPr>
        <w:t xml:space="preserve">. Indeed, whether these relationships persist into the future will depend on the </w:t>
      </w:r>
      <w:r>
        <w:rPr>
          <w:rFonts w:cs="Times New Roman"/>
          <w:iCs/>
          <w:szCs w:val="24"/>
        </w:rPr>
        <w:t xml:space="preserve">thermal tolerance and </w:t>
      </w:r>
      <w:r w:rsidRPr="000F00A9">
        <w:rPr>
          <w:rFonts w:cs="Times New Roman"/>
          <w:iCs/>
          <w:szCs w:val="24"/>
        </w:rPr>
        <w:t>survival of different taxa.  Alternatively,</w:t>
      </w:r>
      <w:r>
        <w:rPr>
          <w:rFonts w:cs="Times New Roman"/>
          <w:iCs/>
          <w:szCs w:val="24"/>
        </w:rPr>
        <w:t xml:space="preserve"> in many southern hydrologic regions, insect production is expected to decline because of the anticipated effects of climate change on precipitation and seasonality </w:t>
      </w:r>
      <w:r>
        <w:rPr>
          <w:rFonts w:cs="Times New Roman"/>
          <w:iCs/>
          <w:szCs w:val="24"/>
        </w:rPr>
        <w:fldChar w:fldCharType="begin" w:fldLock="1"/>
      </w:r>
      <w:r>
        <w:rPr>
          <w:rFonts w:cs="Times New Roman"/>
          <w:iCs/>
          <w:szCs w:val="24"/>
        </w:rPr>
        <w:instrText>ADDIN CSL_CITATION {"citationItems":[{"id":"ITEM-1","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-1","issued":{"date-parts":[["2018"]]},"number-of-pages":"1515","publisher":"U.S. Global Change Research Program","publisher-place":"Washington, DC","title":"Fourth National Climate Assessment","type":"book","volume":"II"},"uris":["http://www.mendeley.com/documents/?uuid=f31bf739-97a5-40f9-a11f-af5803875055"]}],"mendeley":{"formattedCitation":"(USGCRP, 2018)","plainTextFormattedCitation":"(USGCRP, 2018)","previouslyFormattedCitation":"(USGCRP, 2018)"},"properties":{"noteIndex":0},"schema":"https://github.com/citation-style-language/schema/raw/master/csl-citation.json"}</w:instrText>
      </w:r>
      <w:r>
        <w:rPr>
          <w:rFonts w:cs="Times New Roman"/>
          <w:iCs/>
          <w:szCs w:val="24"/>
        </w:rPr>
        <w:fldChar w:fldCharType="separate"/>
      </w:r>
      <w:r w:rsidRPr="00B22BFD">
        <w:rPr>
          <w:rFonts w:cs="Times New Roman"/>
          <w:iCs/>
          <w:noProof/>
          <w:szCs w:val="24"/>
        </w:rPr>
        <w:t>(USGCRP, 2018)</w:t>
      </w:r>
      <w:r>
        <w:rPr>
          <w:rFonts w:cs="Times New Roman"/>
          <w:iCs/>
          <w:szCs w:val="24"/>
        </w:rPr>
        <w:fldChar w:fldCharType="end"/>
      </w:r>
      <w:r>
        <w:rPr>
          <w:rFonts w:cs="Times New Roman"/>
          <w:iCs/>
          <w:szCs w:val="24"/>
        </w:rPr>
        <w:t xml:space="preserve">. Importantly, these results suggest that the effects of climate change on per unit area emergent insect production will vary among major hydrologic regions of the CONUS. </w:t>
      </w:r>
    </w:p>
    <w:p w14:paraId="1B0D9E20" w14:textId="77777777" w:rsidR="00AB7462" w:rsidRDefault="00AB7462" w:rsidP="00AB7462">
      <w:pPr>
        <w:shd w:val="clear" w:color="auto" w:fill="FFFFFF"/>
        <w:spacing w:after="0" w:line="480" w:lineRule="auto"/>
        <w:ind w:firstLine="720"/>
        <w:contextualSpacing/>
        <w:rPr>
          <w:rFonts w:cs="Times New Roman"/>
          <w:bCs/>
          <w:szCs w:val="24"/>
        </w:rPr>
      </w:pPr>
      <w:r>
        <w:rPr>
          <w:rFonts w:cs="Times New Roman"/>
          <w:bCs/>
          <w:szCs w:val="24"/>
        </w:rPr>
        <w:t xml:space="preserve">The surface area of aquatic ecosystems rivers is a major determinant of total insect emergence </w:t>
      </w:r>
      <w:r>
        <w:rPr>
          <w:rFonts w:cs="Times New Roman"/>
          <w:iCs/>
          <w:szCs w:val="24"/>
        </w:rPr>
        <w:fldChar w:fldCharType="begin" w:fldLock="1"/>
      </w:r>
      <w:r>
        <w:rPr>
          <w:rFonts w:cs="Times New Roman"/>
          <w:iCs/>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(Gratton and Vander Zanden, 2009; Bartrons et al., 2013)</w:t>
      </w:r>
      <w:r>
        <w:rPr>
          <w:rFonts w:cs="Times New Roman"/>
          <w:iCs/>
          <w:szCs w:val="24"/>
        </w:rPr>
        <w:fldChar w:fldCharType="end"/>
      </w:r>
      <w:r>
        <w:rPr>
          <w:rFonts w:cs="Times New Roman"/>
          <w:iCs/>
          <w:szCs w:val="24"/>
        </w:rPr>
        <w:t xml:space="preserve">. In general, we found wetted width was positively associated with mean annual precipitation and negatively associated with </w:t>
      </w:r>
      <w:r>
        <w:rPr>
          <w:rFonts w:cs="Times New Roman"/>
          <w:bCs/>
          <w:szCs w:val="24"/>
        </w:rPr>
        <w:t xml:space="preserve">mean annual temperature and precipitation seasonality. Higher precipitation levels may contribute to overland runoff and higher temperatures could be indicative of evaporative losses, both could explain relationships stream width. On the other hand, precipitation seasonality could </w:t>
      </w:r>
      <w:r>
        <w:rPr>
          <w:rFonts w:cs="Times New Roman"/>
          <w:bCs/>
          <w:szCs w:val="24"/>
        </w:rPr>
        <w:lastRenderedPageBreak/>
        <w:t xml:space="preserve">increase variation in streamflow and the duration of water in the stream channel. Since our measures were taken during the summer season, increased variation in precipitation could reduce the opportunity for field measures to correspond the wettest seasons. Given these associations it is also likely that major hydrologic regions differ in quantity of aquatic insect subsidies because of differences in stream surface area </w:t>
      </w:r>
      <w:r>
        <w:rPr>
          <w:rFonts w:cs="Times New Roman"/>
          <w:iCs/>
          <w:szCs w:val="24"/>
        </w:rPr>
        <w:fldChar w:fldCharType="begin" w:fldLock="1"/>
      </w:r>
      <w:r>
        <w:rPr>
          <w:rFonts w:cs="Times New Roman"/>
          <w:iCs/>
          <w:szCs w:val="24"/>
        </w:rPr>
        <w:instrText>ADDIN CSL_CITATION {"citationItems":[{"id":"ITEM-1","itemData":{"author":[{"dropping-particle":"","family":"Gratton","given":"C.","non-dropping-particle":"","parse-names":false,"suffix":""},{"dropping-particle":"","family":"Zanden","given":"M.J.","non-dropping-particle":"Vander","parse-names":false,"suffix":""}],"container-title":"Ecology","id":"ITEM-1","issue":"10","issued":{"date-parts":[["2009"]]},"page":"2689–2699","title":"Flux of aquatic insect productivity to land: comparison of lentic and lotic ecosystems","type":"article-journal","volume":"90"},"uris":["http://www.mendeley.com/documents/?uuid=1919de5e-bc71-4cdb-ad66-d96c78ff5294"]},{"id":"ITEM-2","itemData":{"DOI":"10.1007/s10021-013-9688-6","ISBN":"732852","ISSN":"14329840","PMID":"732852","abstract":"Emergent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Land","type":"article-journal","volume":"16"},"uris":["http://www.mendeley.com/documents/?uuid=76c15ca4-2901-40f7-a4f1-93047a0aa026"]}],"mendeley":{"formattedCitation":"(Gratton and Vander Zanden, 2009; Bartrons et al., 2013)","plainTextFormattedCitation":"(Gratton and Vander Zanden, 2009; Bartrons et al., 2013)","previouslyFormattedCitation":"(Gratton and Vander Zanden, 2009; Bartrons et al., 2013)"},"properties":{"noteIndex":0},"schema":"https://github.com/citation-style-language/schema/raw/master/csl-citation.json"}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(Gratton and Vander Zanden, 2009; Bartrons et al., 2013)</w:t>
      </w:r>
      <w:r>
        <w:rPr>
          <w:rFonts w:cs="Times New Roman"/>
          <w:iCs/>
          <w:szCs w:val="24"/>
        </w:rPr>
        <w:fldChar w:fldCharType="end"/>
      </w:r>
      <w:r>
        <w:rPr>
          <w:rFonts w:cs="Times New Roman"/>
          <w:bCs/>
          <w:szCs w:val="24"/>
        </w:rPr>
        <w:t>.</w:t>
      </w:r>
    </w:p>
    <w:p w14:paraId="7477EA91" w14:textId="77777777" w:rsidR="00AB7462" w:rsidRDefault="00AB7462" w:rsidP="00AB7462">
      <w:pPr>
        <w:shd w:val="clear" w:color="auto" w:fill="FFFFFF"/>
        <w:spacing w:after="0" w:line="480" w:lineRule="auto"/>
        <w:ind w:firstLine="720"/>
        <w:contextualSpacing/>
        <w:rPr>
          <w:rFonts w:cs="Times New Roman"/>
          <w:bCs/>
          <w:szCs w:val="24"/>
        </w:rPr>
      </w:pPr>
      <w:r>
        <w:rPr>
          <w:rFonts w:cs="Times New Roman"/>
          <w:bCs/>
          <w:szCs w:val="24"/>
        </w:rPr>
        <w:t xml:space="preserve"> Under future climate scenarios w</w:t>
      </w:r>
      <w:r>
        <w:rPr>
          <w:rFonts w:cs="Times New Roman"/>
          <w:iCs/>
          <w:szCs w:val="24"/>
        </w:rPr>
        <w:t xml:space="preserve">e found wetted stream width could decline in many hydrologic regions of the CONUS by 2070. Among these regions, the Lower Mississippi and Rio Grande may incur the greatest reduction in stream surface area which could be caused by future decreases in precipitation and higher air temperatures </w:t>
      </w:r>
      <w:r>
        <w:rPr>
          <w:rFonts w:cs="Times New Roman"/>
          <w:iCs/>
          <w:szCs w:val="24"/>
        </w:rPr>
        <w:fldChar w:fldCharType="begin" w:fldLock="1"/>
      </w:r>
      <w:r>
        <w:rPr>
          <w:rFonts w:cs="Times New Roman"/>
          <w:iCs/>
          <w:szCs w:val="24"/>
        </w:rPr>
        <w:instrText>ADDIN CSL_CITATION {"citationItems":[{"id":"ITEM-1","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-1","issued":{"date-parts":[["2018"]]},"number-of-pages":"1515","publisher":"U.S. Global Change Research Program","publisher-place":"Washington, DC","title":"Fourth National Climate Assessment","type":"book","volume":"II"},"uris":["http://www.mendeley.com/documents/?uuid=f31bf739-97a5-40f9-a11f-af5803875055"]}],"mendeley":{"formattedCitation":"(USGCRP, 2018)","plainTextFormattedCitation":"(USGCRP, 2018)","previouslyFormattedCitation":"(USGCRP, 2018)"},"properties":{"noteIndex":0},"schema":"https://github.com/citation-style-language/schema/raw/master/csl-citation.json"}</w:instrText>
      </w:r>
      <w:r>
        <w:rPr>
          <w:rFonts w:cs="Times New Roman"/>
          <w:iCs/>
          <w:szCs w:val="24"/>
        </w:rPr>
        <w:fldChar w:fldCharType="separate"/>
      </w:r>
      <w:r w:rsidRPr="00B22BFD">
        <w:rPr>
          <w:rFonts w:cs="Times New Roman"/>
          <w:iCs/>
          <w:noProof/>
          <w:szCs w:val="24"/>
        </w:rPr>
        <w:t>(USGCRP, 2018)</w:t>
      </w:r>
      <w:r>
        <w:rPr>
          <w:rFonts w:cs="Times New Roman"/>
          <w:iCs/>
          <w:szCs w:val="24"/>
        </w:rPr>
        <w:fldChar w:fldCharType="end"/>
      </w:r>
      <w:r>
        <w:rPr>
          <w:rFonts w:cs="Times New Roman"/>
          <w:iCs/>
          <w:szCs w:val="24"/>
        </w:rPr>
        <w:t xml:space="preserve">. Alternatively, we found that stream surface in the Souris Red Rainy and Upper Mississippi hydrologic regions could experience limited change from present day conditions. In the Northern US, precipitation and temperature are expected to increase </w:t>
      </w:r>
      <w:r>
        <w:rPr>
          <w:rFonts w:cs="Times New Roman"/>
          <w:iCs/>
          <w:szCs w:val="24"/>
        </w:rPr>
        <w:fldChar w:fldCharType="begin" w:fldLock="1"/>
      </w:r>
      <w:r>
        <w:rPr>
          <w:rFonts w:cs="Times New Roman"/>
          <w:iCs/>
          <w:szCs w:val="24"/>
        </w:rPr>
        <w:instrText>ADDIN CSL_CITATION {"citationItems":[{"id":"ITEM-1","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-1","issued":{"date-parts":[["2018"]]},"number-of-pages":"1515","publisher":"U.S. Global Change Research Program","publisher-place":"Washington, DC","title":"Fourth National Climate Assessment","type":"book","volume":"II"},"uris":["http://www.mendeley.com/documents/?uuid=f31bf739-97a5-40f9-a11f-af5803875055"]}],"mendeley":{"formattedCitation":"(USGCRP, 2018)","plainTextFormattedCitation":"(USGCRP, 2018)","previouslyFormattedCitation":"(USGCRP, 2018)"},"properties":{"noteIndex":0},"schema":"https://github.com/citation-style-language/schema/raw/master/csl-citation.json"}</w:instrText>
      </w:r>
      <w:r>
        <w:rPr>
          <w:rFonts w:cs="Times New Roman"/>
          <w:iCs/>
          <w:szCs w:val="24"/>
        </w:rPr>
        <w:fldChar w:fldCharType="separate"/>
      </w:r>
      <w:r w:rsidRPr="00B22BFD">
        <w:rPr>
          <w:rFonts w:cs="Times New Roman"/>
          <w:iCs/>
          <w:noProof/>
          <w:szCs w:val="24"/>
        </w:rPr>
        <w:t>(USGCRP, 2018)</w:t>
      </w:r>
      <w:r>
        <w:rPr>
          <w:rFonts w:cs="Times New Roman"/>
          <w:iCs/>
          <w:szCs w:val="24"/>
        </w:rPr>
        <w:fldChar w:fldCharType="end"/>
      </w:r>
      <w:r>
        <w:rPr>
          <w:rFonts w:cs="Times New Roman"/>
          <w:iCs/>
          <w:szCs w:val="24"/>
        </w:rPr>
        <w:t xml:space="preserve">. Consequently, the relatively small effect of climate on stream surface area in these hydrologic regions could be due to elevated precipitation potentially offsetting evaporative losses associated with higher temperatures. Indeed, we did not incorporate changes in societal water demands which are likely to increase given higher temperatures and further impact stream surface area </w:t>
      </w:r>
      <w:r>
        <w:rPr>
          <w:rFonts w:cs="Times New Roman"/>
          <w:iCs/>
          <w:szCs w:val="24"/>
        </w:rPr>
        <w:fldChar w:fldCharType="begin" w:fldLock="1"/>
      </w:r>
      <w:r>
        <w:rPr>
          <w:rFonts w:cs="Times New Roman"/>
          <w:iCs/>
          <w:szCs w:val="24"/>
        </w:rPr>
        <w:instrText>ADDIN CSL_CITATION {"citationItems":[{"id":"ITEM-1","itemData":{"DOI":"10.1073/pnas.1618936114","ISSN":"0027-8424","PMID":"28652354","abstract":"Groundwater pumping for agriculture is a major driver causing declines of global freshwater ecosystems, yet the ecological conse-quences for stream fish assemblages are rarely quantified. We combined retrospective (1950–2010) and prospective (2011–2060) modeling approaches within a multiscale framework to predict change in Great Plains stream fish assemblages associated with groundwater pumping from the United States High Plains Aquifer. We modeled the relationship between the length of stream receiv-ing water from the High Plains Aquifer and the occurrence of fishes characteristic of small and large streams in the western Great Plains at a regional scale and for six subwatersheds nested within the region. Water development at the regional scale was associated with construction of 154 barriers that fragment stream habitats, increased depth to groundwater and loss of 558 km of stream, and transformation of fish assemblage structure from dominance by large-stream to small-stream fishes. Scaling down to subwater-sheds revealed consistent transformations in fish assemblage struc-ture among western subwatersheds with increasing depths to groundwater. Although transformations occurred in the absence of barriers, barriers along mainstem rivers isolate depauperate western fish assemblages from relatively intact eastern fish assem-blages. Projections to 2060 indicate loss of an additional 286 km of stream across the region, as well as continued replacement of large-stream fishes by small-stream fishes where groundwater pumping has increased depth to groundwater. Our work illustrates the shrinking of streams and homogenization of Great Plains stream fish assemblages related to groundwater pumping, and we predict similar transformations worldwide where local and regional aquifer depletions occur. ecology | conservation | freshwater | Great Plains | fishes","author":[{"dropping-particle":"","family":"Perkin","given":"Joshuah S","non-dropping-particle":"","parse-names":false,"suffix":""},{"dropping-particle":"","family":"Gido","given":"Keith B","non-dropping-particle":"","parse-names":false,"suffix":""},{"dropping-particle":"","family":"Falke","given":"Jeffrey A","non-dropping-particle":"","parse-names":false,"suffix":""},{"dropping-particle":"","family":"Fausch","given":"Kurt D","non-dropping-particle":"","parse-names":false,"suffix":""},{"dropping-particle":"","family":"Crockett","given":"Harry","non-dropping-particle":"","parse-names":false,"suffix":""},{"dropping-particle":"","family":"Johnson","given":"Eric R","non-dropping-particle":"","parse-names":false,"suffix":""}],"id":"ITEM-1","issue":"28","issued":{"date-parts":[["2017"]]},"page":"1-6","title":"Groundwater declines are linked to changes in Great Plains stream fish assemblages","type":"article-journal","volume":"114"},"uris":["http://www.mendeley.com/documents/?uuid=380b1eca-02be-427e-91d7-875eeb268deb"]},{"id":"ITEM-2","itemData":{"author":[{"dropping-particle":"","family":"USGCRP","given":"","non-dropping-particle":"","parse-names":false,"suffix":""}],"editor":[{"dropping-particle":"","family":"Reidmiller","given":"D.R.","non-dropping-particle":"","parse-names":false,"suffix":""},{"dropping-particle":"","family":"Avery","given":"C.W.","non-dropping-particle":"","parse-names":false,"suffix":""},{"dropping-particle":"","family":"Easterline","given":"D.R.","non-dropping-particle":"","parse-names":false,"suffix":""},{"dropping-particle":"","family":"Kunkel","given":"K.E.","non-dropping-particle":"","parse-names":false,"suffix":""},{"dropping-particle":"","family":"Lewis","given":"K.L.M.","non-dropping-particle":"","parse-names":false,"suffix":""},{"dropping-particle":"","family":"Maycock","given":"T.K.","non-dropping-particle":"","parse-names":false,"suffix":""},{"dropping-particle":"","family":"Stewart","given":"B.C.","non-dropping-particle":"","parse-names":false,"suffix":""}],"id":"ITEM-2","issued":{"date-parts":[["2018"]]},"number-of-pages":"1515","publisher":"U.S. Global Change Research Program","publisher-place":"Washington, DC","title":"Fourth National Climate Assessment","type":"book","volume":"II"},"uris":["http://www.mendeley.com/documents/?uuid=f31bf739-97a5-40f9-a11f-af5803875055"]}],"mendeley":{"formattedCitation":"(Perkin et al., 2017; USGCRP, 2018)","plainTextFormattedCitation":"(Perkin et al., 2017; USGCRP, 2018)","previouslyFormattedCitation":"(Perkin et al., 2017; USGCRP, 2018)"},"properties":{"noteIndex":0},"schema":"https://github.com/citation-style-language/schema/raw/master/csl-citation.json"}</w:instrText>
      </w:r>
      <w:r>
        <w:rPr>
          <w:rFonts w:cs="Times New Roman"/>
          <w:iCs/>
          <w:szCs w:val="24"/>
        </w:rPr>
        <w:fldChar w:fldCharType="separate"/>
      </w:r>
      <w:r w:rsidRPr="009106A9">
        <w:rPr>
          <w:rFonts w:cs="Times New Roman"/>
          <w:iCs/>
          <w:noProof/>
          <w:szCs w:val="24"/>
        </w:rPr>
        <w:t>(Perkin et al., 2017; USGCRP, 2018)</w:t>
      </w:r>
      <w:r>
        <w:rPr>
          <w:rFonts w:cs="Times New Roman"/>
          <w:iCs/>
          <w:szCs w:val="24"/>
        </w:rPr>
        <w:fldChar w:fldCharType="end"/>
      </w:r>
      <w:r>
        <w:rPr>
          <w:rFonts w:cs="Times New Roman"/>
          <w:iCs/>
          <w:szCs w:val="24"/>
        </w:rPr>
        <w:t xml:space="preserve">. As such future declines in stream surface area and subsidy exchanges may be greater than what our estimates suggest. </w:t>
      </w:r>
    </w:p>
    <w:p w14:paraId="376EBEAD" w14:textId="77777777" w:rsidR="00AB7462" w:rsidRDefault="00AB7462" w:rsidP="00AB7462">
      <w:pPr>
        <w:shd w:val="clear" w:color="auto" w:fill="FFFFFF"/>
        <w:spacing w:after="0" w:line="480" w:lineRule="auto"/>
        <w:ind w:firstLine="720"/>
        <w:contextualSpacing/>
        <w:rPr>
          <w:rFonts w:cs="Times New Roman"/>
          <w:iCs/>
          <w:szCs w:val="24"/>
        </w:rPr>
      </w:pPr>
      <w:r>
        <w:rPr>
          <w:rFonts w:cs="Times New Roman"/>
          <w:bCs/>
          <w:szCs w:val="24"/>
        </w:rPr>
        <w:t xml:space="preserve">Regional differences in aquatic insect subsidies could underpin large scale variation in terrestrial food webs under present and future conditions </w:t>
      </w:r>
      <w:r>
        <w:rPr>
          <w:rFonts w:cs="Times New Roman"/>
          <w:bCs/>
          <w:szCs w:val="24"/>
        </w:rPr>
        <w:fldChar w:fldCharType="begin" w:fldLock="1"/>
      </w:r>
      <w:r>
        <w:rPr>
          <w:rFonts w:cs="Times New Roman"/>
          <w:bCs/>
          <w:szCs w:val="24"/>
        </w:rPr>
        <w:instrText>ADDIN CSL_CITATION {"citationItems":[{"id":"ITEM-1","itemData":{"DOI":"10.1002/ecs2.2697","ISSN":"21508925","abstract":"Cross‐boundary fluxes of organisms and matter, termed \"subsidies,\" are now recognized to be reciprocal and of roughly equal importance for both aquatic and terrestrial systems, even if terrestrial input to aquatic ecosystems has received most attention. The magnitude of aquatic‐to‐terrestrial subsidies is well documented, but the drivers behind these subsidies and their utilization by terrestrial consumers are characteristically local‐scale studies, limiting the inferences that can be drawn for broader geographic scales. We therefore built and analyzed a database of stable isotope data extracted from 21 studies worldwide, to identify both landscape‐scale (catchment) and local‐scale (100‐m riparian zone) variables that may affect the diet of terrestrial predators in riparian ecosystems. Our meta‐analysis revealed a greater magnitude of aquatic‐to‐terrestrial subsidies (&amp;gt;50%) than previously reported, albeit with large geographic and inter‐annual variations. Moreover, we demonstrated a large effect of landscape‐scale factors on aquatic‐to‐terrestrial subsidies, particularly anthropogenic land use and tree cover. Local human population was the only relevant factor at the local scale. We also found that studies on landscape‐scale and anthropogenic land use effects on aquatic‐to‐terrestrial subsidies are strongly under‐represented in the ecological literature, which limits the general inferences that can currently be drawn about landscape effects. We suggest that landscape‐scale studies could improve our understanding of how land use and environmental change might influence future patterns of biodiversity and ecosystem function.","author":[{"dropping-particle":"","family":"Lafage","given":"D.","non-dropping-particle":"","parse-names":false,"suffix":""},{"dropping-particle":"","family":"Bergman","given":"E.","non-dropping-particle":"","parse-names":false,"suffix":""},{"dropping-particle":"","family":"Eckstein","given":"R. L.","non-dropping-particle":"","parse-names":false,"suffix":""},{"dropping-particle":"","family":"Österling","given":"E. M.","non-dropping-particle":"","parse-names":false,"suffix":""},{"dropping-particle":"","family":"Sadler","given":"J. P.","non-dropping-particle":"","parse-names":false,"suffix":""},{"dropping-particle":"","family":"Piccolo","given":"J. J.","non-dropping-particle":"","parse-names":false,"suffix":""}],"container-title":"Ecosphere","id":"ITEM-1","issue":"4","issued":{"date-parts":[["2019"]]},"page":"e02697","title":"Local and landscape drivers of aquatic-to-terrestrial subsidies in riparian ecosystems: a worldwide meta-analysis","type":"article-journal","volume":"10"},"uris":["http://www.mendeley.com/documents/?uuid=1837073f-118f-45da-901a-c392a6983ab2"]},{"id":"ITEM-2","itemData":{"DOI":"10.1111/ele.13185","ISSN":"1461-023X","PMID":"30548746","author":[{"dropping-particle":"","family":"Montagano","given":"Laurent","non-dropping-particle":"","parse-names":false,"suffix":""},{"dropping-particle":"","family":"Leroux","given":"Shawn J.","non-dropping-particle":"","parse-names":false,"suffix":""},{"dropping-particle":"","family":"Giroux","given":"Marie‐Andrée","non-dropping-particle":"","parse-names":false,"suffix":""},{"dropping-particle":"","family":"Lecomte","given":"Nicolas","non-dropping-particle":"","parse-names":false,"suffix":""}],"container-title":"Ecology Letters","id":"ITEM-2","issued":{"date-parts":[["2018"]]},"page":"265-274","title":"The strength of ecological subsidies across ecosystems: a latitudinal gradient of direct and indirect impacts on food webs","type":"article-journal","volume":"22"},"uris":["http://www.mendeley.com/documents/?uuid=70141943-0f66-4c67-b484-9a5d82d7ea36"]}],"mendeley":{"formattedCitation":"(Montagano et al., 2018; Lafage et al., 2019)","plainTextFormattedCitation":"(Montagano et al., 2018; Lafage et al., 2019)","previouslyFormattedCitation":"(Montagano et al., 2018; Lafage et al., 2019)"},"properties":{"noteIndex":0},"schema":"https://github.com/citation-style-language/schema/raw/master/csl-citation.json"}</w:instrText>
      </w:r>
      <w:r>
        <w:rPr>
          <w:rFonts w:cs="Times New Roman"/>
          <w:bCs/>
          <w:szCs w:val="24"/>
        </w:rPr>
        <w:fldChar w:fldCharType="separate"/>
      </w:r>
      <w:r w:rsidRPr="00B05F70">
        <w:rPr>
          <w:rFonts w:cs="Times New Roman"/>
          <w:bCs/>
          <w:noProof/>
          <w:szCs w:val="24"/>
        </w:rPr>
        <w:t>(Montagano et al., 2018; Lafage et al., 2019)</w:t>
      </w:r>
      <w:r>
        <w:rPr>
          <w:rFonts w:cs="Times New Roman"/>
          <w:bCs/>
          <w:szCs w:val="24"/>
        </w:rPr>
        <w:fldChar w:fldCharType="end"/>
      </w:r>
      <w:r>
        <w:rPr>
          <w:rFonts w:cs="Times New Roman"/>
          <w:bCs/>
          <w:szCs w:val="24"/>
        </w:rPr>
        <w:t xml:space="preserve">. </w:t>
      </w:r>
      <w:r>
        <w:rPr>
          <w:rFonts w:cs="Times New Roman"/>
          <w:iCs/>
          <w:szCs w:val="24"/>
        </w:rPr>
        <w:t xml:space="preserve">Throughout much of the western United States we found energetic demands of aerial insectivores exceed energy supplied by emergent aquatic insects and throughout much of the southeastern United States we found the opposite. In regions where aquatic insect subsidies </w:t>
      </w:r>
      <w:r>
        <w:rPr>
          <w:rFonts w:cs="Times New Roman"/>
          <w:iCs/>
          <w:szCs w:val="24"/>
        </w:rPr>
        <w:lastRenderedPageBreak/>
        <w:t xml:space="preserve">cannot exceed the metabolic demands of insectivores, they may be relatively more important to consumers and eaten at greater rates that what their availability suggests. Indeed there is increasing evidence that emergent insects are a higher quality prey item relative to terrestrial insects </w:t>
      </w:r>
      <w:r>
        <w:rPr>
          <w:rFonts w:cs="Times New Roman"/>
          <w:iCs/>
          <w:szCs w:val="24"/>
        </w:rPr>
        <w:fldChar w:fldCharType="begin" w:fldLock="1"/>
      </w:r>
      <w:r>
        <w:rPr>
          <w:rFonts w:cs="Times New Roman"/>
          <w:iCs/>
          <w:szCs w:val="24"/>
        </w:rPr>
        <w:instrText>ADDIN CSL_CITATION {"citationItems":[{"id":"ITEM-1","itemData":{"DOI":"10.1111/ele.13156","ISSN":"14610248","PMID":"30251301","abstract":"Ecologists studying bird foraging ecology have generally focused on food quantity over quality. Emerging work suggests that food quality, in terms of highly unsaturated omega-3 fatty acids (HUFA), can have equally important effects on performance. HUFA, which are present in aquatic primary producers, are all but absent in vascular plants, and HUFA content is also correspondingly higher in aquatic insects. Here, we show that Tree Swallow (Tachycineta bicolor) chicks rapidly accumulate HUFA from food during the nestling period. Using data sampled over 24 years, we also show that Tree Swallow breeding success is positively associated with the availability of HUFA-rich aquatic insects. Variation in aquatic insect biomass during chick development was a strong predictor of fledging success, whereas variation in terrestrial insects had little effect on fledging success. Our results highlight the potential for nutritional mismatches between insectivores and high-quality prey to affect avian reproductive performance.","author":[{"dropping-particle":"","family":"Twining","given":"Cornelia Wingfield","non-dropping-particle":"","parse-names":false,"suffix":""},{"dropping-particle":"","family":"Shipley","given":"Jeremy Ryan","non-dropping-particle":"","parse-names":false,"suffix":""},{"dropping-particle":"","family":"Winkler","given":"David W.","non-dropping-particle":"","parse-names":false,"suffix":""}],"container-title":"Ecology Letters","id":"ITEM-1","issue":"12","issued":{"date-parts":[["2018"]]},"page":"1812-1820","title":"Aquatic insects rich in omega-3 fatty acids drive breeding success in a widespread bird","type":"article-journal","volume":"21"},"uris":["http://www.mendeley.com/documents/?uuid=6a8d8ccc-e14c-4056-8e8c-e40380befaab"]},{"id":"ITEM-2","itemData":{"DOI":"10.1016/j.scitotenv.2016.10.156","ISSN":"18791026","abstract":"Cross-ecosystem fluxes can crucially influence the productivity of adjacent habitats. Emerging aquatic insects represent one important pathway through which freshwater-derived organic matter can enter terrestrial food webs. Aquatic insects may be of superior food quality for terrestrial consumers because they contain high concentrations of essential polyunsaturated fatty acids (PUFA). We quantified the export of PUFA via emerging insects from a midsize, mesotrophic lake. Insects were collected using emergence traps installed above different water depths and subjected to fatty acid analyses. Insect emergence from different depth zones and seasonal mean fatty acid concentrations in different insect groups were used to estimate PUFA fluxes. In total, 80.5 mg PUFA m− 2yr− 1were exported, of which 32.8 mg m− 2yr− 1were eicosapentaenoic acid (EPA), 7.8 mg m− 2yr− 1were arachidonic acid (ARA), and 2.6 mg m− 2yr− 1were docosahexaenoic acid (DHA). While Chironomidae contributed most to insect biomass and total PUFA export, Chaoborus flavicans contributed most to the export of EPA, ARA, and especially DHA. The export of total insect biomass from one square meter declined with depth and the timing at which 50% of total insect biomass emerged was correlated with the water depths over which the traps were installed, suggesting that insect-mediated PUFA fluxes are strongly affected by lake morphometry. Applying a conceptual model developed to assess insect deposition rates on land to our insect-mediated PUFA export data revealed an average total PUFA deposition rate of 150 mg m− 2yr− 1within 100 m inland from the shore. We propose that PUFA export can be reliably estimated using taxon-specific information on emergent insect biomass and seasonal mean body PUFA concentrations of adult insects provided here. Our data indicate that insect-mediated PUFA fluxes from lakes are substantial, implying that freshwater-derived PUFA can crucially influence food web processes in adjacent terrestrial habitats.","author":[{"dropping-particle":"","family":"Martin-Creuzburg","given":"Dominik","non-dropping-particle":"","parse-names":false,"suffix":""},{"dropping-particle":"","family":"Kowarik","given":"Carmen","non-dropping-particle":"","parse-names":false,"suffix":""},{"dropping-particle":"","family":"Straile","given":"Dietmar","non-dropping-particle":"","parse-names":false,"suffix":""}],"container-title":"Science of the Total Environment","id":"ITEM-2","issued":{"date-parts":[["2017"]]},"page":"174-182","publisher":"Elsevier B.V.","title":"Cross-ecosystem fluxes: Export of polyunsaturated fatty acids from aquatic to terrestrial ecosystems via emerging insects","type":"article-journal","volume":"577"},"uris":["http://www.mendeley.com/documents/?uuid=6193f79e-e1d7-4a99-963e-f2abc57296c0"]},{"id":"ITEM-3","itemData":{"DOI":"10.1890/11-1136.1","ISBN":"0012-9658","ISSN":"00129615","PMID":"7189","abstract":"Abstract. Although the study of resource subsidies has emerged as a key topic in both ecosystem and food web ecology, the dialogue over their role has been limited by separate approaches that emphasize either subsidy quantity or quality. Considering quantity and quality together may provide a simple, but previously unexplored, framework for identifying the mechanisms that govern the importance of subsidies for recipient food webs and ecosystems. Using a literature review of .90 studies of open-water metabolism in lakes and streams, we show that high-flux, low-quality subsidies can drive freshwater ecosystem dynamics. Because most of these ecosystems are net heterotrophic, allochthonous inputs must subsidize respiration. Second, using a literature review of subsidy quality and use, we demonstrate that animals select for high-quality food resources in proportions greater than would be predicted based on food quantity, and regardless of allochthonous or autochthonous origin. This finding suggests that low-flux, high-quality subsidies may be selected for by animals, and in turn may disproportionately affect food web and ecosystem processes (e.g., animal production, trophic energy or organic matter flow, trophic cascades). We then synthesize and review approaches that evaluate the role of subsidies and explicitly merge ecosystem and food web perspectives by placing food web measurements in the context of ecosystem budgets, by comparing trophic and ecosystem production and fluxes, and by constructing flow food webs. These tools can and should be used to address future questions about subsidies, such as the relative importance of subsidies to different trophic levels and how subsidies may maintain or disrupt ecosystem stability and food web interactions.","author":[{"dropping-particle":"","family":"Marcarelli","given":"Amy M.","non-dropping-particle":"","parse-names":false,"suffix":""},{"dropping-particle":"V.","family":"Baxter","given":"Colden","non-dropping-particle":"","parse-names":false,"suffix":""},{"dropping-particle":"","family":"Mineau","given":"Madeline M.","non-dropping-particle":"","parse-names":false,"suffix":""},{"dropping-particle":"","family":"Hall","given":"Robert O. JR","non-dropping-particle":"","parse-names":false,"suffix":""}],"container-title":"Ecology","id":"ITEM-3","issue":"6","issued":{"date-parts":[["2011"]]},"note":"Intro\nSubsidy Quantity and Ecosystem Metabolism\nSubstrate Quality and Food web pathways \nMerging appraoches to understand subsidies\nInvestigating food web sibsidies in the context of ecosystem \nUsing ecosystem &amp;amp; trophic production &amp;amp; fluxes to quantify subsidy impacts \nConclusions","page":"1215-1225","title":"Quantity and quality: unifying food web and ecosystem perspectives on the role of resource subsidies in freshwaters","type":"article-journal","volume":"92"},"uris":["http://www.mendeley.com/documents/?uuid=3220460c-5129-4036-8a7f-d8519cd81029"]}],"mendeley":{"formattedCitation":"(Marcarelli et al., 2011; Martin-Creuzburg et al., 2017; Twining et al., 2018)","plainTextFormattedCitation":"(Marcarelli et al., 2011; Martin-Creuzburg et al., 2017; Twining et al., 2018)","previouslyFormattedCitation":"(Marcarelli et al., 2011; Martin-Creuzburg et al., 2017; Twining et al., 2018)"},"properties":{"noteIndex":0},"schema":"https://github.com/citation-style-language/schema/raw/master/csl-citation.json"}</w:instrText>
      </w:r>
      <w:r>
        <w:rPr>
          <w:rFonts w:cs="Times New Roman"/>
          <w:iCs/>
          <w:szCs w:val="24"/>
        </w:rPr>
        <w:fldChar w:fldCharType="separate"/>
      </w:r>
      <w:r w:rsidRPr="00260F17">
        <w:rPr>
          <w:rFonts w:cs="Times New Roman"/>
          <w:iCs/>
          <w:noProof/>
          <w:szCs w:val="24"/>
        </w:rPr>
        <w:t>(Marcarelli et al., 2011; Martin-Creuzburg et al., 2017; Twining et al., 2018)</w:t>
      </w:r>
      <w:r>
        <w:rPr>
          <w:rFonts w:cs="Times New Roman"/>
          <w:iCs/>
          <w:szCs w:val="24"/>
        </w:rPr>
        <w:fldChar w:fldCharType="end"/>
      </w:r>
      <w:r>
        <w:rPr>
          <w:rFonts w:cs="Times New Roman"/>
          <w:iCs/>
          <w:szCs w:val="24"/>
        </w:rPr>
        <w:t xml:space="preserve">. Conversely, where emergent aquatic insect subsidies exceed the energetic demands of insectivores, they could become available to other consumers or enter the detrital resource pool because insectivores become satiated </w:t>
      </w:r>
      <w:r>
        <w:rPr>
          <w:rFonts w:eastAsia="Times New Roman" w:cs="Times New Roman"/>
          <w:color w:val="222222"/>
          <w:szCs w:val="24"/>
        </w:rPr>
        <w:fldChar w:fldCharType="begin" w:fldLock="1"/>
      </w:r>
      <w:r>
        <w:rPr>
          <w:rFonts w:eastAsia="Times New Roman" w:cs="Times New Roman"/>
          <w:color w:val="222222"/>
          <w:szCs w:val="24"/>
        </w:rPr>
        <w:instrText>ADDIN CSL_CITATION {"citationItems":[{"id":"ITEM-1","itemData":{"author":[{"dropping-particle":"","family":"Wesner","given":"Jeff","non-dropping-particle":"","parse-names":false,"suffix":""},{"dropping-particle":"","family":"Walters","given":"David","non-dropping-particle":"","parse-names":false,"suffix":""},{"dropping-particle":"","family":"Zuellig","given":"Robert","non-dropping-particle":"","parse-names":false,"suffix":""}],"container-title":"Food Webs","id":"ITEM-1","issued":{"date-parts":[["2019"]]},"page":"e00105","title":"Pulsed salmonfly emergence and its potential contribution to terrestrial detrital pools","type":"article-journal","volume":"18"},"uris":["http://www.mendeley.com/documents/?uuid=9ea86ff2-58a8-40c5-b70b-665c3f39d200"]},{"id":"ITEM-2","itemData":{"DOI":"10.1111/een.12118","ISBN":"1365-2311","ISSN":"13652311","abstract":"Abstract. 1. Mobile organisms such as emergent aquatic insects can subsidise land with aquatic nutrients, creating a link between terrestrial and aquatic ecosystems. 2. Deposition of aquatic insects on land produces bottom-up effects in arthropod detritivore communities and may also affect plants and plant–herbivore interactions. 3. To investigate the effects of insect deposition on plant–herbivore interactions, we conducted a field experiment and surveys of tealeaf willow(Salicaceae; Salix phylicifolia Coste) and July highflyer caterpillars (Geometridae; Hydriomena furcata Thunberg) at lakes inNortheast Iceland with either high- or low-midge density and deposition to land. 4. It was found that willow at high-midge lakes had 8–11% higher nitrogen content compared with willow at low-midge lakes. In addition, natural caterpillar density was 4–6 times higher and caterpillars were 72% heavier at high-midge lakes than low-midge lakes. 5. A fully reciprocal caterpillar transplant experiment among willow at high- and low-midge lakes was performed to separate the influence of habitat and midge effects on caterpillar performance. 6. After transplant, pupae of July Highflyer caterpillars were on average 11% heavier at high-midge sites compared with low-midge sites. However, this difference was not statistically significant. 7. The present findings indicate that cross-ecosystem subsidies in the form of aquatic insects can increase plant foliar quality and the abundance of insect herbivores in recipient ecosystems. Key","author":[{"dropping-particle":"","family":"Bultman","given":"Hilary","non-dropping-particle":"","parse-names":false,"suffix":""},{"dropping-particle":"","family":"Hoekman","given":"David","non-dropping-particle":"","parse-names":false,"suffix":""},{"dropping-particle":"","family":"Dreyer","given":"Jamin","non-dropping-particle":"","parse-names":false,"suffix":""},{"dropping-particle":"","family":"Gratton","given":"Claudio","non-dropping-particle":"","parse-names":false,"suffix":""}],"container-title":"Ecological Entomology","id":"ITEM-2","issue":"4","issued":{"date-parts":[["2014"]]},"page":"419-426","title":"Terrestrial deposition of aquatic insects increases plant quality for insect herbivores and herbivore density","type":"article-journal","volume":"39"},"uris":["http://www.mendeley.com/documents/?uuid=03759c81-b1f7-4442-aa3a-b11baf6cd34e"]},{"id":"ITEM-3","itemData":{"DOI":"10.1890/14-0704.1","ISSN":"00129658","abstract":"Adjacent ecosystems are influenced by organisms that move across boundaries, such as insects with aquatic larval stages and terrestrial adult stages, which transport energy and nutrients from water to land. However, the ecosystem-level effect of aquatic insects on land has generally been ignored, perhaps because the organisms themselves are individually small. At the naturally productive Lake Mývatn, Iceland, we used two readily measured quantities: total insect emergence from water and relative insect density on land, to demonstrate an approach for estimating aquatic insect deposition (e.g., kg N·m−2·yr−1) to shore. Estimates from emergence traps between 2008 and 2011 indicated a range of 0.15–3.7 g·m−2·yr−1, or a whole-lake emergence of 3.1–76 Mg/yr; all masses are given as dry mass. Using aerial infall trap measurements of midge relative abundance over land, we developed a local-maximum decay function model to predict proportional midge deposition with distance from the lake. The dispersal model predicted midge abundance with R2 = 0.89, a pattern consistent among years, with peak midge deposition occurring 20–25 m inland and 70% of midges deposited within 100 m of shore. During a high-midge year (2008), we estimate midge deposition within the first 50 m of shoreline to be 100 kg·ha−1·yr−1, corresponding to inputs of 10 kg N·ha−1·yr−1 and 1 kg P·ha−1·yr−1, or about three to five times above background terrestrial N deposition rates. Consistent with elevated N input where midges are most dense, we observed that soil available nitrate in resin bags decreases with increasing distance from the lake. Our approach, generalizable to other systems, shows that aquatic insects can be a major source of nutrients to terrestrial ecosystems and have the capacity to significantly affect ecosystem processes.","author":[{"dropping-particle":"","family":"Dreyer","given":"Jamin","non-dropping-particle":"","parse-names":false,"suffix":""},{"dropping-particle":"","family":"Townsend","given":"Philip A.","non-dropping-particle":"","parse-names":false,"suffix":""},{"dropping-particle":"","family":"Hook","given":"James C.","non-dropping-particle":"","parse-names":false,"suffix":""},{"dropping-particle":"","family":"Hoekman","given":"David","non-dropping-particle":"","parse-names":false,"suffix":""},{"dropping-particle":"","family":"Zanden","given":"M. Jake","non-dropping-particle":"Vander","parse-names":false,"suffix":""},{"dropping-particle":"","family":"Gratton","given":"Claudio","non-dropping-particle":"","parse-names":false,"suffix":""}],"container-title":"Ecology","id":"ITEM-3","issue":"2","issued":{"date-parts":[["2015"]]},"page":"499-509","title":"Quantifying aquatic insect deposition from lake to land","type":"article-journal","volume":"96"},"uris":["http://www.mendeley.com/documents/?uuid=d67184fa-845d-4dd2-99e3-496f183126b0"]}],"mendeley":{"formattedCitation":"(Bultman et al., 2014; Dreyer et al., 2015; Wesner et al., 2019)","plainTextFormattedCitation":"(Bultman et al., 2014; Dreyer et al., 2015; Wesner et al., 2019)","previouslyFormattedCitation":"(Bultman et al., 2014; Dreyer et al., 2015; Wesner et al., 2019)"},"properties":{"noteIndex":0},"schema":"https://github.com/citation-style-language/schema/raw/master/csl-citation.json"}</w:instrText>
      </w:r>
      <w:r>
        <w:rPr>
          <w:rFonts w:eastAsia="Times New Roman" w:cs="Times New Roman"/>
          <w:color w:val="222222"/>
          <w:szCs w:val="24"/>
        </w:rPr>
        <w:fldChar w:fldCharType="separate"/>
      </w:r>
      <w:r w:rsidRPr="004F2051">
        <w:rPr>
          <w:rFonts w:eastAsia="Times New Roman" w:cs="Times New Roman"/>
          <w:noProof/>
          <w:color w:val="222222"/>
          <w:szCs w:val="24"/>
        </w:rPr>
        <w:t>(Bultman et al., 2014; Dreyer et al., 2015; Wesner et al., 2019)</w:t>
      </w:r>
      <w:r>
        <w:rPr>
          <w:rFonts w:eastAsia="Times New Roman" w:cs="Times New Roman"/>
          <w:color w:val="222222"/>
          <w:szCs w:val="24"/>
        </w:rPr>
        <w:fldChar w:fldCharType="end"/>
      </w:r>
      <w:r>
        <w:rPr>
          <w:rFonts w:cs="Times New Roman"/>
          <w:iCs/>
          <w:szCs w:val="24"/>
        </w:rPr>
        <w:t>.</w:t>
      </w:r>
      <w:r>
        <w:rPr>
          <w:rFonts w:eastAsia="Times New Roman" w:cs="Times New Roman"/>
          <w:color w:val="222222"/>
          <w:szCs w:val="24"/>
        </w:rPr>
        <w:t xml:space="preserve"> Understanding the geographic variation in subsidies relative to the energetic demands of common insectivores provides insights into large-scale variation in the energy budgets and the potential fate of aquatic insect subsidies in recipient ecosystems. </w:t>
      </w:r>
    </w:p>
    <w:p w14:paraId="2E95D262" w14:textId="77777777" w:rsidR="00AB7462" w:rsidRDefault="00AB7462" w:rsidP="00AB7462">
      <w:pPr>
        <w:shd w:val="clear" w:color="auto" w:fill="FFFFFF"/>
        <w:spacing w:after="0" w:line="480" w:lineRule="auto"/>
        <w:ind w:firstLine="720"/>
        <w:contextualSpacing/>
        <w:rPr>
          <w:rFonts w:cs="Times New Roman"/>
          <w:bCs/>
          <w:noProof/>
          <w:szCs w:val="24"/>
        </w:rPr>
      </w:pPr>
      <w:r w:rsidRPr="00355CF7">
        <w:rPr>
          <w:rFonts w:eastAsia="Times New Roman" w:cs="Times New Roman"/>
          <w:color w:val="222222"/>
          <w:szCs w:val="24"/>
        </w:rPr>
        <w:t>Climate-induced changes in quantity of aquatic insect subsidies could impact the ratio between energy supplied by emergent aquatic insects and energy demanded by aerial insectivores.</w:t>
      </w:r>
      <w:r>
        <w:rPr>
          <w:rFonts w:eastAsia="Times New Roman" w:cs="Times New Roman"/>
          <w:color w:val="222222"/>
          <w:szCs w:val="24"/>
        </w:rPr>
        <w:t xml:space="preserve"> </w:t>
      </w:r>
      <w:r w:rsidRPr="00F61B6B">
        <w:rPr>
          <w:rFonts w:eastAsia="Times New Roman" w:cs="Times New Roman"/>
          <w:color w:val="222222"/>
          <w:szCs w:val="24"/>
        </w:rPr>
        <w:t xml:space="preserve">In general, throughout much of the southern United States, we predict </w:t>
      </w:r>
      <w:r>
        <w:rPr>
          <w:rFonts w:eastAsia="Times New Roman" w:cs="Times New Roman"/>
          <w:color w:val="222222"/>
          <w:szCs w:val="24"/>
        </w:rPr>
        <w:t>supply demand ratios (</w:t>
      </w:r>
      <w:r w:rsidRPr="00F61B6B">
        <w:rPr>
          <w:rFonts w:eastAsia="Times New Roman" w:cs="Times New Roman"/>
          <w:color w:val="222222"/>
          <w:szCs w:val="24"/>
        </w:rPr>
        <w:t>SDR</w:t>
      </w:r>
      <w:r>
        <w:rPr>
          <w:rFonts w:eastAsia="Times New Roman" w:cs="Times New Roman"/>
          <w:color w:val="222222"/>
          <w:szCs w:val="24"/>
        </w:rPr>
        <w:t>)</w:t>
      </w:r>
      <w:r w:rsidRPr="00F61B6B">
        <w:rPr>
          <w:rFonts w:eastAsia="Times New Roman" w:cs="Times New Roman"/>
          <w:color w:val="222222"/>
          <w:szCs w:val="24"/>
        </w:rPr>
        <w:t xml:space="preserve"> will decline</w:t>
      </w:r>
      <w:r>
        <w:rPr>
          <w:rFonts w:eastAsia="Times New Roman" w:cs="Times New Roman"/>
          <w:color w:val="222222"/>
          <w:szCs w:val="24"/>
        </w:rPr>
        <w:t xml:space="preserve"> and could </w:t>
      </w:r>
      <w:r>
        <w:rPr>
          <w:rFonts w:cs="Times New Roman"/>
          <w:bCs/>
          <w:szCs w:val="24"/>
        </w:rPr>
        <w:t xml:space="preserve">exacerbate already </w:t>
      </w:r>
      <w:r w:rsidRPr="00F61B6B">
        <w:rPr>
          <w:rFonts w:cs="Times New Roman"/>
          <w:bCs/>
          <w:szCs w:val="24"/>
        </w:rPr>
        <w:t>declin</w:t>
      </w:r>
      <w:r>
        <w:rPr>
          <w:rFonts w:cs="Times New Roman"/>
          <w:bCs/>
          <w:szCs w:val="24"/>
        </w:rPr>
        <w:t>ing</w:t>
      </w:r>
      <w:r w:rsidRPr="00F61B6B">
        <w:rPr>
          <w:rFonts w:cs="Times New Roman"/>
          <w:bCs/>
          <w:szCs w:val="24"/>
        </w:rPr>
        <w:t xml:space="preserve"> insectivorous bird populations</w:t>
      </w:r>
      <w:r>
        <w:rPr>
          <w:rFonts w:cs="Times New Roman"/>
          <w:bCs/>
          <w:szCs w:val="24"/>
        </w:rPr>
        <w:t xml:space="preserve"> </w:t>
      </w:r>
      <w:r w:rsidRPr="00F61B6B">
        <w:rPr>
          <w:rFonts w:cs="Times New Roman"/>
          <w:bCs/>
          <w:szCs w:val="24"/>
        </w:rPr>
        <w:fldChar w:fldCharType="begin" w:fldLock="1"/>
      </w:r>
      <w:r>
        <w:rPr>
          <w:rFonts w:cs="Times New Roman"/>
          <w:bCs/>
          <w:szCs w:val="24"/>
        </w:rPr>
        <w:instrText>ADDIN CSL_CITATION {"citationItems":[{"id":"ITEM-1","itemData":{"DOI":"10.1093/condor/duz010","ISSN":"00105422","abstract":"Aerial insectivores (birds that forage on aerial insects) have experienced significant population declines in North America. Numerous hypotheses have been proposed for these declines, but current evidence suggests multiple factors could be operating in combination during their annual migratory cycles between breeding and nonbreeding areas. Potential drivers include decreased prey abundance, direct or indirect impacts of environmental contaminants, habitat loss, phenological changes due to warming climate, and conditions on migratory stopover or wintering grounds. While no single threat appears to be the cause of aerial insectivore declines, existing evidence suggests that several of these factors could be contributing to the declines at different times in the annual lifecycle. Breeding productivity for most of these species does not appear to be limited by overall prey abundance, contaminants, or habitat loss, which suggests that similar issues on nonbreeding grounds or carryover effects could play important roles. However, a better understanding of the importance of prey quality throughout the lifecycle is critically needed. Based on current evidence, we propose that changes in availability of high-quality prey, with variability across breeding and nonbreeding grounds, reduce various combinations of fledging success, post-fledging survival, and nonbreeding season body condition of aerial insectivores, resulting in species and geographic differences in population trends. We encourage others to use this hypothesis as a starting point to test specific mechanisms by which availability of high-quality prey influences demographic parameters. We suggest that future research focus on defining prey quality, monitoring insect abundance in conjunction with birds, comparing demographic models across local populations experiencing different population growth rates, and using tracking technology to document important migratory and nonbreeding areas. Considerable research progress already has been made, but additional research is needed to better understand the complex web of potential causes driving aerial insectivore declines.","author":[{"dropping-particle":"","family":"Spiller","given":"Kimberly J.","non-dropping-particle":"","parse-names":false,"suffix":""},{"dropping-particle":"","family":"Dettmers","given":"Randy","non-dropping-particle":"","parse-names":false,"suffix":""}],"container-title":"Condor","id":"ITEM-1","issue":"2","issued":{"date-parts":[["2019"]]},"page":"1-13","title":"Evidence for multiple drivers of aerial insectivore declines in North America","type":"article-journal","volume":"121"},"uris":["http://www.mendeley.com/documents/?uuid=1e120c82-2ac5-40c4-9d3b-a6e216150577"]},{"id":"ITEM-2","itemData":{"DOI":"10.1111/ele.13156","ISSN":"14610248","PMID":"30251301","abstract":"Ecologists studying bird foraging ecology have generally focused on food quantity over quality. Emerging work suggests that food quality, in terms of highly unsaturated omega-3 fatty acids (HUFA), can have equally important effects on performance. HUFA, which are present in aquatic primary producers, are all but absent in vascular plants, and HUFA content is also correspondingly higher in aquatic insects. Here, we show that Tree Swallow (Tachycineta bicolor) chicks rapidly accumulate HUFA from food during the nestling period. Using data sampled over 24 years, we also show that Tree Swallow breeding success is positively associated with the availability of HUFA-rich aquatic insects. Variation in aquatic insect biomass during chick development was a strong predictor of fledging success, whereas variation in terrestrial insects had little effect on fledging success. Our results highlight the potential for nutritional mismatches between insectivores and high-quality prey to affect avian reproductive performance.","author":[{"dropping-particle":"","family":"Twining","given":"Cornelia Wingfield","non-dropping-particle":"","parse-names":false,"suffix":""},{"dropping-particle":"","family":"Shipley","given":"Jeremy Ryan","non-dropping-particle":"","parse-names":false,"suffix":""},{"dropping-particle":"","family":"Winkler","given":"David W.","non-dropping-particle":"","parse-names":false,"suffix":""}],"container-title":"Ecology Letters","id":"ITEM-2","issue":"12","issued":{"date-parts":[["2018"]]},"page":"1812-1820","title":"Aquatic insects rich in omega-3 fatty acids drive breeding success in a widespread bird","type":"article-journal","volume":"21"},"uris":["http://www.mendeley.com/documents/?uuid=6a8d8ccc-e14c-4056-8e8c-e40380befaab"]}],"mendeley":{"formattedCitation":"(Twining et al., 2018; Spiller and Dettmers, 2019)","plainTextFormattedCitation":"(Twining et al., 2018; Spiller and Dettmers, 2019)","previouslyFormattedCitation":"(Twining et al., 2018; Spiller and Dettmers, 2019)"},"properties":{"noteIndex":0},"schema":"https://github.com/citation-style-language/schema/raw/master/csl-citation.json"}</w:instrText>
      </w:r>
      <w:r w:rsidRPr="00F61B6B">
        <w:rPr>
          <w:rFonts w:cs="Times New Roman"/>
          <w:bCs/>
          <w:szCs w:val="24"/>
        </w:rPr>
        <w:fldChar w:fldCharType="separate"/>
      </w:r>
      <w:r w:rsidRPr="004F2051">
        <w:rPr>
          <w:rFonts w:cs="Times New Roman"/>
          <w:bCs/>
          <w:noProof/>
          <w:szCs w:val="24"/>
        </w:rPr>
        <w:t>(Twining et al., 2018; Spiller and Dettmers, 2019)</w:t>
      </w:r>
      <w:r w:rsidRPr="00F61B6B">
        <w:rPr>
          <w:rFonts w:cs="Times New Roman"/>
          <w:bCs/>
          <w:szCs w:val="24"/>
        </w:rPr>
        <w:fldChar w:fldCharType="end"/>
      </w:r>
      <w:r>
        <w:rPr>
          <w:rFonts w:cs="Times New Roman"/>
          <w:bCs/>
          <w:szCs w:val="24"/>
        </w:rPr>
        <w:t xml:space="preserve">. </w:t>
      </w:r>
      <w:r>
        <w:rPr>
          <w:rFonts w:cs="Times New Roman"/>
          <w:bCs/>
          <w:noProof/>
          <w:szCs w:val="24"/>
        </w:rPr>
        <w:t xml:space="preserve">Alternatively, SDR in many northern regions may increase as a result of climate change. In these regions, the energy supplied by aquatic insects is predicted to exceed present day energy demand by common avian aerial insectivores and perhaps increase population levels. Importantly, both increases and decreases in SDR could </w:t>
      </w:r>
      <w:r>
        <w:rPr>
          <w:rFonts w:cs="Times New Roman"/>
          <w:bCs/>
          <w:szCs w:val="24"/>
        </w:rPr>
        <w:t xml:space="preserve">illicit several complex indirect effects on other consumers and prey </w:t>
      </w:r>
      <w:r>
        <w:rPr>
          <w:rFonts w:cs="Times New Roman"/>
          <w:bCs/>
          <w:szCs w:val="24"/>
        </w:rPr>
        <w:fldChar w:fldCharType="begin" w:fldLock="1"/>
      </w:r>
      <w:r>
        <w:rPr>
          <w:rFonts w:cs="Times New Roman"/>
          <w:bCs/>
          <w:szCs w:val="24"/>
        </w:rPr>
        <w:instrText>ADDIN CSL_CITATION {"citationItems":[{"id":"ITEM-1","itemData":{"DOI":"10.1111/ele.13185","ISSN":"1461-023X","PMID":"30548746","author":[{"dropping-particle":"","family":"Montagano","given":"Laurent","non-dropping-particle":"","parse-names":false,"suffix":""},{"dropping-particle":"","family":"Leroux","given":"Shawn J.","non-dropping-particle":"","parse-names":false,"suffix":""},{"dropping-particle":"","family":"Giroux","given":"Marie‐Andrée","non-dropping-particle":"","parse-names":false,"suffix":""},{"dropping-particle":"","family":"Lecomte","given":"Nicolas","non-dropping-particle":"","parse-names":false,"suffix":""}],"container-title":"Ecology Letters","id":"ITEM-1","issued":{"date-parts":[["2018"]]},"page":"265-274","title":"The strength of ecological subsidies across ecosystems: a latitudinal gradient of direct and indirect impacts on food webs","type":"article-journal","volume":"22"},"uris":["http://www.mendeley.com/documents/?uuid=70141943-0f66-4c67-b484-9a5d82d7ea36"]},{"id":"ITEM-2","itemData":{"DOI":"10.1890/07-1861.1","ISBN":"0012-9658","ISSN":"00129658","PMID":"7189","abstract":"Synthesis: comparing effects of resource and consumer fluxes into recipient food webs using meta- analysis","author":[{"dropping-particle":"","family":"Allen","given":"Daniel C.","non-dropping-particle":"","parse-names":false,"suffix":""},{"dropping-particle":"","family":"Wesner","given":"Jeff","non-dropping-particle":"","parse-names":false,"suffix":""}],"container-title":"Ecology","id":"ITEM-2","issue":"3","issued":{"date-parts":[["2016"]]},"page":"594-604","title":"Synthesis: comparing effects of resource and consumer fluxes into recipient food webs using meta-analysis","type":"article-journal","volume":"97"},"uris":["http://www.mendeley.com/documents/?uuid=e2ab06ba-dc78-4187-be1e-20752122502a"]},{"id":"ITEM-3","itemData":{"DOI":"10.1111/j.1365-2427.2004.01328.x","ISBN":"0046-5070","ISSN":"00465070","abstract":"1. Streams and their adjacent riparian zones are closely linked by reciprocal flows of invertebrate prey. We review characteristics of these prey subsidies and their strong direct and indirect effects on consumers and recipient food webs. 2. Fluxes of terrestrial invertebrates to streams can provide up to half the annual energy budget for drift-feeding fishes such as salmonids, despite the fact that input occurs principally in summer. Inputs appear highest from closed-canopy riparian zones with deciduous vegetation and vary markedly with invertebrate phenology and weather. Two field experiments that manipulated this prey subsidy showed that it affected both foraging and local abundance of stream fishes. 3. Emergence of adult insects from streams can constitute a substantial export of benthic production to riparian consumers such as birds, bats, lizards, and spiders, and contributes 25-100 % of the energy or carbon to such species. Emergence typically peaks in early summer in the temperate zone, but also provides a low-level flux from autumn to spring in ice-free streams. This flux varies with in-stream productivity, and declines exponentially with distance from the stream edge. Some predators aggregate near streams and forage on these prey during periods of peak emergence, whereas others rely on the lower subsidy from autumn through spring when terrestrial prey are scarce. Several field experiments that manipulated this subsidy showed that it affected the short-term behaviour, growth, and abundance of terrestrial consumers. 4. Reciprocal prey subsidies also have important indirect effects on both stream and riparian food webs. Theory predicts that allochthonous prey should increase density of subsidised predators, thereby increasing predation on in situ prey and causing a negative indirect effect via apparent competition. However, short-term experiments have produced either positive or negative indirect effects. These contrasting results may be due to characteristics of the subsidies and individual consumers, but could also result from differences in experimental designs. 5. New study approaches are needed to better determine the direct and indirect effects of reciprocal prey subsidies. Experiments coupled with comparative research will be required to measure their effects on individual consumer fitness and population demographics. Future work should investigate whether reciprocal prey fluxes stabilise linked stream-riparian ecosystems, explore how land…","author":[{"dropping-particle":"V.","family":"Baxter","given":"Colden","non-dropping-particle":"","parse-names":false,"suffix":""},{"dropping-particle":"","family":"Fausch","given":"Kurt D.","non-dropping-particle":"","parse-names":false,"suffix":""},{"dropping-particle":"","family":"Saunders","given":"W. Carl","non-dropping-particle":"","parse-names":false,"suffix":""}],"container-title":"Freshwater Biology","id":"ITEM-3","issue":"2","issued":{"date-parts":[["2005"]]},"note":"1. Intro \n2. Terrestrial invertebrates as prey subsidies\n2a. characteristics of terrestrial inputs\n2b. consumption of terrestrial inputs\n3. Emerging aquatic insects as prey subsidies\n3a. characteristics of emergent insects\n3b. effects of emergent insects on terrestrial consumers\n4. Indirect efffects in stream &amp;amp; riparain\n4a. effects of terrestrial invertrbrate inputs\n4b effects of emergent insects\n4c the sign of indirest effects\n5. Promising directions for study\n5a. determining direct and indirect effects\n5b. feedback loops and stability\n5c. riverine landscapes\n5d. Human disturbances","page":"201-220","title":"Tangled webs: Reciprocal flows of invertebrate prey link streams and riparian zones","type":"article-journal","volume":"50"},"uris":["http://www.mendeley.com/documents/?uuid=02c84270-0e51-41d1-a8fa-ddbed6efb2f2"]}],"mendeley":{"formattedCitation":"(Baxter et al., 2005; Allen and Wesner, 2016; Montagano et al., 2018)","plainTextFormattedCitation":"(Baxter et al., 2005; Allen and Wesner, 2016; Montagano et al., 2018)","previouslyFormattedCitation":"(Baxter et al., 2005; Allen and Wesner, 2016; Montagano et al., 2018)"},"properties":{"noteIndex":0},"schema":"https://github.com/citation-style-language/schema/raw/master/csl-citation.json"}</w:instrText>
      </w:r>
      <w:r>
        <w:rPr>
          <w:rFonts w:cs="Times New Roman"/>
          <w:bCs/>
          <w:szCs w:val="24"/>
        </w:rPr>
        <w:fldChar w:fldCharType="separate"/>
      </w:r>
      <w:r w:rsidRPr="00607B31">
        <w:rPr>
          <w:rFonts w:cs="Times New Roman"/>
          <w:bCs/>
          <w:noProof/>
          <w:szCs w:val="24"/>
        </w:rPr>
        <w:t>(Baxter et al., 2005; Allen and Wesner, 2016; Montagano et al., 2018)</w:t>
      </w:r>
      <w:r>
        <w:rPr>
          <w:rFonts w:cs="Times New Roman"/>
          <w:bCs/>
          <w:szCs w:val="24"/>
        </w:rPr>
        <w:fldChar w:fldCharType="end"/>
      </w:r>
      <w:r>
        <w:rPr>
          <w:rFonts w:cs="Times New Roman"/>
          <w:bCs/>
          <w:noProof/>
          <w:szCs w:val="24"/>
        </w:rPr>
        <w:t xml:space="preserve"> and our results suggest that these effects will also vary regionally.</w:t>
      </w:r>
    </w:p>
    <w:p w14:paraId="44B4C3C8" w14:textId="77777777" w:rsidR="00AB7462" w:rsidRDefault="00AB7462" w:rsidP="00AB7462">
      <w:pPr>
        <w:shd w:val="clear" w:color="auto" w:fill="FFFFFF"/>
        <w:spacing w:after="0" w:line="480" w:lineRule="auto"/>
        <w:ind w:firstLine="720"/>
        <w:contextualSpacing/>
        <w:rPr>
          <w:rFonts w:cs="Times New Roman"/>
          <w:bCs/>
          <w:szCs w:val="24"/>
        </w:rPr>
      </w:pPr>
    </w:p>
    <w:p w14:paraId="65C7A2C0" w14:textId="77777777" w:rsidR="00AB7462" w:rsidRPr="003C2A9E" w:rsidRDefault="00AB7462" w:rsidP="00AB7462">
      <w:pPr>
        <w:shd w:val="clear" w:color="auto" w:fill="FFFFFF"/>
        <w:spacing w:after="0" w:line="480" w:lineRule="auto"/>
        <w:contextualSpacing/>
        <w:rPr>
          <w:rFonts w:cs="Times New Roman"/>
          <w:i/>
          <w:szCs w:val="24"/>
        </w:rPr>
      </w:pPr>
      <w:r>
        <w:rPr>
          <w:rFonts w:cs="Times New Roman"/>
          <w:i/>
          <w:szCs w:val="24"/>
        </w:rPr>
        <w:t xml:space="preserve">Caveats and limitations </w:t>
      </w:r>
    </w:p>
    <w:p w14:paraId="36BB8A73" w14:textId="77777777" w:rsidR="00AB7462" w:rsidRDefault="00AB7462" w:rsidP="00AB7462">
      <w:pPr>
        <w:spacing w:line="480" w:lineRule="auto"/>
        <w:ind w:firstLine="720"/>
        <w:contextualSpacing/>
        <w:rPr>
          <w:rFonts w:cs="Times New Roman"/>
          <w:bCs/>
          <w:szCs w:val="24"/>
        </w:rPr>
      </w:pPr>
      <w:r>
        <w:rPr>
          <w:rFonts w:cs="Times New Roman"/>
          <w:bCs/>
          <w:szCs w:val="24"/>
        </w:rPr>
        <w:lastRenderedPageBreak/>
        <w:t xml:space="preserve">We provide the first attempt to quantify insect emergence from streams and rivers in the CONUS but other attempts have quantified total emergence from individual rivers or regions </w:t>
      </w:r>
      <w:r>
        <w:rPr>
          <w:rFonts w:cs="Times New Roman"/>
          <w:bCs/>
          <w:szCs w:val="24"/>
        </w:rPr>
        <w:fldChar w:fldCharType="begin" w:fldLock="1"/>
      </w:r>
      <w:r>
        <w:rPr>
          <w:rFonts w:cs="Times New Roman"/>
          <w:bCs/>
          <w:szCs w:val="24"/>
        </w:rPr>
        <w:instrText>ADDIN CSL_CITATION {"citationItems":[{"id":"ITEM-1","itemData":{"DOI":"10.1007/s10021-019-00391-9","ISSN":"1432-9840","author":[{"dropping-particle":"","family":"Wesner","given":"Jeff S.","non-dropping-particle":"","parse-names":false,"suffix":""},{"dropping-particle":"","family":"Swanson","given":"David L.","non-dropping-particle":"","parse-names":false,"suffix":""},{"dropping-particle":"","family":"Dixon","given":"Mark D.","non-dropping-particle":"","parse-names":false,"suffix":""},{"dropping-particle":"","family":"Soluk","given":"Daniel A.","non-dropping-particle":"","parse-names":false,"suffix":""},{"dropping-particle":"","family":"Quist","given":"Danielle J.","non-dropping-particle":"","parse-names":false,"suffix":""},{"dropping-particle":"","family":"Yager","given":"Lisa A.","non-dropping-particle":"","parse-names":false,"suffix":""},{"dropping-particle":"","family":"Warmbold","given":"Jerry W.","non-dropping-particle":"","parse-names":false,"suffix":""},{"dropping-particle":"","family":"Oddy","given":"Erika","non-dropping-particle":"","parse-names":false,"suffix":""},{"dropping-particle":"","family":"Seidel","given":"Tyler C.","non-dropping-particle":"","parse-names":false,"suffix":""}],"container-title":"Ecosystems","id":"ITEM-1","issued":{"date-parts":[["2020"]]},"page":"111-123","publisher":"Springer US","title":"Loss of Potential Aquatic-Terrestrial Subsidies Along the Missouri River Floodplain","type":"article-journal","volume":"23"},"uris":["http://www.mendeley.com/documents/?uuid=4b2e7816-89e2-4e8d-834e-0ce3e45b523c"]},{"id":"ITEM-2","itemData":{"DOI":"10.1007/s10021-013-9688-6","ISBN":"732852","ISSN":"14329840","PMID":"732852","abstract":"Emergent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Land","type":"article-journal","volume":"16"},"uris":["http://www.mendeley.com/documents/?uuid=76c15ca4-2901-40f7-a4f1-93047a0aa026"]}],"mendeley":{"formattedCitation":"(Bartrons et al., 2013; Wesner et al., 2020)","plainTextFormattedCitation":"(Bartrons et al., 2013; Wesner et al., 2020)","previouslyFormattedCitation":"(Bartrons et al., 2013; Wesner et al., 2020)"},"properties":{"noteIndex":0},"schema":"https://github.com/citation-style-language/schema/raw/master/csl-citation.json"}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(Bartrons et al., 2013; Wesner et al., 2020)</w:t>
      </w:r>
      <w:r>
        <w:rPr>
          <w:rFonts w:cs="Times New Roman"/>
          <w:bCs/>
          <w:szCs w:val="24"/>
        </w:rPr>
        <w:fldChar w:fldCharType="end"/>
      </w:r>
      <w:r>
        <w:rPr>
          <w:rFonts w:cs="Times New Roman"/>
          <w:bCs/>
          <w:szCs w:val="24"/>
        </w:rPr>
        <w:t xml:space="preserve">. For example, Wesner et al. (2020) estimated that the </w:t>
      </w:r>
      <w:proofErr w:type="spellStart"/>
      <w:r>
        <w:rPr>
          <w:rFonts w:cs="Times New Roman"/>
          <w:bCs/>
          <w:szCs w:val="24"/>
        </w:rPr>
        <w:t>mainstem</w:t>
      </w:r>
      <w:proofErr w:type="spellEnd"/>
      <w:r>
        <w:rPr>
          <w:rFonts w:cs="Times New Roman"/>
          <w:bCs/>
          <w:szCs w:val="24"/>
        </w:rPr>
        <w:t xml:space="preserve"> of the Missouri River and its off-channel habitats can export a median of ~136 </w:t>
      </w:r>
      <w:proofErr w:type="spellStart"/>
      <w:r>
        <w:rPr>
          <w:rFonts w:cs="Times New Roman"/>
          <w:bCs/>
          <w:szCs w:val="24"/>
        </w:rPr>
        <w:t>tAFDM</w:t>
      </w:r>
      <w:proofErr w:type="spellEnd"/>
      <w:r>
        <w:rPr>
          <w:rFonts w:cs="Times New Roman"/>
          <w:bCs/>
          <w:szCs w:val="24"/>
        </w:rPr>
        <w:t xml:space="preserve"> yr</w:t>
      </w:r>
      <w:r w:rsidRPr="00520D04">
        <w:rPr>
          <w:rFonts w:cs="Times New Roman"/>
          <w:bCs/>
          <w:szCs w:val="24"/>
          <w:vertAlign w:val="superscript"/>
        </w:rPr>
        <w:t>-1</w:t>
      </w:r>
      <w:r>
        <w:rPr>
          <w:rFonts w:cs="Times New Roman"/>
          <w:bCs/>
          <w:szCs w:val="24"/>
        </w:rPr>
        <w:t xml:space="preserve"> of insect biomass. On the other hand, </w:t>
      </w:r>
      <w:proofErr w:type="spellStart"/>
      <w:r>
        <w:rPr>
          <w:rFonts w:cs="Times New Roman"/>
          <w:bCs/>
          <w:szCs w:val="24"/>
        </w:rPr>
        <w:t>Bartrons</w:t>
      </w:r>
      <w:proofErr w:type="spellEnd"/>
      <w:r>
        <w:rPr>
          <w:rFonts w:cs="Times New Roman"/>
          <w:bCs/>
          <w:szCs w:val="24"/>
        </w:rPr>
        <w:t xml:space="preserve"> et al. (2013) estimated rivers and streams within the state of Wisconsin export ~2,856 </w:t>
      </w:r>
      <w:proofErr w:type="spellStart"/>
      <w:r>
        <w:rPr>
          <w:rFonts w:cs="Times New Roman"/>
          <w:bCs/>
          <w:szCs w:val="24"/>
        </w:rPr>
        <w:t>tAFDM</w:t>
      </w:r>
      <w:proofErr w:type="spellEnd"/>
      <w:r>
        <w:rPr>
          <w:rFonts w:cs="Times New Roman"/>
          <w:bCs/>
          <w:szCs w:val="24"/>
        </w:rPr>
        <w:t xml:space="preserve"> yr</w:t>
      </w:r>
      <w:r w:rsidRPr="00520D04">
        <w:rPr>
          <w:rFonts w:cs="Times New Roman"/>
          <w:bCs/>
          <w:szCs w:val="24"/>
          <w:vertAlign w:val="superscript"/>
        </w:rPr>
        <w:t>-1</w:t>
      </w:r>
      <w:r>
        <w:rPr>
          <w:rFonts w:cs="Times New Roman"/>
          <w:bCs/>
          <w:szCs w:val="24"/>
          <w:vertAlign w:val="superscript"/>
        </w:rPr>
        <w:t xml:space="preserve"> </w:t>
      </w:r>
      <w:r>
        <w:rPr>
          <w:rFonts w:cs="Times New Roman"/>
          <w:bCs/>
          <w:szCs w:val="24"/>
        </w:rPr>
        <w:t xml:space="preserve">insect biomass. To put our results in the context of these previous initiatives, we re-estimated emergence for these locations. We estimate the </w:t>
      </w:r>
      <w:proofErr w:type="spellStart"/>
      <w:r>
        <w:rPr>
          <w:rFonts w:cs="Times New Roman"/>
          <w:bCs/>
          <w:szCs w:val="24"/>
        </w:rPr>
        <w:t>mainstem</w:t>
      </w:r>
      <w:proofErr w:type="spellEnd"/>
      <w:r>
        <w:rPr>
          <w:rFonts w:cs="Times New Roman"/>
          <w:bCs/>
          <w:szCs w:val="24"/>
        </w:rPr>
        <w:t xml:space="preserve"> of the Missouri River (excluding reservoirs and off-channel habitats) could export ~333 </w:t>
      </w:r>
      <w:proofErr w:type="spellStart"/>
      <w:r>
        <w:rPr>
          <w:rFonts w:cs="Times New Roman"/>
          <w:bCs/>
          <w:szCs w:val="24"/>
        </w:rPr>
        <w:t>tADFM</w:t>
      </w:r>
      <w:proofErr w:type="spellEnd"/>
      <w:r>
        <w:rPr>
          <w:rFonts w:cs="Times New Roman"/>
          <w:bCs/>
          <w:szCs w:val="24"/>
        </w:rPr>
        <w:t xml:space="preserve"> yr</w:t>
      </w:r>
      <w:r w:rsidRPr="006D6369">
        <w:rPr>
          <w:rFonts w:cs="Times New Roman"/>
          <w:bCs/>
          <w:szCs w:val="24"/>
          <w:vertAlign w:val="superscript"/>
        </w:rPr>
        <w:t>-1</w:t>
      </w:r>
      <w:r>
        <w:rPr>
          <w:rFonts w:cs="Times New Roman"/>
          <w:bCs/>
          <w:szCs w:val="24"/>
        </w:rPr>
        <w:t xml:space="preserve"> insect biomass while streams and rivers within the state of Wisconsin could export ~606 </w:t>
      </w:r>
      <w:proofErr w:type="spellStart"/>
      <w:r>
        <w:rPr>
          <w:rFonts w:cs="Times New Roman"/>
          <w:bCs/>
          <w:szCs w:val="24"/>
        </w:rPr>
        <w:t>tAFDM</w:t>
      </w:r>
      <w:proofErr w:type="spellEnd"/>
      <w:r>
        <w:rPr>
          <w:rFonts w:cs="Times New Roman"/>
          <w:bCs/>
          <w:szCs w:val="24"/>
        </w:rPr>
        <w:t xml:space="preserve"> yr</w:t>
      </w:r>
      <w:r w:rsidRPr="00D5069A">
        <w:rPr>
          <w:rFonts w:cs="Times New Roman"/>
          <w:bCs/>
          <w:szCs w:val="24"/>
          <w:vertAlign w:val="superscript"/>
        </w:rPr>
        <w:t>-1</w:t>
      </w:r>
      <w:r>
        <w:rPr>
          <w:rFonts w:cs="Times New Roman"/>
          <w:bCs/>
          <w:szCs w:val="24"/>
        </w:rPr>
        <w:t xml:space="preserve">. There are at least two methodological reasons for the discrepancy. </w:t>
      </w:r>
    </w:p>
    <w:p w14:paraId="53BB2A6E" w14:textId="77777777" w:rsidR="00AB7462" w:rsidRDefault="00AB7462" w:rsidP="00AB7462">
      <w:pPr>
        <w:spacing w:line="480" w:lineRule="auto"/>
        <w:ind w:firstLine="720"/>
        <w:contextualSpacing/>
        <w:rPr>
          <w:rFonts w:cs="Times New Roman"/>
          <w:bCs/>
          <w:szCs w:val="24"/>
        </w:rPr>
      </w:pPr>
      <w:r>
        <w:rPr>
          <w:rFonts w:cs="Times New Roman"/>
          <w:bCs/>
          <w:szCs w:val="24"/>
        </w:rPr>
        <w:t xml:space="preserve">First, Wesner et al. (2020) was able to delineate the surface area of the Missouri River and its off-channel habitats directly from historical maps and aerial photography. Due to the scale of our analysis, we had to rely on simple downstream hydraulic geometry relationships to infer stream surface area </w:t>
      </w:r>
      <w:r>
        <w:rPr>
          <w:rFonts w:cs="Times New Roman"/>
          <w:bCs/>
          <w:szCs w:val="24"/>
        </w:rPr>
        <w:fldChar w:fldCharType="begin" w:fldLock="1"/>
      </w:r>
      <w:r>
        <w:rPr>
          <w:rFonts w:cs="Times New Roman"/>
          <w:bCs/>
          <w:szCs w:val="24"/>
        </w:rPr>
        <w:instrText>ADDIN CSL_CITATION {"citationItems":[{"id":"ITEM-1","itemData":{"DOI":"10.1016/j.geomorph.2009.02.005","ISBN":"0169-555X","ISSN":"0169555X","abstract":"Bankfull channel width is a fundamental measure of stream size and a key parameter of interest for many applications in hydrology, fluvial geomorphology, and stream ecology. We developed downstream hydraulic geometry relationships for bankfull channel width w as a function of drainage area A, w = ?? A??, (DHGwA) for nine aggregate ecoregions comprising the conterminous United States using 1588 sites from the U.S. Environmental Protection Agency's National Wadeable Streams Assessment (WSA), including 1152 sites from a randomized probability survey sample. Sampled stream reaches ranged from 1 to 75??m in bankfull width and 1 to 10,000??km2 in drainage area. The DHGwA exponent ??, which expresses the rate at which bankfull stream width scales with drainage area, fell into three distinct clusters ranging from 0.22 to 0.38. Width increases more rapidly with basin area in the humid Eastern Highlands (encompassing the Northern and Southern Appalachians and the Ozark Mountains) and the Upper Midwest (Great Lakes region) than for the West (both mountainous and xeric areas), the southeastern Coastal Plain, and the Northern Plains (the Dakotas and Montana). Stream width increases least rapidly with basin area in the Temperate Plains (cornbelt) and Southern Plains (Great Prairies) in the heartland. The coefficient of determination (r2) was least in the noncoastal plains (0.36-0.41) and greatest in the Appalachians and Upper Midwest (0.68-0.77). DHGwA equations differed between streams with dominantly fine bed material (silt/sand) and those with dominantly coarse bed material (gravel/cobble/boulder) in six of the nine analysis regions. Where DHGwA equations varied by sediment size, fine-bedded streams were consistently narrower than coarse-bedded streams. Within the Western Mountains ecoregion, where there were sufficient sites to develop DHGwA relationships at a finer spatial scale, ?? and ?? ranged from 1.23 to 3.79 and 0.23 to 0.40, respectively, with r2 &gt; 0.50 for 10 of 13 subregions (range: 0.36 to 0.92). Enhanced DHG equations incorporating additional data for three landscape variables that can be derived from GIS-mean annual precipitation, elevation, and mean reach slope-significantly improved equation fit and predictive value in several regions, most notably the Western Mountains and the Temperate Plains. Channel width was also related to human disturbance. We examined the influence of human disturbance on channel width using several indices of local and bas…","author":[{"dropping-particle":"","family":"Faustini","given":"John M.","non-dropping-particle":"","parse-names":false,"suffix":""},{"dropping-particle":"","family":"Kaufmann","given":"Philip R.","non-dropping-particle":"","parse-names":false,"suffix":""},{"dropping-particle":"","family":"Herlihy","given":"Alan T.","non-dropping-particle":"","parse-names":false,"suffix":""}],"container-title":"Geomorphology","id":"ITEM-1","issue":"3-4","issued":{"date-parts":[["2009"]]},"page":"292-311","publisher":"Elsevier B.V.","title":"Downstream variation in bankfull width of wadeable streams across the conterminous United States","type":"article-journal","volume":"108"},"uris":["http://www.mendeley.com/documents/?uuid=2919787a-7fbf-446c-bf04-d2bd048b76ca"]},{"id":"ITEM-2","itemData":{"DOI":"10.1002/2014GL062764","ISSN":"19448007","abstract":"As hydraulic, hydrologic, and biogeochemical models evolve toward greater spatial resolution and larger extent, robust morphometric data sets are essential to constrain their results. Here we present the Landsat-derived North American River Width (NARWidth) data set, the first fine-resolution, continental scale river centerline and width database. NARWidth contains measurements of &gt;2.4 × 105 km of rivers wider than 30 m at mean annual discharge. We find that conventional digital elevation model-derived width data sets underestimate the abundance of wide rivers. To calculate the total surface area of North American rivers, we extrapolate the strong observed relationship between river width and total surface area at different river widths (r2 &gt; 0.99 for 100-2000 m widths) to narrower rivers and streams. We conservatively estimate the total surface area of North American rivers as 1.24-0.15+0.39 × 105 km2 (1σ confidence intervals), values 20-15+38% greater than previous estimates used to evaluate greenhouse gas efflux from rivers to the atmosphere.","author":[{"dropping-particle":"","family":"Allen","given":"George H","non-dropping-particle":"","parse-names":false,"suffix":""},{"dropping-particle":"","family":"Pavelsky","given":"Tamlin M","non-dropping-particle":"","parse-names":false,"suffix":""}],"container-title":"Geophysical Research Letters","id":"ITEM-2","issue":"2","issued":{"date-parts":[["2015"]]},"page":"395-402","title":"Patterns of river width and surface area revealed by the satellite-derived North American River Width data set","type":"article-journal","volume":"42"},"uris":["http://www.mendeley.com/documents/?uuid=9a03f878-b6af-4726-b3c8-0ef546ffe42d"]},{"id":"ITEM-3","itemData":{"DOI":"10.1130/G20738.1","ISSN":"00917613","abstract":"Adjustments to flow width, depth, and velocity in response to changes in discharge are commonly characterized by using downstream hydraulic geometry relationships. The spatial limits of these relationships within a drainage basin have not been systematically quantified. Where the erosional resistance of the channel substrate is sufficiently large, hydraulic driving forces presumably will be unable to adjust channel form. Data sets from 10 mountain rivers in the United States, Panama, Nepal, and New Zealand are used in this study to explore the limits of downstream hydraulic geometry relationships. Where the ratio of stream power to sediment size (ω/D84) exceeds 10,000 kg/s 3, downstream hydraulic geometry is well developed; where the ratio falls below 10,000 kg/s3, downstream hydraulic geometry relationships are poorly developed. These limitations on downstream hydraulic geometry have important implications for channel engineering and simulations of landscape change. © 2004 Geological Society of America.","author":[{"dropping-particle":"","family":"Wohl","given":"Ellen","non-dropping-particle":"","parse-names":false,"suffix":""}],"container-title":"Geology","id":"ITEM-3","issue":"10","issued":{"date-parts":[["2004"]]},"page":"897-900","title":"Limits of downstream hydraulic geometry","type":"article-journal","volume":"32"},"uris":["http://www.mendeley.com/documents/?uuid=d00f778c-402a-481d-9c2c-a833422f7698"]}],"mendeley":{"formattedCitation":"(Wohl, 2004; Faustini et al., 2009; Allen and Pavelsky, 2015)","plainTextFormattedCitation":"(Wohl, 2004; Faustini et al., 2009; Allen and Pavelsky, 2015)","previouslyFormattedCitation":"(Wohl, 2004; Faustini et al., 2009; Allen and Pavelsky, 2015)"},"properties":{"noteIndex":0},"schema":"https://github.com/citation-style-language/schema/raw/master/csl-citation.json"}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(Wohl, 2004; Faustini et al., 2009; Allen and Pavelsky, 2015)</w:t>
      </w:r>
      <w:r>
        <w:rPr>
          <w:rFonts w:cs="Times New Roman"/>
          <w:bCs/>
          <w:szCs w:val="24"/>
        </w:rPr>
        <w:fldChar w:fldCharType="end"/>
      </w:r>
      <w:r>
        <w:rPr>
          <w:rFonts w:cs="Times New Roman"/>
          <w:bCs/>
          <w:szCs w:val="24"/>
        </w:rPr>
        <w:t xml:space="preserve">. Downstream hydraulic geometry relationships do not account for human modifications </w:t>
      </w:r>
      <w:r>
        <w:rPr>
          <w:rFonts w:cs="Times New Roman"/>
          <w:bCs/>
          <w:szCs w:val="24"/>
        </w:rPr>
        <w:fldChar w:fldCharType="begin" w:fldLock="1"/>
      </w:r>
      <w:r>
        <w:rPr>
          <w:rFonts w:cs="Times New Roman"/>
          <w:bCs/>
          <w:szCs w:val="24"/>
        </w:rPr>
        <w:instrText>ADDIN CSL_CITATION {"citationItems":[{"id":"ITEM-1","itemData":{"DOI":"10.1002/2014GL062764","ISSN":"19448007","abstract":"As hydraulic, hydrologic, and biogeochemical models evolve toward greater spatial resolution and larger extent, robust morphometric data sets are essential to constrain their results. Here we present the Landsat-derived North American River Width (NARWidth) data set, the first fine-resolution, continental scale river centerline and width database. NARWidth contains measurements of &gt;2.4 × 105 km of rivers wider than 30 m at mean annual discharge. We find that conventional digital elevation model-derived width data sets underestimate the abundance of wide rivers. To calculate the total surface area of North American rivers, we extrapolate the strong observed relationship between river width and total surface area at different river widths (r2 &gt; 0.99 for 100-2000 m widths) to narrower rivers and streams. We conservatively estimate the total surface area of North American rivers as 1.24-0.15+0.39 × 105 km2 (1σ confidence intervals), values 20-15+38% greater than previous estimates used to evaluate greenhouse gas efflux from rivers to the atmosphere.","author":[{"dropping-particle":"","family":"Allen","given":"George H","non-dropping-particle":"","parse-names":false,"suffix":""},{"dropping-particle":"","family":"Pavelsky","given":"Tamlin M","non-dropping-particle":"","parse-names":false,"suffix":""}],"container-title":"Geophysical Research Letters","id":"ITEM-1","issue":"2","issued":{"date-parts":[["2015"]]},"page":"395-402","title":"Patterns of river width and surface area revealed by the satellite-derived North American River Width data set","type":"article-journal","volume":"42"},"uris":["http://www.mendeley.com/documents/?uuid=9a03f878-b6af-4726-b3c8-0ef546ffe42d"]}],"mendeley":{"formattedCitation":"(Allen and Pavelsky, 2015)","plainTextFormattedCitation":"(Allen and Pavelsky, 2015)","previouslyFormattedCitation":"(Allen and Pavelsky, 2015)"},"properties":{"noteIndex":0},"schema":"https://github.com/citation-style-language/schema/raw/master/csl-citation.json"}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(Allen and Pavelsky, 2015)</w:t>
      </w:r>
      <w:r>
        <w:rPr>
          <w:rFonts w:cs="Times New Roman"/>
          <w:bCs/>
          <w:szCs w:val="24"/>
        </w:rPr>
        <w:fldChar w:fldCharType="end"/>
      </w:r>
      <w:r>
        <w:rPr>
          <w:rFonts w:cs="Times New Roman"/>
          <w:bCs/>
          <w:szCs w:val="24"/>
        </w:rPr>
        <w:t xml:space="preserve">. The Missouri River has experienced anthropogenic impacts such as channelization and the loss of backwater habitats that could alter the wetted width relative to that predicted from its catchment area </w:t>
      </w:r>
      <w:r>
        <w:rPr>
          <w:rFonts w:cs="Times New Roman"/>
          <w:bCs/>
          <w:szCs w:val="24"/>
        </w:rPr>
        <w:fldChar w:fldCharType="begin" w:fldLock="1"/>
      </w:r>
      <w:r>
        <w:rPr>
          <w:rFonts w:cs="Times New Roman"/>
          <w:bCs/>
          <w:szCs w:val="24"/>
        </w:rPr>
        <w:instrText>ADDIN CSL_CITATION {"citationItems":[{"id":"ITEM-1","itemData":{"DOI":"10.1007/s10021-019-00391-9","ISSN":"1432-9840","author":[{"dropping-particle":"","family":"Wesner","given":"Jeff S.","non-dropping-particle":"","parse-names":false,"suffix":""},{"dropping-particle":"","family":"Swanson","given":"David L.","non-dropping-particle":"","parse-names":false,"suffix":""},{"dropping-particle":"","family":"Dixon","given":"Mark D.","non-dropping-particle":"","parse-names":false,"suffix":""},{"dropping-particle":"","family":"Soluk","given":"Daniel A.","non-dropping-particle":"","parse-names":false,"suffix":""},{"dropping-particle":"","family":"Quist","given":"Danielle J.","non-dropping-particle":"","parse-names":false,"suffix":""},{"dropping-particle":"","family":"Yager","given":"Lisa A.","non-dropping-particle":"","parse-names":false,"suffix":""},{"dropping-particle":"","family":"Warmbold","given":"Jerry W.","non-dropping-particle":"","parse-names":false,"suffix":""},{"dropping-particle":"","family":"Oddy","given":"Erika","non-dropping-particle":"","parse-names":false,"suffix":""},{"dropping-particle":"","family":"Seidel","given":"Tyler C.","non-dropping-particle":"","parse-names":false,"suffix":""}],"container-title":"Ecosystems","id":"ITEM-1","issued":{"date-parts":[["2020"]]},"page":"111-123","publisher":"Springer US","title":"Loss of Potential Aquatic-Terrestrial Subsidies Along the Missouri River Floodplain","type":"article-journal","volume":"23"},"uris":["http://www.mendeley.com/documents/?uuid=4b2e7816-89e2-4e8d-834e-0ce3e45b523c"]},{"id":"ITEM-2","itemData":{"DOI":"10.1002/rra.1614","ISSN":"15351459","abstract":"Flow regulation has had pervasive effects on aquatic ecosystems within the world's large rivers. While channelization on the lower Missouri River has led to major changes in the river and its floodplaincluding the loss of shallow water habitats, effects of upstream dams on unchannelized reaches on the Missouri have not been formally assessed. We quantified changes in the number and size of off-channel habitats, specifically backwaters and side channels, on the 95-km unchannelized reach of the Missouri below Gavins Point Dam (Yankton, South Dakota) using historical (1941, 1983-1985, 2008) aerial imagery. Total and mean areas of side channels declined by 77% and 37% and total and mean length decreased by 79% and 42% from 1941 to 2008. Total area of backwaters increased by 40% from 1941 to 2008, whereas mean area decreased by 36%. Our findings suggest that sharp declines in the area and length of side channels have occurred on this unchannelized remnant reach of the Missouri River, with likely significant impacts on aquatic ecosystem processes. © 2011 John Wiley &amp; Sons, Ltd.","author":[{"dropping-particle":"","family":"Yager","given":"L. A.","non-dropping-particle":"","parse-names":false,"suffix":""},{"dropping-particle":"","family":"Dixon","given":"M. D.","non-dropping-particle":"","parse-names":false,"suffix":""},{"dropping-particle":"","family":"Cowman","given":"T. C.","non-dropping-particle":"","parse-names":false,"suffix":""},{"dropping-particle":"","family":"Soluk","given":"D. A.","non-dropping-particle":"","parse-names":false,"suffix":""}],"container-title":"River Research and Applications","id":"ITEM-2","issue":"4","issued":{"date-parts":[["2013"]]},"page":"493-501","title":"Historic changes (1941-2008) in side channel and backwater habitats on an unchannelized reach of the missouri river","type":"article-journal","volume":"29"},"uris":["http://www.mendeley.com/documents/?uuid=a3088e75-dc6b-4349-a47b-3ae286f5b8c0"]}],"mendeley":{"formattedCitation":"(Yager et al., 2013; Wesner et al., 2020)","plainTextFormattedCitation":"(Yager et al., 2013; Wesner et al., 2020)","previouslyFormattedCitation":"(Yager et al., 2013; Wesner et al., 2020)"},"properties":{"noteIndex":0},"schema":"https://github.com/citation-style-language/schema/raw/master/csl-citation.json"}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(Yager et al., 2013; Wesner et al., 2020)</w:t>
      </w:r>
      <w:r>
        <w:rPr>
          <w:rFonts w:cs="Times New Roman"/>
          <w:bCs/>
          <w:szCs w:val="24"/>
        </w:rPr>
        <w:fldChar w:fldCharType="end"/>
      </w:r>
      <w:r>
        <w:rPr>
          <w:rFonts w:cs="Times New Roman"/>
          <w:bCs/>
          <w:szCs w:val="24"/>
        </w:rPr>
        <w:t xml:space="preserve">. Recent advances in satellite image processing should be useful for resolving these differences </w:t>
      </w:r>
      <w:r>
        <w:rPr>
          <w:rFonts w:cs="Times New Roman"/>
          <w:bCs/>
          <w:szCs w:val="24"/>
        </w:rPr>
        <w:fldChar w:fldCharType="begin" w:fldLock="1"/>
      </w:r>
      <w:r>
        <w:rPr>
          <w:rFonts w:cs="Times New Roman"/>
          <w:bCs/>
          <w:szCs w:val="24"/>
        </w:rPr>
        <w:instrText>ADDIN CSL_CITATION {"citationItems":[{"id":"ITEM-1","itemData":{"DOI":"10.1038/s41467-018-02991-w","ISSN":"2041-1723","abstract":"The morphology and abundance of streams control the rates of hydraulic and biogeochemical exchange between streams, groundwater, and the atmosphere. In large river systems, the relationship between river width and abundance is fractal, such that narrow rivers are proportionally more common than wider rivers. However, in headwater systems, where many biogeochemical reactions are most rapid, the relationship between stream width and abundance is unknown. To constrain this uncertainty, we surveyed stream hydromorphology (wetted width and length) in several headwater stream networks across North America and New Zealand. Here, we find a strikingly consistent lognormal statistical distribution of stream width, including a characteristic most abundant stream width of 32 ± 7 cm independent of discharge or physiographic conditions. We propose a hydromorphic model that can be used to more accurately estimate the hydromorphology of streams, with significant impact on the understanding of the hydraulic, ecological, and biogeochemical functions of stream networks.","author":[{"dropping-particle":"","family":"Allen","given":"George H","non-dropping-particle":"","parse-names":false,"suffix":""},{"dropping-particle":"","family":"Pavelsky","given":"Tamlin M","non-dropping-particle":"","parse-names":false,"suffix":""},{"dropping-particle":"","family":"Barefoot","given":"Eric A","non-dropping-particle":"","parse-names":false,"suffix":""},{"dropping-particle":"","family":"Lamb","given":"Michael P","non-dropping-particle":"","parse-names":false,"suffix":""},{"dropping-particle":"","family":"Butman","given":"David","non-dropping-particle":"","parse-names":false,"suffix":""},{"dropping-particle":"","family":"Tashie","given":"Arik","non-dropping-particle":"","parse-names":false,"suffix":""},{"dropping-particle":"","family":"Gleason","given":"Colin J","non-dropping-particle":"","parse-names":false,"suffix":""}],"container-title":"Nature Communications","id":"ITEM-1","issue":"1","issued":{"date-parts":[["2018"]]},"page":"610","publisher":"Springer US","title":"Similarity of stream width distributions across headwater systems","type":"article-journal","volume":"9"},"uris":["http://www.mendeley.com/documents/?uuid=10033b3c-07c5-4aa0-be62-26e55cae7adc"]},{"id":"ITEM-2","itemData":{"DOI":"10.1002/2014GL062764","ISSN":"19448007","abstract":"As hydraulic, hydrologic, and biogeochemical models evolve toward greater spatial resolution and larger extent, robust morphometric data sets are essential to constrain their results. Here we present the Landsat-derived North American River Width (NARWidth) data set, the first fine-resolution, continental scale river centerline and width database. NARWidth contains measurements of &gt;2.4 × 105 km of rivers wider than 30 m at mean annual discharge. We find that conventional digital elevation model-derived width data sets underestimate the abundance of wide rivers. To calculate the total surface area of North American rivers, we extrapolate the strong observed relationship between river width and total surface area at different river widths (r2 &gt; 0.99 for 100-2000 m widths) to narrower rivers and streams. We conservatively estimate the total surface area of North American rivers as 1.24-0.15+0.39 × 105 km2 (1σ confidence intervals), values 20-15+38% greater than previous estimates used to evaluate greenhouse gas efflux from rivers to the atmosphere.","author":[{"dropping-particle":"","family":"Allen","given":"George H","non-dropping-particle":"","parse-names":false,"suffix":""},{"dropping-particle":"","family":"Pavelsky","given":"Tamlin M","non-dropping-particle":"","parse-names":false,"suffix":""}],"container-title":"Geophysical Research Letters","id":"ITEM-2","issue":"2","issued":{"date-parts":[["2015"]]},"page":"395-402","title":"Patterns of river width and surface area revealed by the satellite-derived North American River Width data set","type":"article-journal","volume":"42"},"uris":["http://www.mendeley.com/documents/?uuid=9a03f878-b6af-4726-b3c8-0ef546ffe42d"]}],"mendeley":{"formattedCitation":"(Allen and Pavelsky, 2015; Allen et al., 2018)","plainTextFormattedCitation":"(Allen and Pavelsky, 2015; Allen et al., 2018)","previouslyFormattedCitation":"(Allen and Pavelsky, 2015; Allen et al., 2018)"},"properties":{"noteIndex":0},"schema":"https://github.com/citation-style-language/schema/raw/master/csl-citation.json"}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(Allen and Pavelsky, 2015; Allen et al., 2018)</w:t>
      </w:r>
      <w:r>
        <w:rPr>
          <w:rFonts w:cs="Times New Roman"/>
          <w:bCs/>
          <w:szCs w:val="24"/>
        </w:rPr>
        <w:fldChar w:fldCharType="end"/>
      </w:r>
      <w:r>
        <w:rPr>
          <w:rFonts w:cs="Times New Roman"/>
          <w:bCs/>
          <w:szCs w:val="24"/>
        </w:rPr>
        <w:t>.</w:t>
      </w:r>
    </w:p>
    <w:p w14:paraId="4E5790D5" w14:textId="77777777" w:rsidR="00AB7462" w:rsidRPr="00421A91" w:rsidRDefault="00AB7462" w:rsidP="00AB7462">
      <w:pPr>
        <w:spacing w:line="480" w:lineRule="auto"/>
        <w:ind w:firstLine="720"/>
        <w:contextualSpacing/>
        <w:rPr>
          <w:rFonts w:cs="Times New Roman"/>
          <w:bCs/>
          <w:szCs w:val="24"/>
        </w:rPr>
      </w:pPr>
      <w:r>
        <w:rPr>
          <w:rFonts w:cs="Times New Roman"/>
          <w:bCs/>
          <w:szCs w:val="24"/>
        </w:rPr>
        <w:t xml:space="preserve">Second, </w:t>
      </w:r>
      <w:proofErr w:type="spellStart"/>
      <w:r>
        <w:rPr>
          <w:rFonts w:cs="Times New Roman"/>
          <w:bCs/>
          <w:szCs w:val="24"/>
        </w:rPr>
        <w:t>Bartrons</w:t>
      </w:r>
      <w:proofErr w:type="spellEnd"/>
      <w:r>
        <w:rPr>
          <w:rFonts w:cs="Times New Roman"/>
          <w:bCs/>
          <w:szCs w:val="24"/>
        </w:rPr>
        <w:t xml:space="preserve"> et al. (2013) used a high resolution (1:24K) hydrography dataset obtained from the Wisconsin Department of Natural Resources. Although a high-resolution national hydrography dataset (NHDHR) is currently in production for the CONUS, it was not </w:t>
      </w:r>
      <w:r>
        <w:rPr>
          <w:rFonts w:cs="Times New Roman"/>
          <w:bCs/>
          <w:szCs w:val="24"/>
        </w:rPr>
        <w:lastRenderedPageBreak/>
        <w:t xml:space="preserve">completely available at the time of our analysis </w:t>
      </w:r>
      <w:r>
        <w:rPr>
          <w:rFonts w:cs="Times New Roman"/>
          <w:bCs/>
          <w:szCs w:val="24"/>
        </w:rPr>
        <w:fldChar w:fldCharType="begin" w:fldLock="1"/>
      </w:r>
      <w:r>
        <w:rPr>
          <w:rFonts w:cs="Times New Roman"/>
          <w:bCs/>
          <w:szCs w:val="24"/>
        </w:rPr>
        <w:instrText>ADDIN CSL_CITATION {"citationItems":[{"id":"ITEM-1","itemData":{"DOI":"https://doi.org/10.3133/ofr20191096","author":[{"dropping-particle":"","family":"Moore","given":"Richard B.","non-dropping-particle":"","parse-names":false,"suffix":""},{"dropping-particle":"","family":"McKay","given":"Lucinda","non-dropping-particle":"","parse-names":false,"suffix":""},{"dropping-particle":"","family":"Rea","given":"Alan","non-dropping-particle":"","parse-names":false,"suffix":""},{"dropping-particle":"","family":"Bondelid","given":"Timothy","non-dropping-particle":"","parse-names":false,"suffix":""},{"dropping-particle":"","family":"Price","given":"Curtis","non-dropping-particle":"","parse-names":false,"suffix":""},{"dropping-particle":"","family":"Dewald","given":"Thomas","non-dropping-particle":"","parse-names":false,"suffix":""},{"dropping-particle":"","family":"Johnston","given":"Charles","non-dropping-particle":"","parse-names":false,"suffix":""}],"container-title":"U.S. Geological Survey","id":"ITEM-1","issued":{"date-parts":[["2019"]]},"page":"66","title":"User's guide for the national hydrography dataset plus (NHDPlus) high resolution","type":"article-journal","volume":"2019-1096"},"uris":["http://www.mendeley.com/documents/?uuid=e8995e55-f4a3-4cc4-95b6-6c4797a5236e"]}],"mendeley":{"formattedCitation":"(Moore et al., 2019)","plainTextFormattedCitation":"(Moore et al., 2019)","previouslyFormattedCitation":"(Moore et al., 2019)"},"properties":{"noteIndex":0},"schema":"https://github.com/citation-style-language/schema/raw/master/csl-citation.json"}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(Moore et al., 2019)</w:t>
      </w:r>
      <w:r>
        <w:rPr>
          <w:rFonts w:cs="Times New Roman"/>
          <w:bCs/>
          <w:szCs w:val="24"/>
        </w:rPr>
        <w:fldChar w:fldCharType="end"/>
      </w:r>
      <w:r>
        <w:rPr>
          <w:rFonts w:cs="Times New Roman"/>
          <w:bCs/>
          <w:szCs w:val="24"/>
        </w:rPr>
        <w:t xml:space="preserve">. Instead, we relied on the medium resolution (1:100K) NHDPlusV2 for our geospatial framework </w:t>
      </w:r>
      <w:r>
        <w:rPr>
          <w:rFonts w:cs="Times New Roman"/>
          <w:bCs/>
          <w:szCs w:val="24"/>
        </w:rPr>
        <w:fldChar w:fldCharType="begin" w:fldLock="1"/>
      </w:r>
      <w:r>
        <w:rPr>
          <w:rFonts w:cs="Times New Roman"/>
          <w:bCs/>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Guide","type":"article"},"uris":["http://www.mendeley.com/documents/?uuid=2eacd0aa-0fb0-448e-b8cc-991c6eb293fe"]}],"mendeley":{"formattedCitation":"(McKay et al., 2012)","plainTextFormattedCitation":"(McKay et al., 2012)","previouslyFormattedCitation":"(McKay et al., 2012)"},"properties":{"noteIndex":0},"schema":"https://github.com/citation-style-language/schema/raw/master/csl-citation.json"}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(McKay et al., 2012)</w:t>
      </w:r>
      <w:r>
        <w:rPr>
          <w:rFonts w:cs="Times New Roman"/>
          <w:bCs/>
          <w:szCs w:val="24"/>
        </w:rPr>
        <w:fldChar w:fldCharType="end"/>
      </w:r>
      <w:r>
        <w:rPr>
          <w:rFonts w:cs="Times New Roman"/>
          <w:bCs/>
          <w:szCs w:val="24"/>
        </w:rPr>
        <w:t xml:space="preserve">. Differences in the resolution of the two hydrography datasets likely reduced the number of streams represented on our maps and contributed to our lower estimates. Other studies have mentioned the importance of considering spatial grain (resolution) for estimating fluxes from lotic ecosystems </w:t>
      </w:r>
      <w:r>
        <w:rPr>
          <w:rFonts w:cs="Times New Roman"/>
          <w:bCs/>
          <w:szCs w:val="24"/>
        </w:rPr>
        <w:fldChar w:fldCharType="begin" w:fldLock="1"/>
      </w:r>
      <w:r>
        <w:rPr>
          <w:rFonts w:cs="Times New Roman"/>
          <w:bCs/>
          <w:szCs w:val="24"/>
        </w:rPr>
        <w:instrText>ADDIN CSL_CITATION {"citationItems":[{"id":"ITEM-1","itemData":{"DOI":"10.1038/ngeo1593","ISBN":"1752-0894\\r1752-0908","ISSN":"1752-0894","abstract":"Nature Geoscience 5, 678 (2012). doi:10.1038/ngeo1593","author":[{"dropping-particle":"","family":"Benstead","given":"Jonathan P.","non-dropping-particle":"","parse-names":false,"suffix":""},{"dropping-particle":"","family":"Leigh","given":"David S.","non-dropping-particle":"","parse-names":false,"suffix":""}],"container-title":"Nature Geoscience","id":"ITEM-1","issue":"10","issued":{"date-parts":[["2012"]]},"page":"678-679","publisher":"Nature Publishing Group","title":"An expanded role for river networks","type":"article-journal","volume":"5"},"uris":["http://www.mendeley.com/documents/?uuid=6ddf97a8-b744-4ed1-aa65-e1bad6052a78"]}],"mendeley":{"formattedCitation":"(Benstead and Leigh, 2012)","plainTextFormattedCitation":"(Benstead and Leigh, 2012)","previouslyFormattedCitation":"(Benstead and Leigh, 2012)"},"properties":{"noteIndex":0},"schema":"https://github.com/citation-style-language/schema/raw/master/csl-citation.json"}</w:instrText>
      </w:r>
      <w:r>
        <w:rPr>
          <w:rFonts w:cs="Times New Roman"/>
          <w:bCs/>
          <w:szCs w:val="24"/>
        </w:rPr>
        <w:fldChar w:fldCharType="separate"/>
      </w:r>
      <w:r w:rsidRPr="004F2051">
        <w:rPr>
          <w:rFonts w:cs="Times New Roman"/>
          <w:bCs/>
          <w:noProof/>
          <w:szCs w:val="24"/>
        </w:rPr>
        <w:t>(Benstead and Leigh, 2012)</w:t>
      </w:r>
      <w:r>
        <w:rPr>
          <w:rFonts w:cs="Times New Roman"/>
          <w:bCs/>
          <w:szCs w:val="24"/>
        </w:rPr>
        <w:fldChar w:fldCharType="end"/>
      </w:r>
      <w:r>
        <w:rPr>
          <w:rFonts w:cs="Times New Roman"/>
          <w:bCs/>
          <w:szCs w:val="24"/>
        </w:rPr>
        <w:t>. Here, we reiterate this point in the context of resource subsidies.</w:t>
      </w:r>
    </w:p>
    <w:p w14:paraId="105C112D" w14:textId="77777777" w:rsidR="00AB7462" w:rsidRDefault="00AB7462" w:rsidP="00AB7462">
      <w:pPr>
        <w:shd w:val="clear" w:color="auto" w:fill="FFFFFF"/>
        <w:spacing w:after="0" w:line="480" w:lineRule="auto"/>
        <w:ind w:firstLine="720"/>
        <w:contextualSpacing/>
        <w:rPr>
          <w:rFonts w:cs="Times New Roman"/>
          <w:iCs/>
          <w:szCs w:val="24"/>
        </w:rPr>
      </w:pPr>
      <w:r>
        <w:rPr>
          <w:rFonts w:cs="Times New Roman"/>
          <w:iCs/>
          <w:szCs w:val="24"/>
        </w:rPr>
        <w:t xml:space="preserve">To investigate the effects of climate change on aquatic insect subsidies, we intentionally developed simplistic models using only climate variables. Indeed, climate is a major driver of secondary production in aquatic ecosystems </w:t>
      </w:r>
      <w:r>
        <w:rPr>
          <w:rFonts w:cs="Times New Roman"/>
          <w:iCs/>
          <w:szCs w:val="24"/>
        </w:rPr>
        <w:fldChar w:fldCharType="begin" w:fldLock="1"/>
      </w:r>
      <w:r>
        <w:rPr>
          <w:rFonts w:cs="Times New Roman"/>
          <w:iCs/>
          <w:szCs w:val="24"/>
        </w:rPr>
        <w:instrText>ADDIN CSL_CITATION {"citationItems":[{"id":"ITEM-1","itemData":{"DOI":"10.1126/sciadv.aav2348","ISSN":"23752548","abstract":"&lt;p&gt;Secondary production, the growth of new heterotrophic biomass, is a key process in aquatic and terrestrial ecosystems that has been carefully measured in many flowing water ecosystems. We combine structural equation modeling with the first worldwide dataset on annual secondary production of stream invertebrate communities to reveal core pathways linking air temperature and precipitation to secondary production. In the United States, where the most extensive set of secondary production estimates and covariate data were available, we show that precipitation-mediated, low–stream flow events have a strong negative effect on secondary production. At larger scales (United States, Europe, Central America, and Pacific), we demonstrate the significance of a positive two-step pathway from air to water temperature to increasing secondary production. Our results provide insights into the potential effects of climate change on secondary production and demonstrate a modeling framework that can be applied across ecosystems.&lt;/p&gt;","author":[{"dropping-particle":"","family":"Patrick","given":"C. J.","non-dropping-particle":"","parse-names":false,"suffix":""},{"dropping-particle":"","family":"McGarvey","given":"D. J.","non-dropping-particle":"","parse-names":false,"suffix":""},{"dropping-particle":"","family":"Larson","given":"J. H.","non-dropping-particle":"","parse-names":false,"suffix":""},{"dropping-particle":"","family":"Cross","given":"W. F.","non-dropping-particle":"","parse-names":false,"suffix":""},{"dropping-particle":"","family":"Allen","given":"D. C.","non-dropping-particle":"","parse-names":false,"suffix":""},{"dropping-particle":"","family":"Benke","given":"A. C.","non-dropping-particle":"","parse-names":false,"suffix":""},{"dropping-particle":"","family":"Brey","given":"T.","non-dropping-particle":"","parse-names":false,"suffix":""},{"dropping-particle":"","family":"Huryn","given":"A. D.","non-dropping-particle":"","parse-names":false,"suffix":""},{"dropping-particle":"","family":"Jones","given":"J.","non-dropping-particle":"","parse-names":false,"suffix":""},{"dropping-particle":"","family":"Murphy","given":"C. A.","non-dropping-particle":"","parse-names":false,"suffix":""},{"dropping-particle":"","family":"Ruffing","given":"C.","non-dropping-particle":"","parse-names":false,"suffix":""},{"dropping-particle":"","family":"Saffarinia","given":"P.","non-dropping-particle":"","parse-names":false,"suffix":""},{"dropping-particle":"","family":"Whiles","given":"M. R.","non-dropping-particle":"","parse-names":false,"suffix":""},{"dropping-particle":"","family":"Wallace","given":"J. B.","non-dropping-particle":"","parse-names":false,"suffix":""},{"dropping-particle":"","family":"Woodward","given":"G.","non-dropping-particle":"","parse-names":false,"suffix":""}],"container-title":"Science Advances","id":"ITEM-1","issue":"4","issued":{"date-parts":[["2019"]]},"page":"1-10","title":"Precipitation and temperature drive continental-scale patterns in stream invertebrate production","type":"article-journal","volume":"5"},"uris":["http://www.mendeley.com/documents/?uuid=d0b6bf02-b63d-4fa2-afc7-d2233c4c0528"]},{"id":"ITEM-2","itemData":{"DOI":"10.1007/s10021-013-9688-6","ISBN":"732852","ISSN":"14329840","PMID":"732852","abstract":"Emergent aquatic insects can provide inputs to terrestrial ecosystems near lentic and lotic waterbodies, producing ecosystem linkages at the aquatic-terrestrial interface. Although aquatic insect emergence has been examined for individual sites, the magnitude and spatial distribution of this phenomenon has not been examined at regional spatial scales. Here, we characterize this cross-habitat linkage for the state of Wisconsin, USA (169,639 km2). We combined GIS hydrological data with empirical data and predictive models of aquatic insect production to estimate annual aquatic emergence for the state of Wisconsin. Total emergence (lentic + lotic) was estimated to be about 6,800 metric tons of C y-1. Lentic systems comprised 79% of total estimated insect emergence, primarily due to the large amount of lake surface area relative to streams. This is due to both basic ecosystem geometry and the overall abundance of lakes in Wisconsin. Spatial variation was high: insect emergence in southwestern Wisconsin was dominated by streams, whereas for most of the rest of the state insect emergence was dominated by lakes. Lentic inputs to land were highly concentrated (relative to lotic inputs) because lakes have a high ratio of surface area to buffer area. Although less concentrated, the spatial extent of lotic influence was greater: statewide, four times more land area fell within the 100 m buffer zones of streams compared to lakes. Large waterbodies (almost all of which were lakes) were hotspots of insect emergence and input to land. Aquatic insect inputs exceed estimated terrestrial secondary production in 13% of buffer area, and by a factor of 100 or more adjacent to large lakes (&gt;50,000 ha). The model sensitivity analysis showed that the simplifying assumptions and sources of potential error in the input variables had a minor impact on the overall results. © 2013 Springer Science+Business Media New York.","author":[{"dropping-particle":"","family":"Bartrons","given":"Mireia","non-dropping-particle":"","parse-names":false,"suffix":""},{"dropping-particle":"","family":"Papeş","given":"Monica","non-dropping-particle":"","parse-names":false,"suffix":""},{"dropping-particle":"","family":"Diebel","given":"Matthew W.","non-dropping-particle":"","parse-names":false,"suffix":""},{"dropping-particle":"","family":"Gratton","given":"Claudio","non-dropping-particle":"","parse-names":false,"suffix":""},{"dropping-particle":"","family":"Zanden","given":"M. Jake","non-dropping-particle":"Vander","parse-names":false,"suffix":""}],"container-title":"Ecosystems","id":"ITEM-2","issue":"7","issued":{"date-parts":[["2013"]]},"page":"1353-1363","title":"Regional-Level Inputs of Emergent Aquatic Insects from Water to Land","type":"article-journal","volume":"16"},"uris":["http://www.mendeley.com/documents/?uuid=76c15ca4-2901-40f7-a4f1-93047a0aa026"]}],"mendeley":{"formattedCitation":"(Bartrons et al., 2013; Patrick et al., 2019)","plainTextFormattedCitation":"(Bartrons et al., 2013; Patrick et al., 2019)","previouslyFormattedCitation":"(Bartrons et al., 2013; Patrick et al., 2019)"},"properties":{"noteIndex":0},"schema":"https://github.com/citation-style-language/schema/raw/master/csl-citation.json"}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(Bartrons et al., 2013; Patrick et al., 2019)</w:t>
      </w:r>
      <w:r>
        <w:rPr>
          <w:rFonts w:cs="Times New Roman"/>
          <w:iCs/>
          <w:szCs w:val="24"/>
        </w:rPr>
        <w:fldChar w:fldCharType="end"/>
      </w:r>
      <w:r>
        <w:rPr>
          <w:rFonts w:cs="Times New Roman"/>
          <w:iCs/>
          <w:szCs w:val="24"/>
        </w:rPr>
        <w:t xml:space="preserve">, and climate projections are often used to model climate-induced changes in species or habitats </w:t>
      </w:r>
      <w:r>
        <w:rPr>
          <w:rFonts w:cs="Times New Roman"/>
          <w:iCs/>
          <w:szCs w:val="24"/>
        </w:rPr>
        <w:fldChar w:fldCharType="begin" w:fldLock="1"/>
      </w:r>
      <w:r>
        <w:rPr>
          <w:rFonts w:cs="Times New Roman"/>
          <w:iCs/>
          <w:szCs w:val="24"/>
        </w:rPr>
        <w:instrText>ADDIN CSL_CITATION {"citationItems":[{"id":"ITEM-1","itemData":{"DOI":"10.1890/11-1930.1","ISSN":"00129658","PMID":"22919900","abstract":"Bioclimatic envelope models use associations between aspects of climate and species' occurrences to estimate the conditions that are suitable to maintain viable populations. Once bioclimatic envelopes are characterized, they can be applied to a variety of questions in ecology, evolution, and conservation. However, some have questioned the usefulness of these models, because they may be based on implausible assumptions or may be contradicted by empirical evidence. We review these areas of contention, and suggest that criticism has often been misplaced, resulting from confusion between what the models actually deliver and what users wish that they would express. Although improvements in data and methods will have some effect, the usefulness of these models is contingent on their appropriate use, and they will improve mainly via better awareness of their conceptual basis, strengths, and limitations. © 2012 by the Ecological Society of America.","author":[{"dropping-particle":"","family":"Araújo","given":"Miguel B.","non-dropping-particle":"","parse-names":false,"suffix":""},{"dropping-particle":"","family":"Peterson","given":"A. Townsend","non-dropping-particle":"","parse-names":false,"suffix":""}],"container-title":"Ecology","id":"ITEM-1","issue":"7","issued":{"date-parts":[["2012"]]},"page":"1527-1539","title":"Uses and misuses of bioclimatic envelope modeling","type":"article-journal","volume":"93"},"uris":["http://www.mendeley.com/documents/?uuid=bc903e43-b17d-4752-8a43-a3fab81059ec"]},{"id":"ITEM-2","itemData":{"DOI":"10.1002/ece3.6597","ISSN":"20457758","abstract":"Climate change is expected to alter the distributions of species around the world, but estimates of species’ outcomes vary widely among competing climate scenarios. Where should conservation resources be directed to maximize expected conservation benefits given future climate uncertainty? Here, we explore this question by quantifying variation in fish species’ distributions across future climate scenarios in the Red River basin south-central United States. We modeled historical and future stream fish distributions using a suite of environmental covariates derived from high-resolution hydrologic and climatic modeling of the basin. We quantified variation in outcomes for individual species across climate scenarios and across space, and identified hotspots of species loss by summing changes in probability of occurrence across species. Under all climate scenarios, we find that the distribution of most fish species in the Red River Basin will contract by 2050. However, the variability across climate scenarios was more than 10 times higher for some species than for others. Despite this uncertainty in outcomes for individual species, hotspots of species loss tended to occur in the same portions of the basin across all climate scenarios. We also find that the most common species are projected to experience the greatest range contractions, underscoring the need for directing conservation resources toward both common and rare species. Our results suggest that while it may be difficult to predict which species will be most impacted by climate change, it may nevertheless be possible to identify spatial priorities for climate mitigation actions that are robust to future climate uncertainty. These findings are likely to be generalizable to other ecosystems around the world where future climate conditions follow prevailing historical patterns of key environmental covariates.","author":[{"dropping-particle":"","family":"Gill","given":"Kenneth C.","non-dropping-particle":"","parse-names":false,"suffix":""},{"dropping-particle":"","family":"Fovargue","given":"Rachel E.","non-dropping-particle":"","parse-names":false,"suffix":""},{"dropping-particle":"","family":"Neeson","given":"Thomas M.","non-dropping-particle":"","parse-names":false,"suffix":""}],"container-title":"Ecology and Evolution","id":"ITEM-2","issue":"17","issued":{"date-parts":[["2020"]]},"page":"9200-9213","title":"Hotspots of species loss do not vary across future climate scenarios in a drought-prone river basin","type":"article-journal","volume":"10"},"uris":["http://www.mendeley.com/documents/?uuid=df22f8b4-0711-467d-b5c1-f3161dd5a315"]}],"mendeley":{"formattedCitation":"(Araújo and Peterson, 2012; Gill et al., 2020)","plainTextFormattedCitation":"(Araújo and Peterson, 2012; Gill et al., 2020)","previouslyFormattedCitation":"(Araújo and Peterson, 2012)"},"properties":{"noteIndex":0},"schema":"https://github.com/citation-style-language/schema/raw/master/csl-citation.json"}</w:instrText>
      </w:r>
      <w:r>
        <w:rPr>
          <w:rFonts w:cs="Times New Roman"/>
          <w:iCs/>
          <w:szCs w:val="24"/>
        </w:rPr>
        <w:fldChar w:fldCharType="separate"/>
      </w:r>
      <w:r w:rsidRPr="008953FE">
        <w:rPr>
          <w:rFonts w:cs="Times New Roman"/>
          <w:iCs/>
          <w:noProof/>
          <w:szCs w:val="24"/>
        </w:rPr>
        <w:t>(Araújo and Peterson, 2012; Gill et al., 2020)</w:t>
      </w:r>
      <w:r>
        <w:rPr>
          <w:rFonts w:cs="Times New Roman"/>
          <w:iCs/>
          <w:szCs w:val="24"/>
        </w:rPr>
        <w:fldChar w:fldCharType="end"/>
      </w:r>
      <w:r>
        <w:rPr>
          <w:rFonts w:cs="Times New Roman"/>
          <w:iCs/>
          <w:szCs w:val="24"/>
        </w:rPr>
        <w:t xml:space="preserve">. However, this approach does not account for other environmental variables that could modify the relationship between climate and aquatic insect emergence. For example, </w:t>
      </w:r>
      <w:proofErr w:type="spellStart"/>
      <w:r>
        <w:rPr>
          <w:rFonts w:cs="Times New Roman"/>
          <w:iCs/>
          <w:szCs w:val="24"/>
        </w:rPr>
        <w:t>Greig</w:t>
      </w:r>
      <w:proofErr w:type="spellEnd"/>
      <w:r>
        <w:rPr>
          <w:rFonts w:cs="Times New Roman"/>
          <w:iCs/>
          <w:szCs w:val="24"/>
        </w:rPr>
        <w:t xml:space="preserve"> et al. (2012) found that the presence of a predator could offset the combined effects of nutrient additions and temperature warming on the production of emergent insects. Although our results provide insights into the potential effects of climate on the quantity of emergent aquatic insects exported from streams and rivers, the effects of changing climate will likely be accompanied by multiple agents of global change </w:t>
      </w:r>
      <w:r>
        <w:rPr>
          <w:rFonts w:cs="Times New Roman"/>
          <w:iCs/>
          <w:szCs w:val="24"/>
        </w:rPr>
        <w:fldChar w:fldCharType="begin" w:fldLock="1"/>
      </w:r>
      <w:r>
        <w:rPr>
          <w:rFonts w:cs="Times New Roman"/>
          <w:iCs/>
          <w:szCs w:val="24"/>
        </w:rPr>
        <w:instrText>ADDIN CSL_CITATION {"citationItems":[{"id":"ITEM-1","itemData":{"DOI":"10.1111/gcb.13182","ISBN":"1365-2486 (Electronic)\\r1354-1013 (Linking)","ISSN":"13652486","PMID":"26649817","abstract":"Streams and adjacent terrestrial ecosystems are characterised by permeable boundaries that are crossed by resource subsidies. Although the importance of these subsidies for riverine ecosystems is increasingly recognised, little is known about how they may be influenced by global environmental change. Drawing from available evidence, in this review we propose a conceptual framework to evaluate the effects of global change on the quality and spatio-temporal dynamics of stream-terrestrial subsidies. We illustrate how changes to hydrologic and temperature regimes, atmospheric CO2 concentration, land-use, and the distribution of non-indigenous species can influence subsidy fluxes by affecting the biology and ecology of donor and recipient systems and the physical characteristics of stream-riparian boundaries. Climate-driven changes in the physiology and phenology of organisms with complex life-cycles will influence their development time, body size and emergence patterns, with consequences for adjacent terrestrial consumers. Also, novel species interactions can modify subsidy dynamics via complex bottom-up and top-down effects. Given the seasonality and pulsed nature of subsidies, alterations of the temporal and spatial synchrony of resource availability to consumers across ecosystems is likely to result in ecological mismatches that can scale up from individual responses, to communities, to ecosystems. Similarly, altered hydrology, temperature, CO2 concentration, and land-use will modify the recruitment and quality of riparian vegetation, the timing of leaf abscission, and the establishment of invasive riparian species. Along with morphological changes to stream-terrestrial boundaries, these will alter the use and fluxes of allochthonous subsidies associated with stream ecosystems. Future research should aim to understand how subsidy dynamics will be affected by key drivers of global change, including agricultural intensification, increasing water use, and biotic homogenization. Our conceptual framework based on the match-mismatch between donor and recipient organisms may facilitate understanding of the multiple effects of global change and aid in the development of future research questions. This article is protected by copyright. All rights reserved.","author":[{"dropping-particle":"","family":"Larsen","given":"Stefano","non-dropping-particle":"","parse-names":false,"suffix":""},{"dropping-particle":"","family":"Muehlbauer","given":"Jeffrey D.","non-dropping-particle":"","parse-names":false,"suffix":""},{"dropping-particle":"","family":"Marti","given":"Eugenia","non-dropping-particle":"","parse-names":false,"suffix":""}],"container-title":"Global Change Biology","id":"ITEM-1","issue":"7","issued":{"date-parts":[["2016"]]},"note":"Coupled vulnerability in between systems due to subsidy exchange- this paper expands on what baxter thouht about the importance of subsidies.\n\n1) Introduction\n1a) Objectives\n2) Global Change effects on subsidy fluxes through effects on donor-recipient systems\n2a) Water-to-land subsidy fluxes \n2b) Effect on biodiversity and species interactions\n2c) Land-to-water subsidy fluxes \n2d) Phenology, phisiology and composition of riparian vegetation\n3) Global change effects on subsidy fluxes through modifications of ecosystem boundaries \n3a) Riparian Evegtation structural Boundaries \n3b) Hydrological boundaries at the land-water ecotone\n3c) Global warming effects on boundaries\n4) Global change and the match-mismatch of subsidy fluxes\n5) Future directions\n5a) Agriculture and land-use conversion\n5b) Water resource use\n5c) Biotic homogenization and species loss\n5d) Multiple stressors \n5e) Tropical and artic ecosystems\n6) Conclusion","page":"2489-2504","title":"Resource subsidies between stream and terrestrial ecosystems under global change","type":"article-journal","volume":"22"},"uris":["http://www.mendeley.com/documents/?uuid=276fe761-5a80-4012-a137-397d1f4e806c"]}],"mendeley":{"formattedCitation":"(Larsen et al., 2016)","plainTextFormattedCitation":"(Larsen et al., 2016)","previouslyFormattedCitation":"(Larsen et al., 2016)"},"properties":{"noteIndex":0},"schema":"https://github.com/citation-style-language/schema/raw/master/csl-citation.json"}</w:instrText>
      </w:r>
      <w:r>
        <w:rPr>
          <w:rFonts w:cs="Times New Roman"/>
          <w:iCs/>
          <w:szCs w:val="24"/>
        </w:rPr>
        <w:fldChar w:fldCharType="separate"/>
      </w:r>
      <w:r w:rsidRPr="004F2051">
        <w:rPr>
          <w:rFonts w:cs="Times New Roman"/>
          <w:iCs/>
          <w:noProof/>
          <w:szCs w:val="24"/>
        </w:rPr>
        <w:t>(Larsen et al., 2016)</w:t>
      </w:r>
      <w:r>
        <w:rPr>
          <w:rFonts w:cs="Times New Roman"/>
          <w:iCs/>
          <w:szCs w:val="24"/>
        </w:rPr>
        <w:fldChar w:fldCharType="end"/>
      </w:r>
      <w:r>
        <w:rPr>
          <w:rFonts w:cs="Times New Roman"/>
          <w:iCs/>
          <w:szCs w:val="24"/>
        </w:rPr>
        <w:t xml:space="preserve">. </w:t>
      </w:r>
    </w:p>
    <w:p w14:paraId="370B9E00" w14:textId="77777777" w:rsidR="00AB7462" w:rsidRPr="00987F22" w:rsidRDefault="00AB7462" w:rsidP="00AB7462">
      <w:pPr>
        <w:shd w:val="clear" w:color="auto" w:fill="FFFFFF"/>
        <w:spacing w:after="0" w:line="480" w:lineRule="auto"/>
        <w:contextualSpacing/>
        <w:rPr>
          <w:rFonts w:eastAsia="Times New Roman" w:cs="Times New Roman"/>
          <w:color w:val="222222"/>
          <w:szCs w:val="24"/>
        </w:rPr>
      </w:pPr>
      <w:r>
        <w:rPr>
          <w:rFonts w:eastAsia="Times New Roman" w:cs="Times New Roman"/>
          <w:color w:val="222222"/>
          <w:szCs w:val="24"/>
        </w:rPr>
        <w:tab/>
        <w:t xml:space="preserve">Finally, our predictions under future climate were derived from a single general circulation model (GCM), </w:t>
      </w:r>
      <w:r w:rsidRPr="00EF1F20">
        <w:rPr>
          <w:rFonts w:cs="Times New Roman"/>
          <w:iCs/>
          <w:szCs w:val="24"/>
        </w:rPr>
        <w:t xml:space="preserve">HadGEM2-ES </w:t>
      </w:r>
      <w:r w:rsidRPr="00EF1F20">
        <w:rPr>
          <w:rFonts w:cs="Times New Roman"/>
          <w:iCs/>
          <w:szCs w:val="24"/>
        </w:rPr>
        <w:fldChar w:fldCharType="begin" w:fldLock="1"/>
      </w:r>
      <w:r>
        <w:rPr>
          <w:rFonts w:cs="Times New Roman"/>
          <w:iCs/>
          <w:szCs w:val="24"/>
        </w:rPr>
        <w:instrText>ADDIN CSL_CITATION {"citationItems":[{"id":"ITEM-1","itemData":{"DOI":"10.5194/gmd-4-543-2011","ISSN":"19919603","abstract":"The scientific understanding of the Earth's climate system, including thecentral question of how the climate system is likely to respond tohuman-induced perturbations, is comprehensively captured in GCMs and EarthSystem Models (ESM). Diagnosing the simulated climate response, andcomparing responses across different models, is crucially dependent ontransparent assumptions of how the GCM/ESM has been driven - especiallybecause the implementation can involve subjective decisions and may differbetween modelling groups performing the same experiment. This paper outlinesthe climate forcings and setup of the Met Office Hadley Centre ESM, HadGEM2-ES for the CMIP5 set of centennial experiments. We document theprescribed greenhouse gas concentrations, aerosol precursors, stratosphericand tropospheric ozone assumptions, as well as implementation of land-usechange and natural forcings for the HadGEM2-ES historical and futureexperiments following the Representative Concentration Pathways. Inaddition, we provide details of how HadGEM2-ES ensemble members wereinitialised from the control run and how the palaeoclimate and AMIPexperiments, as well as the \"emission-driven\" RCP experiments wereperformed. © 2011 Author(s).","author":[{"dropping-particle":"","family":"Jones","given":"C. D.","non-dropping-particle":"","parse-names":false,"suffix":""},{"dropping-particle":"","family":"Hughes","given":"J. K.","non-dropping-particle":"","parse-names":false,"suffix":""},{"dropping-particle":"","family":"Bellouin","given":"N.","non-dropping-particle":"","parse-names":false,"suffix":""},{"dropping-particle":"","family":"Hardiman","given":"S. C.","non-dropping-particle":"","parse-names":false,"suffix":""},{"dropping-particle":"","family":"Jones","given":"G. S.","non-dropping-particle":"","parse-names":false,"suffix":""},{"dropping-particle":"","family":"Knight","given":"J.","non-dropping-particle":"","parse-names":false,"suffix":""},{"dropping-particle":"","family":"Liddicoat","given":"S.","non-dropping-particle":"","parse-names":false,"suffix":""},{"dropping-particle":"","family":"O'Connor","given":"F. M.","non-dropping-particle":"","parse-names":false,"suffix":""},{"dropping-particle":"","family":"Andres","given":"R. J.","non-dropping-particle":"","parse-names":false,"suffix":""},{"dropping-particle":"","family":"Bell","given":"C.","non-dropping-particle":"","parse-names":false,"suffix":""},{"dropping-particle":"","family":"Boo","given":"K. O.","non-dropping-particle":"","parse-names":false,"suffix":""},{"dropping-particle":"","family":"Bozzo","given":"A.","non-dropping-particle":"","parse-names":false,"suffix":""},{"dropping-particle":"","family":"Butchart","given":"N.","non-dropping-particle":"","parse-names":false,"suffix":""},{"dropping-particle":"","family":"Cadule","given":"P.","non-dropping-particle":"","parse-names":false,"suffix":""},{"dropping-particle":"","family":"Corbin","given":"K. D.","non-dropping-particle":"","parse-names":false,"suffix":""},{"dropping-particle":"","family":"Doutriaux-Boucher","given":"M.","non-dropping-particle":"","parse-names":false,"suffix":""},{"dropping-particle":"","family":"Friedlingstein","given":"P.","non-dropping-particle":"","parse-names":false,"suffix":""},{"dropping-particle":"","family":"Gornall","given":"J.","non-dropping-particle":"","parse-names":false,"suffix":""},{"dropping-particle":"","family":"Gray","given":"L.","non-dropping-particle":"","parse-names":false,"suffix":""},{"dropping-particle":"","family":"Halloran","given":"P. R.","non-dropping-particle":"","parse-names":false,"suffix":""},{"dropping-particle":"","family":"Hurtt","given":"G.","non-dropping-particle":"","parse-names":false,"suffix":""},{"dropping-particle":"","family":"Ingram","given":"W. J.","non-dropping-particle":"","parse-names":false,"suffix":""},{"dropping-particle":"","family":"Lamarque","given":"J. F.","non-dropping-particle":"","parse-names":false,"suffix":""},{"dropping-particle":"","family":"Law","given":"R. M.","non-dropping-particle":"","parse-names":false,"suffix":""},{"dropping-particle":"","family":"Meinshausen","given":"M.","non-dropping-particle":"","parse-names":false,"suffix":""},{"dropping-particle":"","family":"Osprey","given":"S.","non-dropping-particle":"","parse-names":false,"suffix":""},{"dropping-particle":"","family":"Palin","given":"E. J.","non-dropping-particle":"","parse-names":false,"suffix":""},{"dropping-particle":"","family":"Parsons Chini","given":"L.","non-dropping-particle":"","parse-names":false,"suffix":""},{"dropping-particle":"","family":"Raddatz","given":"T.","non-dropping-particle":"","parse-names":false,"suffix":""},{"dropping-particle":"","family":"Sanderson","given":"M. G.","non-dropping-particle":"","parse-names":false,"suffix":""},{"dropping-particle":"","family":"Sellar","given":"A. A.","non-dropping-particle":"","parse-names":false,"suffix":""},{"dropping-particle":"","family":"Schurer","given":"A.","non-dropping-particle":"","parse-names":false,"suffix":""},{"dropping-particle":"","family":"Valdes","given":"P.","non-dropping-particle":"","parse-names":false,"suffix":""},{"dropping-particle":"","family":"Wood","given":"N.","non-dropping-particle":"","parse-names":false,"suffix":""},{"dropping-particle":"","family":"Woodward","given":"S.","non-dropping-particle":"","parse-names":false,"suffix":""},{"dropping-particle":"","family":"Yoshioka","given":"M.","non-dropping-particle":"","parse-names":false,"suffix":""},{"dropping-particle":"","family":"Zerroukat","given":"M.","non-dropping-particle":"","parse-names":false,"suffix":""}],"container-title":"Geoscientific Model Development","id":"ITEM-1","issue":"3","issued":{"date-parts":[["2011"]]},"page":"543-570","title":"The HadGEM2-ES implementation of CMIP5 centennial simulations","type":"article-journal","volume":"4"},"uris":["http://www.mendeley.com/documents/?uuid=7b8added-43a1-43f6-b4e7-a6c701eae000"]}],"mendeley":{"formattedCitation":"(Jones et al., 2011)","plainTextFormattedCitation":"(Jones et al., 2011)","previouslyFormattedCitation":"(Jones et al., 2011)"},"properties":{"noteIndex":0},"schema":"https://github.com/citation-style-language/schema/raw/master/csl-citation.json"}</w:instrText>
      </w:r>
      <w:r w:rsidRPr="00EF1F20">
        <w:rPr>
          <w:rFonts w:cs="Times New Roman"/>
          <w:iCs/>
          <w:szCs w:val="24"/>
        </w:rPr>
        <w:fldChar w:fldCharType="separate"/>
      </w:r>
      <w:r w:rsidRPr="004F2051">
        <w:rPr>
          <w:rFonts w:cs="Times New Roman"/>
          <w:iCs/>
          <w:noProof/>
          <w:szCs w:val="24"/>
        </w:rPr>
        <w:t>(Jones et al., 2011)</w:t>
      </w:r>
      <w:r w:rsidRPr="00EF1F20">
        <w:rPr>
          <w:rFonts w:cs="Times New Roman"/>
          <w:iCs/>
          <w:szCs w:val="24"/>
        </w:rPr>
        <w:fldChar w:fldCharType="end"/>
      </w:r>
      <w:r w:rsidRPr="00EF1F20">
        <w:rPr>
          <w:rFonts w:cs="Times New Roman"/>
          <w:iCs/>
          <w:szCs w:val="24"/>
        </w:rPr>
        <w:t>.</w:t>
      </w:r>
      <w:r>
        <w:rPr>
          <w:rFonts w:cs="Times New Roman"/>
          <w:iCs/>
          <w:szCs w:val="24"/>
        </w:rPr>
        <w:t xml:space="preserve"> Although this model is one of 17 core models used in the Coupled Model </w:t>
      </w:r>
      <w:proofErr w:type="spellStart"/>
      <w:r>
        <w:rPr>
          <w:rFonts w:cs="Times New Roman"/>
          <w:iCs/>
          <w:szCs w:val="24"/>
        </w:rPr>
        <w:t>Intercomparison</w:t>
      </w:r>
      <w:proofErr w:type="spellEnd"/>
      <w:r>
        <w:rPr>
          <w:rFonts w:cs="Times New Roman"/>
          <w:iCs/>
          <w:szCs w:val="24"/>
        </w:rPr>
        <w:t xml:space="preserve"> Project (CMIP5) and includes components of the Earth System </w:t>
      </w:r>
      <w:r>
        <w:rPr>
          <w:rFonts w:cs="Times New Roman"/>
          <w:iCs/>
          <w:szCs w:val="24"/>
        </w:rPr>
        <w:fldChar w:fldCharType="begin" w:fldLock="1"/>
      </w:r>
      <w:r>
        <w:rPr>
          <w:rFonts w:cs="Times New Roman"/>
          <w:iCs/>
          <w:szCs w:val="24"/>
        </w:rPr>
        <w:instrText>ADDIN CSL_CITATION {"citationItems":[{"id":"ITEM-1","itemData":{"DOI":"10.5194/gmd-4-1051-2011","ISSN":"19919603","abstract":"We describe here the development and evaluation of an Earth system model suitable for centennial-scale climate prediction. The principal new components added to the physical climate model are the terrestrial and ocean ecosystems and gas-phase tropospheric chemistry, along with their coupled interactions. The individual Earth system components are described briefly and the relevant interactions between the components are explained. Because the multiple interactions could lead to unstable feedbacks, we go through a careful process of model spin up to ensure that all components are stable and the interactions balanced. This spun-up configuration is evaluated against observed data for the Earth system components and is generally found to perform very satisfactorily. The reason for the evaluation phase is that the model is to be used for the core climate simulations carried out by the Met Office Hadley Centre for the Coupled Model Intercomparison Project (CMIP5), so it is essential that addition of the extra complexity does not detract substantially from its climate performance. Localised changes in some specific meteorological variables can be identified, but the impacts on the overall simulation of present day climate are slight. This model is proving valuable both for climate predictions, and for investigating the strengths of biogeochemical feedbacks. © 2011. Author(s).","author":[{"dropping-particle":"","family":"Collins","given":"W. J.","non-dropping-particle":"","parse-names":false,"suffix":""},{"dropping-particle":"","family":"Bellouin","given":"N.","non-dropping-particle":"","parse-names":false,"suffix":""},{"dropping-particle":"","family":"Doutriaux-Boucher","given":"M.","non-dropping-particle":"","parse-names":false,"suffix":""},{"dropping-particle":"","family":"Gedney","given":"N.","non-dropping-particle":"","parse-names":false,"suffix":""},{"dropping-particle":"","family":"Halloran","given":"P.","non-dropping-particle":"","parse-names":false,"suffix":""},{"dropping-particle":"","family":"Hinton","given":"T.","non-dropping-particle":"","parse-names":false,"suffix":""},{"dropping-particle":"","family":"Hughes","given":"J.","non-dropping-particle":"","parse-names":false,"suffix":""},{"dropping-particle":"","family":"Jones","given":"C. D.","non-dropping-particle":"","parse-names":false,"suffix":""},{"dropping-particle":"","family":"Joshi","given":"M.","non-dropping-particle":"","parse-names":false,"suffix":""},{"dropping-particle":"","family":"Liddicoat","given":"S.","non-dropping-particle":"","parse-names":false,"suffix":""},{"dropping-particle":"","family":"Martin","given":"G.","non-dropping-particle":"","parse-names":false,"suffix":""},{"dropping-particle":"","family":"O'Connor","given":"F.","non-dropping-particle":"","parse-names":false,"suffix":""},{"dropping-particle":"","family":"Rae","given":"J.","non-dropping-particle":"","parse-names":false,"suffix":""},{"dropping-particle":"","family":"Senior","given":"C.","non-dropping-particle":"","parse-names":false,"suffix":""},{"dropping-particle":"","family":"Sitch","given":"S.","non-dropping-particle":"","parse-names":false,"suffix":""},{"dropping-particle":"","family":"Totterdell","given":"I.","non-dropping-particle":"","parse-names":false,"suffix":""},{"dropping-particle":"","family":"Wiltshire","given":"A.","non-dropping-particle":"","parse-names":false,"suffix":""},{"dropping-particle":"","family":"Woodward","given":"S.","non-dropping-particle":"","parse-names":false,"suffix":""}],"container-title":"Geoscientific Model Development","id":"ITEM-1","issue":"4","issued":{"date-parts":[["2011"]]},"page":"1051-1075","title":"Development and evaluation of an Earth-System model - HadGEM2","type":"article-journal","volume":"4"},"uris":["http://www.mendeley.com/documents/?uuid=d21ea52a-a951-4415-bcf4-171001e14deb"]},{"id":"ITEM-2","itemData":{"DOI":"10.1175/JCLI-D-12-00592.1","ISSN":"08948755","abstract":"This is the first part of a three-part paper on North American climate in phase 5 of the Coupled Model Intercomparison Project (CMIP5) that evaluates the historical simulations of continental and regional climatology with a focus on a core set of 17 models. The authors evaluate the models for a set of basic surface climate and hydrological variables and their extremes for the continent. This is supplemented by evaluations for selected regional climate processes relevant to North American climate, including cool season western Atlantic cyclones, the North American monsoon, the U.S. Great Plains low-level jet, and Arctic sea ice. In general, the multimodel ensemble mean represents the observed spatial patterns of basic climate and hydrological variables but with large variability across models and regions in the magnitude and sign of errors. No single model stands out as being particularly better or worse across all analyses, although some models consistently outperform the others for certain variables across most regions and seasons and higher-resolution models tend to perform better for regional processes. The CMIP5 multimodel ensemble shows a slight improvement relative to CMIP3 models in representing basic climate variables, in terms of the mean and spread, although performance has decreased for some models. Improvements in CMIP5 model performance are noticeable for some regional climate processes analyzed, such as the timing of the North American monsoon. The results of this paper have implications for the robustness of future projections of climate and its associated impacts, which are examined in the third part of the paper. © 2013 American Meteorological Society.","author":[{"dropping-particle":"","family":"Sheffield","given":"Justin","non-dropping-particle":"","parse-names":false,"suffix":""},{"dropping-particle":"","family":"Barrett","given":"Andrew P.","non-dropping-particle":"","parse-names":false,"suffix":""},{"dropping-particle":"","family":"Colle","given":"Brian","non-dropping-particle":"","parse-names":false,"suffix":""},{"dropping-particle":"","family":"Fernando","given":"D. Nelun","non-dropping-particle":"","parse-names":false,"suffix":""},{"dropping-particle":"","family":"Fu","given":"Rong","non-dropping-particle":"","parse-names":false,"suffix":""},{"dropping-particle":"","family":"Geil","given":"Kerrie L.","non-dropping-particle":"","parse-names":false,"suffix":""},{"dropping-particle":"","family":"Hu","given":"Qi","non-dropping-particle":"","parse-names":false,"suffix":""},{"dropping-particle":"","family":"Kinter","given":"Jim","non-dropping-particle":"","parse-names":false,"suffix":""},{"dropping-particle":"","family":"Kumar","given":"Sanjiv","non-dropping-particle":"","parse-names":false,"suffix":""},{"dropping-particle":"","family":"Langenbrunner","given":"Baird","non-dropping-particle":"","parse-names":false,"suffix":""},{"dropping-particle":"","family":"Lombardo","given":"Kelly","non-dropping-particle":"","parse-names":false,"suffix":""},{"dropping-particle":"","family":"Long","given":"Lindsey N.","non-dropping-particle":"","parse-names":false,"suffix":""},{"dropping-particle":"","family":"Maloney","given":"Eric","non-dropping-particle":"","parse-names":false,"suffix":""},{"dropping-particle":"","family":"Mariotti","given":"Annarita","non-dropping-particle":"","parse-names":false,"suffix":""},{"dropping-particle":"","family":"Meyerson","given":"Joyce E.","non-dropping-particle":"","parse-names":false,"suffix":""},{"dropping-particle":"","family":"Mo","given":"Kingtse C.","non-dropping-particle":"","parse-names":false,"suffix":""},{"dropping-particle":"","family":"Neelin","given":"J. David","non-dropping-particle":"","parse-names":false,"suffix":""},{"dropping-particle":"","family":"Nigam","given":"Sumant","non-dropping-particle":"","parse-names":false,"suffix":""},{"dropping-particle":"","family":"Pan","given":"Zaitao","non-dropping-particle":"","parse-names":false,"suffix":""},{"dropping-particle":"","family":"Ren","given":"Tong","non-dropping-particle":"","parse-names":false,"suffix":""},{"dropping-particle":"","family":"Ruiz-Barradas","given":"Alfredo","non-dropping-particle":"","parse-names":false,"suffix":""},{"dropping-particle":"","family":"Serra","given":"Yolande L.","non-dropping-particle":"","parse-names":false,"suffix":""},{"dropping-particle":"","family":"Seth","given":"Anji","non-dropping-particle":"","parse-names":false,"suffix":""},{"dropping-particle":"","family":"Thibeault","given":"Jeanne M.","non-dropping-particle":"","parse-names":false,"suffix":""},{"dropping-particle":"","family":"Stroeve","given":"Julienne C.","non-dropping-particle":"","parse-names":false,"suffix":""},{"dropping-particle":"","family":"Yang","given":"Ze","non-dropping-particle":"","parse-names":false,"suffix":""},{"dropping-particle":"","family":"Yin","given":"Lei","non-dropping-particle":"","parse-names":false,"suffix":""}],"container-title":"Journal of Climate","id":"ITEM-2","issue":"23","issued":{"date-parts":[["2013"]]},"page":"9209-9245","title":"North American Climate in CMIP5 experiments. Part I: Evaluation of historical simulations of continental and regional climatology","type":"article-journal","volume":"26"},"uris":["http://www.mendeley.com/documents/?uuid=7347565e-461a-434d-97b3-f095960ab53d"]}],"mendeley":{"formattedCitation":"(Collins et al., 2011; Sheffield et al., 2013)","plainTextFormattedCitation":"(Collins et al., 2011; Sheffield et al., 2013)","previouslyFormattedCitation":"(Collins et al., 2011; Sheffield et al., 2013)"},"properties":{"noteIndex":0},"schema":"https://github.com/citation-style-language/schema/raw/master/csl-citation.json"}</w:instrText>
      </w:r>
      <w:r>
        <w:rPr>
          <w:rFonts w:cs="Times New Roman"/>
          <w:iCs/>
          <w:szCs w:val="24"/>
        </w:rPr>
        <w:fldChar w:fldCharType="separate"/>
      </w:r>
      <w:r w:rsidRPr="00EA1722">
        <w:rPr>
          <w:rFonts w:cs="Times New Roman"/>
          <w:iCs/>
          <w:noProof/>
          <w:szCs w:val="24"/>
        </w:rPr>
        <w:t>(Collins et al., 2011; Sheffield et al., 2013)</w:t>
      </w:r>
      <w:r>
        <w:rPr>
          <w:rFonts w:cs="Times New Roman"/>
          <w:iCs/>
          <w:szCs w:val="24"/>
        </w:rPr>
        <w:fldChar w:fldCharType="end"/>
      </w:r>
      <w:r>
        <w:rPr>
          <w:rFonts w:cs="Times New Roman"/>
          <w:iCs/>
          <w:szCs w:val="24"/>
        </w:rPr>
        <w:t xml:space="preserve">, many other GCMs </w:t>
      </w:r>
      <w:r>
        <w:rPr>
          <w:rFonts w:cs="Times New Roman"/>
          <w:iCs/>
          <w:szCs w:val="24"/>
        </w:rPr>
        <w:lastRenderedPageBreak/>
        <w:t xml:space="preserve">are available. Because each model has inherent bias, the use of multiple of GCMs is sometimes favorable to better capture uncertainty in future climates </w:t>
      </w:r>
      <w:r>
        <w:rPr>
          <w:rFonts w:cs="Times New Roman"/>
          <w:iCs/>
          <w:szCs w:val="24"/>
        </w:rPr>
        <w:fldChar w:fldCharType="begin" w:fldLock="1"/>
      </w:r>
      <w:r>
        <w:rPr>
          <w:rFonts w:cs="Times New Roman"/>
          <w:iCs/>
          <w:szCs w:val="24"/>
        </w:rPr>
        <w:instrText>ADDIN CSL_CITATION {"citationItems":[{"id":"ITEM-1","itemData":{"DOI":"10.1002/ece3.6597","ISSN":"20457758","abstract":"Climate change is expected to alter the distributions of species around the world, but estimates of species’ outcomes vary widely among competing climate scenarios. Where should conservation resources be directed to maximize expected conservation benefits given future climate uncertainty? Here, we explore this question by quantifying variation in fish species’ distributions across future climate scenarios in the Red River basin south-central United States. We modeled historical and future stream fish distributions using a suite of environmental covariates derived from high-resolution hydrologic and climatic modeling of the basin. We quantified variation in outcomes for individual species across climate scenarios and across space, and identified hotspots of species loss by summing changes in probability of occurrence across species. Under all climate scenarios, we find that the distribution of most fish species in the Red River Basin will contract by 2050. However, the variability across climate scenarios was more than 10 times higher for some species than for others. Despite this uncertainty in outcomes for individual species, hotspots of species loss tended to occur in the same portions of the basin across all climate scenarios. We also find that the most common species are projected to experience the greatest range contractions, underscoring the need for directing conservation resources toward both common and rare species. Our results suggest that while it may be difficult to predict which species will be most impacted by climate change, it may nevertheless be possible to identify spatial priorities for climate mitigation actions that are robust to future climate uncertainty. These findings are likely to be generalizable to other ecosystems around the world where future climate conditions follow prevailing historical patterns of key environmental covariates.","author":[{"dropping-particle":"","family":"Gill","given":"Kenneth C.","non-dropping-particle":"","parse-names":false,"suffix":""},{"dropping-particle":"","family":"Fovargue","given":"Rachel E.","non-dropping-particle":"","parse-names":false,"suffix":""},{"dropping-particle":"","family":"Neeson","given":"Thomas M.","non-dropping-particle":"","parse-names":false,"suffix":""}],"container-title":"Ecology and Evolution","id":"ITEM-1","issue":"17","issued":{"date-parts":[["2020"]]},"page":"9200-9213","title":"Hotspots of species loss do not vary across future climate scenarios in a drought-prone river basin","type":"article-journal","volume":"10"},"uris":["http://www.mendeley.com/documents/?uuid=df22f8b4-0711-467d-b5c1-f3161dd5a315"]},{"id":"ITEM-2","itemData":{"DOI":"10.1016/B978-0-12-420218-4.01001-5","author":[{"dropping-particle":"","family":"Hannah","given":"Lee","non-dropping-particle":"","parse-names":false,"suffix":""}],"container-title":"Climate Change Biology","id":"ITEM-2","issued":{"date-parts":[["2015"]]},"page":"iii","publisher":"Elsevier","title":"Front Matter","type":"chapter"},"uris":["http://www.mendeley.com/documents/?uuid=df43ebd9-b886-43ff-bae9-bdca4675108e"]}],"mendeley":{"formattedCitation":"(Hannah, 2015; Gill et al., 2020)","plainTextFormattedCitation":"(Hannah, 2015; Gill et al., 2020)","previouslyFormattedCitation":"(Hannah, 2015; Gill et al., 2020)"},"properties":{"noteIndex":0},"schema":"https://github.com/citation-style-language/schema/raw/master/csl-citation.json"}</w:instrText>
      </w:r>
      <w:r>
        <w:rPr>
          <w:rFonts w:cs="Times New Roman"/>
          <w:iCs/>
          <w:szCs w:val="24"/>
        </w:rPr>
        <w:fldChar w:fldCharType="separate"/>
      </w:r>
      <w:r w:rsidRPr="00D20035">
        <w:rPr>
          <w:rFonts w:cs="Times New Roman"/>
          <w:iCs/>
          <w:noProof/>
          <w:szCs w:val="24"/>
        </w:rPr>
        <w:t>(Hannah, 2015; Gill et al., 2020)</w:t>
      </w:r>
      <w:r>
        <w:rPr>
          <w:rFonts w:cs="Times New Roman"/>
          <w:iCs/>
          <w:szCs w:val="24"/>
        </w:rPr>
        <w:fldChar w:fldCharType="end"/>
      </w:r>
      <w:r>
        <w:rPr>
          <w:rFonts w:cs="Times New Roman"/>
          <w:iCs/>
          <w:szCs w:val="24"/>
        </w:rPr>
        <w:t xml:space="preserve">. However, increasing the number of GCM also increases the complexity and computational resources. We intentionally selected a single model because of the scale of our analysis and to reduce the complexity of the results. Relative to other core GCMs, </w:t>
      </w:r>
      <w:r w:rsidRPr="00EF1F20">
        <w:rPr>
          <w:rFonts w:cs="Times New Roman"/>
          <w:iCs/>
          <w:szCs w:val="24"/>
        </w:rPr>
        <w:t>HadGEM2-ES</w:t>
      </w:r>
      <w:r>
        <w:rPr>
          <w:rFonts w:cs="Times New Roman"/>
          <w:iCs/>
          <w:szCs w:val="24"/>
        </w:rPr>
        <w:t xml:space="preserve"> preformed reasonable well in predicting precipitation in North America but generally underestimated winter temperature and overestimated summer temperatures </w:t>
      </w:r>
      <w:r>
        <w:rPr>
          <w:rFonts w:cs="Times New Roman"/>
          <w:iCs/>
          <w:szCs w:val="24"/>
        </w:rPr>
        <w:fldChar w:fldCharType="begin" w:fldLock="1"/>
      </w:r>
      <w:r>
        <w:rPr>
          <w:rFonts w:cs="Times New Roman"/>
          <w:iCs/>
          <w:szCs w:val="24"/>
        </w:rPr>
        <w:instrText>ADDIN CSL_CITATION {"citationItems":[{"id":"ITEM-1","itemData":{"DOI":"10.1175/JCLI-D-12-00592.1","ISSN":"08948755","abstract":"This is the first part of a three-part paper on North American climate in phase 5 of the Coupled Model Intercomparison Project (CMIP5) that evaluates the historical simulations of continental and regional climatology with a focus on a core set of 17 models. The authors evaluate the models for a set of basic surface climate and hydrological variables and their extremes for the continent. This is supplemented by evaluations for selected regional climate processes relevant to North American climate, including cool season western Atlantic cyclones, the North American monsoon, the U.S. Great Plains low-level jet, and Arctic sea ice. In general, the multimodel ensemble mean represents the observed spatial patterns of basic climate and hydrological variables but with large variability across models and regions in the magnitude and sign of errors. No single model stands out as being particularly better or worse across all analyses, although some models consistently outperform the others for certain variables across most regions and seasons and higher-resolution models tend to perform better for regional processes. The CMIP5 multimodel ensemble shows a slight improvement relative to CMIP3 models in representing basic climate variables, in terms of the mean and spread, although performance has decreased for some models. Improvements in CMIP5 model performance are noticeable for some regional climate processes analyzed, such as the timing of the North American monsoon. The results of this paper have implications for the robustness of future projections of climate and its associated impacts, which are examined in the third part of the paper. © 2013 American Meteorological Society.","author":[{"dropping-particle":"","family":"Sheffield","given":"Justin","non-dropping-particle":"","parse-names":false,"suffix":""},{"dropping-particle":"","family":"Barrett","given":"Andrew P.","non-dropping-particle":"","parse-names":false,"suffix":""},{"dropping-particle":"","family":"Colle","given":"Brian","non-dropping-particle":"","parse-names":false,"suffix":""},{"dropping-particle":"","family":"Fernando","given":"D. Nelun","non-dropping-particle":"","parse-names":false,"suffix":""},{"dropping-particle":"","family":"Fu","given":"Rong","non-dropping-particle":"","parse-names":false,"suffix":""},{"dropping-particle":"","family":"Geil","given":"Kerrie L.","non-dropping-particle":"","parse-names":false,"suffix":""},{"dropping-particle":"","family":"Hu","given":"Qi","non-dropping-particle":"","parse-names":false,"suffix":""},{"dropping-particle":"","family":"Kinter","given":"Jim","non-dropping-particle":"","parse-names":false,"suffix":""},{"dropping-particle":"","family":"Kumar","given":"Sanjiv","non-dropping-particle":"","parse-names":false,"suffix":""},{"dropping-particle":"","family":"Langenbrunner","given":"Baird","non-dropping-particle":"","parse-names":false,"suffix":""},{"dropping-particle":"","family":"Lombardo","given":"Kelly","non-dropping-particle":"","parse-names":false,"suffix":""},{"dropping-particle":"","family":"Long","given":"Lindsey N.","non-dropping-particle":"","parse-names":false,"suffix":""},{"dropping-particle":"","family":"Maloney","given":"Eric","non-dropping-particle":"","parse-names":false,"suffix":""},{"dropping-particle":"","family":"Mariotti","given":"Annarita","non-dropping-particle":"","parse-names":false,"suffix":""},{"dropping-particle":"","family":"Meyerson","given":"Joyce E.","non-dropping-particle":"","parse-names":false,"suffix":""},{"dropping-particle":"","family":"Mo","given":"Kingtse C.","non-dropping-particle":"","parse-names":false,"suffix":""},{"dropping-particle":"","family":"Neelin","given":"J. David","non-dropping-particle":"","parse-names":false,"suffix":""},{"dropping-particle":"","family":"Nigam","given":"Sumant","non-dropping-particle":"","parse-names":false,"suffix":""},{"dropping-particle":"","family":"Pan","given":"Zaitao","non-dropping-particle":"","parse-names":false,"suffix":""},{"dropping-particle":"","family":"Ren","given":"Tong","non-dropping-particle":"","parse-names":false,"suffix":""},{"dropping-particle":"","family":"Ruiz-Barradas","given":"Alfredo","non-dropping-particle":"","parse-names":false,"suffix":""},{"dropping-particle":"","family":"Serra","given":"Yolande L.","non-dropping-particle":"","parse-names":false,"suffix":""},{"dropping-particle":"","family":"Seth","given":"Anji","non-dropping-particle":"","parse-names":false,"suffix":""},{"dropping-particle":"","family":"Thibeault","given":"Jeanne M.","non-dropping-particle":"","parse-names":false,"suffix":""},{"dropping-particle":"","family":"Stroeve","given":"Julienne C.","non-dropping-particle":"","parse-names":false,"suffix":""},{"dropping-particle":"","family":"Yang","given":"Ze","non-dropping-particle":"","parse-names":false,"suffix":""},{"dropping-particle":"","family":"Yin","given":"Lei","non-dropping-particle":"","parse-names":false,"suffix":""}],"container-title":"Journal of Climate","id":"ITEM-1","issue":"23","issued":{"date-parts":[["2013"]]},"page":"9209-9245","title":"North American Climate in CMIP5 experiments. Part I: Evaluation of historical simulations of continental and regional climatology","type":"article-journal","volume":"26"},"uris":["http://www.mendeley.com/documents/?uuid=7347565e-461a-434d-97b3-f095960ab53d"]}],"mendeley":{"formattedCitation":"(Sheffield et al., 2013)","plainTextFormattedCitation":"(Sheffield et al., 2013)","previouslyFormattedCitation":"(Sheffield et al., 2013)"},"properties":{"noteIndex":0},"schema":"https://github.com/citation-style-language/schema/raw/master/csl-citation.json"}</w:instrText>
      </w:r>
      <w:r>
        <w:rPr>
          <w:rFonts w:cs="Times New Roman"/>
          <w:iCs/>
          <w:szCs w:val="24"/>
        </w:rPr>
        <w:fldChar w:fldCharType="separate"/>
      </w:r>
      <w:r w:rsidRPr="00804DD7">
        <w:rPr>
          <w:rFonts w:cs="Times New Roman"/>
          <w:iCs/>
          <w:noProof/>
          <w:szCs w:val="24"/>
        </w:rPr>
        <w:t>(Sheffield et al., 2013)</w:t>
      </w:r>
      <w:r>
        <w:rPr>
          <w:rFonts w:cs="Times New Roman"/>
          <w:iCs/>
          <w:szCs w:val="24"/>
        </w:rPr>
        <w:fldChar w:fldCharType="end"/>
      </w:r>
      <w:r>
        <w:rPr>
          <w:rFonts w:cs="Times New Roman"/>
          <w:iCs/>
          <w:szCs w:val="24"/>
        </w:rPr>
        <w:t>.</w:t>
      </w:r>
    </w:p>
    <w:p w14:paraId="53B937BF" w14:textId="77777777" w:rsidR="00AB7462" w:rsidRPr="00D1127A" w:rsidRDefault="00AB7462" w:rsidP="00AB7462">
      <w:pPr>
        <w:shd w:val="clear" w:color="auto" w:fill="FFFFFF"/>
        <w:spacing w:after="0" w:line="480" w:lineRule="auto"/>
        <w:contextualSpacing/>
        <w:rPr>
          <w:rFonts w:eastAsia="Times New Roman" w:cs="Times New Roman"/>
          <w:i/>
          <w:iCs/>
          <w:color w:val="222222"/>
          <w:szCs w:val="24"/>
        </w:rPr>
      </w:pPr>
      <w:r w:rsidRPr="00D1127A">
        <w:rPr>
          <w:rFonts w:eastAsia="Times New Roman" w:cs="Times New Roman"/>
          <w:i/>
          <w:iCs/>
          <w:color w:val="222222"/>
          <w:szCs w:val="24"/>
        </w:rPr>
        <w:t>Conclusions</w:t>
      </w:r>
    </w:p>
    <w:p w14:paraId="039C7AC0" w14:textId="77777777" w:rsidR="00AB7462" w:rsidRDefault="00AB7462" w:rsidP="00AB7462">
      <w:pPr>
        <w:shd w:val="clear" w:color="auto" w:fill="FFFFFF"/>
        <w:spacing w:after="0" w:line="480" w:lineRule="auto"/>
        <w:ind w:firstLine="720"/>
        <w:contextualSpacing/>
        <w:rPr>
          <w:rFonts w:eastAsia="Times New Roman" w:cs="Times New Roman"/>
          <w:color w:val="222222"/>
          <w:szCs w:val="24"/>
        </w:rPr>
      </w:pPr>
      <w:r>
        <w:rPr>
          <w:rFonts w:eastAsia="Times New Roman" w:cs="Times New Roman"/>
          <w:color w:val="222222"/>
          <w:szCs w:val="24"/>
        </w:rPr>
        <w:t xml:space="preserve">Climate change will impact ecosystems globally and these impacts are likely to resonate across ecosystem boundaries. Here we explored the potential consequences of climate change and showed that the total emergence of aquatic insect subsidies will vary geographically and alter the energy budgets of common insectivorous birds. We anticipate these results could have implications for the management of cross-ecosystem boundaries and conservation of declining bird populations. </w:t>
      </w:r>
    </w:p>
    <w:p w14:paraId="1D5F3963" w14:textId="77777777" w:rsidR="00C00D12" w:rsidRDefault="00C00D12" w:rsidP="00C00D12">
      <w:pPr>
        <w:shd w:val="clear" w:color="auto" w:fill="FFFFFF"/>
        <w:spacing w:after="0" w:line="480" w:lineRule="auto"/>
        <w:contextualSpacing/>
        <w:rPr>
          <w:rFonts w:eastAsia="Times New Roman" w:cstheme="majorBidi"/>
          <w:b/>
          <w:szCs w:val="26"/>
        </w:rPr>
      </w:pPr>
    </w:p>
    <w:p w14:paraId="244536A5" w14:textId="5DF1B951" w:rsidR="00C00D12" w:rsidRDefault="00C00D12" w:rsidP="00C00D12">
      <w:pPr>
        <w:shd w:val="clear" w:color="auto" w:fill="FFFFFF"/>
        <w:spacing w:after="0" w:line="480" w:lineRule="auto"/>
        <w:contextualSpacing/>
        <w:rPr>
          <w:rFonts w:eastAsia="Times New Roman" w:cs="Times New Roman"/>
          <w:b/>
          <w:bCs/>
          <w:color w:val="222222"/>
          <w:szCs w:val="24"/>
        </w:rPr>
      </w:pPr>
      <w:r w:rsidRPr="004A50C8">
        <w:rPr>
          <w:rFonts w:eastAsia="Times New Roman" w:cs="Times New Roman"/>
          <w:b/>
          <w:bCs/>
          <w:color w:val="222222"/>
          <w:szCs w:val="24"/>
        </w:rPr>
        <w:t>Acknowledgements</w:t>
      </w:r>
    </w:p>
    <w:p w14:paraId="0C7A71B2" w14:textId="11640E22" w:rsidR="00AB7462" w:rsidRPr="004F2051" w:rsidRDefault="00AB7462" w:rsidP="00AB7462">
      <w:pPr>
        <w:shd w:val="clear" w:color="auto" w:fill="FFFFFF"/>
        <w:spacing w:after="0" w:line="480" w:lineRule="auto"/>
        <w:contextualSpacing/>
        <w:rPr>
          <w:rFonts w:cs="Times New Roman"/>
          <w:szCs w:val="24"/>
        </w:rPr>
      </w:pPr>
      <w:r>
        <w:rPr>
          <w:rFonts w:eastAsia="Times New Roman" w:cs="Times New Roman"/>
          <w:color w:val="222222"/>
          <w:szCs w:val="24"/>
        </w:rPr>
        <w:t xml:space="preserve">We would like to thank </w:t>
      </w:r>
      <w:r w:rsidRPr="005A61A5">
        <w:rPr>
          <w:rFonts w:eastAsia="Times New Roman" w:cs="Times New Roman"/>
          <w:color w:val="222222"/>
          <w:szCs w:val="24"/>
        </w:rPr>
        <w:t xml:space="preserve">T. </w:t>
      </w:r>
      <w:proofErr w:type="spellStart"/>
      <w:r w:rsidRPr="005A61A5">
        <w:rPr>
          <w:rFonts w:eastAsia="Times New Roman" w:cs="Times New Roman"/>
          <w:color w:val="222222"/>
          <w:szCs w:val="24"/>
        </w:rPr>
        <w:t>Neeson</w:t>
      </w:r>
      <w:proofErr w:type="spellEnd"/>
      <w:r>
        <w:rPr>
          <w:rFonts w:eastAsia="Times New Roman" w:cs="Times New Roman"/>
          <w:color w:val="222222"/>
          <w:szCs w:val="24"/>
        </w:rPr>
        <w:t>,</w:t>
      </w:r>
      <w:r w:rsidRPr="005A61A5">
        <w:rPr>
          <w:rFonts w:eastAsia="Times New Roman" w:cs="Times New Roman"/>
          <w:color w:val="222222"/>
          <w:szCs w:val="24"/>
        </w:rPr>
        <w:t xml:space="preserve"> M. </w:t>
      </w:r>
      <w:proofErr w:type="spellStart"/>
      <w:r w:rsidRPr="005A61A5">
        <w:rPr>
          <w:rFonts w:eastAsia="Times New Roman" w:cs="Times New Roman"/>
          <w:color w:val="222222"/>
          <w:szCs w:val="24"/>
        </w:rPr>
        <w:t>Kaspari</w:t>
      </w:r>
      <w:proofErr w:type="spellEnd"/>
      <w:r w:rsidRPr="005A61A5">
        <w:rPr>
          <w:rFonts w:eastAsia="Times New Roman" w:cs="Times New Roman"/>
          <w:color w:val="222222"/>
          <w:szCs w:val="24"/>
        </w:rPr>
        <w:t>, and J. Wu</w:t>
      </w:r>
      <w:r>
        <w:rPr>
          <w:rFonts w:eastAsia="Times New Roman" w:cs="Times New Roman"/>
          <w:color w:val="222222"/>
          <w:szCs w:val="24"/>
        </w:rPr>
        <w:t xml:space="preserve"> for providing </w:t>
      </w:r>
      <w:r w:rsidRPr="005A61A5">
        <w:rPr>
          <w:rFonts w:eastAsia="Times New Roman" w:cs="Times New Roman"/>
          <w:color w:val="222222"/>
          <w:szCs w:val="24"/>
        </w:rPr>
        <w:t>helpful comments on earlier versions of this manuscript</w:t>
      </w:r>
      <w:r>
        <w:rPr>
          <w:rFonts w:eastAsia="Times New Roman" w:cs="Times New Roman"/>
          <w:color w:val="222222"/>
          <w:szCs w:val="24"/>
        </w:rPr>
        <w:t xml:space="preserve"> and</w:t>
      </w:r>
      <w:r w:rsidRPr="005A61A5">
        <w:rPr>
          <w:rFonts w:eastAsia="Times New Roman" w:cs="Times New Roman"/>
          <w:color w:val="222222"/>
          <w:szCs w:val="24"/>
        </w:rPr>
        <w:t xml:space="preserve"> C. Patrick and D. </w:t>
      </w:r>
      <w:proofErr w:type="spellStart"/>
      <w:r w:rsidRPr="005A61A5">
        <w:rPr>
          <w:rFonts w:eastAsia="Times New Roman" w:cs="Times New Roman"/>
          <w:color w:val="222222"/>
          <w:szCs w:val="24"/>
        </w:rPr>
        <w:t>McGarvey</w:t>
      </w:r>
      <w:proofErr w:type="spellEnd"/>
      <w:r>
        <w:rPr>
          <w:rFonts w:eastAsia="Times New Roman" w:cs="Times New Roman"/>
          <w:color w:val="222222"/>
          <w:szCs w:val="24"/>
        </w:rPr>
        <w:t xml:space="preserve"> for</w:t>
      </w:r>
      <w:r w:rsidRPr="005A61A5">
        <w:rPr>
          <w:rFonts w:eastAsia="Times New Roman" w:cs="Times New Roman"/>
          <w:color w:val="222222"/>
          <w:szCs w:val="24"/>
        </w:rPr>
        <w:t xml:space="preserve"> provid</w:t>
      </w:r>
      <w:r>
        <w:rPr>
          <w:rFonts w:eastAsia="Times New Roman" w:cs="Times New Roman"/>
          <w:color w:val="222222"/>
          <w:szCs w:val="24"/>
        </w:rPr>
        <w:t xml:space="preserve">ing annual community secondary production </w:t>
      </w:r>
      <w:r w:rsidRPr="005A61A5">
        <w:rPr>
          <w:rFonts w:eastAsia="Times New Roman" w:cs="Times New Roman"/>
          <w:color w:val="222222"/>
          <w:szCs w:val="24"/>
        </w:rPr>
        <w:t xml:space="preserve">data. </w:t>
      </w:r>
      <w:r>
        <w:rPr>
          <w:rFonts w:cs="Times New Roman"/>
          <w:szCs w:val="24"/>
        </w:rPr>
        <w:t>This research was supported by a grant from the National Science Foundation (1802872) and DA and JK were supported by additional NSF funding (1754389 and 1840230, respectively). AS was supported by an NSF NRT fellowship (NSF DGE 1545261). This research is part of a dissertation at the University of Oklahoma</w:t>
      </w:r>
      <w:r w:rsidRPr="006C3177">
        <w:rPr>
          <w:rFonts w:cs="Times New Roman"/>
          <w:szCs w:val="24"/>
        </w:rPr>
        <w:t xml:space="preserve">. DK, AS, JK, and </w:t>
      </w:r>
      <w:r w:rsidRPr="006C3177">
        <w:rPr>
          <w:rFonts w:cs="Times New Roman"/>
          <w:szCs w:val="24"/>
        </w:rPr>
        <w:lastRenderedPageBreak/>
        <w:t>DA developed the conceptual framework. DK and AS conducted the analysis. DK wrote the first draft of the manuscript. All contributed to subsequent revisions and editing.</w:t>
      </w:r>
      <w:r>
        <w:rPr>
          <w:rFonts w:cs="Times New Roman"/>
          <w:szCs w:val="24"/>
        </w:rPr>
        <w:t xml:space="preserve"> </w:t>
      </w:r>
    </w:p>
    <w:p w14:paraId="1B795BE8" w14:textId="77777777" w:rsidR="00333AA3" w:rsidRDefault="00333AA3" w:rsidP="00333AA3">
      <w:pPr>
        <w:rPr>
          <w:rFonts w:cs="Times New Roman"/>
          <w:b/>
          <w:szCs w:val="24"/>
        </w:rPr>
      </w:pPr>
    </w:p>
    <w:p w14:paraId="1467A7DC" w14:textId="6A4BEECA" w:rsidR="00AB7462" w:rsidRPr="005B41A5" w:rsidRDefault="00333AA3" w:rsidP="005B41A5">
      <w:pPr>
        <w:pStyle w:val="Heading2"/>
        <w:spacing w:line="480" w:lineRule="auto"/>
        <w:contextualSpacing/>
      </w:pPr>
      <w:bookmarkStart w:id="74" w:name="_Toc60841232"/>
      <w:r>
        <w:t>References</w:t>
      </w:r>
      <w:bookmarkEnd w:id="74"/>
      <w:r>
        <w:t xml:space="preserve"> </w:t>
      </w:r>
      <w:r w:rsidR="00F62C63">
        <w:rPr>
          <w:rFonts w:cs="Times New Roman"/>
          <w:bCs/>
          <w:szCs w:val="24"/>
        </w:rPr>
        <w:fldChar w:fldCharType="begin" w:fldLock="1"/>
      </w:r>
      <w:r w:rsidR="00F62C63">
        <w:rPr>
          <w:rFonts w:cs="Times New Roman"/>
          <w:bCs/>
          <w:szCs w:val="24"/>
        </w:rPr>
        <w:instrText xml:space="preserve">ADDIN Mendeley Bibliography CSL_BIBLIOGRAPHY </w:instrText>
      </w:r>
      <w:r w:rsidR="00F62C63">
        <w:rPr>
          <w:rFonts w:cs="Times New Roman"/>
          <w:bCs/>
          <w:szCs w:val="24"/>
        </w:rPr>
        <w:fldChar w:fldCharType="separate"/>
      </w:r>
    </w:p>
    <w:p w14:paraId="679F4D54"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Pr>
          <w:rFonts w:cs="Times New Roman"/>
          <w:bCs/>
          <w:szCs w:val="24"/>
        </w:rPr>
        <w:fldChar w:fldCharType="begin" w:fldLock="1"/>
      </w:r>
      <w:r>
        <w:rPr>
          <w:rFonts w:cs="Times New Roman"/>
          <w:bCs/>
          <w:szCs w:val="24"/>
        </w:rPr>
        <w:instrText xml:space="preserve">ADDIN Mendeley Bibliography CSL_BIBLIOGRAPHY </w:instrText>
      </w:r>
      <w:r>
        <w:rPr>
          <w:rFonts w:cs="Times New Roman"/>
          <w:bCs/>
          <w:szCs w:val="24"/>
        </w:rPr>
        <w:fldChar w:fldCharType="separate"/>
      </w:r>
      <w:r w:rsidRPr="008953FE">
        <w:rPr>
          <w:rFonts w:cs="Times New Roman"/>
          <w:noProof/>
          <w:szCs w:val="24"/>
        </w:rPr>
        <w:t xml:space="preserve">Allen, D. C., and Wesner, J. (2016). Synthesis: comparing effects of resource and consumer fluxes into recipient food webs using meta-analysis. </w:t>
      </w:r>
      <w:r w:rsidRPr="008953FE">
        <w:rPr>
          <w:rFonts w:cs="Times New Roman"/>
          <w:i/>
          <w:iCs/>
          <w:noProof/>
          <w:szCs w:val="24"/>
        </w:rPr>
        <w:t>Ecology</w:t>
      </w:r>
      <w:r w:rsidRPr="008953FE">
        <w:rPr>
          <w:rFonts w:cs="Times New Roman"/>
          <w:noProof/>
          <w:szCs w:val="24"/>
        </w:rPr>
        <w:t xml:space="preserve"> 97, 594–604. doi:10.1890/07-1861.1.</w:t>
      </w:r>
    </w:p>
    <w:p w14:paraId="6566885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Allen, G. H., and Pavelsky, T. M. (2015). Patterns of river width and surface area revealed by the satellite-derived North American River Width data set. </w:t>
      </w:r>
      <w:r w:rsidRPr="008953FE">
        <w:rPr>
          <w:rFonts w:cs="Times New Roman"/>
          <w:i/>
          <w:iCs/>
          <w:noProof/>
          <w:szCs w:val="24"/>
        </w:rPr>
        <w:t>Geophys. Res. Lett.</w:t>
      </w:r>
      <w:r w:rsidRPr="008953FE">
        <w:rPr>
          <w:rFonts w:cs="Times New Roman"/>
          <w:noProof/>
          <w:szCs w:val="24"/>
        </w:rPr>
        <w:t xml:space="preserve"> 42, 395–402. doi:10.1002/2014GL062764.</w:t>
      </w:r>
    </w:p>
    <w:p w14:paraId="298AA431"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Allen, G. H., Pavelsky, T. M., Barefoot, E. A., Lamb, M. P., Butman, D., Tashie, A., et al. (2018). Similarity of stream width distributions across headwater systems. </w:t>
      </w:r>
      <w:r w:rsidRPr="008953FE">
        <w:rPr>
          <w:rFonts w:cs="Times New Roman"/>
          <w:i/>
          <w:iCs/>
          <w:noProof/>
          <w:szCs w:val="24"/>
        </w:rPr>
        <w:t>Nat. Commun.</w:t>
      </w:r>
      <w:r w:rsidRPr="008953FE">
        <w:rPr>
          <w:rFonts w:cs="Times New Roman"/>
          <w:noProof/>
          <w:szCs w:val="24"/>
        </w:rPr>
        <w:t xml:space="preserve"> 9, 610. doi:10.1038/s41467-018-02991-w.</w:t>
      </w:r>
    </w:p>
    <w:p w14:paraId="46C9B30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Araújo, M. B., and Peterson, A. T. (2012). Uses and misuses of bioclimatic envelope modeling. </w:t>
      </w:r>
      <w:r w:rsidRPr="008953FE">
        <w:rPr>
          <w:rFonts w:cs="Times New Roman"/>
          <w:i/>
          <w:iCs/>
          <w:noProof/>
          <w:szCs w:val="24"/>
        </w:rPr>
        <w:t>Ecology</w:t>
      </w:r>
      <w:r w:rsidRPr="008953FE">
        <w:rPr>
          <w:rFonts w:cs="Times New Roman"/>
          <w:noProof/>
          <w:szCs w:val="24"/>
        </w:rPr>
        <w:t xml:space="preserve"> 93, 1527–1539. doi:10.1890/11-1930.1.</w:t>
      </w:r>
    </w:p>
    <w:p w14:paraId="42E71653"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Bartrons, M., Papeş, M., Diebel, M. W., Gratton, C., and Vander Zanden, M. J. (2013). Regional-Level Inputs of Emergent Aquatic Insects from Water to Land. </w:t>
      </w:r>
      <w:r w:rsidRPr="008953FE">
        <w:rPr>
          <w:rFonts w:cs="Times New Roman"/>
          <w:i/>
          <w:iCs/>
          <w:noProof/>
          <w:szCs w:val="24"/>
        </w:rPr>
        <w:t>Ecosystems</w:t>
      </w:r>
      <w:r w:rsidRPr="008953FE">
        <w:rPr>
          <w:rFonts w:cs="Times New Roman"/>
          <w:noProof/>
          <w:szCs w:val="24"/>
        </w:rPr>
        <w:t xml:space="preserve"> 16, 1353–1363. doi:10.1007/s10021-013-9688-6.</w:t>
      </w:r>
    </w:p>
    <w:p w14:paraId="365039C2"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Baxter, C. V., Fausch, K. D., and Saunders, W. C. (2005). Tangled webs: Reciprocal flows of invertebrate prey link streams and riparian zones. </w:t>
      </w:r>
      <w:r w:rsidRPr="008953FE">
        <w:rPr>
          <w:rFonts w:cs="Times New Roman"/>
          <w:i/>
          <w:iCs/>
          <w:noProof/>
          <w:szCs w:val="24"/>
        </w:rPr>
        <w:t>Freshw. Biol.</w:t>
      </w:r>
      <w:r w:rsidRPr="008953FE">
        <w:rPr>
          <w:rFonts w:cs="Times New Roman"/>
          <w:noProof/>
          <w:szCs w:val="24"/>
        </w:rPr>
        <w:t xml:space="preserve"> 50, 201–220. doi:10.1111/j.1365-2427.2004.01328.x.</w:t>
      </w:r>
    </w:p>
    <w:p w14:paraId="3EC4858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Benstead, J. P., and Leigh, D. S. (2012). An expanded role for river networks. </w:t>
      </w:r>
      <w:r w:rsidRPr="008953FE">
        <w:rPr>
          <w:rFonts w:cs="Times New Roman"/>
          <w:i/>
          <w:iCs/>
          <w:noProof/>
          <w:szCs w:val="24"/>
        </w:rPr>
        <w:t>Nat. Geosci.</w:t>
      </w:r>
      <w:r w:rsidRPr="008953FE">
        <w:rPr>
          <w:rFonts w:cs="Times New Roman"/>
          <w:noProof/>
          <w:szCs w:val="24"/>
        </w:rPr>
        <w:t xml:space="preserve"> 5, </w:t>
      </w:r>
      <w:r w:rsidRPr="008953FE">
        <w:rPr>
          <w:rFonts w:cs="Times New Roman"/>
          <w:noProof/>
          <w:szCs w:val="24"/>
        </w:rPr>
        <w:lastRenderedPageBreak/>
        <w:t>678–679. doi:10.1038/ngeo1593.</w:t>
      </w:r>
    </w:p>
    <w:p w14:paraId="1443021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Breiman, L. (2001). Random forests. </w:t>
      </w:r>
      <w:r w:rsidRPr="008953FE">
        <w:rPr>
          <w:rFonts w:cs="Times New Roman"/>
          <w:i/>
          <w:iCs/>
          <w:noProof/>
          <w:szCs w:val="24"/>
        </w:rPr>
        <w:t>Mach. Learn.</w:t>
      </w:r>
      <w:r w:rsidRPr="008953FE">
        <w:rPr>
          <w:rFonts w:cs="Times New Roman"/>
          <w:noProof/>
          <w:szCs w:val="24"/>
        </w:rPr>
        <w:t xml:space="preserve"> 45, 5–32. doi:10.1007/978-3-662-56776-0_10.</w:t>
      </w:r>
    </w:p>
    <w:p w14:paraId="69B38D09"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Brieuc, M. S. O., Waters, C. D., Drinan, D. P., and Naish, K. A. (2018). A practical introduction to Random Forest for genetic association studies in ecology and evolution. </w:t>
      </w:r>
      <w:r w:rsidRPr="008953FE">
        <w:rPr>
          <w:rFonts w:cs="Times New Roman"/>
          <w:i/>
          <w:iCs/>
          <w:noProof/>
          <w:szCs w:val="24"/>
        </w:rPr>
        <w:t>Mol. Ecol. Resour.</w:t>
      </w:r>
      <w:r w:rsidRPr="008953FE">
        <w:rPr>
          <w:rFonts w:cs="Times New Roman"/>
          <w:noProof/>
          <w:szCs w:val="24"/>
        </w:rPr>
        <w:t xml:space="preserve"> 18, 755–766. doi:10.1111/1755-0998.12773.</w:t>
      </w:r>
    </w:p>
    <w:p w14:paraId="28366EF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Bultman, H., Hoekman, D., Dreyer, J., and Gratton, C. (2014). Terrestrial deposition of aquatic insects increases plant quality for insect herbivores and herbivore density. </w:t>
      </w:r>
      <w:r w:rsidRPr="008953FE">
        <w:rPr>
          <w:rFonts w:cs="Times New Roman"/>
          <w:i/>
          <w:iCs/>
          <w:noProof/>
          <w:szCs w:val="24"/>
        </w:rPr>
        <w:t>Ecol. Entomol.</w:t>
      </w:r>
      <w:r w:rsidRPr="008953FE">
        <w:rPr>
          <w:rFonts w:cs="Times New Roman"/>
          <w:noProof/>
          <w:szCs w:val="24"/>
        </w:rPr>
        <w:t xml:space="preserve"> 39, 419–426. doi:10.1111/een.12118.</w:t>
      </w:r>
    </w:p>
    <w:p w14:paraId="4B4B7AEE"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Bürkner, P. C. (2017). brms: An R package for Bayesian multilevel models using Stan. </w:t>
      </w:r>
      <w:r w:rsidRPr="008953FE">
        <w:rPr>
          <w:rFonts w:cs="Times New Roman"/>
          <w:i/>
          <w:iCs/>
          <w:noProof/>
          <w:szCs w:val="24"/>
        </w:rPr>
        <w:t>J. Stat. Softw.</w:t>
      </w:r>
      <w:r w:rsidRPr="008953FE">
        <w:rPr>
          <w:rFonts w:cs="Times New Roman"/>
          <w:noProof/>
          <w:szCs w:val="24"/>
        </w:rPr>
        <w:t xml:space="preserve"> 80, 1–28. doi:10.18637/jss.v080.i01.</w:t>
      </w:r>
    </w:p>
    <w:p w14:paraId="29B7D2B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Collins, W. J., Bellouin, N., Doutriaux-Boucher, M., Gedney, N., Halloran, P., Hinton, T., et al. (2011). Development and evaluation of an Earth-System model - HadGEM2. </w:t>
      </w:r>
      <w:r w:rsidRPr="008953FE">
        <w:rPr>
          <w:rFonts w:cs="Times New Roman"/>
          <w:i/>
          <w:iCs/>
          <w:noProof/>
          <w:szCs w:val="24"/>
        </w:rPr>
        <w:t>Geosci. Model Dev.</w:t>
      </w:r>
      <w:r w:rsidRPr="008953FE">
        <w:rPr>
          <w:rFonts w:cs="Times New Roman"/>
          <w:noProof/>
          <w:szCs w:val="24"/>
        </w:rPr>
        <w:t xml:space="preserve"> 4, 1051–1075. doi:10.5194/gmd-4-1051-2011.</w:t>
      </w:r>
    </w:p>
    <w:p w14:paraId="0C1B1FDB"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Demars, B., Manson, R., Ólafsson, J., Gíslason, G., Gudmundsdóttir, R., Woodward, G., et al. (2011). Temperature and the metabolic balance of streams. </w:t>
      </w:r>
      <w:r w:rsidRPr="008953FE">
        <w:rPr>
          <w:rFonts w:cs="Times New Roman"/>
          <w:i/>
          <w:iCs/>
          <w:noProof/>
          <w:szCs w:val="24"/>
        </w:rPr>
        <w:t>Freshw. Biol.</w:t>
      </w:r>
      <w:r w:rsidRPr="008953FE">
        <w:rPr>
          <w:rFonts w:cs="Times New Roman"/>
          <w:noProof/>
          <w:szCs w:val="24"/>
        </w:rPr>
        <w:t xml:space="preserve"> 56, 1106–1121. doi:10.1111/j.1365-2427.2010.02554.x.</w:t>
      </w:r>
    </w:p>
    <w:p w14:paraId="07A1CD9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Dreyer, J., Townsend, P. A., Hook, J. C., Hoekman, D., Vander Zanden, M. J., and Gratton, C. (2015). Quantifying aquatic insect deposition from lake to land. </w:t>
      </w:r>
      <w:r w:rsidRPr="008953FE">
        <w:rPr>
          <w:rFonts w:cs="Times New Roman"/>
          <w:i/>
          <w:iCs/>
          <w:noProof/>
          <w:szCs w:val="24"/>
        </w:rPr>
        <w:t>Ecology</w:t>
      </w:r>
      <w:r w:rsidRPr="008953FE">
        <w:rPr>
          <w:rFonts w:cs="Times New Roman"/>
          <w:noProof/>
          <w:szCs w:val="24"/>
        </w:rPr>
        <w:t xml:space="preserve"> 96, 499–509. doi:10.1890/14-0704.1.</w:t>
      </w:r>
    </w:p>
    <w:p w14:paraId="6558895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Dunning, J. B. ed. (2008). </w:t>
      </w:r>
      <w:r w:rsidRPr="008953FE">
        <w:rPr>
          <w:rFonts w:cs="Times New Roman"/>
          <w:i/>
          <w:iCs/>
          <w:noProof/>
          <w:szCs w:val="24"/>
        </w:rPr>
        <w:t>CRC Handbook of Avian Body Masses</w:t>
      </w:r>
      <w:r w:rsidRPr="008953FE">
        <w:rPr>
          <w:rFonts w:cs="Times New Roman"/>
          <w:noProof/>
          <w:szCs w:val="24"/>
        </w:rPr>
        <w:t>. CRC Press.</w:t>
      </w:r>
    </w:p>
    <w:p w14:paraId="109ADCDA"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lastRenderedPageBreak/>
        <w:t xml:space="preserve">Epanchin, P., Knapp, R., and Lawler, S. (2010). Nonnative trout impact an alpine-nesting bird by altering aquatic-insect subsidies. </w:t>
      </w:r>
      <w:r w:rsidRPr="008953FE">
        <w:rPr>
          <w:rFonts w:cs="Times New Roman"/>
          <w:i/>
          <w:iCs/>
          <w:noProof/>
          <w:szCs w:val="24"/>
        </w:rPr>
        <w:t>Ecology</w:t>
      </w:r>
      <w:r w:rsidRPr="008953FE">
        <w:rPr>
          <w:rFonts w:cs="Times New Roman"/>
          <w:noProof/>
          <w:szCs w:val="24"/>
        </w:rPr>
        <w:t xml:space="preserve"> 91, 2406–2415.</w:t>
      </w:r>
    </w:p>
    <w:p w14:paraId="20175AC8"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Faustini, J. M., Kaufmann, P. R., and Herlihy, A. T. (2009). Downstream variation in bankfull width of wadeable streams across the conterminous United States. </w:t>
      </w:r>
      <w:r w:rsidRPr="008953FE">
        <w:rPr>
          <w:rFonts w:cs="Times New Roman"/>
          <w:i/>
          <w:iCs/>
          <w:noProof/>
          <w:szCs w:val="24"/>
        </w:rPr>
        <w:t>Geomorphology</w:t>
      </w:r>
      <w:r w:rsidRPr="008953FE">
        <w:rPr>
          <w:rFonts w:cs="Times New Roman"/>
          <w:noProof/>
          <w:szCs w:val="24"/>
        </w:rPr>
        <w:t xml:space="preserve"> 108, 292–311. doi:10.1016/j.geomorph.2009.02.005.</w:t>
      </w:r>
    </w:p>
    <w:p w14:paraId="3B027E5A"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Fink, D., Auer, T., Johnston, A., Ruiz-Gutierrez, V., Hochachka, W. M., and Kelling, S. (2020a). Modeling avian full annual cycle distribution and population trends with citizen science data. </w:t>
      </w:r>
      <w:r w:rsidRPr="008953FE">
        <w:rPr>
          <w:rFonts w:cs="Times New Roman"/>
          <w:i/>
          <w:iCs/>
          <w:noProof/>
          <w:szCs w:val="24"/>
        </w:rPr>
        <w:t>Ecol. Appl.</w:t>
      </w:r>
      <w:r w:rsidRPr="008953FE">
        <w:rPr>
          <w:rFonts w:cs="Times New Roman"/>
          <w:noProof/>
          <w:szCs w:val="24"/>
        </w:rPr>
        <w:t xml:space="preserve"> 30, 1–16. doi:10.1002/eap.2056.</w:t>
      </w:r>
    </w:p>
    <w:p w14:paraId="69B61869"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Fink, D., Auer, T., Johnston, A., Strimas-Mackey, M., Robinson, O., Ligocki, S., et al. (2020b). eBird Status and Trends, Data Version: 2018; Released: 2020. Available at: https://doi.org/10.2173/ebirdst.2018.</w:t>
      </w:r>
    </w:p>
    <w:p w14:paraId="09D36C8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Fox, E. W., Hill, R. A., Leibowitz, S. G., Olsen, A. R., Thornbrugh, D. J., and Weber, M. H. (2017). Assessing the accuracy and stability of variable selection methods for random forest modeling in ecology. </w:t>
      </w:r>
      <w:r w:rsidRPr="008953FE">
        <w:rPr>
          <w:rFonts w:cs="Times New Roman"/>
          <w:i/>
          <w:iCs/>
          <w:noProof/>
          <w:szCs w:val="24"/>
        </w:rPr>
        <w:t>Environ. Monit. Assess.</w:t>
      </w:r>
      <w:r w:rsidRPr="008953FE">
        <w:rPr>
          <w:rFonts w:cs="Times New Roman"/>
          <w:noProof/>
          <w:szCs w:val="24"/>
        </w:rPr>
        <w:t xml:space="preserve"> 189, 316. doi:10.1007/s10661-017-6025-0.</w:t>
      </w:r>
    </w:p>
    <w:p w14:paraId="0EF8597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Gill, K. C., Fovargue, R. E., and Neeson, T. M. (2020). Hotspots of species loss do not vary across future climate scenarios in a drought-prone river basin. </w:t>
      </w:r>
      <w:r w:rsidRPr="008953FE">
        <w:rPr>
          <w:rFonts w:cs="Times New Roman"/>
          <w:i/>
          <w:iCs/>
          <w:noProof/>
          <w:szCs w:val="24"/>
        </w:rPr>
        <w:t>Ecol. Evol.</w:t>
      </w:r>
      <w:r w:rsidRPr="008953FE">
        <w:rPr>
          <w:rFonts w:cs="Times New Roman"/>
          <w:noProof/>
          <w:szCs w:val="24"/>
        </w:rPr>
        <w:t xml:space="preserve"> 10, 9200–9213. doi:10.1002/ece3.6597.</w:t>
      </w:r>
    </w:p>
    <w:p w14:paraId="688C971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Gounand, I., Little, C. J., Harvey, E., and Altermatt, F. (2018). Cross-ecosystem carbon flows connecting ecosystems worldwide. </w:t>
      </w:r>
      <w:r w:rsidRPr="008953FE">
        <w:rPr>
          <w:rFonts w:cs="Times New Roman"/>
          <w:i/>
          <w:iCs/>
          <w:noProof/>
          <w:szCs w:val="24"/>
        </w:rPr>
        <w:t>Nat. Commun.</w:t>
      </w:r>
      <w:r w:rsidRPr="008953FE">
        <w:rPr>
          <w:rFonts w:cs="Times New Roman"/>
          <w:noProof/>
          <w:szCs w:val="24"/>
        </w:rPr>
        <w:t xml:space="preserve"> 9, 4825. doi:10.1038/s41467-018-07238-2.</w:t>
      </w:r>
    </w:p>
    <w:p w14:paraId="748E743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Gratton, C., and Vander Zanden, M. J. (2009). Flux of aquatic insect productivity to land: </w:t>
      </w:r>
      <w:r w:rsidRPr="008953FE">
        <w:rPr>
          <w:rFonts w:cs="Times New Roman"/>
          <w:noProof/>
          <w:szCs w:val="24"/>
        </w:rPr>
        <w:lastRenderedPageBreak/>
        <w:t xml:space="preserve">comparison of lentic and lotic ecosystems. </w:t>
      </w:r>
      <w:r w:rsidRPr="008953FE">
        <w:rPr>
          <w:rFonts w:cs="Times New Roman"/>
          <w:i/>
          <w:iCs/>
          <w:noProof/>
          <w:szCs w:val="24"/>
        </w:rPr>
        <w:t>Ecology</w:t>
      </w:r>
      <w:r w:rsidRPr="008953FE">
        <w:rPr>
          <w:rFonts w:cs="Times New Roman"/>
          <w:noProof/>
          <w:szCs w:val="24"/>
        </w:rPr>
        <w:t xml:space="preserve"> 90, 2689–2699.</w:t>
      </w:r>
    </w:p>
    <w:p w14:paraId="180E9BFC"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Gray, L. J. (1993). Response of insectivorous birds to emerging aquatic insects in riparian habitats of a tallgrass prairie stream. </w:t>
      </w:r>
      <w:r w:rsidRPr="008953FE">
        <w:rPr>
          <w:rFonts w:cs="Times New Roman"/>
          <w:i/>
          <w:iCs/>
          <w:noProof/>
          <w:szCs w:val="24"/>
        </w:rPr>
        <w:t>Am. Midl. Nat.</w:t>
      </w:r>
      <w:r w:rsidRPr="008953FE">
        <w:rPr>
          <w:rFonts w:cs="Times New Roman"/>
          <w:noProof/>
          <w:szCs w:val="24"/>
        </w:rPr>
        <w:t xml:space="preserve"> 129, 288–300.</w:t>
      </w:r>
    </w:p>
    <w:p w14:paraId="0382D93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Greig, H. S., Kratina, P., Thompson, P. L., and Palen, W. J. (2012). Warming, eutrophication, and predator loss amplify subsidies between aquatic and terrestrial ecosystems. </w:t>
      </w:r>
      <w:r w:rsidRPr="008953FE">
        <w:rPr>
          <w:rFonts w:cs="Times New Roman"/>
          <w:i/>
          <w:iCs/>
          <w:noProof/>
          <w:szCs w:val="24"/>
        </w:rPr>
        <w:t>Glob. Chang. Biol.</w:t>
      </w:r>
      <w:r w:rsidRPr="008953FE">
        <w:rPr>
          <w:rFonts w:cs="Times New Roman"/>
          <w:noProof/>
          <w:szCs w:val="24"/>
        </w:rPr>
        <w:t xml:space="preserve"> 18, 504–514. doi:10.1111/j.1365-2486.2011.02540.x.</w:t>
      </w:r>
    </w:p>
    <w:p w14:paraId="4DD384BE"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Hannah, L. (2015). “Front Matter,” in </w:t>
      </w:r>
      <w:r w:rsidRPr="008953FE">
        <w:rPr>
          <w:rFonts w:cs="Times New Roman"/>
          <w:i/>
          <w:iCs/>
          <w:noProof/>
          <w:szCs w:val="24"/>
        </w:rPr>
        <w:t>Climate Change Biology</w:t>
      </w:r>
      <w:r w:rsidRPr="008953FE">
        <w:rPr>
          <w:rFonts w:cs="Times New Roman"/>
          <w:noProof/>
          <w:szCs w:val="24"/>
        </w:rPr>
        <w:t xml:space="preserve"> (Elsevier), iii. doi:10.1016/B978-0-12-420218-4.01001-5.</w:t>
      </w:r>
    </w:p>
    <w:p w14:paraId="46985998"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Hijmans, R. J. (2017). raster: Geographic Data Analysis and Modeling. R package version 2.6-7. Available at: https://cran.r-project.org/package=raster.</w:t>
      </w:r>
    </w:p>
    <w:p w14:paraId="5DB1FDA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Hijmans, R. J., Cameron, S. E., Parra, J. L., Jones, P. G., and Jarvis, A. (2005). Very high resolution interpolated climate surfaces for global land areas. </w:t>
      </w:r>
      <w:r w:rsidRPr="008953FE">
        <w:rPr>
          <w:rFonts w:cs="Times New Roman"/>
          <w:i/>
          <w:iCs/>
          <w:noProof/>
          <w:szCs w:val="24"/>
        </w:rPr>
        <w:t>Int. J. Climatol.</w:t>
      </w:r>
      <w:r w:rsidRPr="008953FE">
        <w:rPr>
          <w:rFonts w:cs="Times New Roman"/>
          <w:noProof/>
          <w:szCs w:val="24"/>
        </w:rPr>
        <w:t xml:space="preserve"> 25, 1965–1978. doi:10.1002/joc.1276.</w:t>
      </w:r>
    </w:p>
    <w:p w14:paraId="105BC21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Hill, R. A., Fox, E. W., Leibowitz, S. G., Olsen, A. R., Thornbrugh, D. J., and Weber, M. H. (2017). Predictive mapping of the biotic condition of conterminous U.S. rivers and streams. </w:t>
      </w:r>
      <w:r w:rsidRPr="008953FE">
        <w:rPr>
          <w:rFonts w:cs="Times New Roman"/>
          <w:i/>
          <w:iCs/>
          <w:noProof/>
          <w:szCs w:val="24"/>
        </w:rPr>
        <w:t>Ecol. Appl.</w:t>
      </w:r>
      <w:r w:rsidRPr="008953FE">
        <w:rPr>
          <w:rFonts w:cs="Times New Roman"/>
          <w:noProof/>
          <w:szCs w:val="24"/>
        </w:rPr>
        <w:t xml:space="preserve"> 27, 2397–2415. doi:10.1002/eap.1617.</w:t>
      </w:r>
    </w:p>
    <w:p w14:paraId="2B30989C"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Huryn, A. D., and Wallace, J. B. (2000). Life History and Production of Stream Insects. </w:t>
      </w:r>
      <w:r w:rsidRPr="008953FE">
        <w:rPr>
          <w:rFonts w:cs="Times New Roman"/>
          <w:i/>
          <w:iCs/>
          <w:noProof/>
          <w:szCs w:val="24"/>
        </w:rPr>
        <w:t>Annu. Rev. Entomol.</w:t>
      </w:r>
      <w:r w:rsidRPr="008953FE">
        <w:rPr>
          <w:rFonts w:cs="Times New Roman"/>
          <w:noProof/>
          <w:szCs w:val="24"/>
        </w:rPr>
        <w:t xml:space="preserve"> 45, 83–110. doi:10.1146/annurev.ento.45.1.83.</w:t>
      </w:r>
    </w:p>
    <w:p w14:paraId="025B666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IPCC (2014). Climate Change 2014: Synthesis Report. Contribution of Working Groups I, II, III to the 5th Assessment Report of the Intergovernmental Panel on Climate Change.</w:t>
      </w:r>
    </w:p>
    <w:p w14:paraId="07733237"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Jackson, J. K., and Fisher, S. G. (1986). Secondary production, emergence, and export of aquatic </w:t>
      </w:r>
      <w:r w:rsidRPr="008953FE">
        <w:rPr>
          <w:rFonts w:cs="Times New Roman"/>
          <w:noProof/>
          <w:szCs w:val="24"/>
        </w:rPr>
        <w:lastRenderedPageBreak/>
        <w:t xml:space="preserve">insects of a sonoran desert stream. </w:t>
      </w:r>
      <w:r w:rsidRPr="008953FE">
        <w:rPr>
          <w:rFonts w:cs="Times New Roman"/>
          <w:i/>
          <w:iCs/>
          <w:noProof/>
          <w:szCs w:val="24"/>
        </w:rPr>
        <w:t>Ecology</w:t>
      </w:r>
      <w:r w:rsidRPr="008953FE">
        <w:rPr>
          <w:rFonts w:cs="Times New Roman"/>
          <w:noProof/>
          <w:szCs w:val="24"/>
        </w:rPr>
        <w:t xml:space="preserve"> 67, 629–638.</w:t>
      </w:r>
    </w:p>
    <w:p w14:paraId="695A2A71"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Johnston, A., Auer, T., Fink, D., Strimas-Mackey, M., Iliff, M., Rosenberg, K. V., et al. (2020). Comparing abundance distributions and range maps in spatial conservation planning for migratory species. </w:t>
      </w:r>
      <w:r w:rsidRPr="008953FE">
        <w:rPr>
          <w:rFonts w:cs="Times New Roman"/>
          <w:i/>
          <w:iCs/>
          <w:noProof/>
          <w:szCs w:val="24"/>
        </w:rPr>
        <w:t>Ecol. Appl.</w:t>
      </w:r>
      <w:r w:rsidRPr="008953FE">
        <w:rPr>
          <w:rFonts w:cs="Times New Roman"/>
          <w:noProof/>
          <w:szCs w:val="24"/>
        </w:rPr>
        <w:t xml:space="preserve"> 30, 1–13. doi:10.1002/eap.2058.</w:t>
      </w:r>
    </w:p>
    <w:p w14:paraId="431B264E"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Jones, C. D., Hughes, J. K., Bellouin, N., Hardiman, S. C., Jones, G. S., Knight, J., et al. (2011). The HadGEM2-ES implementation of CMIP5 centennial simulations. </w:t>
      </w:r>
      <w:r w:rsidRPr="008953FE">
        <w:rPr>
          <w:rFonts w:cs="Times New Roman"/>
          <w:i/>
          <w:iCs/>
          <w:noProof/>
          <w:szCs w:val="24"/>
        </w:rPr>
        <w:t>Geosci. Model Dev.</w:t>
      </w:r>
      <w:r w:rsidRPr="008953FE">
        <w:rPr>
          <w:rFonts w:cs="Times New Roman"/>
          <w:noProof/>
          <w:szCs w:val="24"/>
        </w:rPr>
        <w:t xml:space="preserve"> 4, 543–570. doi:10.5194/gmd-4-543-2011.</w:t>
      </w:r>
    </w:p>
    <w:p w14:paraId="03995329"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Kendrick, M. R., Hershey, A. E., and Huryn, A. D. (2019). Disturbance, nutrients, and antecedent flow conditions affect macroinvertebrate community structure and productivity in an Arctic river. </w:t>
      </w:r>
      <w:r w:rsidRPr="008953FE">
        <w:rPr>
          <w:rFonts w:cs="Times New Roman"/>
          <w:i/>
          <w:iCs/>
          <w:noProof/>
          <w:szCs w:val="24"/>
        </w:rPr>
        <w:t>Limnol. Oceanogr.</w:t>
      </w:r>
      <w:r w:rsidRPr="008953FE">
        <w:rPr>
          <w:rFonts w:cs="Times New Roman"/>
          <w:noProof/>
          <w:szCs w:val="24"/>
        </w:rPr>
        <w:t xml:space="preserve"> 64, S93–S104. doi:10.1002/lno.10942.</w:t>
      </w:r>
    </w:p>
    <w:p w14:paraId="2C17F0B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Konapala, G., Mishra, A., Wada, Y., and Mann, M. E. (2020). Climate change will affect global water availability through compounding changes in seasonal precipitation and evaporation. </w:t>
      </w:r>
      <w:r w:rsidRPr="008953FE">
        <w:rPr>
          <w:rFonts w:cs="Times New Roman"/>
          <w:i/>
          <w:iCs/>
          <w:noProof/>
          <w:szCs w:val="24"/>
        </w:rPr>
        <w:t>Nat. Commun.</w:t>
      </w:r>
      <w:r w:rsidRPr="008953FE">
        <w:rPr>
          <w:rFonts w:cs="Times New Roman"/>
          <w:noProof/>
          <w:szCs w:val="24"/>
        </w:rPr>
        <w:t>, 1–10. doi:10.1038/s41467-020-16757-w.</w:t>
      </w:r>
    </w:p>
    <w:p w14:paraId="2D794A88"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Lafage, D., Bergman, E., Eckstein, R. L., Österling, E. M., Sadler, J. P., and Piccolo, J. J. (2019). Local and landscape drivers of aquatic-to-terrestrial subsidies in riparian ecosystems: a worldwide meta-analysis. </w:t>
      </w:r>
      <w:r w:rsidRPr="008953FE">
        <w:rPr>
          <w:rFonts w:cs="Times New Roman"/>
          <w:i/>
          <w:iCs/>
          <w:noProof/>
          <w:szCs w:val="24"/>
        </w:rPr>
        <w:t>Ecosphere</w:t>
      </w:r>
      <w:r w:rsidRPr="008953FE">
        <w:rPr>
          <w:rFonts w:cs="Times New Roman"/>
          <w:noProof/>
          <w:szCs w:val="24"/>
        </w:rPr>
        <w:t xml:space="preserve"> 10, e02697. doi:10.1002/ecs2.2697.</w:t>
      </w:r>
    </w:p>
    <w:p w14:paraId="212D1EE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Larsen, S., Muehlbauer, J. D., and Marti, E. (2016). Resource subsidies between stream and terrestrial ecosystems under global change. </w:t>
      </w:r>
      <w:r w:rsidRPr="008953FE">
        <w:rPr>
          <w:rFonts w:cs="Times New Roman"/>
          <w:i/>
          <w:iCs/>
          <w:noProof/>
          <w:szCs w:val="24"/>
        </w:rPr>
        <w:t>Glob. Chang. Biol.</w:t>
      </w:r>
      <w:r w:rsidRPr="008953FE">
        <w:rPr>
          <w:rFonts w:cs="Times New Roman"/>
          <w:noProof/>
          <w:szCs w:val="24"/>
        </w:rPr>
        <w:t xml:space="preserve"> 22, 2489–2504. doi:10.1111/gcb.13182.</w:t>
      </w:r>
    </w:p>
    <w:p w14:paraId="5B0708B6"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Liaw, A., and Wiener, M. (2002). Classification and Regression by randomForest. </w:t>
      </w:r>
      <w:r w:rsidRPr="008953FE">
        <w:rPr>
          <w:rFonts w:cs="Times New Roman"/>
          <w:i/>
          <w:iCs/>
          <w:noProof/>
          <w:szCs w:val="24"/>
        </w:rPr>
        <w:t>R News</w:t>
      </w:r>
      <w:r w:rsidRPr="008953FE">
        <w:rPr>
          <w:rFonts w:cs="Times New Roman"/>
          <w:noProof/>
          <w:szCs w:val="24"/>
        </w:rPr>
        <w:t xml:space="preserve"> 2, 18–22. Available at: https://cran.r-project.org/doc/Rnews/.</w:t>
      </w:r>
    </w:p>
    <w:p w14:paraId="37E61FE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lastRenderedPageBreak/>
        <w:t xml:space="preserve">Loreau, M., Mouquet, N., and Holt, R. D. (2003). Meta-ecosystems: a theoretical framework for a spatial ecosystem ecology. </w:t>
      </w:r>
      <w:r w:rsidRPr="008953FE">
        <w:rPr>
          <w:rFonts w:cs="Times New Roman"/>
          <w:i/>
          <w:iCs/>
          <w:noProof/>
          <w:szCs w:val="24"/>
        </w:rPr>
        <w:t>Ecol. Lett.</w:t>
      </w:r>
      <w:r w:rsidRPr="008953FE">
        <w:rPr>
          <w:rFonts w:cs="Times New Roman"/>
          <w:noProof/>
          <w:szCs w:val="24"/>
        </w:rPr>
        <w:t xml:space="preserve"> 6, 673–679. doi:10.1046/j.1461-0248.2003.00483.x.</w:t>
      </w:r>
    </w:p>
    <w:p w14:paraId="1263EA4B"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Marcarelli, A. M., Baxter, C. V., Mineau, M. M., and Hall, R. O. J. (2011). Quantity and quality: unifying food web and ecosystem perspectives on the role of resource subsidies in freshwaters. </w:t>
      </w:r>
      <w:r w:rsidRPr="008953FE">
        <w:rPr>
          <w:rFonts w:cs="Times New Roman"/>
          <w:i/>
          <w:iCs/>
          <w:noProof/>
          <w:szCs w:val="24"/>
        </w:rPr>
        <w:t>Ecology</w:t>
      </w:r>
      <w:r w:rsidRPr="008953FE">
        <w:rPr>
          <w:rFonts w:cs="Times New Roman"/>
          <w:noProof/>
          <w:szCs w:val="24"/>
        </w:rPr>
        <w:t xml:space="preserve"> 92, 1215–1225. doi:10.1890/11-1136.1.</w:t>
      </w:r>
    </w:p>
    <w:p w14:paraId="1E200A4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Marczak, L. B., Thompson, R. M., and Richardson, J. S. (2007). Meta-Analysis: Trophic Level, Habitat, and Productivity Shape the Food Web Effects of Resource Subsidies. </w:t>
      </w:r>
      <w:r w:rsidRPr="008953FE">
        <w:rPr>
          <w:rFonts w:cs="Times New Roman"/>
          <w:i/>
          <w:iCs/>
          <w:noProof/>
          <w:szCs w:val="24"/>
        </w:rPr>
        <w:t>Eocology</w:t>
      </w:r>
      <w:r w:rsidRPr="008953FE">
        <w:rPr>
          <w:rFonts w:cs="Times New Roman"/>
          <w:noProof/>
          <w:szCs w:val="24"/>
        </w:rPr>
        <w:t xml:space="preserve"> 88, 140–148.</w:t>
      </w:r>
    </w:p>
    <w:p w14:paraId="4E360C4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Martin-Creuzburg, D., Kowarik, C., and Straile, D. (2017). Cross-ecosystem fluxes: Export of polyunsaturated fatty acids from aquatic to terrestrial ecosystems via emerging insects. </w:t>
      </w:r>
      <w:r w:rsidRPr="008953FE">
        <w:rPr>
          <w:rFonts w:cs="Times New Roman"/>
          <w:i/>
          <w:iCs/>
          <w:noProof/>
          <w:szCs w:val="24"/>
        </w:rPr>
        <w:t>Sci. Total Environ.</w:t>
      </w:r>
      <w:r w:rsidRPr="008953FE">
        <w:rPr>
          <w:rFonts w:cs="Times New Roman"/>
          <w:noProof/>
          <w:szCs w:val="24"/>
        </w:rPr>
        <w:t xml:space="preserve"> 577, 174–182. doi:10.1016/j.scitotenv.2016.10.156.</w:t>
      </w:r>
    </w:p>
    <w:p w14:paraId="0A8196CD"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McKay, L., Bondelid, T., Dewald, T., Johnston, J., Moore, R., and Rea, A. (2012). NHD Plus Version 2: User Guide. 1–179.</w:t>
      </w:r>
    </w:p>
    <w:p w14:paraId="2882E0E2"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Meinshausen, N. (2006). Quantile Regression Forests. </w:t>
      </w:r>
      <w:r w:rsidRPr="008953FE">
        <w:rPr>
          <w:rFonts w:cs="Times New Roman"/>
          <w:i/>
          <w:iCs/>
          <w:noProof/>
          <w:szCs w:val="24"/>
        </w:rPr>
        <w:t>J. Multivar. Anal.</w:t>
      </w:r>
      <w:r w:rsidRPr="008953FE">
        <w:rPr>
          <w:rFonts w:cs="Times New Roman"/>
          <w:noProof/>
          <w:szCs w:val="24"/>
        </w:rPr>
        <w:t xml:space="preserve"> 7, 983–999. doi:10.1016/j.jmva.2014.06.005.</w:t>
      </w:r>
    </w:p>
    <w:p w14:paraId="3FFA1099"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Meinshausen, N. (2017). quantregForest: Quantile Regression Forests. R package version 1.3-7. Available at: https://cran.r-project.org/package=quantregForest.</w:t>
      </w:r>
    </w:p>
    <w:p w14:paraId="775B96E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Montagano, L., Leroux, S. J., Giroux, M. A., and Lecomte, N. (2019). The strength of ecological subsidies across ecosystems: a latitudinal gradient of direct and indirect impacts on food webs. </w:t>
      </w:r>
      <w:r w:rsidRPr="008953FE">
        <w:rPr>
          <w:rFonts w:cs="Times New Roman"/>
          <w:i/>
          <w:iCs/>
          <w:noProof/>
          <w:szCs w:val="24"/>
        </w:rPr>
        <w:t>Ecol. Lett.</w:t>
      </w:r>
      <w:r w:rsidRPr="008953FE">
        <w:rPr>
          <w:rFonts w:cs="Times New Roman"/>
          <w:noProof/>
          <w:szCs w:val="24"/>
        </w:rPr>
        <w:t xml:space="preserve"> 22, 265–274. doi:10.1111/ele.13185.</w:t>
      </w:r>
    </w:p>
    <w:p w14:paraId="0FB8BCD1"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Montagano, L., Leroux, S. J., Giroux, M., and Lecomte, N. (2018). The strength of ecological </w:t>
      </w:r>
      <w:r w:rsidRPr="008953FE">
        <w:rPr>
          <w:rFonts w:cs="Times New Roman"/>
          <w:noProof/>
          <w:szCs w:val="24"/>
        </w:rPr>
        <w:lastRenderedPageBreak/>
        <w:t xml:space="preserve">subsidies across ecosystems: a latitudinal gradient of direct and indirect impacts on food webs. </w:t>
      </w:r>
      <w:r w:rsidRPr="008953FE">
        <w:rPr>
          <w:rFonts w:cs="Times New Roman"/>
          <w:i/>
          <w:iCs/>
          <w:noProof/>
          <w:szCs w:val="24"/>
        </w:rPr>
        <w:t>Ecol. Lett.</w:t>
      </w:r>
      <w:r w:rsidRPr="008953FE">
        <w:rPr>
          <w:rFonts w:cs="Times New Roman"/>
          <w:noProof/>
          <w:szCs w:val="24"/>
        </w:rPr>
        <w:t xml:space="preserve"> 22, 265–274. doi:10.1111/ele.13185.</w:t>
      </w:r>
    </w:p>
    <w:p w14:paraId="3D304783"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Moore, R. B., and Dewald, T. G. (2016). The Road to NHDPlus - Advancements in Digital Stream Networks and Associated Catchments. </w:t>
      </w:r>
      <w:r w:rsidRPr="008953FE">
        <w:rPr>
          <w:rFonts w:cs="Times New Roman"/>
          <w:i/>
          <w:iCs/>
          <w:noProof/>
          <w:szCs w:val="24"/>
        </w:rPr>
        <w:t>J. Am. Water Resour. Assoc.</w:t>
      </w:r>
      <w:r w:rsidRPr="008953FE">
        <w:rPr>
          <w:rFonts w:cs="Times New Roman"/>
          <w:noProof/>
          <w:szCs w:val="24"/>
        </w:rPr>
        <w:t xml:space="preserve"> 52, 890–900. doi:10.1111/1752-1688.12389.</w:t>
      </w:r>
    </w:p>
    <w:p w14:paraId="00343F2A"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Moore, R. B., McKay, L., Rea, A., Bondelid, T., Price, C., Dewald, T., et al. (2019). User’s guide for the national hydrography dataset plus (NHDPlus) high resolution. </w:t>
      </w:r>
      <w:r w:rsidRPr="008953FE">
        <w:rPr>
          <w:rFonts w:cs="Times New Roman"/>
          <w:i/>
          <w:iCs/>
          <w:noProof/>
          <w:szCs w:val="24"/>
        </w:rPr>
        <w:t>U.S. Geol. Surv.</w:t>
      </w:r>
      <w:r w:rsidRPr="008953FE">
        <w:rPr>
          <w:rFonts w:cs="Times New Roman"/>
          <w:noProof/>
          <w:szCs w:val="24"/>
        </w:rPr>
        <w:t xml:space="preserve"> 2019–1096, 66. doi:https://doi.org/10.3133/ofr20191096.</w:t>
      </w:r>
    </w:p>
    <w:p w14:paraId="6F67E82D"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Morin, A., and Dumont, P. (1994). A Simple Model to Estimate Growth Rate of Lotic Insect Larvae and Its Value for Estimating Population and Community Production. </w:t>
      </w:r>
      <w:r w:rsidRPr="008953FE">
        <w:rPr>
          <w:rFonts w:cs="Times New Roman"/>
          <w:i/>
          <w:iCs/>
          <w:noProof/>
          <w:szCs w:val="24"/>
        </w:rPr>
        <w:t>J. North Am. Benthol. Soc.</w:t>
      </w:r>
      <w:r w:rsidRPr="008953FE">
        <w:rPr>
          <w:rFonts w:cs="Times New Roman"/>
          <w:noProof/>
          <w:szCs w:val="24"/>
        </w:rPr>
        <w:t xml:space="preserve"> 13, 357–367.</w:t>
      </w:r>
    </w:p>
    <w:p w14:paraId="0042EFDA"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Muehlbauer, J., Larsen, S., Jonsson, M., and Emilson, E. (2020). “Variables Affecting Resource Subsidies from Streams and Rivers to Land and their Susceptibility to Global Change Stressors,” in </w:t>
      </w:r>
      <w:r w:rsidRPr="008953FE">
        <w:rPr>
          <w:rFonts w:cs="Times New Roman"/>
          <w:i/>
          <w:iCs/>
          <w:noProof/>
          <w:szCs w:val="24"/>
        </w:rPr>
        <w:t>Contaminants and Ecological Subsidies</w:t>
      </w:r>
      <w:r w:rsidRPr="008953FE">
        <w:rPr>
          <w:rFonts w:cs="Times New Roman"/>
          <w:noProof/>
          <w:szCs w:val="24"/>
        </w:rPr>
        <w:t>, eds. J. Kraus, D. Walters, and M. Mills (Switzerland: Springer Nature), 129–155.</w:t>
      </w:r>
    </w:p>
    <w:p w14:paraId="22F83678"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Mulholland, P. J., Fellows, C. S., Tank, J. L., Grimm, N. B., Webster, J. R., Hamilton, S. K., et al. (2001). Inter-biome comparison of factors controlling stream metabolism. </w:t>
      </w:r>
      <w:r w:rsidRPr="008953FE">
        <w:rPr>
          <w:rFonts w:cs="Times New Roman"/>
          <w:i/>
          <w:iCs/>
          <w:noProof/>
          <w:szCs w:val="24"/>
        </w:rPr>
        <w:t>Freshw. Biol.</w:t>
      </w:r>
      <w:r w:rsidRPr="008953FE">
        <w:rPr>
          <w:rFonts w:cs="Times New Roman"/>
          <w:noProof/>
          <w:szCs w:val="24"/>
        </w:rPr>
        <w:t xml:space="preserve"> 46, 1503–1517. doi:10.1046/j.1365-2427.2001.00773.x.</w:t>
      </w:r>
    </w:p>
    <w:p w14:paraId="274E5CE2"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Nagy, K. A., Girard, I. A., and Brown, T. K. (1999). Energetics of free-ranging mammals, reptiles, and birds. </w:t>
      </w:r>
      <w:r w:rsidRPr="008953FE">
        <w:rPr>
          <w:rFonts w:cs="Times New Roman"/>
          <w:i/>
          <w:iCs/>
          <w:noProof/>
          <w:szCs w:val="24"/>
        </w:rPr>
        <w:t>Annu. Rev. Nutr.</w:t>
      </w:r>
      <w:r w:rsidRPr="008953FE">
        <w:rPr>
          <w:rFonts w:cs="Times New Roman"/>
          <w:noProof/>
          <w:szCs w:val="24"/>
        </w:rPr>
        <w:t xml:space="preserve"> 19, 247–277. doi:10.1146/annurev.nutr.19.1.247.</w:t>
      </w:r>
    </w:p>
    <w:p w14:paraId="044E105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Nakano, S., and Murakami, M. (2001). Reciprocal subsidies: Dynamic interdependence between </w:t>
      </w:r>
      <w:r w:rsidRPr="008953FE">
        <w:rPr>
          <w:rFonts w:cs="Times New Roman"/>
          <w:noProof/>
          <w:szCs w:val="24"/>
        </w:rPr>
        <w:lastRenderedPageBreak/>
        <w:t xml:space="preserve">terrestrial and aquatic food webs. </w:t>
      </w:r>
      <w:r w:rsidRPr="008953FE">
        <w:rPr>
          <w:rFonts w:cs="Times New Roman"/>
          <w:i/>
          <w:iCs/>
          <w:noProof/>
          <w:szCs w:val="24"/>
        </w:rPr>
        <w:t>Proc. Natl. Acad. Sci. U. S. A.</w:t>
      </w:r>
      <w:r w:rsidRPr="008953FE">
        <w:rPr>
          <w:rFonts w:cs="Times New Roman"/>
          <w:noProof/>
          <w:szCs w:val="24"/>
        </w:rPr>
        <w:t xml:space="preserve"> 98, 166–170. doi:10.1073/pnas.98.1.166.</w:t>
      </w:r>
    </w:p>
    <w:p w14:paraId="41D4881B"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Patrick, C. J., McGarvey, D. J., Larson, J. H., Cross, W. F., Allen, D. C., Benke, A. C., et al. (2019). Precipitation and temperature drive continental-scale patterns in stream invertebrate production. </w:t>
      </w:r>
      <w:r w:rsidRPr="008953FE">
        <w:rPr>
          <w:rFonts w:cs="Times New Roman"/>
          <w:i/>
          <w:iCs/>
          <w:noProof/>
          <w:szCs w:val="24"/>
        </w:rPr>
        <w:t>Sci. Adv.</w:t>
      </w:r>
      <w:r w:rsidRPr="008953FE">
        <w:rPr>
          <w:rFonts w:cs="Times New Roman"/>
          <w:noProof/>
          <w:szCs w:val="24"/>
        </w:rPr>
        <w:t xml:space="preserve"> 5, 1–10. doi:10.1126/sciadv.aav2348.</w:t>
      </w:r>
    </w:p>
    <w:p w14:paraId="117652B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Perkin, J. S., Gido, K. B., Falke, J. A., Fausch, K. D., Crockett, H., and Johnson, E. R. (2017). Groundwater declines are linked to changes in Great Plains stream fish assemblages. 114, 1–6. doi:10.1073/pnas.1618936114.</w:t>
      </w:r>
    </w:p>
    <w:p w14:paraId="0351223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Polis, G. A., Anderson, W. B., and Holt, R. D. (1997). Toward an integration of landscape and food web ecology: the dynamics of spatially subsidized food webs. </w:t>
      </w:r>
      <w:r w:rsidRPr="008953FE">
        <w:rPr>
          <w:rFonts w:cs="Times New Roman"/>
          <w:i/>
          <w:iCs/>
          <w:noProof/>
          <w:szCs w:val="24"/>
        </w:rPr>
        <w:t>Annu. Rev. Ecol. Syst.</w:t>
      </w:r>
      <w:r w:rsidRPr="008953FE">
        <w:rPr>
          <w:rFonts w:cs="Times New Roman"/>
          <w:noProof/>
          <w:szCs w:val="24"/>
        </w:rPr>
        <w:t xml:space="preserve"> 28, 289–316. doi:10.1146/annurev.ecolsys.28.1.289.</w:t>
      </w:r>
    </w:p>
    <w:p w14:paraId="5A9932C6"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Richardson, J. S., Zhang, Y., and Marczak, L. B. (2010). Resource subsidies across the land-freshwater interface and responses in recipient communities. </w:t>
      </w:r>
      <w:r w:rsidRPr="008953FE">
        <w:rPr>
          <w:rFonts w:cs="Times New Roman"/>
          <w:i/>
          <w:iCs/>
          <w:noProof/>
          <w:szCs w:val="24"/>
        </w:rPr>
        <w:t>River Res. Appl.</w:t>
      </w:r>
      <w:r w:rsidRPr="008953FE">
        <w:rPr>
          <w:rFonts w:cs="Times New Roman"/>
          <w:noProof/>
          <w:szCs w:val="24"/>
        </w:rPr>
        <w:t xml:space="preserve"> 26, 55–66. doi:10.1002/rra.</w:t>
      </w:r>
    </w:p>
    <w:p w14:paraId="423DBDA2"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Sabo, J. L., and Power, M. E. (2002). River-Watershed Exchange : Effects of Riverine Subsidies on Riparian Lizards and Their Terrestrial Prey. </w:t>
      </w:r>
      <w:r w:rsidRPr="008953FE">
        <w:rPr>
          <w:rFonts w:cs="Times New Roman"/>
          <w:i/>
          <w:iCs/>
          <w:noProof/>
          <w:szCs w:val="24"/>
        </w:rPr>
        <w:t>Ecology</w:t>
      </w:r>
      <w:r w:rsidRPr="008953FE">
        <w:rPr>
          <w:rFonts w:cs="Times New Roman"/>
          <w:noProof/>
          <w:szCs w:val="24"/>
        </w:rPr>
        <w:t xml:space="preserve"> 83, 1860–1869.</w:t>
      </w:r>
    </w:p>
    <w:p w14:paraId="55A0C951"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Schilke, P. R., Bartrons, M., Gorzo, J. M., Vander Zanden, M. J., Gratton, C., Howe, R. W., et al. (2020). Modeling a cross-ecosystem subsidy: forest songbird response to emergent aquatic insects. </w:t>
      </w:r>
      <w:r w:rsidRPr="008953FE">
        <w:rPr>
          <w:rFonts w:cs="Times New Roman"/>
          <w:i/>
          <w:iCs/>
          <w:noProof/>
          <w:szCs w:val="24"/>
        </w:rPr>
        <w:t>Landsc. Ecol.</w:t>
      </w:r>
      <w:r w:rsidRPr="008953FE">
        <w:rPr>
          <w:rFonts w:cs="Times New Roman"/>
          <w:noProof/>
          <w:szCs w:val="24"/>
        </w:rPr>
        <w:t xml:space="preserve"> 35, 1587–1604. doi:10.1007/s10980-020-01038-0.</w:t>
      </w:r>
    </w:p>
    <w:p w14:paraId="1457FD9F"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Schindler, D. E., and Smits, A. P. (2017). Subsidies of Aquatic Resources in Terrestrial Ecosystems. </w:t>
      </w:r>
      <w:r w:rsidRPr="008953FE">
        <w:rPr>
          <w:rFonts w:cs="Times New Roman"/>
          <w:i/>
          <w:iCs/>
          <w:noProof/>
          <w:szCs w:val="24"/>
        </w:rPr>
        <w:t>Ecosystems</w:t>
      </w:r>
      <w:r w:rsidRPr="008953FE">
        <w:rPr>
          <w:rFonts w:cs="Times New Roman"/>
          <w:noProof/>
          <w:szCs w:val="24"/>
        </w:rPr>
        <w:t xml:space="preserve"> 20, 78–93. doi:10.1007/s10021-016-0050-7.</w:t>
      </w:r>
    </w:p>
    <w:p w14:paraId="0EA98466"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lastRenderedPageBreak/>
        <w:t xml:space="preserve">Sheffield, J., Barrett, A. P., Colle, B., Fernando, D. N., Fu, R., Geil, K. L., et al. (2013). North American Climate in CMIP5 experiments. Part I: Evaluation of historical simulations of continental and regional climatology. </w:t>
      </w:r>
      <w:r w:rsidRPr="008953FE">
        <w:rPr>
          <w:rFonts w:cs="Times New Roman"/>
          <w:i/>
          <w:iCs/>
          <w:noProof/>
          <w:szCs w:val="24"/>
        </w:rPr>
        <w:t>J. Clim.</w:t>
      </w:r>
      <w:r w:rsidRPr="008953FE">
        <w:rPr>
          <w:rFonts w:cs="Times New Roman"/>
          <w:noProof/>
          <w:szCs w:val="24"/>
        </w:rPr>
        <w:t xml:space="preserve"> 26, 9209–9245. doi:10.1175/JCLI-D-12-00592.1.</w:t>
      </w:r>
    </w:p>
    <w:p w14:paraId="1848E30C"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Spiller, K. J., and Dettmers, R. (2019). Evidence for multiple drivers of aerial insectivore declines in North America. </w:t>
      </w:r>
      <w:r w:rsidRPr="008953FE">
        <w:rPr>
          <w:rFonts w:cs="Times New Roman"/>
          <w:i/>
          <w:iCs/>
          <w:noProof/>
          <w:szCs w:val="24"/>
        </w:rPr>
        <w:t>Condor</w:t>
      </w:r>
      <w:r w:rsidRPr="008953FE">
        <w:rPr>
          <w:rFonts w:cs="Times New Roman"/>
          <w:noProof/>
          <w:szCs w:val="24"/>
        </w:rPr>
        <w:t xml:space="preserve"> 121, 1–13. doi:10.1093/condor/duz010.</w:t>
      </w:r>
    </w:p>
    <w:p w14:paraId="3F3AFA5B"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Statzner, B., and Resh, V. H. (1993). Oecologia Multiple-site and -year analyses of stream insect emergence: a test of ecological theory. </w:t>
      </w:r>
      <w:r w:rsidRPr="008953FE">
        <w:rPr>
          <w:rFonts w:cs="Times New Roman"/>
          <w:i/>
          <w:iCs/>
          <w:noProof/>
          <w:szCs w:val="24"/>
        </w:rPr>
        <w:t>Oecologia</w:t>
      </w:r>
      <w:r w:rsidRPr="008953FE">
        <w:rPr>
          <w:rFonts w:cs="Times New Roman"/>
          <w:noProof/>
          <w:szCs w:val="24"/>
        </w:rPr>
        <w:t xml:space="preserve"> 96, 65–79.</w:t>
      </w:r>
    </w:p>
    <w:p w14:paraId="54A35B56"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Subalusky, A. L., and Post, D. M. (2018). Context dependency of animal resource subsidies. </w:t>
      </w:r>
      <w:r w:rsidRPr="008953FE">
        <w:rPr>
          <w:rFonts w:cs="Times New Roman"/>
          <w:i/>
          <w:iCs/>
          <w:noProof/>
          <w:szCs w:val="24"/>
        </w:rPr>
        <w:t>Biol. Rev.</w:t>
      </w:r>
      <w:r w:rsidRPr="008953FE">
        <w:rPr>
          <w:rFonts w:cs="Times New Roman"/>
          <w:noProof/>
          <w:szCs w:val="24"/>
        </w:rPr>
        <w:t xml:space="preserve"> 94, 517–538. doi:10.1111/brv.12465.</w:t>
      </w:r>
    </w:p>
    <w:p w14:paraId="19F3C9C3"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Twining, C. W., Shipley, J. R., and Winkler, D. W. (2018). Aquatic insects rich in omega-3 fatty acids drive breeding success in a widespread bird. </w:t>
      </w:r>
      <w:r w:rsidRPr="008953FE">
        <w:rPr>
          <w:rFonts w:cs="Times New Roman"/>
          <w:i/>
          <w:iCs/>
          <w:noProof/>
          <w:szCs w:val="24"/>
        </w:rPr>
        <w:t>Ecol. Lett.</w:t>
      </w:r>
      <w:r w:rsidRPr="008953FE">
        <w:rPr>
          <w:rFonts w:cs="Times New Roman"/>
          <w:noProof/>
          <w:szCs w:val="24"/>
        </w:rPr>
        <w:t xml:space="preserve"> 21, 1812–1820. doi:10.1111/ele.13156.</w:t>
      </w:r>
    </w:p>
    <w:p w14:paraId="388FF750"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U.S. EPA (2016a). National Rivers and Streams Assessment 2008-2009: A Collaborative Survey, Office of Water and Office of Research and Development, Washington, DC EPA-841-R-16-008. Washington, DC Available at: http://www.epa.gov/national‐aquatic‐resource‐surveys/nrsa.</w:t>
      </w:r>
    </w:p>
    <w:p w14:paraId="060F77C1"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U.S. EPA (2016b). National Rivers and Streams Assessment 2008-2009: Technical Report, Office of Water and Office of Research and Development, Washington, DC EPA-841-R-16-008. doi:EPA/841/R-16/008.</w:t>
      </w:r>
    </w:p>
    <w:p w14:paraId="1A71E9BA"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USGCRP (2018). </w:t>
      </w:r>
      <w:r w:rsidRPr="008953FE">
        <w:rPr>
          <w:rFonts w:cs="Times New Roman"/>
          <w:i/>
          <w:iCs/>
          <w:noProof/>
          <w:szCs w:val="24"/>
        </w:rPr>
        <w:t>Fourth National Climate Assessment</w:t>
      </w:r>
      <w:r w:rsidRPr="008953FE">
        <w:rPr>
          <w:rFonts w:cs="Times New Roman"/>
          <w:noProof/>
          <w:szCs w:val="24"/>
        </w:rPr>
        <w:t xml:space="preserve">. , eds. D. R. Reidmiller, C. W. Avery, D. </w:t>
      </w:r>
      <w:r w:rsidRPr="008953FE">
        <w:rPr>
          <w:rFonts w:cs="Times New Roman"/>
          <w:noProof/>
          <w:szCs w:val="24"/>
        </w:rPr>
        <w:lastRenderedPageBreak/>
        <w:t>R. Easterline, K. E. Kunkel, K. L. M. Lewis, T. K. Maycock, et al. Washington, DC: U.S. Global Change Research Program.</w:t>
      </w:r>
    </w:p>
    <w:p w14:paraId="1F204A68"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Vehtari, A., Gelman, A., and Gabry, J. (2017). Practical Bayesian model evaluation using leave-one-out cross-validation and WAIC. </w:t>
      </w:r>
      <w:r w:rsidRPr="008953FE">
        <w:rPr>
          <w:rFonts w:cs="Times New Roman"/>
          <w:i/>
          <w:iCs/>
          <w:noProof/>
          <w:szCs w:val="24"/>
        </w:rPr>
        <w:t>Stat. Comput.</w:t>
      </w:r>
      <w:r w:rsidRPr="008953FE">
        <w:rPr>
          <w:rFonts w:cs="Times New Roman"/>
          <w:noProof/>
          <w:szCs w:val="24"/>
        </w:rPr>
        <w:t xml:space="preserve"> 27, 1413–1432. doi:10.1007/s11222-016-9696-4.</w:t>
      </w:r>
    </w:p>
    <w:p w14:paraId="34D33659"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Waters, T. F. (1977). Secondary Production in Inland Waters. </w:t>
      </w:r>
      <w:r w:rsidRPr="008953FE">
        <w:rPr>
          <w:rFonts w:cs="Times New Roman"/>
          <w:i/>
          <w:iCs/>
          <w:noProof/>
          <w:szCs w:val="24"/>
        </w:rPr>
        <w:t>Adv. Ecol. Res.</w:t>
      </w:r>
      <w:r w:rsidRPr="008953FE">
        <w:rPr>
          <w:rFonts w:cs="Times New Roman"/>
          <w:noProof/>
          <w:szCs w:val="24"/>
        </w:rPr>
        <w:t xml:space="preserve"> 10, 91–164. doi:10.1016/S0065-2504(08)60235-4.</w:t>
      </w:r>
    </w:p>
    <w:p w14:paraId="25D8C183"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Wesner, J. S., Swanson, D. L., Dixon, M. D., Soluk, D. A., Quist, D. J., Yager, L. A., et al. (2020). Loss of Potential Aquatic-Terrestrial Subsidies Along the Missouri River Floodplain. </w:t>
      </w:r>
      <w:r w:rsidRPr="008953FE">
        <w:rPr>
          <w:rFonts w:cs="Times New Roman"/>
          <w:i/>
          <w:iCs/>
          <w:noProof/>
          <w:szCs w:val="24"/>
        </w:rPr>
        <w:t>Ecosystems</w:t>
      </w:r>
      <w:r w:rsidRPr="008953FE">
        <w:rPr>
          <w:rFonts w:cs="Times New Roman"/>
          <w:noProof/>
          <w:szCs w:val="24"/>
        </w:rPr>
        <w:t xml:space="preserve"> 23, 111–123. doi:10.1007/s10021-019-00391-9.</w:t>
      </w:r>
    </w:p>
    <w:p w14:paraId="07847584"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Wesner, J., Walters, D., and Zuellig, R. (2019). Pulsed salmonfly emergence and its potential contribution to terrestrial detrital pools. </w:t>
      </w:r>
      <w:r w:rsidRPr="008953FE">
        <w:rPr>
          <w:rFonts w:cs="Times New Roman"/>
          <w:i/>
          <w:iCs/>
          <w:noProof/>
          <w:szCs w:val="24"/>
        </w:rPr>
        <w:t>Food Webs</w:t>
      </w:r>
      <w:r w:rsidRPr="008953FE">
        <w:rPr>
          <w:rFonts w:cs="Times New Roman"/>
          <w:noProof/>
          <w:szCs w:val="24"/>
        </w:rPr>
        <w:t xml:space="preserve"> 18, e00105.</w:t>
      </w:r>
    </w:p>
    <w:p w14:paraId="7F9D01E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Whiles, M. R., and Wallace, J. B. (1995). Macroinvertebrate production in a headwater stream during recovery from anthropogenic disturbance and hydrologic extremes. </w:t>
      </w:r>
      <w:r w:rsidRPr="008953FE">
        <w:rPr>
          <w:rFonts w:cs="Times New Roman"/>
          <w:i/>
          <w:iCs/>
          <w:noProof/>
          <w:szCs w:val="24"/>
        </w:rPr>
        <w:t>Can. J. Fish. Aquat. Sci.</w:t>
      </w:r>
      <w:r w:rsidRPr="008953FE">
        <w:rPr>
          <w:rFonts w:cs="Times New Roman"/>
          <w:noProof/>
          <w:szCs w:val="24"/>
        </w:rPr>
        <w:t xml:space="preserve"> 52, 2402–2422. doi:10.1139/f95-832.</w:t>
      </w:r>
    </w:p>
    <w:p w14:paraId="455EB031"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Wohl, E. (2004). Limits of downstream hydraulic geometry. </w:t>
      </w:r>
      <w:r w:rsidRPr="008953FE">
        <w:rPr>
          <w:rFonts w:cs="Times New Roman"/>
          <w:i/>
          <w:iCs/>
          <w:noProof/>
          <w:szCs w:val="24"/>
        </w:rPr>
        <w:t>Geology</w:t>
      </w:r>
      <w:r w:rsidRPr="008953FE">
        <w:rPr>
          <w:rFonts w:cs="Times New Roman"/>
          <w:noProof/>
          <w:szCs w:val="24"/>
        </w:rPr>
        <w:t xml:space="preserve"> 32, 897–900. doi:10.1130/G20738.1.</w:t>
      </w:r>
    </w:p>
    <w:p w14:paraId="5C9A2755"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 xml:space="preserve">Woodward, G., Perkins, D. M., and Brown, L. E. (2010). Climate change and freshwater ecosystems: impacts across multiple levels of organization. </w:t>
      </w:r>
      <w:r w:rsidRPr="008953FE">
        <w:rPr>
          <w:rFonts w:cs="Times New Roman"/>
          <w:i/>
          <w:iCs/>
          <w:noProof/>
          <w:szCs w:val="24"/>
        </w:rPr>
        <w:t>Philos. Trans. R. Soc. B</w:t>
      </w:r>
      <w:r w:rsidRPr="008953FE">
        <w:rPr>
          <w:rFonts w:cs="Times New Roman"/>
          <w:noProof/>
          <w:szCs w:val="24"/>
        </w:rPr>
        <w:t xml:space="preserve"> 365, 2093–2106. doi:10.1098/rstb.2010.0055.</w:t>
      </w:r>
    </w:p>
    <w:p w14:paraId="20E3D86C" w14:textId="77777777" w:rsidR="00AB7462" w:rsidRPr="008953FE" w:rsidRDefault="00AB7462" w:rsidP="00AB7462">
      <w:pPr>
        <w:widowControl w:val="0"/>
        <w:autoSpaceDE w:val="0"/>
        <w:autoSpaceDN w:val="0"/>
        <w:adjustRightInd w:val="0"/>
        <w:spacing w:line="480" w:lineRule="auto"/>
        <w:ind w:left="480" w:hanging="480"/>
        <w:rPr>
          <w:rFonts w:cs="Times New Roman"/>
          <w:noProof/>
          <w:szCs w:val="24"/>
        </w:rPr>
      </w:pPr>
      <w:r w:rsidRPr="008953FE">
        <w:rPr>
          <w:rFonts w:cs="Times New Roman"/>
          <w:noProof/>
          <w:szCs w:val="24"/>
        </w:rPr>
        <w:t>Yager, L. A., Dixon, M. D., Cowman, T. C., and Soluk, D. A. (2013). Historic changes (1941-</w:t>
      </w:r>
      <w:r w:rsidRPr="008953FE">
        <w:rPr>
          <w:rFonts w:cs="Times New Roman"/>
          <w:noProof/>
          <w:szCs w:val="24"/>
        </w:rPr>
        <w:lastRenderedPageBreak/>
        <w:t xml:space="preserve">2008) in side channel and backwater habitats on an unchannelized reach of the missouri river. </w:t>
      </w:r>
      <w:r w:rsidRPr="008953FE">
        <w:rPr>
          <w:rFonts w:cs="Times New Roman"/>
          <w:i/>
          <w:iCs/>
          <w:noProof/>
          <w:szCs w:val="24"/>
        </w:rPr>
        <w:t>River Res. Appl.</w:t>
      </w:r>
      <w:r w:rsidRPr="008953FE">
        <w:rPr>
          <w:rFonts w:cs="Times New Roman"/>
          <w:noProof/>
          <w:szCs w:val="24"/>
        </w:rPr>
        <w:t xml:space="preserve"> 29, 493–501. doi:10.1002/rra.1614.</w:t>
      </w:r>
    </w:p>
    <w:p w14:paraId="5FF27A54" w14:textId="77777777" w:rsidR="00AB7462" w:rsidRPr="008953FE" w:rsidRDefault="00AB7462" w:rsidP="00AB7462">
      <w:pPr>
        <w:widowControl w:val="0"/>
        <w:autoSpaceDE w:val="0"/>
        <w:autoSpaceDN w:val="0"/>
        <w:adjustRightInd w:val="0"/>
        <w:spacing w:line="480" w:lineRule="auto"/>
        <w:ind w:left="480" w:hanging="480"/>
        <w:rPr>
          <w:rFonts w:cs="Times New Roman"/>
          <w:noProof/>
        </w:rPr>
      </w:pPr>
      <w:r w:rsidRPr="008953FE">
        <w:rPr>
          <w:rFonts w:cs="Times New Roman"/>
          <w:noProof/>
          <w:szCs w:val="24"/>
        </w:rPr>
        <w:t xml:space="preserve">Zhao, M., and Running, S. W. (2010). Drought-Induced Reduction in Global Terrestrial Net Primary Production from 2000 Through 2009. </w:t>
      </w:r>
      <w:r w:rsidRPr="008953FE">
        <w:rPr>
          <w:rFonts w:cs="Times New Roman"/>
          <w:i/>
          <w:iCs/>
          <w:noProof/>
          <w:szCs w:val="24"/>
        </w:rPr>
        <w:t>Science (80-. ).</w:t>
      </w:r>
      <w:r w:rsidRPr="008953FE">
        <w:rPr>
          <w:rFonts w:cs="Times New Roman"/>
          <w:noProof/>
          <w:szCs w:val="24"/>
        </w:rPr>
        <w:t xml:space="preserve"> 329, 940–944.</w:t>
      </w:r>
    </w:p>
    <w:p w14:paraId="744BD336" w14:textId="77777777" w:rsidR="00AB7462" w:rsidRDefault="00AB7462" w:rsidP="00AB7462">
      <w:pPr>
        <w:spacing w:line="480" w:lineRule="auto"/>
        <w:contextualSpacing/>
        <w:rPr>
          <w:rFonts w:cs="Times New Roman"/>
          <w:bCs/>
          <w:szCs w:val="24"/>
        </w:rPr>
        <w:sectPr w:rsidR="00AB7462" w:rsidSect="00F716D3">
          <w:type w:val="continuous"/>
          <w:pgSz w:w="12240" w:h="15840"/>
          <w:pgMar w:top="1440" w:right="1440" w:bottom="1440" w:left="1440" w:header="720" w:footer="720" w:gutter="0"/>
          <w:cols w:space="720"/>
          <w:docGrid w:linePitch="360"/>
        </w:sectPr>
      </w:pPr>
      <w:r>
        <w:rPr>
          <w:rFonts w:cs="Times New Roman"/>
          <w:bCs/>
          <w:szCs w:val="24"/>
        </w:rPr>
        <w:fldChar w:fldCharType="end"/>
      </w:r>
    </w:p>
    <w:p w14:paraId="12EB43C7" w14:textId="7E8DC5EA" w:rsidR="00333AA3" w:rsidRPr="009D454A" w:rsidRDefault="00F62C63" w:rsidP="00AB7462">
      <w:pPr>
        <w:spacing w:line="240" w:lineRule="auto"/>
        <w:contextualSpacing/>
        <w:rPr>
          <w:rFonts w:cs="Times New Roman"/>
          <w:bCs/>
          <w:szCs w:val="24"/>
        </w:rPr>
      </w:pPr>
      <w:r>
        <w:rPr>
          <w:rFonts w:cs="Times New Roman"/>
          <w:bCs/>
          <w:szCs w:val="24"/>
        </w:rPr>
        <w:lastRenderedPageBreak/>
        <w:fldChar w:fldCharType="end"/>
      </w:r>
      <w:bookmarkStart w:id="75" w:name="_Toc60480691"/>
      <w:bookmarkStart w:id="76" w:name="_Toc61883056"/>
      <w:r w:rsidR="002E1442">
        <w:t>T</w:t>
      </w:r>
      <w:r w:rsidR="00934556">
        <w:t xml:space="preserve">able </w:t>
      </w:r>
      <w:fldSimple w:instr=" STYLEREF 1 \s ">
        <w:r w:rsidR="000C6138">
          <w:rPr>
            <w:noProof/>
          </w:rPr>
          <w:t>3</w:t>
        </w:r>
      </w:fldSimple>
      <w:r w:rsidR="004F311A">
        <w:t>.</w:t>
      </w:r>
      <w:fldSimple w:instr=" SEQ Table \* ARABIC \s 1 ">
        <w:r w:rsidR="000C6138">
          <w:rPr>
            <w:noProof/>
          </w:rPr>
          <w:t>1</w:t>
        </w:r>
      </w:fldSimple>
      <w:r w:rsidR="00934556">
        <w:t xml:space="preserve">. </w:t>
      </w:r>
      <w:bookmarkStart w:id="77" w:name="_Hlk60840515"/>
      <w:bookmarkStart w:id="78" w:name="_Hlk60837790"/>
      <w:bookmarkEnd w:id="75"/>
      <w:r w:rsidR="002E1442">
        <w:rPr>
          <w:rFonts w:cs="Times New Roman"/>
          <w:bCs/>
          <w:szCs w:val="24"/>
        </w:rPr>
        <w:t>The number of s</w:t>
      </w:r>
      <w:r w:rsidR="002E1442" w:rsidRPr="007E7FCD">
        <w:rPr>
          <w:rFonts w:cs="Times New Roman"/>
          <w:bCs/>
          <w:szCs w:val="24"/>
        </w:rPr>
        <w:t>treams</w:t>
      </w:r>
      <w:r w:rsidR="002E1442">
        <w:rPr>
          <w:rFonts w:cs="Times New Roman"/>
          <w:bCs/>
          <w:szCs w:val="24"/>
        </w:rPr>
        <w:t>, median stream surface area, geometric mean insect emergence per unit area and total emergence for</w:t>
      </w:r>
      <w:r w:rsidR="002E1442" w:rsidRPr="007E7FCD">
        <w:rPr>
          <w:rFonts w:cs="Times New Roman"/>
          <w:bCs/>
          <w:szCs w:val="24"/>
        </w:rPr>
        <w:t xml:space="preserve"> the major hydrologic regions of the </w:t>
      </w:r>
      <w:r w:rsidR="002E1442">
        <w:rPr>
          <w:rFonts w:cs="Times New Roman"/>
          <w:bCs/>
          <w:szCs w:val="24"/>
        </w:rPr>
        <w:t>U</w:t>
      </w:r>
      <w:r w:rsidR="002E1442" w:rsidRPr="007E7FCD">
        <w:rPr>
          <w:rFonts w:cs="Times New Roman"/>
          <w:bCs/>
          <w:szCs w:val="24"/>
        </w:rPr>
        <w:t xml:space="preserve">nited </w:t>
      </w:r>
      <w:r w:rsidR="002E1442">
        <w:rPr>
          <w:rFonts w:cs="Times New Roman"/>
          <w:bCs/>
          <w:szCs w:val="24"/>
        </w:rPr>
        <w:t>S</w:t>
      </w:r>
      <w:r w:rsidR="002E1442" w:rsidRPr="007E7FCD">
        <w:rPr>
          <w:rFonts w:cs="Times New Roman"/>
          <w:bCs/>
          <w:szCs w:val="24"/>
        </w:rPr>
        <w:t xml:space="preserve">tates. Numbers in the </w:t>
      </w:r>
      <w:r w:rsidR="002E1442">
        <w:rPr>
          <w:rFonts w:cs="Times New Roman"/>
          <w:bCs/>
          <w:szCs w:val="24"/>
        </w:rPr>
        <w:t>parenthesis reflect the</w:t>
      </w:r>
      <w:r w:rsidR="002E1442" w:rsidRPr="007E7FCD">
        <w:rPr>
          <w:rFonts w:cs="Times New Roman"/>
          <w:bCs/>
          <w:szCs w:val="24"/>
        </w:rPr>
        <w:t xml:space="preserve"> upper and lower 95% prediction intervals for each </w:t>
      </w:r>
      <w:r w:rsidR="002E1442">
        <w:rPr>
          <w:rFonts w:cs="Times New Roman"/>
          <w:bCs/>
          <w:szCs w:val="24"/>
        </w:rPr>
        <w:t xml:space="preserve">estimate </w:t>
      </w:r>
      <w:r w:rsidR="002E1442" w:rsidRPr="007E7FCD">
        <w:rPr>
          <w:rFonts w:cs="Times New Roman"/>
          <w:bCs/>
          <w:szCs w:val="24"/>
        </w:rPr>
        <w:t>within a region</w:t>
      </w:r>
      <w:r w:rsidR="002E1442">
        <w:rPr>
          <w:rFonts w:cs="Times New Roman"/>
          <w:bCs/>
          <w:szCs w:val="24"/>
        </w:rPr>
        <w:t xml:space="preserve">. These values are either the </w:t>
      </w:r>
      <w:r w:rsidR="002E1442" w:rsidRPr="007E7FCD">
        <w:rPr>
          <w:rFonts w:cs="Times New Roman"/>
          <w:bCs/>
          <w:szCs w:val="24"/>
        </w:rPr>
        <w:t>median</w:t>
      </w:r>
      <w:r w:rsidR="002E1442">
        <w:rPr>
          <w:rFonts w:cs="Times New Roman"/>
          <w:bCs/>
          <w:szCs w:val="24"/>
        </w:rPr>
        <w:t>, geometric mean or sum of the upper and lower 95% prediction intervals for the estimated surface area, insect emergence and total emergence, respectively.</w:t>
      </w:r>
      <w:bookmarkEnd w:id="76"/>
      <w:bookmarkEnd w:id="77"/>
      <w:bookmarkEnd w:id="78"/>
    </w:p>
    <w:tbl>
      <w:tblPr>
        <w:tblW w:w="11785" w:type="dxa"/>
        <w:tblLook w:val="04A0" w:firstRow="1" w:lastRow="0" w:firstColumn="1" w:lastColumn="0" w:noHBand="0" w:noVBand="1"/>
      </w:tblPr>
      <w:tblGrid>
        <w:gridCol w:w="900"/>
        <w:gridCol w:w="2267"/>
        <w:gridCol w:w="1328"/>
        <w:gridCol w:w="1890"/>
        <w:gridCol w:w="2250"/>
        <w:gridCol w:w="3150"/>
      </w:tblGrid>
      <w:tr w:rsidR="009D454A" w:rsidRPr="00777AD8" w14:paraId="0E7D6293" w14:textId="77777777" w:rsidTr="00360C46">
        <w:trPr>
          <w:trHeight w:val="290"/>
        </w:trPr>
        <w:tc>
          <w:tcPr>
            <w:tcW w:w="900" w:type="dxa"/>
            <w:tcBorders>
              <w:bottom w:val="single" w:sz="4" w:space="0" w:color="auto"/>
            </w:tcBorders>
            <w:shd w:val="clear" w:color="auto" w:fill="auto"/>
            <w:noWrap/>
            <w:vAlign w:val="center"/>
            <w:hideMark/>
          </w:tcPr>
          <w:p w14:paraId="6693F0D9" w14:textId="77777777" w:rsidR="009D454A" w:rsidRPr="00C84DE4" w:rsidRDefault="009D454A" w:rsidP="00360C46">
            <w:pPr>
              <w:spacing w:after="0"/>
              <w:jc w:val="center"/>
              <w:rPr>
                <w:rFonts w:eastAsia="Times New Roman" w:cs="Times New Roman"/>
                <w:color w:val="000000"/>
                <w:szCs w:val="24"/>
              </w:rPr>
            </w:pPr>
            <w:r>
              <w:rPr>
                <w:rFonts w:eastAsia="Times New Roman" w:cs="Times New Roman"/>
                <w:color w:val="000000"/>
                <w:szCs w:val="24"/>
              </w:rPr>
              <w:t>2-digit HUC</w:t>
            </w:r>
          </w:p>
        </w:tc>
        <w:tc>
          <w:tcPr>
            <w:tcW w:w="2267" w:type="dxa"/>
            <w:tcBorders>
              <w:bottom w:val="single" w:sz="4" w:space="0" w:color="auto"/>
            </w:tcBorders>
            <w:shd w:val="clear" w:color="auto" w:fill="auto"/>
            <w:noWrap/>
            <w:vAlign w:val="center"/>
            <w:hideMark/>
          </w:tcPr>
          <w:p w14:paraId="548BA09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Hydrologic Region</w:t>
            </w:r>
          </w:p>
        </w:tc>
        <w:tc>
          <w:tcPr>
            <w:tcW w:w="1328" w:type="dxa"/>
            <w:tcBorders>
              <w:bottom w:val="single" w:sz="4" w:space="0" w:color="auto"/>
            </w:tcBorders>
            <w:shd w:val="clear" w:color="auto" w:fill="auto"/>
            <w:noWrap/>
            <w:vAlign w:val="center"/>
            <w:hideMark/>
          </w:tcPr>
          <w:p w14:paraId="0B9C2F4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Streams (#)</w:t>
            </w:r>
          </w:p>
        </w:tc>
        <w:tc>
          <w:tcPr>
            <w:tcW w:w="1890" w:type="dxa"/>
            <w:tcBorders>
              <w:bottom w:val="single" w:sz="4" w:space="0" w:color="auto"/>
            </w:tcBorders>
            <w:shd w:val="clear" w:color="auto" w:fill="auto"/>
            <w:noWrap/>
            <w:vAlign w:val="center"/>
            <w:hideMark/>
          </w:tcPr>
          <w:p w14:paraId="01CD69CB"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Median Surface Area (ha)</w:t>
            </w:r>
          </w:p>
        </w:tc>
        <w:tc>
          <w:tcPr>
            <w:tcW w:w="2250" w:type="dxa"/>
            <w:tcBorders>
              <w:bottom w:val="single" w:sz="4" w:space="0" w:color="auto"/>
            </w:tcBorders>
            <w:shd w:val="clear" w:color="auto" w:fill="auto"/>
            <w:noWrap/>
            <w:vAlign w:val="center"/>
            <w:hideMark/>
          </w:tcPr>
          <w:p w14:paraId="4060456C" w14:textId="77777777" w:rsidR="009D454A"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 xml:space="preserve">Mean Insect </w:t>
            </w:r>
            <w:r>
              <w:rPr>
                <w:rFonts w:eastAsia="Times New Roman" w:cs="Times New Roman"/>
                <w:color w:val="000000"/>
                <w:szCs w:val="24"/>
              </w:rPr>
              <w:t xml:space="preserve">Emergence </w:t>
            </w:r>
          </w:p>
          <w:p w14:paraId="48540E50" w14:textId="77777777" w:rsidR="009D454A" w:rsidRPr="00C84DE4" w:rsidRDefault="009D454A" w:rsidP="00360C46">
            <w:pPr>
              <w:spacing w:after="0"/>
              <w:jc w:val="center"/>
              <w:rPr>
                <w:rFonts w:eastAsia="Times New Roman" w:cs="Times New Roman"/>
                <w:color w:val="000000"/>
                <w:szCs w:val="24"/>
              </w:rPr>
            </w:pPr>
            <w:r w:rsidRPr="00C84DE4">
              <w:rPr>
                <w:rFonts w:cs="Times New Roman"/>
                <w:bCs/>
                <w:szCs w:val="24"/>
              </w:rPr>
              <w:t>(</w:t>
            </w:r>
            <w:proofErr w:type="spellStart"/>
            <w:r w:rsidRPr="00C84DE4">
              <w:rPr>
                <w:rFonts w:cs="Times New Roman"/>
                <w:szCs w:val="24"/>
              </w:rPr>
              <w:t>gAFDM</w:t>
            </w:r>
            <w:proofErr w:type="spellEnd"/>
            <w:r w:rsidRPr="00C84DE4">
              <w:rPr>
                <w:rFonts w:cs="Times New Roman"/>
                <w:szCs w:val="24"/>
              </w:rPr>
              <w:t xml:space="preserve"> m</w:t>
            </w:r>
            <w:r w:rsidRPr="00C84DE4">
              <w:rPr>
                <w:rFonts w:cs="Times New Roman"/>
                <w:szCs w:val="24"/>
                <w:vertAlign w:val="superscript"/>
              </w:rPr>
              <w:t>-2</w:t>
            </w:r>
            <w:r w:rsidRPr="00C84DE4">
              <w:rPr>
                <w:rFonts w:cs="Times New Roman"/>
                <w:szCs w:val="24"/>
              </w:rPr>
              <w:t xml:space="preserve"> yr</w:t>
            </w:r>
            <w:r w:rsidRPr="00C84DE4">
              <w:rPr>
                <w:rFonts w:cs="Times New Roman"/>
                <w:szCs w:val="24"/>
                <w:vertAlign w:val="superscript"/>
              </w:rPr>
              <w:t>-1</w:t>
            </w:r>
            <w:r w:rsidRPr="00C84DE4">
              <w:rPr>
                <w:rFonts w:cs="Times New Roman"/>
                <w:szCs w:val="24"/>
              </w:rPr>
              <w:t>)</w:t>
            </w:r>
          </w:p>
        </w:tc>
        <w:tc>
          <w:tcPr>
            <w:tcW w:w="3150" w:type="dxa"/>
            <w:tcBorders>
              <w:bottom w:val="single" w:sz="4" w:space="0" w:color="auto"/>
            </w:tcBorders>
            <w:shd w:val="clear" w:color="auto" w:fill="auto"/>
            <w:noWrap/>
            <w:vAlign w:val="center"/>
            <w:hideMark/>
          </w:tcPr>
          <w:p w14:paraId="5BB5E7E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Total Emergence</w:t>
            </w:r>
          </w:p>
          <w:p w14:paraId="6C8D9441" w14:textId="77777777" w:rsidR="009D454A" w:rsidRPr="00C84DE4" w:rsidRDefault="009D454A" w:rsidP="00360C46">
            <w:pPr>
              <w:spacing w:after="0"/>
              <w:jc w:val="center"/>
              <w:rPr>
                <w:rFonts w:eastAsia="Times New Roman" w:cs="Times New Roman"/>
                <w:color w:val="000000"/>
                <w:szCs w:val="24"/>
              </w:rPr>
            </w:pPr>
            <w:r w:rsidRPr="00C84DE4">
              <w:rPr>
                <w:rFonts w:cs="Times New Roman"/>
                <w:bCs/>
                <w:szCs w:val="24"/>
              </w:rPr>
              <w:t>(</w:t>
            </w:r>
            <w:proofErr w:type="spellStart"/>
            <w:r>
              <w:rPr>
                <w:rFonts w:cs="Times New Roman"/>
                <w:szCs w:val="24"/>
              </w:rPr>
              <w:t>t</w:t>
            </w:r>
            <w:r w:rsidRPr="00C84DE4">
              <w:rPr>
                <w:rFonts w:cs="Times New Roman"/>
                <w:szCs w:val="24"/>
              </w:rPr>
              <w:t>AFDM</w:t>
            </w:r>
            <w:proofErr w:type="spellEnd"/>
            <w:r w:rsidRPr="00C84DE4">
              <w:rPr>
                <w:rFonts w:cs="Times New Roman"/>
                <w:szCs w:val="24"/>
              </w:rPr>
              <w:t xml:space="preserve"> yr</w:t>
            </w:r>
            <w:r w:rsidRPr="00C84DE4">
              <w:rPr>
                <w:rFonts w:cs="Times New Roman"/>
                <w:szCs w:val="24"/>
                <w:vertAlign w:val="superscript"/>
              </w:rPr>
              <w:t>-1</w:t>
            </w:r>
            <w:r w:rsidRPr="00C84DE4">
              <w:rPr>
                <w:rFonts w:cs="Times New Roman"/>
                <w:szCs w:val="24"/>
              </w:rPr>
              <w:t>)</w:t>
            </w:r>
          </w:p>
        </w:tc>
      </w:tr>
      <w:tr w:rsidR="009D454A" w:rsidRPr="00777AD8" w14:paraId="423AA872" w14:textId="77777777" w:rsidTr="00360C46">
        <w:trPr>
          <w:trHeight w:val="290"/>
        </w:trPr>
        <w:tc>
          <w:tcPr>
            <w:tcW w:w="900" w:type="dxa"/>
            <w:tcBorders>
              <w:top w:val="single" w:sz="4" w:space="0" w:color="auto"/>
            </w:tcBorders>
            <w:shd w:val="clear" w:color="auto" w:fill="auto"/>
            <w:noWrap/>
            <w:vAlign w:val="center"/>
            <w:hideMark/>
          </w:tcPr>
          <w:p w14:paraId="7B3B56A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01</w:t>
            </w:r>
          </w:p>
        </w:tc>
        <w:tc>
          <w:tcPr>
            <w:tcW w:w="2267" w:type="dxa"/>
            <w:tcBorders>
              <w:top w:val="single" w:sz="4" w:space="0" w:color="auto"/>
            </w:tcBorders>
            <w:shd w:val="clear" w:color="auto" w:fill="auto"/>
            <w:noWrap/>
            <w:vAlign w:val="center"/>
            <w:hideMark/>
          </w:tcPr>
          <w:p w14:paraId="2E790A4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Northeast</w:t>
            </w:r>
          </w:p>
        </w:tc>
        <w:tc>
          <w:tcPr>
            <w:tcW w:w="1328" w:type="dxa"/>
            <w:tcBorders>
              <w:top w:val="single" w:sz="4" w:space="0" w:color="auto"/>
            </w:tcBorders>
            <w:shd w:val="clear" w:color="auto" w:fill="auto"/>
            <w:noWrap/>
            <w:vAlign w:val="center"/>
            <w:hideMark/>
          </w:tcPr>
          <w:p w14:paraId="748D3C0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48517</w:t>
            </w:r>
          </w:p>
        </w:tc>
        <w:tc>
          <w:tcPr>
            <w:tcW w:w="1890" w:type="dxa"/>
            <w:tcBorders>
              <w:top w:val="single" w:sz="4" w:space="0" w:color="auto"/>
            </w:tcBorders>
            <w:shd w:val="clear" w:color="auto" w:fill="auto"/>
            <w:noWrap/>
            <w:vAlign w:val="center"/>
            <w:hideMark/>
          </w:tcPr>
          <w:p w14:paraId="6945F09A"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0.57 (0.18, 1.84)</w:t>
            </w:r>
          </w:p>
        </w:tc>
        <w:tc>
          <w:tcPr>
            <w:tcW w:w="2250" w:type="dxa"/>
            <w:tcBorders>
              <w:top w:val="single" w:sz="4" w:space="0" w:color="auto"/>
            </w:tcBorders>
            <w:shd w:val="clear" w:color="auto" w:fill="auto"/>
            <w:noWrap/>
            <w:vAlign w:val="center"/>
            <w:hideMark/>
          </w:tcPr>
          <w:p w14:paraId="3B2C262D"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0.64 (0.05, 5.21)</w:t>
            </w:r>
          </w:p>
        </w:tc>
        <w:tc>
          <w:tcPr>
            <w:tcW w:w="3150" w:type="dxa"/>
            <w:tcBorders>
              <w:top w:val="single" w:sz="4" w:space="0" w:color="auto"/>
            </w:tcBorders>
            <w:shd w:val="clear" w:color="auto" w:fill="auto"/>
            <w:noWrap/>
            <w:vAlign w:val="center"/>
            <w:hideMark/>
          </w:tcPr>
          <w:p w14:paraId="27C16B35"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665.36 (27.33, 22808.79)</w:t>
            </w:r>
          </w:p>
        </w:tc>
      </w:tr>
      <w:tr w:rsidR="009D454A" w:rsidRPr="00777AD8" w14:paraId="422B16F5" w14:textId="77777777" w:rsidTr="00360C46">
        <w:trPr>
          <w:trHeight w:val="290"/>
        </w:trPr>
        <w:tc>
          <w:tcPr>
            <w:tcW w:w="900" w:type="dxa"/>
            <w:shd w:val="clear" w:color="auto" w:fill="auto"/>
            <w:noWrap/>
            <w:vAlign w:val="center"/>
            <w:hideMark/>
          </w:tcPr>
          <w:p w14:paraId="5F5CEF3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02</w:t>
            </w:r>
          </w:p>
        </w:tc>
        <w:tc>
          <w:tcPr>
            <w:tcW w:w="2267" w:type="dxa"/>
            <w:shd w:val="clear" w:color="auto" w:fill="auto"/>
            <w:noWrap/>
            <w:vAlign w:val="center"/>
            <w:hideMark/>
          </w:tcPr>
          <w:p w14:paraId="0B52B82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Mid Atlantic</w:t>
            </w:r>
          </w:p>
        </w:tc>
        <w:tc>
          <w:tcPr>
            <w:tcW w:w="1328" w:type="dxa"/>
            <w:shd w:val="clear" w:color="auto" w:fill="auto"/>
            <w:noWrap/>
            <w:vAlign w:val="center"/>
            <w:hideMark/>
          </w:tcPr>
          <w:p w14:paraId="7F6E699B"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104309</w:t>
            </w:r>
          </w:p>
        </w:tc>
        <w:tc>
          <w:tcPr>
            <w:tcW w:w="1890" w:type="dxa"/>
            <w:shd w:val="clear" w:color="auto" w:fill="auto"/>
            <w:noWrap/>
            <w:vAlign w:val="center"/>
            <w:hideMark/>
          </w:tcPr>
          <w:p w14:paraId="49D6522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0.39 (0.12, 1.25)</w:t>
            </w:r>
          </w:p>
        </w:tc>
        <w:tc>
          <w:tcPr>
            <w:tcW w:w="2250" w:type="dxa"/>
            <w:shd w:val="clear" w:color="auto" w:fill="auto"/>
            <w:noWrap/>
            <w:vAlign w:val="center"/>
            <w:hideMark/>
          </w:tcPr>
          <w:p w14:paraId="3E1B4D5B"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0.98 (0.2, 11.3)</w:t>
            </w:r>
          </w:p>
        </w:tc>
        <w:tc>
          <w:tcPr>
            <w:tcW w:w="3150" w:type="dxa"/>
            <w:shd w:val="clear" w:color="auto" w:fill="auto"/>
            <w:noWrap/>
            <w:vAlign w:val="center"/>
            <w:hideMark/>
          </w:tcPr>
          <w:p w14:paraId="3873811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2268.51 (138.83, 95092.48)</w:t>
            </w:r>
          </w:p>
        </w:tc>
      </w:tr>
      <w:tr w:rsidR="009D454A" w:rsidRPr="00777AD8" w14:paraId="5F29B9F3" w14:textId="77777777" w:rsidTr="00360C46">
        <w:trPr>
          <w:trHeight w:val="290"/>
        </w:trPr>
        <w:tc>
          <w:tcPr>
            <w:tcW w:w="900" w:type="dxa"/>
            <w:shd w:val="clear" w:color="auto" w:fill="auto"/>
            <w:noWrap/>
            <w:vAlign w:val="center"/>
            <w:hideMark/>
          </w:tcPr>
          <w:p w14:paraId="0A1C8E2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03N</w:t>
            </w:r>
          </w:p>
        </w:tc>
        <w:tc>
          <w:tcPr>
            <w:tcW w:w="2267" w:type="dxa"/>
            <w:shd w:val="clear" w:color="auto" w:fill="auto"/>
            <w:noWrap/>
            <w:vAlign w:val="center"/>
            <w:hideMark/>
          </w:tcPr>
          <w:p w14:paraId="0486E74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South Atlantic North</w:t>
            </w:r>
          </w:p>
        </w:tc>
        <w:tc>
          <w:tcPr>
            <w:tcW w:w="1328" w:type="dxa"/>
            <w:shd w:val="clear" w:color="auto" w:fill="auto"/>
            <w:noWrap/>
            <w:vAlign w:val="center"/>
            <w:hideMark/>
          </w:tcPr>
          <w:p w14:paraId="4664737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106026</w:t>
            </w:r>
          </w:p>
        </w:tc>
        <w:tc>
          <w:tcPr>
            <w:tcW w:w="1890" w:type="dxa"/>
            <w:shd w:val="clear" w:color="auto" w:fill="auto"/>
            <w:noWrap/>
            <w:vAlign w:val="center"/>
            <w:hideMark/>
          </w:tcPr>
          <w:p w14:paraId="16ADF3F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0.34 (0.11, 1.11)</w:t>
            </w:r>
          </w:p>
        </w:tc>
        <w:tc>
          <w:tcPr>
            <w:tcW w:w="2250" w:type="dxa"/>
            <w:shd w:val="clear" w:color="auto" w:fill="auto"/>
            <w:noWrap/>
            <w:vAlign w:val="center"/>
            <w:hideMark/>
          </w:tcPr>
          <w:p w14:paraId="2A7642B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4.52 (0.29, 26.62)</w:t>
            </w:r>
          </w:p>
        </w:tc>
        <w:tc>
          <w:tcPr>
            <w:tcW w:w="3150" w:type="dxa"/>
            <w:shd w:val="clear" w:color="auto" w:fill="auto"/>
            <w:noWrap/>
            <w:vAlign w:val="center"/>
            <w:hideMark/>
          </w:tcPr>
          <w:p w14:paraId="15EA78D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6835.99 (113.67, 104386.46)</w:t>
            </w:r>
          </w:p>
        </w:tc>
      </w:tr>
      <w:tr w:rsidR="009D454A" w:rsidRPr="00777AD8" w14:paraId="68C41B6D" w14:textId="77777777" w:rsidTr="00360C46">
        <w:trPr>
          <w:trHeight w:val="290"/>
        </w:trPr>
        <w:tc>
          <w:tcPr>
            <w:tcW w:w="900" w:type="dxa"/>
            <w:shd w:val="clear" w:color="auto" w:fill="auto"/>
            <w:noWrap/>
            <w:vAlign w:val="center"/>
            <w:hideMark/>
          </w:tcPr>
          <w:p w14:paraId="5ECF78D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03S</w:t>
            </w:r>
          </w:p>
        </w:tc>
        <w:tc>
          <w:tcPr>
            <w:tcW w:w="2267" w:type="dxa"/>
            <w:shd w:val="clear" w:color="auto" w:fill="auto"/>
            <w:noWrap/>
            <w:vAlign w:val="center"/>
            <w:hideMark/>
          </w:tcPr>
          <w:p w14:paraId="585AC61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South Atlantic South</w:t>
            </w:r>
          </w:p>
        </w:tc>
        <w:tc>
          <w:tcPr>
            <w:tcW w:w="1328" w:type="dxa"/>
            <w:shd w:val="clear" w:color="auto" w:fill="auto"/>
            <w:noWrap/>
            <w:vAlign w:val="center"/>
            <w:hideMark/>
          </w:tcPr>
          <w:p w14:paraId="2D6E23DE"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39430</w:t>
            </w:r>
          </w:p>
        </w:tc>
        <w:tc>
          <w:tcPr>
            <w:tcW w:w="1890" w:type="dxa"/>
            <w:shd w:val="clear" w:color="auto" w:fill="auto"/>
            <w:noWrap/>
            <w:vAlign w:val="center"/>
            <w:hideMark/>
          </w:tcPr>
          <w:p w14:paraId="7562C85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0.31 (0.09, 1.03)</w:t>
            </w:r>
          </w:p>
        </w:tc>
        <w:tc>
          <w:tcPr>
            <w:tcW w:w="2250" w:type="dxa"/>
            <w:shd w:val="clear" w:color="auto" w:fill="auto"/>
            <w:noWrap/>
            <w:vAlign w:val="center"/>
            <w:hideMark/>
          </w:tcPr>
          <w:p w14:paraId="69ADE4B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4.39 (0.21, 27.61)</w:t>
            </w:r>
          </w:p>
        </w:tc>
        <w:tc>
          <w:tcPr>
            <w:tcW w:w="3150" w:type="dxa"/>
            <w:shd w:val="clear" w:color="auto" w:fill="auto"/>
            <w:noWrap/>
            <w:vAlign w:val="center"/>
            <w:hideMark/>
          </w:tcPr>
          <w:p w14:paraId="4F2C123A"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2318.26 (32.81, 45313.48)</w:t>
            </w:r>
          </w:p>
        </w:tc>
      </w:tr>
      <w:tr w:rsidR="009D454A" w:rsidRPr="00777AD8" w14:paraId="3F99E008" w14:textId="77777777" w:rsidTr="00360C46">
        <w:trPr>
          <w:trHeight w:val="290"/>
        </w:trPr>
        <w:tc>
          <w:tcPr>
            <w:tcW w:w="900" w:type="dxa"/>
            <w:shd w:val="clear" w:color="auto" w:fill="auto"/>
            <w:noWrap/>
            <w:vAlign w:val="center"/>
            <w:hideMark/>
          </w:tcPr>
          <w:p w14:paraId="465D151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03W</w:t>
            </w:r>
          </w:p>
        </w:tc>
        <w:tc>
          <w:tcPr>
            <w:tcW w:w="2267" w:type="dxa"/>
            <w:shd w:val="clear" w:color="auto" w:fill="auto"/>
            <w:noWrap/>
            <w:vAlign w:val="center"/>
            <w:hideMark/>
          </w:tcPr>
          <w:p w14:paraId="7BFDF94D"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South Atlantic West</w:t>
            </w:r>
          </w:p>
        </w:tc>
        <w:tc>
          <w:tcPr>
            <w:tcW w:w="1328" w:type="dxa"/>
            <w:shd w:val="clear" w:color="auto" w:fill="auto"/>
            <w:noWrap/>
            <w:vAlign w:val="center"/>
            <w:hideMark/>
          </w:tcPr>
          <w:p w14:paraId="5951EDCA"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119572</w:t>
            </w:r>
          </w:p>
        </w:tc>
        <w:tc>
          <w:tcPr>
            <w:tcW w:w="1890" w:type="dxa"/>
            <w:shd w:val="clear" w:color="auto" w:fill="auto"/>
            <w:noWrap/>
            <w:vAlign w:val="center"/>
            <w:hideMark/>
          </w:tcPr>
          <w:p w14:paraId="371C511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0.35 (0.11, 1.13)</w:t>
            </w:r>
          </w:p>
        </w:tc>
        <w:tc>
          <w:tcPr>
            <w:tcW w:w="2250" w:type="dxa"/>
            <w:shd w:val="clear" w:color="auto" w:fill="auto"/>
            <w:noWrap/>
            <w:vAlign w:val="center"/>
            <w:hideMark/>
          </w:tcPr>
          <w:p w14:paraId="5460097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4.61 (0.23, 28.67)</w:t>
            </w:r>
          </w:p>
        </w:tc>
        <w:tc>
          <w:tcPr>
            <w:tcW w:w="3150" w:type="dxa"/>
            <w:shd w:val="clear" w:color="auto" w:fill="auto"/>
            <w:noWrap/>
            <w:vAlign w:val="center"/>
            <w:hideMark/>
          </w:tcPr>
          <w:p w14:paraId="03571A55"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5893.01 (92.46, 119511.73)</w:t>
            </w:r>
          </w:p>
        </w:tc>
      </w:tr>
      <w:tr w:rsidR="009D454A" w:rsidRPr="00777AD8" w14:paraId="3803E368" w14:textId="77777777" w:rsidTr="00360C46">
        <w:trPr>
          <w:trHeight w:val="290"/>
        </w:trPr>
        <w:tc>
          <w:tcPr>
            <w:tcW w:w="900" w:type="dxa"/>
            <w:shd w:val="clear" w:color="auto" w:fill="auto"/>
            <w:noWrap/>
            <w:vAlign w:val="center"/>
            <w:hideMark/>
          </w:tcPr>
          <w:p w14:paraId="0D3472BE"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04</w:t>
            </w:r>
          </w:p>
        </w:tc>
        <w:tc>
          <w:tcPr>
            <w:tcW w:w="2267" w:type="dxa"/>
            <w:shd w:val="clear" w:color="auto" w:fill="auto"/>
            <w:noWrap/>
            <w:vAlign w:val="center"/>
            <w:hideMark/>
          </w:tcPr>
          <w:p w14:paraId="3022A2B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Great Lakes</w:t>
            </w:r>
          </w:p>
        </w:tc>
        <w:tc>
          <w:tcPr>
            <w:tcW w:w="1328" w:type="dxa"/>
            <w:shd w:val="clear" w:color="auto" w:fill="auto"/>
            <w:noWrap/>
            <w:vAlign w:val="center"/>
            <w:hideMark/>
          </w:tcPr>
          <w:p w14:paraId="3BC90918"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84205</w:t>
            </w:r>
          </w:p>
        </w:tc>
        <w:tc>
          <w:tcPr>
            <w:tcW w:w="1890" w:type="dxa"/>
            <w:shd w:val="clear" w:color="auto" w:fill="auto"/>
            <w:noWrap/>
            <w:vAlign w:val="center"/>
            <w:hideMark/>
          </w:tcPr>
          <w:p w14:paraId="2A6EA38E"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0.48 (0.15, 1.54)</w:t>
            </w:r>
          </w:p>
        </w:tc>
        <w:tc>
          <w:tcPr>
            <w:tcW w:w="2250" w:type="dxa"/>
            <w:shd w:val="clear" w:color="auto" w:fill="auto"/>
            <w:noWrap/>
            <w:vAlign w:val="center"/>
            <w:hideMark/>
          </w:tcPr>
          <w:p w14:paraId="71853D2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0.89 (0.08, 7.18)</w:t>
            </w:r>
          </w:p>
        </w:tc>
        <w:tc>
          <w:tcPr>
            <w:tcW w:w="3150" w:type="dxa"/>
            <w:shd w:val="clear" w:color="auto" w:fill="auto"/>
            <w:noWrap/>
            <w:vAlign w:val="center"/>
            <w:hideMark/>
          </w:tcPr>
          <w:p w14:paraId="1F87CE5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1767.24 (53.21, 58367.21)</w:t>
            </w:r>
          </w:p>
        </w:tc>
      </w:tr>
      <w:tr w:rsidR="009D454A" w:rsidRPr="00777AD8" w14:paraId="45C89670" w14:textId="77777777" w:rsidTr="00360C46">
        <w:trPr>
          <w:trHeight w:val="290"/>
        </w:trPr>
        <w:tc>
          <w:tcPr>
            <w:tcW w:w="900" w:type="dxa"/>
            <w:shd w:val="clear" w:color="auto" w:fill="auto"/>
            <w:noWrap/>
            <w:vAlign w:val="center"/>
            <w:hideMark/>
          </w:tcPr>
          <w:p w14:paraId="0837D3AB"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05</w:t>
            </w:r>
          </w:p>
        </w:tc>
        <w:tc>
          <w:tcPr>
            <w:tcW w:w="2267" w:type="dxa"/>
            <w:shd w:val="clear" w:color="auto" w:fill="auto"/>
            <w:noWrap/>
            <w:vAlign w:val="center"/>
            <w:hideMark/>
          </w:tcPr>
          <w:p w14:paraId="60BFF42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Ohio</w:t>
            </w:r>
          </w:p>
        </w:tc>
        <w:tc>
          <w:tcPr>
            <w:tcW w:w="1328" w:type="dxa"/>
            <w:shd w:val="clear" w:color="auto" w:fill="auto"/>
            <w:noWrap/>
            <w:vAlign w:val="center"/>
            <w:hideMark/>
          </w:tcPr>
          <w:p w14:paraId="3F065C6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156150</w:t>
            </w:r>
          </w:p>
        </w:tc>
        <w:tc>
          <w:tcPr>
            <w:tcW w:w="1890" w:type="dxa"/>
            <w:shd w:val="clear" w:color="auto" w:fill="auto"/>
            <w:noWrap/>
            <w:vAlign w:val="center"/>
            <w:hideMark/>
          </w:tcPr>
          <w:p w14:paraId="7212B16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0.41 (0.13, 1.31)</w:t>
            </w:r>
          </w:p>
        </w:tc>
        <w:tc>
          <w:tcPr>
            <w:tcW w:w="2250" w:type="dxa"/>
            <w:shd w:val="clear" w:color="auto" w:fill="auto"/>
            <w:noWrap/>
            <w:vAlign w:val="center"/>
            <w:hideMark/>
          </w:tcPr>
          <w:p w14:paraId="522CB72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1.69 (0.26, 15.62)</w:t>
            </w:r>
          </w:p>
        </w:tc>
        <w:tc>
          <w:tcPr>
            <w:tcW w:w="3150" w:type="dxa"/>
            <w:shd w:val="clear" w:color="auto" w:fill="auto"/>
            <w:noWrap/>
            <w:vAlign w:val="center"/>
            <w:hideMark/>
          </w:tcPr>
          <w:p w14:paraId="187B1B0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5650.91 (275.69, 191600.81)</w:t>
            </w:r>
          </w:p>
        </w:tc>
      </w:tr>
      <w:tr w:rsidR="009D454A" w:rsidRPr="00777AD8" w14:paraId="4E165334" w14:textId="77777777" w:rsidTr="00360C46">
        <w:trPr>
          <w:trHeight w:val="290"/>
        </w:trPr>
        <w:tc>
          <w:tcPr>
            <w:tcW w:w="900" w:type="dxa"/>
            <w:shd w:val="clear" w:color="auto" w:fill="auto"/>
            <w:noWrap/>
            <w:vAlign w:val="center"/>
            <w:hideMark/>
          </w:tcPr>
          <w:p w14:paraId="3B4017B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06</w:t>
            </w:r>
          </w:p>
        </w:tc>
        <w:tc>
          <w:tcPr>
            <w:tcW w:w="2267" w:type="dxa"/>
            <w:shd w:val="clear" w:color="auto" w:fill="auto"/>
            <w:noWrap/>
            <w:vAlign w:val="center"/>
            <w:hideMark/>
          </w:tcPr>
          <w:p w14:paraId="24D97BFA"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Tennessee</w:t>
            </w:r>
          </w:p>
        </w:tc>
        <w:tc>
          <w:tcPr>
            <w:tcW w:w="1328" w:type="dxa"/>
            <w:shd w:val="clear" w:color="auto" w:fill="auto"/>
            <w:noWrap/>
            <w:vAlign w:val="center"/>
            <w:hideMark/>
          </w:tcPr>
          <w:p w14:paraId="4675F2C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50640</w:t>
            </w:r>
          </w:p>
        </w:tc>
        <w:tc>
          <w:tcPr>
            <w:tcW w:w="1890" w:type="dxa"/>
            <w:shd w:val="clear" w:color="auto" w:fill="auto"/>
            <w:noWrap/>
            <w:vAlign w:val="center"/>
            <w:hideMark/>
          </w:tcPr>
          <w:p w14:paraId="35EF5E5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0.51 (0.16, 1.7)</w:t>
            </w:r>
          </w:p>
        </w:tc>
        <w:tc>
          <w:tcPr>
            <w:tcW w:w="2250" w:type="dxa"/>
            <w:shd w:val="clear" w:color="auto" w:fill="auto"/>
            <w:noWrap/>
            <w:vAlign w:val="center"/>
            <w:hideMark/>
          </w:tcPr>
          <w:p w14:paraId="3B01E85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2.86 (0.28, 27.2)</w:t>
            </w:r>
          </w:p>
        </w:tc>
        <w:tc>
          <w:tcPr>
            <w:tcW w:w="3150" w:type="dxa"/>
            <w:shd w:val="clear" w:color="auto" w:fill="auto"/>
            <w:noWrap/>
            <w:vAlign w:val="center"/>
            <w:hideMark/>
          </w:tcPr>
          <w:p w14:paraId="533C5F0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1864.29 (52.52, 54516.6)</w:t>
            </w:r>
          </w:p>
        </w:tc>
      </w:tr>
      <w:tr w:rsidR="009D454A" w:rsidRPr="00777AD8" w14:paraId="489E9781" w14:textId="77777777" w:rsidTr="00360C46">
        <w:trPr>
          <w:trHeight w:val="290"/>
        </w:trPr>
        <w:tc>
          <w:tcPr>
            <w:tcW w:w="900" w:type="dxa"/>
            <w:shd w:val="clear" w:color="auto" w:fill="auto"/>
            <w:noWrap/>
            <w:vAlign w:val="center"/>
            <w:hideMark/>
          </w:tcPr>
          <w:p w14:paraId="4982CC8E"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07</w:t>
            </w:r>
          </w:p>
        </w:tc>
        <w:tc>
          <w:tcPr>
            <w:tcW w:w="2267" w:type="dxa"/>
            <w:shd w:val="clear" w:color="auto" w:fill="auto"/>
            <w:noWrap/>
            <w:vAlign w:val="center"/>
            <w:hideMark/>
          </w:tcPr>
          <w:p w14:paraId="39EE352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Upper Mississippi</w:t>
            </w:r>
          </w:p>
        </w:tc>
        <w:tc>
          <w:tcPr>
            <w:tcW w:w="1328" w:type="dxa"/>
            <w:shd w:val="clear" w:color="auto" w:fill="auto"/>
            <w:noWrap/>
            <w:vAlign w:val="center"/>
            <w:hideMark/>
          </w:tcPr>
          <w:p w14:paraId="027B1E8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161349</w:t>
            </w:r>
          </w:p>
        </w:tc>
        <w:tc>
          <w:tcPr>
            <w:tcW w:w="1890" w:type="dxa"/>
            <w:shd w:val="clear" w:color="auto" w:fill="auto"/>
            <w:noWrap/>
            <w:vAlign w:val="center"/>
            <w:hideMark/>
          </w:tcPr>
          <w:p w14:paraId="484DC07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0.36 (0.11, 1.16)</w:t>
            </w:r>
          </w:p>
        </w:tc>
        <w:tc>
          <w:tcPr>
            <w:tcW w:w="2250" w:type="dxa"/>
            <w:shd w:val="clear" w:color="auto" w:fill="auto"/>
            <w:noWrap/>
            <w:vAlign w:val="center"/>
            <w:hideMark/>
          </w:tcPr>
          <w:p w14:paraId="69DE206D"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1.34 (0.13, 11.09)</w:t>
            </w:r>
          </w:p>
        </w:tc>
        <w:tc>
          <w:tcPr>
            <w:tcW w:w="3150" w:type="dxa"/>
            <w:shd w:val="clear" w:color="auto" w:fill="auto"/>
            <w:noWrap/>
            <w:vAlign w:val="center"/>
            <w:hideMark/>
          </w:tcPr>
          <w:p w14:paraId="098EDC1A"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5492.72 (191.11, 225283.46)</w:t>
            </w:r>
          </w:p>
        </w:tc>
      </w:tr>
      <w:tr w:rsidR="009D454A" w:rsidRPr="00777AD8" w14:paraId="33256DB2" w14:textId="77777777" w:rsidTr="00360C46">
        <w:trPr>
          <w:trHeight w:val="290"/>
        </w:trPr>
        <w:tc>
          <w:tcPr>
            <w:tcW w:w="900" w:type="dxa"/>
            <w:shd w:val="clear" w:color="auto" w:fill="auto"/>
            <w:noWrap/>
            <w:vAlign w:val="center"/>
            <w:hideMark/>
          </w:tcPr>
          <w:p w14:paraId="0727035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08</w:t>
            </w:r>
          </w:p>
        </w:tc>
        <w:tc>
          <w:tcPr>
            <w:tcW w:w="2267" w:type="dxa"/>
            <w:shd w:val="clear" w:color="auto" w:fill="auto"/>
            <w:noWrap/>
            <w:vAlign w:val="center"/>
            <w:hideMark/>
          </w:tcPr>
          <w:p w14:paraId="7EB7BB0D"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Lower Mississippi</w:t>
            </w:r>
          </w:p>
        </w:tc>
        <w:tc>
          <w:tcPr>
            <w:tcW w:w="1328" w:type="dxa"/>
            <w:shd w:val="clear" w:color="auto" w:fill="auto"/>
            <w:noWrap/>
            <w:vAlign w:val="center"/>
            <w:hideMark/>
          </w:tcPr>
          <w:p w14:paraId="698FE67E"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121472</w:t>
            </w:r>
          </w:p>
        </w:tc>
        <w:tc>
          <w:tcPr>
            <w:tcW w:w="1890" w:type="dxa"/>
            <w:shd w:val="clear" w:color="auto" w:fill="auto"/>
            <w:noWrap/>
            <w:vAlign w:val="center"/>
            <w:hideMark/>
          </w:tcPr>
          <w:p w14:paraId="508A6AE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0.44 (0.14, 1.43)</w:t>
            </w:r>
          </w:p>
        </w:tc>
        <w:tc>
          <w:tcPr>
            <w:tcW w:w="2250" w:type="dxa"/>
            <w:shd w:val="clear" w:color="auto" w:fill="auto"/>
            <w:noWrap/>
            <w:vAlign w:val="center"/>
            <w:hideMark/>
          </w:tcPr>
          <w:p w14:paraId="6933244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4.06 (0.25, 28.05)</w:t>
            </w:r>
          </w:p>
        </w:tc>
        <w:tc>
          <w:tcPr>
            <w:tcW w:w="3150" w:type="dxa"/>
            <w:shd w:val="clear" w:color="auto" w:fill="auto"/>
            <w:noWrap/>
            <w:vAlign w:val="center"/>
            <w:hideMark/>
          </w:tcPr>
          <w:p w14:paraId="6A03E998"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18165.01 (314.6, 478631.07)</w:t>
            </w:r>
          </w:p>
        </w:tc>
      </w:tr>
      <w:tr w:rsidR="009D454A" w:rsidRPr="00777AD8" w14:paraId="19CE322A" w14:textId="77777777" w:rsidTr="00360C46">
        <w:trPr>
          <w:trHeight w:val="290"/>
        </w:trPr>
        <w:tc>
          <w:tcPr>
            <w:tcW w:w="900" w:type="dxa"/>
            <w:shd w:val="clear" w:color="auto" w:fill="auto"/>
            <w:noWrap/>
            <w:vAlign w:val="center"/>
            <w:hideMark/>
          </w:tcPr>
          <w:p w14:paraId="3DEE1AB5"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09</w:t>
            </w:r>
          </w:p>
        </w:tc>
        <w:tc>
          <w:tcPr>
            <w:tcW w:w="2267" w:type="dxa"/>
            <w:shd w:val="clear" w:color="auto" w:fill="auto"/>
            <w:noWrap/>
            <w:vAlign w:val="center"/>
            <w:hideMark/>
          </w:tcPr>
          <w:p w14:paraId="728371CF"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Souris Red Rainy</w:t>
            </w:r>
          </w:p>
        </w:tc>
        <w:tc>
          <w:tcPr>
            <w:tcW w:w="1328" w:type="dxa"/>
            <w:shd w:val="clear" w:color="auto" w:fill="auto"/>
            <w:noWrap/>
            <w:vAlign w:val="center"/>
            <w:hideMark/>
          </w:tcPr>
          <w:p w14:paraId="37B20D28"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20842</w:t>
            </w:r>
          </w:p>
        </w:tc>
        <w:tc>
          <w:tcPr>
            <w:tcW w:w="1890" w:type="dxa"/>
            <w:shd w:val="clear" w:color="auto" w:fill="auto"/>
            <w:noWrap/>
            <w:vAlign w:val="center"/>
            <w:hideMark/>
          </w:tcPr>
          <w:p w14:paraId="44AF9438"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0.37 (0.11, 1.23)</w:t>
            </w:r>
          </w:p>
        </w:tc>
        <w:tc>
          <w:tcPr>
            <w:tcW w:w="2250" w:type="dxa"/>
            <w:shd w:val="clear" w:color="auto" w:fill="auto"/>
            <w:noWrap/>
            <w:vAlign w:val="center"/>
            <w:hideMark/>
          </w:tcPr>
          <w:p w14:paraId="1ED5F64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1.1 (0.06, 10.96)</w:t>
            </w:r>
          </w:p>
        </w:tc>
        <w:tc>
          <w:tcPr>
            <w:tcW w:w="3150" w:type="dxa"/>
            <w:shd w:val="clear" w:color="auto" w:fill="auto"/>
            <w:noWrap/>
            <w:vAlign w:val="center"/>
            <w:hideMark/>
          </w:tcPr>
          <w:p w14:paraId="11558B5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335.36 (8.42, 10742.9)</w:t>
            </w:r>
          </w:p>
        </w:tc>
      </w:tr>
      <w:tr w:rsidR="009D454A" w:rsidRPr="00777AD8" w14:paraId="3AAA4E09" w14:textId="77777777" w:rsidTr="00360C46">
        <w:trPr>
          <w:trHeight w:val="290"/>
        </w:trPr>
        <w:tc>
          <w:tcPr>
            <w:tcW w:w="900" w:type="dxa"/>
            <w:shd w:val="clear" w:color="auto" w:fill="auto"/>
            <w:noWrap/>
            <w:vAlign w:val="center"/>
            <w:hideMark/>
          </w:tcPr>
          <w:p w14:paraId="16672E48"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10L</w:t>
            </w:r>
          </w:p>
        </w:tc>
        <w:tc>
          <w:tcPr>
            <w:tcW w:w="2267" w:type="dxa"/>
            <w:shd w:val="clear" w:color="auto" w:fill="auto"/>
            <w:noWrap/>
            <w:vAlign w:val="center"/>
            <w:hideMark/>
          </w:tcPr>
          <w:p w14:paraId="0F673C6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Lower Missouri</w:t>
            </w:r>
          </w:p>
        </w:tc>
        <w:tc>
          <w:tcPr>
            <w:tcW w:w="1328" w:type="dxa"/>
            <w:shd w:val="clear" w:color="auto" w:fill="auto"/>
            <w:noWrap/>
            <w:vAlign w:val="center"/>
            <w:hideMark/>
          </w:tcPr>
          <w:p w14:paraId="0684F065"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177728</w:t>
            </w:r>
          </w:p>
        </w:tc>
        <w:tc>
          <w:tcPr>
            <w:tcW w:w="1890" w:type="dxa"/>
            <w:shd w:val="clear" w:color="auto" w:fill="auto"/>
            <w:noWrap/>
            <w:vAlign w:val="center"/>
            <w:hideMark/>
          </w:tcPr>
          <w:p w14:paraId="3507164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0.38 (0.12, 1.23)</w:t>
            </w:r>
          </w:p>
        </w:tc>
        <w:tc>
          <w:tcPr>
            <w:tcW w:w="2250" w:type="dxa"/>
            <w:shd w:val="clear" w:color="auto" w:fill="auto"/>
            <w:noWrap/>
            <w:vAlign w:val="center"/>
            <w:hideMark/>
          </w:tcPr>
          <w:p w14:paraId="6BEE757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2.34 (0.33, 11.06)</w:t>
            </w:r>
          </w:p>
        </w:tc>
        <w:tc>
          <w:tcPr>
            <w:tcW w:w="3150" w:type="dxa"/>
            <w:shd w:val="clear" w:color="auto" w:fill="auto"/>
            <w:noWrap/>
            <w:vAlign w:val="center"/>
            <w:hideMark/>
          </w:tcPr>
          <w:p w14:paraId="361E122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3817.04 (170.67, 57251.66)</w:t>
            </w:r>
          </w:p>
        </w:tc>
      </w:tr>
      <w:tr w:rsidR="009D454A" w:rsidRPr="00777AD8" w14:paraId="1A0763CC" w14:textId="77777777" w:rsidTr="00360C46">
        <w:trPr>
          <w:trHeight w:val="290"/>
        </w:trPr>
        <w:tc>
          <w:tcPr>
            <w:tcW w:w="900" w:type="dxa"/>
            <w:shd w:val="clear" w:color="auto" w:fill="auto"/>
            <w:noWrap/>
            <w:vAlign w:val="center"/>
            <w:hideMark/>
          </w:tcPr>
          <w:p w14:paraId="32808523"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10U</w:t>
            </w:r>
          </w:p>
        </w:tc>
        <w:tc>
          <w:tcPr>
            <w:tcW w:w="2267" w:type="dxa"/>
            <w:shd w:val="clear" w:color="auto" w:fill="auto"/>
            <w:noWrap/>
            <w:vAlign w:val="center"/>
            <w:hideMark/>
          </w:tcPr>
          <w:p w14:paraId="07806FB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Upper Missouri</w:t>
            </w:r>
          </w:p>
        </w:tc>
        <w:tc>
          <w:tcPr>
            <w:tcW w:w="1328" w:type="dxa"/>
            <w:shd w:val="clear" w:color="auto" w:fill="auto"/>
            <w:noWrap/>
            <w:vAlign w:val="center"/>
            <w:hideMark/>
          </w:tcPr>
          <w:p w14:paraId="6549F3A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220982</w:t>
            </w:r>
          </w:p>
        </w:tc>
        <w:tc>
          <w:tcPr>
            <w:tcW w:w="1890" w:type="dxa"/>
            <w:shd w:val="clear" w:color="auto" w:fill="auto"/>
            <w:noWrap/>
            <w:vAlign w:val="center"/>
            <w:hideMark/>
          </w:tcPr>
          <w:p w14:paraId="61152E6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0.18 (0.05, 0.56)</w:t>
            </w:r>
          </w:p>
        </w:tc>
        <w:tc>
          <w:tcPr>
            <w:tcW w:w="2250" w:type="dxa"/>
            <w:shd w:val="clear" w:color="auto" w:fill="auto"/>
            <w:noWrap/>
            <w:vAlign w:val="center"/>
            <w:hideMark/>
          </w:tcPr>
          <w:p w14:paraId="04A1EC0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1.6 (0.28, 10.29)</w:t>
            </w:r>
          </w:p>
        </w:tc>
        <w:tc>
          <w:tcPr>
            <w:tcW w:w="3150" w:type="dxa"/>
            <w:shd w:val="clear" w:color="auto" w:fill="auto"/>
            <w:noWrap/>
            <w:vAlign w:val="center"/>
            <w:hideMark/>
          </w:tcPr>
          <w:p w14:paraId="52E799E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2718.97 (143.89, 51284.86)</w:t>
            </w:r>
          </w:p>
        </w:tc>
      </w:tr>
      <w:tr w:rsidR="009D454A" w:rsidRPr="00777AD8" w14:paraId="3C74E1B9" w14:textId="77777777" w:rsidTr="00360C46">
        <w:trPr>
          <w:trHeight w:val="290"/>
        </w:trPr>
        <w:tc>
          <w:tcPr>
            <w:tcW w:w="900" w:type="dxa"/>
            <w:shd w:val="clear" w:color="auto" w:fill="auto"/>
            <w:noWrap/>
            <w:vAlign w:val="center"/>
            <w:hideMark/>
          </w:tcPr>
          <w:p w14:paraId="288C43C8"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11</w:t>
            </w:r>
          </w:p>
        </w:tc>
        <w:tc>
          <w:tcPr>
            <w:tcW w:w="2267" w:type="dxa"/>
            <w:shd w:val="clear" w:color="auto" w:fill="auto"/>
            <w:noWrap/>
            <w:vAlign w:val="center"/>
            <w:hideMark/>
          </w:tcPr>
          <w:p w14:paraId="28110BC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Arkansas Red White</w:t>
            </w:r>
          </w:p>
        </w:tc>
        <w:tc>
          <w:tcPr>
            <w:tcW w:w="1328" w:type="dxa"/>
            <w:shd w:val="clear" w:color="auto" w:fill="auto"/>
            <w:noWrap/>
            <w:vAlign w:val="center"/>
            <w:hideMark/>
          </w:tcPr>
          <w:p w14:paraId="30FC922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180216</w:t>
            </w:r>
          </w:p>
        </w:tc>
        <w:tc>
          <w:tcPr>
            <w:tcW w:w="1890" w:type="dxa"/>
            <w:shd w:val="clear" w:color="auto" w:fill="auto"/>
            <w:noWrap/>
            <w:vAlign w:val="center"/>
            <w:hideMark/>
          </w:tcPr>
          <w:p w14:paraId="647FADFE"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0.49 (0.15, 1.58)</w:t>
            </w:r>
          </w:p>
        </w:tc>
        <w:tc>
          <w:tcPr>
            <w:tcW w:w="2250" w:type="dxa"/>
            <w:shd w:val="clear" w:color="auto" w:fill="auto"/>
            <w:noWrap/>
            <w:vAlign w:val="center"/>
            <w:hideMark/>
          </w:tcPr>
          <w:p w14:paraId="1142E29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2.62 (0.25, 21.26)</w:t>
            </w:r>
          </w:p>
        </w:tc>
        <w:tc>
          <w:tcPr>
            <w:tcW w:w="3150" w:type="dxa"/>
            <w:shd w:val="clear" w:color="auto" w:fill="auto"/>
            <w:noWrap/>
            <w:vAlign w:val="center"/>
            <w:hideMark/>
          </w:tcPr>
          <w:p w14:paraId="4DFB4AE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6866.32 (171.79, 171125.38)</w:t>
            </w:r>
          </w:p>
        </w:tc>
      </w:tr>
      <w:tr w:rsidR="009D454A" w:rsidRPr="00777AD8" w14:paraId="47CC37E1" w14:textId="77777777" w:rsidTr="00360C46">
        <w:trPr>
          <w:trHeight w:val="290"/>
        </w:trPr>
        <w:tc>
          <w:tcPr>
            <w:tcW w:w="900" w:type="dxa"/>
            <w:shd w:val="clear" w:color="auto" w:fill="auto"/>
            <w:noWrap/>
            <w:vAlign w:val="center"/>
            <w:hideMark/>
          </w:tcPr>
          <w:p w14:paraId="6B044853"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12</w:t>
            </w:r>
          </w:p>
        </w:tc>
        <w:tc>
          <w:tcPr>
            <w:tcW w:w="2267" w:type="dxa"/>
            <w:shd w:val="clear" w:color="auto" w:fill="auto"/>
            <w:noWrap/>
            <w:vAlign w:val="center"/>
            <w:hideMark/>
          </w:tcPr>
          <w:p w14:paraId="1E579B5B"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Texas</w:t>
            </w:r>
          </w:p>
        </w:tc>
        <w:tc>
          <w:tcPr>
            <w:tcW w:w="1328" w:type="dxa"/>
            <w:shd w:val="clear" w:color="auto" w:fill="auto"/>
            <w:noWrap/>
            <w:vAlign w:val="center"/>
            <w:hideMark/>
          </w:tcPr>
          <w:p w14:paraId="21EFA7A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55108</w:t>
            </w:r>
          </w:p>
        </w:tc>
        <w:tc>
          <w:tcPr>
            <w:tcW w:w="1890" w:type="dxa"/>
            <w:shd w:val="clear" w:color="auto" w:fill="auto"/>
            <w:noWrap/>
            <w:vAlign w:val="center"/>
            <w:hideMark/>
          </w:tcPr>
          <w:p w14:paraId="01FEC6D3"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0.6 (0.19, 1.96)</w:t>
            </w:r>
          </w:p>
        </w:tc>
        <w:tc>
          <w:tcPr>
            <w:tcW w:w="2250" w:type="dxa"/>
            <w:shd w:val="clear" w:color="auto" w:fill="auto"/>
            <w:noWrap/>
            <w:vAlign w:val="center"/>
            <w:hideMark/>
          </w:tcPr>
          <w:p w14:paraId="261E3F6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3.3 (0.21, 27.37)</w:t>
            </w:r>
          </w:p>
        </w:tc>
        <w:tc>
          <w:tcPr>
            <w:tcW w:w="3150" w:type="dxa"/>
            <w:shd w:val="clear" w:color="auto" w:fill="auto"/>
            <w:noWrap/>
            <w:vAlign w:val="center"/>
            <w:hideMark/>
          </w:tcPr>
          <w:p w14:paraId="717244F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3937.76 (70.92, 94775.4)</w:t>
            </w:r>
          </w:p>
        </w:tc>
      </w:tr>
      <w:tr w:rsidR="009D454A" w:rsidRPr="00777AD8" w14:paraId="0AA101EB" w14:textId="77777777" w:rsidTr="00360C46">
        <w:trPr>
          <w:trHeight w:val="290"/>
        </w:trPr>
        <w:tc>
          <w:tcPr>
            <w:tcW w:w="900" w:type="dxa"/>
            <w:shd w:val="clear" w:color="auto" w:fill="auto"/>
            <w:noWrap/>
            <w:vAlign w:val="center"/>
            <w:hideMark/>
          </w:tcPr>
          <w:p w14:paraId="00889AAB"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13</w:t>
            </w:r>
          </w:p>
        </w:tc>
        <w:tc>
          <w:tcPr>
            <w:tcW w:w="2267" w:type="dxa"/>
            <w:shd w:val="clear" w:color="auto" w:fill="auto"/>
            <w:noWrap/>
            <w:vAlign w:val="center"/>
            <w:hideMark/>
          </w:tcPr>
          <w:p w14:paraId="13A2432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Rio Grande</w:t>
            </w:r>
          </w:p>
        </w:tc>
        <w:tc>
          <w:tcPr>
            <w:tcW w:w="1328" w:type="dxa"/>
            <w:shd w:val="clear" w:color="auto" w:fill="auto"/>
            <w:noWrap/>
            <w:vAlign w:val="center"/>
            <w:hideMark/>
          </w:tcPr>
          <w:p w14:paraId="52F5F48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50050</w:t>
            </w:r>
          </w:p>
        </w:tc>
        <w:tc>
          <w:tcPr>
            <w:tcW w:w="1890" w:type="dxa"/>
            <w:shd w:val="clear" w:color="auto" w:fill="auto"/>
            <w:noWrap/>
            <w:vAlign w:val="center"/>
            <w:hideMark/>
          </w:tcPr>
          <w:p w14:paraId="40B28C1D"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0.19 (0.06, 0.65)</w:t>
            </w:r>
          </w:p>
        </w:tc>
        <w:tc>
          <w:tcPr>
            <w:tcW w:w="2250" w:type="dxa"/>
            <w:shd w:val="clear" w:color="auto" w:fill="auto"/>
            <w:noWrap/>
            <w:vAlign w:val="center"/>
            <w:hideMark/>
          </w:tcPr>
          <w:p w14:paraId="1CB60503"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1.55 (0.17, 14.72)</w:t>
            </w:r>
          </w:p>
        </w:tc>
        <w:tc>
          <w:tcPr>
            <w:tcW w:w="3150" w:type="dxa"/>
            <w:shd w:val="clear" w:color="auto" w:fill="auto"/>
            <w:noWrap/>
            <w:vAlign w:val="center"/>
            <w:hideMark/>
          </w:tcPr>
          <w:p w14:paraId="0DEAFAB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1039.39 (26.45, 34285.53)</w:t>
            </w:r>
          </w:p>
        </w:tc>
      </w:tr>
      <w:tr w:rsidR="009D454A" w:rsidRPr="00777AD8" w14:paraId="0F598221" w14:textId="77777777" w:rsidTr="00360C46">
        <w:trPr>
          <w:trHeight w:val="290"/>
        </w:trPr>
        <w:tc>
          <w:tcPr>
            <w:tcW w:w="900" w:type="dxa"/>
            <w:shd w:val="clear" w:color="auto" w:fill="auto"/>
            <w:noWrap/>
            <w:vAlign w:val="center"/>
            <w:hideMark/>
          </w:tcPr>
          <w:p w14:paraId="5DD35A2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14</w:t>
            </w:r>
          </w:p>
        </w:tc>
        <w:tc>
          <w:tcPr>
            <w:tcW w:w="2267" w:type="dxa"/>
            <w:shd w:val="clear" w:color="auto" w:fill="auto"/>
            <w:noWrap/>
            <w:vAlign w:val="center"/>
            <w:hideMark/>
          </w:tcPr>
          <w:p w14:paraId="103581F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Upper Colorado</w:t>
            </w:r>
          </w:p>
        </w:tc>
        <w:tc>
          <w:tcPr>
            <w:tcW w:w="1328" w:type="dxa"/>
            <w:shd w:val="clear" w:color="auto" w:fill="auto"/>
            <w:noWrap/>
            <w:vAlign w:val="center"/>
            <w:hideMark/>
          </w:tcPr>
          <w:p w14:paraId="6FC7189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73492</w:t>
            </w:r>
          </w:p>
        </w:tc>
        <w:tc>
          <w:tcPr>
            <w:tcW w:w="1890" w:type="dxa"/>
            <w:shd w:val="clear" w:color="auto" w:fill="auto"/>
            <w:noWrap/>
            <w:vAlign w:val="center"/>
            <w:hideMark/>
          </w:tcPr>
          <w:p w14:paraId="44069C5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0.28 (0.09, 0.92)</w:t>
            </w:r>
          </w:p>
        </w:tc>
        <w:tc>
          <w:tcPr>
            <w:tcW w:w="2250" w:type="dxa"/>
            <w:shd w:val="clear" w:color="auto" w:fill="auto"/>
            <w:noWrap/>
            <w:vAlign w:val="center"/>
            <w:hideMark/>
          </w:tcPr>
          <w:p w14:paraId="4CA78BE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0.89 (0.14, 9.46)</w:t>
            </w:r>
          </w:p>
        </w:tc>
        <w:tc>
          <w:tcPr>
            <w:tcW w:w="3150" w:type="dxa"/>
            <w:shd w:val="clear" w:color="auto" w:fill="auto"/>
            <w:noWrap/>
            <w:vAlign w:val="center"/>
            <w:hideMark/>
          </w:tcPr>
          <w:p w14:paraId="52AE9A1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660.79 (34.74, 22382.88)</w:t>
            </w:r>
          </w:p>
        </w:tc>
      </w:tr>
      <w:tr w:rsidR="009D454A" w:rsidRPr="00777AD8" w14:paraId="237817E4" w14:textId="77777777" w:rsidTr="00360C46">
        <w:trPr>
          <w:trHeight w:val="290"/>
        </w:trPr>
        <w:tc>
          <w:tcPr>
            <w:tcW w:w="900" w:type="dxa"/>
            <w:shd w:val="clear" w:color="auto" w:fill="auto"/>
            <w:noWrap/>
            <w:vAlign w:val="center"/>
            <w:hideMark/>
          </w:tcPr>
          <w:p w14:paraId="77E1DA7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15</w:t>
            </w:r>
          </w:p>
        </w:tc>
        <w:tc>
          <w:tcPr>
            <w:tcW w:w="2267" w:type="dxa"/>
            <w:shd w:val="clear" w:color="auto" w:fill="auto"/>
            <w:noWrap/>
            <w:vAlign w:val="center"/>
            <w:hideMark/>
          </w:tcPr>
          <w:p w14:paraId="2E86129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Lower Colorado</w:t>
            </w:r>
          </w:p>
        </w:tc>
        <w:tc>
          <w:tcPr>
            <w:tcW w:w="1328" w:type="dxa"/>
            <w:shd w:val="clear" w:color="auto" w:fill="auto"/>
            <w:noWrap/>
            <w:vAlign w:val="center"/>
            <w:hideMark/>
          </w:tcPr>
          <w:p w14:paraId="688325B5"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92576</w:t>
            </w:r>
          </w:p>
        </w:tc>
        <w:tc>
          <w:tcPr>
            <w:tcW w:w="1890" w:type="dxa"/>
            <w:shd w:val="clear" w:color="auto" w:fill="auto"/>
            <w:noWrap/>
            <w:vAlign w:val="center"/>
            <w:hideMark/>
          </w:tcPr>
          <w:p w14:paraId="0A4A733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0.25 (0.08, 0.83)</w:t>
            </w:r>
          </w:p>
        </w:tc>
        <w:tc>
          <w:tcPr>
            <w:tcW w:w="2250" w:type="dxa"/>
            <w:shd w:val="clear" w:color="auto" w:fill="auto"/>
            <w:noWrap/>
            <w:vAlign w:val="center"/>
            <w:hideMark/>
          </w:tcPr>
          <w:p w14:paraId="6532AC0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1.23 (0.17, 16.54)</w:t>
            </w:r>
          </w:p>
        </w:tc>
        <w:tc>
          <w:tcPr>
            <w:tcW w:w="3150" w:type="dxa"/>
            <w:shd w:val="clear" w:color="auto" w:fill="auto"/>
            <w:noWrap/>
            <w:vAlign w:val="center"/>
            <w:hideMark/>
          </w:tcPr>
          <w:p w14:paraId="63FE07A4"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679.27 (28.13, 30267.74)</w:t>
            </w:r>
          </w:p>
        </w:tc>
      </w:tr>
      <w:tr w:rsidR="009D454A" w:rsidRPr="00777AD8" w14:paraId="34EEB0C7" w14:textId="77777777" w:rsidTr="00360C46">
        <w:trPr>
          <w:trHeight w:val="290"/>
        </w:trPr>
        <w:tc>
          <w:tcPr>
            <w:tcW w:w="900" w:type="dxa"/>
            <w:shd w:val="clear" w:color="auto" w:fill="auto"/>
            <w:noWrap/>
            <w:vAlign w:val="center"/>
            <w:hideMark/>
          </w:tcPr>
          <w:p w14:paraId="51393C3A"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16</w:t>
            </w:r>
          </w:p>
        </w:tc>
        <w:tc>
          <w:tcPr>
            <w:tcW w:w="2267" w:type="dxa"/>
            <w:shd w:val="clear" w:color="auto" w:fill="auto"/>
            <w:noWrap/>
            <w:vAlign w:val="center"/>
            <w:hideMark/>
          </w:tcPr>
          <w:p w14:paraId="1BC851F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Great Basin</w:t>
            </w:r>
          </w:p>
        </w:tc>
        <w:tc>
          <w:tcPr>
            <w:tcW w:w="1328" w:type="dxa"/>
            <w:shd w:val="clear" w:color="auto" w:fill="auto"/>
            <w:noWrap/>
            <w:vAlign w:val="center"/>
            <w:hideMark/>
          </w:tcPr>
          <w:p w14:paraId="6EFD42D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85534</w:t>
            </w:r>
          </w:p>
        </w:tc>
        <w:tc>
          <w:tcPr>
            <w:tcW w:w="1890" w:type="dxa"/>
            <w:shd w:val="clear" w:color="auto" w:fill="auto"/>
            <w:noWrap/>
            <w:vAlign w:val="center"/>
            <w:hideMark/>
          </w:tcPr>
          <w:p w14:paraId="04FA820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0.2 (0.06, 0.66)</w:t>
            </w:r>
          </w:p>
        </w:tc>
        <w:tc>
          <w:tcPr>
            <w:tcW w:w="2250" w:type="dxa"/>
            <w:shd w:val="clear" w:color="auto" w:fill="auto"/>
            <w:noWrap/>
            <w:vAlign w:val="center"/>
            <w:hideMark/>
          </w:tcPr>
          <w:p w14:paraId="195B48D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0.66 (0.08, 9.41)</w:t>
            </w:r>
          </w:p>
        </w:tc>
        <w:tc>
          <w:tcPr>
            <w:tcW w:w="3150" w:type="dxa"/>
            <w:shd w:val="clear" w:color="auto" w:fill="auto"/>
            <w:noWrap/>
            <w:vAlign w:val="center"/>
            <w:hideMark/>
          </w:tcPr>
          <w:p w14:paraId="5E065B70"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296.37 (17.02, 12369.8)</w:t>
            </w:r>
          </w:p>
        </w:tc>
      </w:tr>
      <w:tr w:rsidR="009D454A" w:rsidRPr="00777AD8" w14:paraId="4E30A540" w14:textId="77777777" w:rsidTr="00360C46">
        <w:trPr>
          <w:trHeight w:val="290"/>
        </w:trPr>
        <w:tc>
          <w:tcPr>
            <w:tcW w:w="900" w:type="dxa"/>
            <w:shd w:val="clear" w:color="auto" w:fill="auto"/>
            <w:noWrap/>
            <w:vAlign w:val="center"/>
            <w:hideMark/>
          </w:tcPr>
          <w:p w14:paraId="44009B0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17</w:t>
            </w:r>
          </w:p>
        </w:tc>
        <w:tc>
          <w:tcPr>
            <w:tcW w:w="2267" w:type="dxa"/>
            <w:shd w:val="clear" w:color="auto" w:fill="auto"/>
            <w:noWrap/>
            <w:vAlign w:val="center"/>
            <w:hideMark/>
          </w:tcPr>
          <w:p w14:paraId="664777F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Pacific Northwest</w:t>
            </w:r>
          </w:p>
        </w:tc>
        <w:tc>
          <w:tcPr>
            <w:tcW w:w="1328" w:type="dxa"/>
            <w:shd w:val="clear" w:color="auto" w:fill="auto"/>
            <w:noWrap/>
            <w:vAlign w:val="center"/>
            <w:hideMark/>
          </w:tcPr>
          <w:p w14:paraId="5ED20935"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217234</w:t>
            </w:r>
          </w:p>
        </w:tc>
        <w:tc>
          <w:tcPr>
            <w:tcW w:w="1890" w:type="dxa"/>
            <w:shd w:val="clear" w:color="auto" w:fill="auto"/>
            <w:noWrap/>
            <w:vAlign w:val="center"/>
            <w:hideMark/>
          </w:tcPr>
          <w:p w14:paraId="3AB8253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0.37 (0.12, 1.2)</w:t>
            </w:r>
          </w:p>
        </w:tc>
        <w:tc>
          <w:tcPr>
            <w:tcW w:w="2250" w:type="dxa"/>
            <w:shd w:val="clear" w:color="auto" w:fill="auto"/>
            <w:noWrap/>
            <w:vAlign w:val="center"/>
            <w:hideMark/>
          </w:tcPr>
          <w:p w14:paraId="4578D5EC"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0.53 (0.03, 7.55)</w:t>
            </w:r>
          </w:p>
        </w:tc>
        <w:tc>
          <w:tcPr>
            <w:tcW w:w="3150" w:type="dxa"/>
            <w:shd w:val="clear" w:color="auto" w:fill="auto"/>
            <w:noWrap/>
            <w:vAlign w:val="center"/>
            <w:hideMark/>
          </w:tcPr>
          <w:p w14:paraId="47B38CE2"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5313.11 (153.98, 260522.33)</w:t>
            </w:r>
          </w:p>
        </w:tc>
      </w:tr>
      <w:tr w:rsidR="009D454A" w:rsidRPr="00777AD8" w14:paraId="0E38B86B" w14:textId="77777777" w:rsidTr="00360C46">
        <w:trPr>
          <w:trHeight w:val="290"/>
        </w:trPr>
        <w:tc>
          <w:tcPr>
            <w:tcW w:w="900" w:type="dxa"/>
            <w:shd w:val="clear" w:color="auto" w:fill="auto"/>
            <w:noWrap/>
            <w:vAlign w:val="center"/>
            <w:hideMark/>
          </w:tcPr>
          <w:p w14:paraId="3B405859"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18</w:t>
            </w:r>
          </w:p>
        </w:tc>
        <w:tc>
          <w:tcPr>
            <w:tcW w:w="2267" w:type="dxa"/>
            <w:shd w:val="clear" w:color="auto" w:fill="auto"/>
            <w:noWrap/>
            <w:vAlign w:val="center"/>
            <w:hideMark/>
          </w:tcPr>
          <w:p w14:paraId="2E8A2ED7"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California</w:t>
            </w:r>
          </w:p>
        </w:tc>
        <w:tc>
          <w:tcPr>
            <w:tcW w:w="1328" w:type="dxa"/>
            <w:shd w:val="clear" w:color="auto" w:fill="auto"/>
            <w:noWrap/>
            <w:vAlign w:val="center"/>
            <w:hideMark/>
          </w:tcPr>
          <w:p w14:paraId="0633C62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122506</w:t>
            </w:r>
          </w:p>
        </w:tc>
        <w:tc>
          <w:tcPr>
            <w:tcW w:w="1890" w:type="dxa"/>
            <w:shd w:val="clear" w:color="auto" w:fill="auto"/>
            <w:noWrap/>
            <w:vAlign w:val="center"/>
            <w:hideMark/>
          </w:tcPr>
          <w:p w14:paraId="0B4563B1"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0.19 (0.06, 0.63)</w:t>
            </w:r>
          </w:p>
        </w:tc>
        <w:tc>
          <w:tcPr>
            <w:tcW w:w="2250" w:type="dxa"/>
            <w:shd w:val="clear" w:color="auto" w:fill="auto"/>
            <w:noWrap/>
            <w:vAlign w:val="center"/>
            <w:hideMark/>
          </w:tcPr>
          <w:p w14:paraId="000E4683"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1.76 (0.13, 20.77)</w:t>
            </w:r>
          </w:p>
        </w:tc>
        <w:tc>
          <w:tcPr>
            <w:tcW w:w="3150" w:type="dxa"/>
            <w:shd w:val="clear" w:color="auto" w:fill="auto"/>
            <w:noWrap/>
            <w:vAlign w:val="center"/>
            <w:hideMark/>
          </w:tcPr>
          <w:p w14:paraId="3EB3AE76" w14:textId="77777777" w:rsidR="009D454A" w:rsidRPr="00C84DE4" w:rsidRDefault="009D454A" w:rsidP="00360C46">
            <w:pPr>
              <w:spacing w:after="0"/>
              <w:jc w:val="center"/>
              <w:rPr>
                <w:rFonts w:eastAsia="Times New Roman" w:cs="Times New Roman"/>
                <w:color w:val="000000"/>
                <w:szCs w:val="24"/>
              </w:rPr>
            </w:pPr>
            <w:r w:rsidRPr="00C84DE4">
              <w:rPr>
                <w:rFonts w:eastAsia="Times New Roman" w:cs="Times New Roman"/>
                <w:color w:val="000000"/>
                <w:szCs w:val="24"/>
              </w:rPr>
              <w:t>1611.53 (37.43, 58330.02)</w:t>
            </w:r>
          </w:p>
        </w:tc>
      </w:tr>
    </w:tbl>
    <w:p w14:paraId="7365EA47" w14:textId="76F793BA" w:rsidR="009D454A" w:rsidRDefault="009D454A" w:rsidP="00333AA3">
      <w:pPr>
        <w:rPr>
          <w:rFonts w:cs="Times New Roman"/>
          <w:b/>
          <w:szCs w:val="24"/>
        </w:rPr>
        <w:sectPr w:rsidR="009D454A" w:rsidSect="00F716D3">
          <w:type w:val="continuous"/>
          <w:pgSz w:w="15840" w:h="12240" w:orient="landscape"/>
          <w:pgMar w:top="1440" w:right="1440" w:bottom="1440" w:left="1440" w:header="720" w:footer="720" w:gutter="0"/>
          <w:cols w:space="720"/>
          <w:docGrid w:linePitch="360"/>
        </w:sectPr>
      </w:pPr>
    </w:p>
    <w:p w14:paraId="53CB547A" w14:textId="77777777" w:rsidR="009D454A" w:rsidRDefault="009D454A" w:rsidP="009D454A">
      <w:pPr>
        <w:spacing w:line="480" w:lineRule="auto"/>
        <w:rPr>
          <w:rFonts w:cs="Times New Roman"/>
          <w:b/>
          <w:szCs w:val="24"/>
        </w:rPr>
      </w:pPr>
      <w:bookmarkStart w:id="79" w:name="_Hlk60840544"/>
      <w:r>
        <w:rPr>
          <w:rFonts w:cs="Times New Roman"/>
          <w:b/>
          <w:szCs w:val="24"/>
        </w:rPr>
        <w:lastRenderedPageBreak/>
        <w:t>Figure Captions</w:t>
      </w:r>
    </w:p>
    <w:bookmarkEnd w:id="79"/>
    <w:p w14:paraId="325B7D91" w14:textId="77777777" w:rsidR="00F62C63" w:rsidRPr="000207B1" w:rsidRDefault="00F62C63" w:rsidP="00F62C63">
      <w:pPr>
        <w:spacing w:line="480" w:lineRule="auto"/>
        <w:rPr>
          <w:rFonts w:cs="Times New Roman"/>
          <w:bCs/>
          <w:szCs w:val="24"/>
        </w:rPr>
      </w:pPr>
      <w:r w:rsidRPr="0013643A">
        <w:rPr>
          <w:rFonts w:cs="Times New Roman"/>
          <w:bCs/>
          <w:szCs w:val="24"/>
        </w:rPr>
        <w:t xml:space="preserve">Figure 1: </w:t>
      </w:r>
      <w:r>
        <w:rPr>
          <w:rFonts w:cs="Times New Roman"/>
          <w:bCs/>
          <w:szCs w:val="24"/>
        </w:rPr>
        <w:t>A s</w:t>
      </w:r>
      <w:r w:rsidRPr="0013643A">
        <w:rPr>
          <w:rFonts w:cs="Times New Roman"/>
          <w:bCs/>
          <w:szCs w:val="24"/>
        </w:rPr>
        <w:t>chematic of study area</w:t>
      </w:r>
      <w:r>
        <w:rPr>
          <w:rFonts w:cs="Times New Roman"/>
          <w:bCs/>
          <w:szCs w:val="24"/>
        </w:rPr>
        <w:t xml:space="preserve"> and sampling design</w:t>
      </w:r>
      <w:r w:rsidRPr="0013643A">
        <w:rPr>
          <w:rFonts w:cs="Times New Roman"/>
          <w:bCs/>
          <w:szCs w:val="24"/>
        </w:rPr>
        <w:t xml:space="preserve">. Estimates for median stream surface area, geometric mean </w:t>
      </w:r>
      <w:r>
        <w:rPr>
          <w:rFonts w:cs="Times New Roman"/>
          <w:bCs/>
          <w:szCs w:val="24"/>
        </w:rPr>
        <w:t xml:space="preserve">insect </w:t>
      </w:r>
      <w:r w:rsidRPr="0013643A">
        <w:rPr>
          <w:rFonts w:cs="Times New Roman"/>
          <w:bCs/>
          <w:szCs w:val="24"/>
        </w:rPr>
        <w:t xml:space="preserve">emergence </w:t>
      </w:r>
      <w:r>
        <w:rPr>
          <w:rFonts w:cs="Times New Roman"/>
          <w:bCs/>
          <w:szCs w:val="24"/>
        </w:rPr>
        <w:t xml:space="preserve">per unit area, </w:t>
      </w:r>
      <w:r w:rsidRPr="0013643A">
        <w:rPr>
          <w:rFonts w:cs="Times New Roman"/>
          <w:bCs/>
          <w:szCs w:val="24"/>
        </w:rPr>
        <w:t xml:space="preserve">and total </w:t>
      </w:r>
      <w:r>
        <w:rPr>
          <w:rFonts w:cs="Times New Roman"/>
          <w:bCs/>
          <w:szCs w:val="24"/>
        </w:rPr>
        <w:t xml:space="preserve">insect </w:t>
      </w:r>
      <w:r w:rsidRPr="0013643A">
        <w:rPr>
          <w:rFonts w:cs="Times New Roman"/>
          <w:bCs/>
          <w:szCs w:val="24"/>
        </w:rPr>
        <w:t>emergence were summarized for</w:t>
      </w:r>
      <w:r>
        <w:rPr>
          <w:rFonts w:cs="Times New Roman"/>
          <w:bCs/>
          <w:szCs w:val="24"/>
        </w:rPr>
        <w:t xml:space="preserve"> all</w:t>
      </w:r>
      <w:r w:rsidRPr="0013643A">
        <w:rPr>
          <w:rFonts w:cs="Times New Roman"/>
          <w:bCs/>
          <w:szCs w:val="24"/>
        </w:rPr>
        <w:t xml:space="preserve"> rivers and stream within each 2-digit hydrologic unit (HUC 2). We summarized annual supply of aquatic insects and the annual energetic demand </w:t>
      </w:r>
      <w:r>
        <w:rPr>
          <w:rFonts w:cs="Times New Roman"/>
          <w:bCs/>
          <w:szCs w:val="24"/>
        </w:rPr>
        <w:t xml:space="preserve">of </w:t>
      </w:r>
      <w:r w:rsidRPr="0013643A">
        <w:rPr>
          <w:rFonts w:cs="Times New Roman"/>
          <w:bCs/>
          <w:szCs w:val="24"/>
        </w:rPr>
        <w:t>common aerial insectivores for</w:t>
      </w:r>
      <w:r>
        <w:rPr>
          <w:rFonts w:cs="Times New Roman"/>
          <w:bCs/>
          <w:szCs w:val="24"/>
        </w:rPr>
        <w:t xml:space="preserve"> each </w:t>
      </w:r>
      <w:r w:rsidRPr="0013643A">
        <w:rPr>
          <w:rFonts w:cs="Times New Roman"/>
          <w:bCs/>
          <w:szCs w:val="24"/>
        </w:rPr>
        <w:t>4-digit hydrologic unit</w:t>
      </w:r>
      <w:r>
        <w:rPr>
          <w:rFonts w:cs="Times New Roman"/>
          <w:bCs/>
          <w:szCs w:val="24"/>
        </w:rPr>
        <w:t>s</w:t>
      </w:r>
      <w:r w:rsidRPr="0013643A">
        <w:rPr>
          <w:rFonts w:cs="Times New Roman"/>
          <w:bCs/>
          <w:szCs w:val="24"/>
        </w:rPr>
        <w:t xml:space="preserve"> (HUC 4)</w:t>
      </w:r>
      <w:r>
        <w:rPr>
          <w:rFonts w:cs="Times New Roman"/>
          <w:bCs/>
          <w:szCs w:val="24"/>
        </w:rPr>
        <w:t xml:space="preserve"> as the median pixel value within the boundary. At the site level, the resolution was large enough to include multiple streams such that</w:t>
      </w:r>
      <w:r w:rsidRPr="00ED347E">
        <w:rPr>
          <w:rFonts w:cs="Times New Roman"/>
          <w:szCs w:val="24"/>
        </w:rPr>
        <w:t xml:space="preserve"> </w:t>
      </w:r>
      <w:r>
        <w:rPr>
          <w:rFonts w:cs="Times New Roman"/>
          <w:szCs w:val="24"/>
        </w:rPr>
        <w:t>total emergence is the product of the total stream surface area within pixel.</w:t>
      </w:r>
    </w:p>
    <w:p w14:paraId="7AECF904" w14:textId="77777777" w:rsidR="00F62C63" w:rsidRDefault="00F62C63" w:rsidP="00F62C63">
      <w:pPr>
        <w:spacing w:line="480" w:lineRule="auto"/>
        <w:rPr>
          <w:rFonts w:cs="Times New Roman"/>
          <w:bCs/>
          <w:szCs w:val="24"/>
        </w:rPr>
      </w:pPr>
      <w:r w:rsidRPr="0013643A">
        <w:rPr>
          <w:rFonts w:cs="Times New Roman"/>
          <w:bCs/>
          <w:szCs w:val="24"/>
        </w:rPr>
        <w:t>Figure 2. Model performance</w:t>
      </w:r>
      <w:r>
        <w:rPr>
          <w:rFonts w:cs="Times New Roman"/>
          <w:bCs/>
          <w:szCs w:val="24"/>
        </w:rPr>
        <w:t xml:space="preserve"> for the insect production model (top) and wetted stream width model (bottom)</w:t>
      </w:r>
      <w:r w:rsidRPr="0013643A">
        <w:rPr>
          <w:rFonts w:cs="Times New Roman"/>
          <w:bCs/>
          <w:szCs w:val="24"/>
        </w:rPr>
        <w:t xml:space="preserve"> for training and testing portions of the datasets.</w:t>
      </w:r>
      <w:r>
        <w:rPr>
          <w:rFonts w:cs="Times New Roman"/>
          <w:bCs/>
          <w:szCs w:val="24"/>
        </w:rPr>
        <w:t xml:space="preserve"> </w:t>
      </w:r>
      <w:r w:rsidRPr="00274B12">
        <w:rPr>
          <w:rFonts w:cs="Times New Roman"/>
          <w:bCs/>
          <w:szCs w:val="24"/>
        </w:rPr>
        <w:t>Solid circles are observed values, open circles are</w:t>
      </w:r>
      <w:r>
        <w:rPr>
          <w:rFonts w:cs="Times New Roman"/>
          <w:bCs/>
          <w:szCs w:val="24"/>
        </w:rPr>
        <w:t xml:space="preserve"> modeled</w:t>
      </w:r>
      <w:r w:rsidRPr="00274B12">
        <w:rPr>
          <w:rFonts w:cs="Times New Roman"/>
          <w:bCs/>
          <w:szCs w:val="24"/>
        </w:rPr>
        <w:t xml:space="preserve"> point estimates</w:t>
      </w:r>
      <w:r>
        <w:rPr>
          <w:rFonts w:cs="Times New Roman"/>
          <w:bCs/>
          <w:szCs w:val="24"/>
        </w:rPr>
        <w:t xml:space="preserve"> </w:t>
      </w:r>
      <w:r w:rsidRPr="00274B12">
        <w:rPr>
          <w:rFonts w:cs="Times New Roman"/>
          <w:bCs/>
          <w:szCs w:val="24"/>
        </w:rPr>
        <w:t xml:space="preserve">and grey lines are 95% prediction intervals. Open red circles are observations that were not within the </w:t>
      </w:r>
      <w:r>
        <w:rPr>
          <w:rFonts w:cs="Times New Roman"/>
          <w:bCs/>
          <w:szCs w:val="24"/>
        </w:rPr>
        <w:t>prediction</w:t>
      </w:r>
      <w:r w:rsidRPr="0013643A">
        <w:rPr>
          <w:rFonts w:cs="Times New Roman"/>
          <w:bCs/>
          <w:szCs w:val="24"/>
        </w:rPr>
        <w:t xml:space="preserve"> intervals. </w:t>
      </w:r>
    </w:p>
    <w:p w14:paraId="701A0A62" w14:textId="77777777" w:rsidR="00F62C63" w:rsidRPr="000207B1" w:rsidRDefault="00F62C63" w:rsidP="00F62C63">
      <w:pPr>
        <w:spacing w:line="480" w:lineRule="auto"/>
        <w:rPr>
          <w:rFonts w:cs="Times New Roman"/>
          <w:bCs/>
          <w:szCs w:val="24"/>
        </w:rPr>
      </w:pPr>
      <w:r w:rsidRPr="0013643A">
        <w:rPr>
          <w:rFonts w:cs="Times New Roman"/>
          <w:bCs/>
          <w:szCs w:val="24"/>
        </w:rPr>
        <w:t xml:space="preserve">Figure 3: </w:t>
      </w:r>
      <w:r>
        <w:rPr>
          <w:rFonts w:cs="Times New Roman"/>
          <w:bCs/>
          <w:szCs w:val="24"/>
        </w:rPr>
        <w:t xml:space="preserve">Partial dependence plots for the </w:t>
      </w:r>
      <w:r w:rsidRPr="0013643A">
        <w:rPr>
          <w:rFonts w:cs="Times New Roman"/>
          <w:bCs/>
          <w:szCs w:val="24"/>
        </w:rPr>
        <w:t xml:space="preserve">most important </w:t>
      </w:r>
      <w:r>
        <w:rPr>
          <w:rFonts w:cs="Times New Roman"/>
          <w:bCs/>
          <w:szCs w:val="24"/>
        </w:rPr>
        <w:t>bio</w:t>
      </w:r>
      <w:r w:rsidRPr="0013643A">
        <w:rPr>
          <w:rFonts w:cs="Times New Roman"/>
          <w:bCs/>
          <w:szCs w:val="24"/>
        </w:rPr>
        <w:t>climat</w:t>
      </w:r>
      <w:r>
        <w:rPr>
          <w:rFonts w:cs="Times New Roman"/>
          <w:bCs/>
          <w:szCs w:val="24"/>
        </w:rPr>
        <w:t>ic</w:t>
      </w:r>
      <w:r w:rsidRPr="0013643A">
        <w:rPr>
          <w:rFonts w:cs="Times New Roman"/>
          <w:bCs/>
          <w:szCs w:val="24"/>
        </w:rPr>
        <w:t xml:space="preserve"> variables used </w:t>
      </w:r>
      <w:r>
        <w:rPr>
          <w:rFonts w:cs="Times New Roman"/>
          <w:bCs/>
          <w:szCs w:val="24"/>
        </w:rPr>
        <w:t>in the</w:t>
      </w:r>
      <w:r w:rsidRPr="0013643A">
        <w:rPr>
          <w:rFonts w:cs="Times New Roman"/>
          <w:bCs/>
          <w:szCs w:val="24"/>
        </w:rPr>
        <w:t xml:space="preserve"> insect production</w:t>
      </w:r>
      <w:r>
        <w:rPr>
          <w:rFonts w:cs="Times New Roman"/>
          <w:bCs/>
          <w:szCs w:val="24"/>
        </w:rPr>
        <w:t xml:space="preserve"> models</w:t>
      </w:r>
      <w:r w:rsidRPr="0013643A">
        <w:rPr>
          <w:rFonts w:cs="Times New Roman"/>
          <w:bCs/>
          <w:szCs w:val="24"/>
        </w:rPr>
        <w:t>.</w:t>
      </w:r>
      <w:r>
        <w:rPr>
          <w:rFonts w:cs="Times New Roman"/>
          <w:bCs/>
          <w:szCs w:val="24"/>
        </w:rPr>
        <w:t xml:space="preserve"> We natural log transformed insect production prior to analysis.</w:t>
      </w:r>
      <w:r w:rsidRPr="0013643A">
        <w:rPr>
          <w:rFonts w:cs="Times New Roman"/>
          <w:bCs/>
          <w:szCs w:val="24"/>
        </w:rPr>
        <w:t xml:space="preserve"> </w:t>
      </w:r>
      <w:r>
        <w:rPr>
          <w:rFonts w:cs="Times New Roman"/>
          <w:bCs/>
          <w:szCs w:val="24"/>
        </w:rPr>
        <w:t xml:space="preserve">Variables are ranked from most (top) to least important (bottom): mean annual precipitation, mean annual temperature, precipitation seasonality (coefficient of variation in mean monthly precipitation), mean temperature of wettest quarter and mean diurnal range (mean monthly difference between the maximum and minimum temperature). Values for predictor </w:t>
      </w:r>
      <w:r w:rsidRPr="0013643A">
        <w:rPr>
          <w:rFonts w:cs="Times New Roman"/>
          <w:bCs/>
          <w:szCs w:val="24"/>
        </w:rPr>
        <w:t>variable</w:t>
      </w:r>
      <w:r>
        <w:rPr>
          <w:rFonts w:cs="Times New Roman"/>
          <w:bCs/>
          <w:szCs w:val="24"/>
        </w:rPr>
        <w:t>s</w:t>
      </w:r>
      <w:r w:rsidRPr="0013643A">
        <w:rPr>
          <w:rFonts w:cs="Times New Roman"/>
          <w:bCs/>
          <w:szCs w:val="24"/>
        </w:rPr>
        <w:t xml:space="preserve"> </w:t>
      </w:r>
      <w:r>
        <w:rPr>
          <w:rFonts w:cs="Times New Roman"/>
          <w:bCs/>
          <w:szCs w:val="24"/>
        </w:rPr>
        <w:t xml:space="preserve">are </w:t>
      </w:r>
      <w:r w:rsidRPr="0013643A">
        <w:rPr>
          <w:rFonts w:cs="Times New Roman"/>
          <w:bCs/>
          <w:szCs w:val="24"/>
        </w:rPr>
        <w:t xml:space="preserve">mean-centered and scaled. </w:t>
      </w:r>
    </w:p>
    <w:p w14:paraId="320D3C3A" w14:textId="77777777" w:rsidR="00F62C63" w:rsidRPr="0013643A" w:rsidRDefault="00F62C63" w:rsidP="00F62C63">
      <w:pPr>
        <w:spacing w:line="480" w:lineRule="auto"/>
        <w:rPr>
          <w:rFonts w:cs="Times New Roman"/>
          <w:bCs/>
          <w:szCs w:val="24"/>
        </w:rPr>
      </w:pPr>
      <w:r w:rsidRPr="0013643A">
        <w:rPr>
          <w:rFonts w:cs="Times New Roman"/>
          <w:bCs/>
          <w:szCs w:val="24"/>
        </w:rPr>
        <w:t>Figure</w:t>
      </w:r>
      <w:r>
        <w:rPr>
          <w:rFonts w:cs="Times New Roman"/>
          <w:bCs/>
          <w:szCs w:val="24"/>
        </w:rPr>
        <w:t xml:space="preserve"> 4</w:t>
      </w:r>
      <w:r w:rsidRPr="0013643A">
        <w:rPr>
          <w:rFonts w:cs="Times New Roman"/>
          <w:bCs/>
          <w:szCs w:val="24"/>
        </w:rPr>
        <w:t>:</w:t>
      </w:r>
      <w:r>
        <w:rPr>
          <w:rFonts w:cs="Times New Roman"/>
          <w:bCs/>
          <w:szCs w:val="24"/>
        </w:rPr>
        <w:t xml:space="preserve"> Posterior distributions of population-level effects for the variables used in the wetted width model</w:t>
      </w:r>
      <w:r w:rsidRPr="0013643A">
        <w:rPr>
          <w:rFonts w:cs="Times New Roman"/>
          <w:bCs/>
          <w:szCs w:val="24"/>
        </w:rPr>
        <w:t xml:space="preserve">. </w:t>
      </w:r>
      <w:r>
        <w:rPr>
          <w:rFonts w:cs="Times New Roman"/>
          <w:bCs/>
          <w:szCs w:val="24"/>
        </w:rPr>
        <w:t xml:space="preserve">Variables are ranked from the largest (top) to the least effect (bottom) on the wetted stream width: catchment area, mean annual precipitation, precipitation seasonality </w:t>
      </w:r>
      <w:r>
        <w:rPr>
          <w:rFonts w:cs="Times New Roman"/>
          <w:bCs/>
          <w:szCs w:val="24"/>
        </w:rPr>
        <w:lastRenderedPageBreak/>
        <w:t>(coefficient of variation in mean monthly precipitation mean annual temperature) and mean annual temperature.</w:t>
      </w:r>
    </w:p>
    <w:p w14:paraId="40CC42D4" w14:textId="77777777" w:rsidR="00F62C63" w:rsidRPr="0013643A" w:rsidRDefault="00F62C63" w:rsidP="00F62C63">
      <w:pPr>
        <w:spacing w:line="480" w:lineRule="auto"/>
        <w:rPr>
          <w:rFonts w:cs="Times New Roman"/>
          <w:bCs/>
          <w:szCs w:val="24"/>
        </w:rPr>
      </w:pPr>
      <w:r w:rsidRPr="0013643A">
        <w:rPr>
          <w:rFonts w:cs="Times New Roman"/>
          <w:bCs/>
          <w:szCs w:val="24"/>
        </w:rPr>
        <w:t xml:space="preserve">Figure </w:t>
      </w:r>
      <w:r>
        <w:rPr>
          <w:rFonts w:cs="Times New Roman"/>
          <w:bCs/>
          <w:szCs w:val="24"/>
        </w:rPr>
        <w:t>5</w:t>
      </w:r>
      <w:r w:rsidRPr="0013643A">
        <w:rPr>
          <w:rFonts w:cs="Times New Roman"/>
          <w:bCs/>
          <w:szCs w:val="24"/>
        </w:rPr>
        <w:t xml:space="preserve">: Percent change </w:t>
      </w:r>
      <w:r>
        <w:rPr>
          <w:rFonts w:cs="Times New Roman"/>
          <w:bCs/>
          <w:szCs w:val="24"/>
        </w:rPr>
        <w:t>in</w:t>
      </w:r>
      <w:r w:rsidRPr="0013643A">
        <w:rPr>
          <w:rFonts w:cs="Times New Roman"/>
          <w:bCs/>
          <w:szCs w:val="24"/>
        </w:rPr>
        <w:t xml:space="preserve"> surface area, emergent insect production</w:t>
      </w:r>
      <w:r>
        <w:rPr>
          <w:rFonts w:cs="Times New Roman"/>
          <w:bCs/>
          <w:szCs w:val="24"/>
        </w:rPr>
        <w:t xml:space="preserve"> per unit area</w:t>
      </w:r>
      <w:r w:rsidRPr="0013643A">
        <w:rPr>
          <w:rFonts w:cs="Times New Roman"/>
          <w:bCs/>
          <w:szCs w:val="24"/>
        </w:rPr>
        <w:t xml:space="preserve"> and total emergence </w:t>
      </w:r>
      <w:r>
        <w:rPr>
          <w:rFonts w:cs="Times New Roman"/>
          <w:bCs/>
          <w:szCs w:val="24"/>
        </w:rPr>
        <w:t xml:space="preserve">for 2070 </w:t>
      </w:r>
      <w:r w:rsidRPr="0013643A">
        <w:rPr>
          <w:rFonts w:cs="Times New Roman"/>
          <w:bCs/>
          <w:szCs w:val="24"/>
        </w:rPr>
        <w:t>climate scenarios</w:t>
      </w:r>
      <w:r>
        <w:rPr>
          <w:rFonts w:cs="Times New Roman"/>
          <w:bCs/>
          <w:szCs w:val="24"/>
        </w:rPr>
        <w:t xml:space="preserve"> under </w:t>
      </w:r>
      <w:r w:rsidRPr="00EF1F20">
        <w:rPr>
          <w:rFonts w:cs="Times New Roman"/>
          <w:iCs/>
          <w:szCs w:val="24"/>
        </w:rPr>
        <w:t xml:space="preserve">representative concentration pathways (RCP) </w:t>
      </w:r>
      <w:r>
        <w:rPr>
          <w:rFonts w:cs="Times New Roman"/>
          <w:bCs/>
          <w:szCs w:val="24"/>
        </w:rPr>
        <w:t>2.6 and 8.5</w:t>
      </w:r>
      <w:r w:rsidRPr="0013643A">
        <w:rPr>
          <w:rFonts w:cs="Times New Roman"/>
          <w:bCs/>
          <w:szCs w:val="24"/>
        </w:rPr>
        <w:t xml:space="preserve">. Blue is the climate </w:t>
      </w:r>
      <w:r>
        <w:rPr>
          <w:rFonts w:cs="Times New Roman"/>
          <w:bCs/>
          <w:szCs w:val="24"/>
        </w:rPr>
        <w:t xml:space="preserve">scenario </w:t>
      </w:r>
      <w:r w:rsidRPr="0013643A">
        <w:rPr>
          <w:rFonts w:cs="Times New Roman"/>
          <w:bCs/>
          <w:szCs w:val="24"/>
        </w:rPr>
        <w:t>given stringent mitigation of greenhouse gasses (RCP 2.6)</w:t>
      </w:r>
      <w:r>
        <w:rPr>
          <w:rFonts w:cs="Times New Roman"/>
          <w:bCs/>
          <w:szCs w:val="24"/>
        </w:rPr>
        <w:t>.</w:t>
      </w:r>
      <w:r w:rsidRPr="0013643A">
        <w:rPr>
          <w:rFonts w:cs="Times New Roman"/>
          <w:bCs/>
          <w:szCs w:val="24"/>
        </w:rPr>
        <w:t xml:space="preserve"> </w:t>
      </w:r>
      <w:r>
        <w:rPr>
          <w:rFonts w:cs="Times New Roman"/>
          <w:bCs/>
          <w:szCs w:val="24"/>
        </w:rPr>
        <w:t>R</w:t>
      </w:r>
      <w:r w:rsidRPr="0013643A">
        <w:rPr>
          <w:rFonts w:cs="Times New Roman"/>
          <w:bCs/>
          <w:szCs w:val="24"/>
        </w:rPr>
        <w:t>ed</w:t>
      </w:r>
      <w:r>
        <w:rPr>
          <w:rFonts w:cs="Times New Roman"/>
          <w:bCs/>
          <w:szCs w:val="24"/>
        </w:rPr>
        <w:t xml:space="preserve"> is the climate scenario that</w:t>
      </w:r>
      <w:r w:rsidRPr="0013643A">
        <w:rPr>
          <w:rFonts w:cs="Times New Roman"/>
          <w:bCs/>
          <w:szCs w:val="24"/>
        </w:rPr>
        <w:t xml:space="preserve"> </w:t>
      </w:r>
      <w:r w:rsidRPr="00EF1F20">
        <w:rPr>
          <w:rFonts w:cs="Times New Roman"/>
          <w:iCs/>
          <w:szCs w:val="24"/>
        </w:rPr>
        <w:t xml:space="preserve">reflects a very high emissions scenario </w:t>
      </w:r>
      <w:r w:rsidRPr="0013643A">
        <w:rPr>
          <w:rFonts w:cs="Times New Roman"/>
          <w:bCs/>
          <w:szCs w:val="24"/>
        </w:rPr>
        <w:t xml:space="preserve">(RCP 8.5). </w:t>
      </w:r>
      <w:r>
        <w:rPr>
          <w:rFonts w:cs="Times New Roman"/>
          <w:bCs/>
          <w:szCs w:val="24"/>
        </w:rPr>
        <w:t>The dotted line represents no change from current conditions.</w:t>
      </w:r>
    </w:p>
    <w:p w14:paraId="6BF26A71" w14:textId="0D5A485F" w:rsidR="0067349A" w:rsidRDefault="0067349A" w:rsidP="0067349A">
      <w:pPr>
        <w:spacing w:line="480" w:lineRule="auto"/>
        <w:rPr>
          <w:rFonts w:cs="Times New Roman"/>
          <w:b/>
          <w:szCs w:val="24"/>
        </w:rPr>
      </w:pPr>
      <w:r w:rsidRPr="0013643A">
        <w:rPr>
          <w:rFonts w:cs="Times New Roman"/>
          <w:bCs/>
          <w:szCs w:val="24"/>
        </w:rPr>
        <w:t xml:space="preserve">Figure </w:t>
      </w:r>
      <w:r>
        <w:rPr>
          <w:rFonts w:cs="Times New Roman"/>
          <w:bCs/>
          <w:szCs w:val="24"/>
        </w:rPr>
        <w:t>6:</w:t>
      </w:r>
      <w:r w:rsidRPr="0013643A">
        <w:rPr>
          <w:rFonts w:cs="Times New Roman"/>
          <w:bCs/>
          <w:szCs w:val="24"/>
        </w:rPr>
        <w:t xml:space="preserve"> The geography of</w:t>
      </w:r>
      <w:r>
        <w:rPr>
          <w:rFonts w:cs="Times New Roman"/>
          <w:bCs/>
          <w:szCs w:val="24"/>
        </w:rPr>
        <w:t xml:space="preserve"> avian aerial </w:t>
      </w:r>
      <w:r w:rsidRPr="0013643A">
        <w:rPr>
          <w:rFonts w:cs="Times New Roman"/>
          <w:bCs/>
          <w:szCs w:val="24"/>
        </w:rPr>
        <w:t xml:space="preserve">insectivore </w:t>
      </w:r>
      <w:proofErr w:type="spellStart"/>
      <w:r w:rsidRPr="0013643A">
        <w:rPr>
          <w:rFonts w:cs="Times New Roman"/>
          <w:bCs/>
          <w:szCs w:val="24"/>
        </w:rPr>
        <w:t>energ</w:t>
      </w:r>
      <w:r>
        <w:rPr>
          <w:rFonts w:cs="Times New Roman"/>
          <w:bCs/>
          <w:szCs w:val="24"/>
        </w:rPr>
        <w:t>ic</w:t>
      </w:r>
      <w:proofErr w:type="spellEnd"/>
      <w:r w:rsidRPr="0013643A">
        <w:rPr>
          <w:rFonts w:cs="Times New Roman"/>
          <w:bCs/>
          <w:szCs w:val="24"/>
        </w:rPr>
        <w:t xml:space="preserve"> demands</w:t>
      </w:r>
      <w:r>
        <w:rPr>
          <w:rFonts w:cs="Times New Roman"/>
          <w:bCs/>
          <w:szCs w:val="24"/>
        </w:rPr>
        <w:t xml:space="preserve"> and </w:t>
      </w:r>
      <w:r w:rsidRPr="0013643A">
        <w:rPr>
          <w:rFonts w:cs="Times New Roman"/>
          <w:bCs/>
          <w:szCs w:val="24"/>
        </w:rPr>
        <w:t>emergent aquatic insect</w:t>
      </w:r>
      <w:r>
        <w:rPr>
          <w:rFonts w:cs="Times New Roman"/>
          <w:bCs/>
          <w:szCs w:val="24"/>
        </w:rPr>
        <w:t xml:space="preserve"> energetic supply under present day and future conditions</w:t>
      </w:r>
      <w:r w:rsidRPr="0013643A">
        <w:rPr>
          <w:rFonts w:cs="Times New Roman"/>
          <w:bCs/>
          <w:szCs w:val="24"/>
        </w:rPr>
        <w:t xml:space="preserve">. </w:t>
      </w:r>
      <w:r>
        <w:rPr>
          <w:rFonts w:cs="Times New Roman"/>
          <w:bCs/>
          <w:szCs w:val="24"/>
        </w:rPr>
        <w:t>A)</w:t>
      </w:r>
      <w:r w:rsidRPr="0013643A">
        <w:rPr>
          <w:rFonts w:cs="Times New Roman"/>
          <w:bCs/>
          <w:szCs w:val="24"/>
        </w:rPr>
        <w:t xml:space="preserve"> </w:t>
      </w:r>
      <w:r>
        <w:rPr>
          <w:rFonts w:cs="Times New Roman"/>
          <w:bCs/>
          <w:szCs w:val="24"/>
        </w:rPr>
        <w:t>Median</w:t>
      </w:r>
      <w:r w:rsidRPr="0013643A">
        <w:rPr>
          <w:rFonts w:cs="Times New Roman"/>
          <w:bCs/>
          <w:szCs w:val="24"/>
        </w:rPr>
        <w:t xml:space="preserve"> energetic demand of </w:t>
      </w:r>
      <w:r>
        <w:rPr>
          <w:rFonts w:cs="Times New Roman"/>
          <w:bCs/>
          <w:szCs w:val="24"/>
        </w:rPr>
        <w:t xml:space="preserve">common </w:t>
      </w:r>
      <w:r w:rsidRPr="0013643A">
        <w:rPr>
          <w:rFonts w:cs="Times New Roman"/>
          <w:bCs/>
          <w:szCs w:val="24"/>
        </w:rPr>
        <w:t xml:space="preserve">aerial insectivorous species. </w:t>
      </w:r>
      <w:r>
        <w:rPr>
          <w:rFonts w:cs="Times New Roman"/>
          <w:bCs/>
          <w:szCs w:val="24"/>
        </w:rPr>
        <w:t>B)</w:t>
      </w:r>
      <w:r w:rsidRPr="0013643A">
        <w:rPr>
          <w:rFonts w:cs="Times New Roman"/>
          <w:bCs/>
          <w:szCs w:val="24"/>
        </w:rPr>
        <w:t xml:space="preserve"> </w:t>
      </w:r>
      <w:r>
        <w:rPr>
          <w:rFonts w:cs="Times New Roman"/>
          <w:bCs/>
          <w:szCs w:val="24"/>
        </w:rPr>
        <w:t>Median energetic supply of emergent aquatic insect subsidies. C) T</w:t>
      </w:r>
      <w:r w:rsidRPr="0013643A">
        <w:rPr>
          <w:rFonts w:cs="Times New Roman"/>
          <w:bCs/>
          <w:szCs w:val="24"/>
        </w:rPr>
        <w:t>he natural log of the supply and demand ratio (SDR).</w:t>
      </w:r>
      <w:r>
        <w:rPr>
          <w:rFonts w:cs="Times New Roman"/>
          <w:bCs/>
          <w:szCs w:val="24"/>
        </w:rPr>
        <w:t xml:space="preserve"> C) Median natural log </w:t>
      </w:r>
      <w:r w:rsidRPr="0013643A">
        <w:rPr>
          <w:rFonts w:cs="Times New Roman"/>
          <w:bCs/>
          <w:szCs w:val="24"/>
        </w:rPr>
        <w:t xml:space="preserve">SDR </w:t>
      </w:r>
      <w:r>
        <w:rPr>
          <w:rFonts w:cs="Times New Roman"/>
          <w:bCs/>
          <w:szCs w:val="24"/>
        </w:rPr>
        <w:t>for 2070 under RCP 2.6</w:t>
      </w:r>
      <w:r w:rsidRPr="00525298">
        <w:rPr>
          <w:rFonts w:cs="Times New Roman"/>
          <w:bCs/>
          <w:szCs w:val="24"/>
        </w:rPr>
        <w:t xml:space="preserve"> </w:t>
      </w:r>
      <w:r w:rsidRPr="0013643A">
        <w:rPr>
          <w:rFonts w:cs="Times New Roman"/>
          <w:bCs/>
          <w:szCs w:val="24"/>
        </w:rPr>
        <w:t>climate scenario.</w:t>
      </w:r>
      <w:r>
        <w:rPr>
          <w:rFonts w:cs="Times New Roman"/>
          <w:bCs/>
          <w:szCs w:val="24"/>
        </w:rPr>
        <w:t xml:space="preserve"> D)</w:t>
      </w:r>
      <w:r w:rsidRPr="0013643A">
        <w:rPr>
          <w:rFonts w:cs="Times New Roman"/>
          <w:bCs/>
          <w:szCs w:val="24"/>
        </w:rPr>
        <w:t xml:space="preserve"> </w:t>
      </w:r>
      <w:r>
        <w:rPr>
          <w:rFonts w:cs="Times New Roman"/>
          <w:bCs/>
          <w:szCs w:val="24"/>
        </w:rPr>
        <w:t xml:space="preserve">Median natural log </w:t>
      </w:r>
      <w:r w:rsidRPr="0013643A">
        <w:rPr>
          <w:rFonts w:cs="Times New Roman"/>
          <w:bCs/>
          <w:szCs w:val="24"/>
        </w:rPr>
        <w:t xml:space="preserve">SDR </w:t>
      </w:r>
      <w:r>
        <w:rPr>
          <w:rFonts w:cs="Times New Roman"/>
          <w:bCs/>
          <w:szCs w:val="24"/>
        </w:rPr>
        <w:t>for 2070 under RCP 8.5</w:t>
      </w:r>
      <w:r w:rsidRPr="00525298">
        <w:rPr>
          <w:rFonts w:cs="Times New Roman"/>
          <w:bCs/>
          <w:szCs w:val="24"/>
        </w:rPr>
        <w:t xml:space="preserve"> </w:t>
      </w:r>
      <w:r w:rsidRPr="0013643A">
        <w:rPr>
          <w:rFonts w:cs="Times New Roman"/>
          <w:bCs/>
          <w:szCs w:val="24"/>
        </w:rPr>
        <w:t>climate scenario</w:t>
      </w:r>
      <w:r>
        <w:rPr>
          <w:rFonts w:cs="Times New Roman"/>
          <w:bCs/>
          <w:szCs w:val="24"/>
        </w:rPr>
        <w:t xml:space="preserve">. In some </w:t>
      </w:r>
      <w:proofErr w:type="spellStart"/>
      <w:r>
        <w:rPr>
          <w:rFonts w:cs="Times New Roman"/>
          <w:bCs/>
          <w:szCs w:val="24"/>
        </w:rPr>
        <w:t>subregions</w:t>
      </w:r>
      <w:proofErr w:type="spellEnd"/>
      <w:r>
        <w:rPr>
          <w:rFonts w:cs="Times New Roman"/>
          <w:bCs/>
          <w:szCs w:val="24"/>
        </w:rPr>
        <w:t xml:space="preserve">, the effect of climate change could cause the amount of energy to exceed present day demand (black outline) while in others it could cause it to decline under present day demand (red outline). </w:t>
      </w:r>
    </w:p>
    <w:p w14:paraId="403CC261" w14:textId="4DEA512F" w:rsidR="00934556" w:rsidRPr="0013643A" w:rsidRDefault="00934556" w:rsidP="0067349A">
      <w:pPr>
        <w:spacing w:line="480" w:lineRule="auto"/>
        <w:rPr>
          <w:rFonts w:cs="Times New Roman"/>
          <w:bCs/>
          <w:szCs w:val="24"/>
        </w:rPr>
      </w:pPr>
      <w:r w:rsidRPr="0013643A">
        <w:rPr>
          <w:rFonts w:cs="Times New Roman"/>
          <w:bCs/>
          <w:szCs w:val="24"/>
        </w:rPr>
        <w:t xml:space="preserve"> </w:t>
      </w:r>
    </w:p>
    <w:p w14:paraId="63C8656C" w14:textId="77777777" w:rsidR="00934556" w:rsidRDefault="00934556" w:rsidP="00333AA3">
      <w:pPr>
        <w:rPr>
          <w:rFonts w:cs="Times New Roman"/>
          <w:b/>
          <w:szCs w:val="24"/>
        </w:rPr>
      </w:pPr>
    </w:p>
    <w:p w14:paraId="624975CA" w14:textId="48B4632F" w:rsidR="00333AA3" w:rsidRDefault="009D454A" w:rsidP="00333AA3">
      <w:pPr>
        <w:jc w:val="center"/>
        <w:rPr>
          <w:rFonts w:cs="Times New Roman"/>
          <w:b/>
          <w:szCs w:val="24"/>
        </w:rPr>
      </w:pPr>
      <w:r>
        <w:rPr>
          <w:rFonts w:cs="Times New Roman"/>
          <w:b/>
          <w:noProof/>
          <w:szCs w:val="24"/>
        </w:rPr>
        <w:lastRenderedPageBreak/>
        <w:drawing>
          <wp:inline distT="0" distB="0" distL="0" distR="0" wp14:anchorId="4B4DE893" wp14:editId="42607C33">
            <wp:extent cx="5943600" cy="4592955"/>
            <wp:effectExtent l="0" t="0" r="0" b="0"/>
            <wp:docPr id="1" name="Picture 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map&#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FA3A2C3" w14:textId="610991C1" w:rsidR="001249BB" w:rsidRDefault="001249BB" w:rsidP="001249BB">
      <w:pPr>
        <w:pStyle w:val="Caption"/>
        <w:rPr>
          <w:rFonts w:cs="Times New Roman"/>
          <w:b/>
          <w:szCs w:val="24"/>
        </w:rPr>
      </w:pPr>
      <w:bookmarkStart w:id="80" w:name="_Toc60480658"/>
      <w:r>
        <w:t xml:space="preserve">Figure </w:t>
      </w:r>
      <w:fldSimple w:instr=" STYLEREF 1 \s ">
        <w:r w:rsidR="000C6138">
          <w:rPr>
            <w:noProof/>
          </w:rPr>
          <w:t>3</w:t>
        </w:r>
      </w:fldSimple>
      <w:r w:rsidR="004F311A">
        <w:t>.</w:t>
      </w:r>
      <w:fldSimple w:instr=" SEQ Figure \* ARABIC \s 1 ">
        <w:r w:rsidR="000C6138">
          <w:rPr>
            <w:noProof/>
          </w:rPr>
          <w:t>1</w:t>
        </w:r>
      </w:fldSimple>
      <w:bookmarkEnd w:id="80"/>
    </w:p>
    <w:p w14:paraId="12985A2F" w14:textId="77777777" w:rsidR="00333AA3" w:rsidRDefault="00333AA3" w:rsidP="00333AA3">
      <w:pPr>
        <w:rPr>
          <w:rFonts w:cs="Times New Roman"/>
          <w:b/>
          <w:szCs w:val="24"/>
        </w:rPr>
      </w:pPr>
    </w:p>
    <w:p w14:paraId="79C876C4" w14:textId="471EE2B7" w:rsidR="00333AA3" w:rsidRDefault="009D454A" w:rsidP="00333AA3">
      <w:pPr>
        <w:jc w:val="center"/>
        <w:rPr>
          <w:rFonts w:cs="Times New Roman"/>
          <w:b/>
          <w:szCs w:val="24"/>
        </w:rPr>
      </w:pPr>
      <w:r>
        <w:rPr>
          <w:rFonts w:cs="Times New Roman"/>
          <w:b/>
          <w:noProof/>
          <w:szCs w:val="24"/>
        </w:rPr>
        <w:lastRenderedPageBreak/>
        <w:drawing>
          <wp:inline distT="0" distB="0" distL="0" distR="0" wp14:anchorId="06EC6951" wp14:editId="3690EBF1">
            <wp:extent cx="5843799" cy="3017520"/>
            <wp:effectExtent l="0" t="0" r="508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rotWithShape="1">
                    <a:blip r:embed="rId30">
                      <a:extLst>
                        <a:ext uri="{28A0092B-C50C-407E-A947-70E740481C1C}">
                          <a14:useLocalDpi xmlns:a14="http://schemas.microsoft.com/office/drawing/2010/main" val="0"/>
                        </a:ext>
                      </a:extLst>
                    </a:blip>
                    <a:srcRect t="17125" r="17592" b="14791"/>
                    <a:stretch/>
                  </pic:blipFill>
                  <pic:spPr bwMode="auto">
                    <a:xfrm>
                      <a:off x="0" y="0"/>
                      <a:ext cx="5843799" cy="3017520"/>
                    </a:xfrm>
                    <a:prstGeom prst="rect">
                      <a:avLst/>
                    </a:prstGeom>
                    <a:ln>
                      <a:noFill/>
                    </a:ln>
                    <a:extLst>
                      <a:ext uri="{53640926-AAD7-44D8-BBD7-CCE9431645EC}">
                        <a14:shadowObscured xmlns:a14="http://schemas.microsoft.com/office/drawing/2010/main"/>
                      </a:ext>
                    </a:extLst>
                  </pic:spPr>
                </pic:pic>
              </a:graphicData>
            </a:graphic>
          </wp:inline>
        </w:drawing>
      </w:r>
    </w:p>
    <w:p w14:paraId="32A04E28" w14:textId="1A5A9039" w:rsidR="001249BB" w:rsidRDefault="001249BB" w:rsidP="001249BB">
      <w:pPr>
        <w:pStyle w:val="Caption"/>
        <w:rPr>
          <w:noProof/>
        </w:rPr>
      </w:pPr>
      <w:bookmarkStart w:id="81" w:name="_Toc60480659"/>
      <w:r>
        <w:t xml:space="preserve">Figure </w:t>
      </w:r>
      <w:fldSimple w:instr=" STYLEREF 1 \s ">
        <w:r w:rsidR="000C6138">
          <w:rPr>
            <w:noProof/>
          </w:rPr>
          <w:t>3</w:t>
        </w:r>
      </w:fldSimple>
      <w:r w:rsidR="004F311A">
        <w:t>.</w:t>
      </w:r>
      <w:fldSimple w:instr=" SEQ Figure \* ARABIC \s 1 ">
        <w:r w:rsidR="000C6138">
          <w:rPr>
            <w:noProof/>
          </w:rPr>
          <w:t>2</w:t>
        </w:r>
      </w:fldSimple>
      <w:bookmarkEnd w:id="81"/>
    </w:p>
    <w:p w14:paraId="41E3C6CF" w14:textId="35964C08" w:rsidR="009D454A" w:rsidRDefault="009D454A" w:rsidP="009D454A"/>
    <w:p w14:paraId="61EFAD2A" w14:textId="77777777" w:rsidR="009D454A" w:rsidRPr="009D454A" w:rsidRDefault="009D454A" w:rsidP="009D454A"/>
    <w:p w14:paraId="2E67B532" w14:textId="77777777" w:rsidR="009D454A" w:rsidRDefault="009D454A" w:rsidP="009D454A">
      <w:pPr>
        <w:jc w:val="center"/>
      </w:pPr>
      <w:r>
        <w:rPr>
          <w:rFonts w:cs="Times New Roman"/>
          <w:b/>
          <w:noProof/>
          <w:szCs w:val="24"/>
        </w:rPr>
        <w:lastRenderedPageBreak/>
        <w:drawing>
          <wp:inline distT="0" distB="0" distL="0" distR="0" wp14:anchorId="3ADCD1D7" wp14:editId="60B5B2B9">
            <wp:extent cx="2286000" cy="4242391"/>
            <wp:effectExtent l="0" t="0" r="0" b="6350"/>
            <wp:docPr id="11" name="Picture 11" descr="Diagram,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letter&#10;&#10;Description automatically generated with medium confidence"/>
                    <pic:cNvPicPr/>
                  </pic:nvPicPr>
                  <pic:blipFill rotWithShape="1">
                    <a:blip r:embed="rId31">
                      <a:extLst>
                        <a:ext uri="{28A0092B-C50C-407E-A947-70E740481C1C}">
                          <a14:useLocalDpi xmlns:a14="http://schemas.microsoft.com/office/drawing/2010/main" val="0"/>
                        </a:ext>
                      </a:extLst>
                    </a:blip>
                    <a:srcRect t="7209"/>
                    <a:stretch/>
                  </pic:blipFill>
                  <pic:spPr bwMode="auto">
                    <a:xfrm>
                      <a:off x="0" y="0"/>
                      <a:ext cx="2286000" cy="4242391"/>
                    </a:xfrm>
                    <a:prstGeom prst="rect">
                      <a:avLst/>
                    </a:prstGeom>
                    <a:ln>
                      <a:noFill/>
                    </a:ln>
                    <a:extLst>
                      <a:ext uri="{53640926-AAD7-44D8-BBD7-CCE9431645EC}">
                        <a14:shadowObscured xmlns:a14="http://schemas.microsoft.com/office/drawing/2010/main"/>
                      </a:ext>
                    </a:extLst>
                  </pic:spPr>
                </pic:pic>
              </a:graphicData>
            </a:graphic>
          </wp:inline>
        </w:drawing>
      </w:r>
      <w:bookmarkStart w:id="82" w:name="_Toc60480660"/>
    </w:p>
    <w:p w14:paraId="14A049A4" w14:textId="1F6C4636" w:rsidR="001249BB" w:rsidRPr="009D454A" w:rsidRDefault="001249BB" w:rsidP="009D454A">
      <w:pPr>
        <w:rPr>
          <w:rFonts w:cs="Times New Roman"/>
          <w:b/>
          <w:szCs w:val="24"/>
        </w:rPr>
      </w:pPr>
      <w:r>
        <w:t xml:space="preserve">Figure </w:t>
      </w:r>
      <w:fldSimple w:instr=" STYLEREF 1 \s ">
        <w:r w:rsidR="000C6138">
          <w:rPr>
            <w:noProof/>
          </w:rPr>
          <w:t>3</w:t>
        </w:r>
      </w:fldSimple>
      <w:r w:rsidR="004F311A">
        <w:t>.</w:t>
      </w:r>
      <w:fldSimple w:instr=" SEQ Figure \* ARABIC \s 1 ">
        <w:r w:rsidR="000C6138">
          <w:rPr>
            <w:noProof/>
          </w:rPr>
          <w:t>3</w:t>
        </w:r>
      </w:fldSimple>
      <w:bookmarkEnd w:id="82"/>
    </w:p>
    <w:p w14:paraId="7CB9A889" w14:textId="04148968" w:rsidR="004F311A" w:rsidRDefault="009D454A" w:rsidP="004F311A">
      <w:pPr>
        <w:jc w:val="center"/>
      </w:pPr>
      <w:r>
        <w:rPr>
          <w:rFonts w:cs="Times New Roman"/>
          <w:b/>
          <w:noProof/>
          <w:szCs w:val="24"/>
        </w:rPr>
        <w:drawing>
          <wp:inline distT="0" distB="0" distL="0" distR="0" wp14:anchorId="22E81E25" wp14:editId="3DD9303B">
            <wp:extent cx="2285788" cy="3180522"/>
            <wp:effectExtent l="0" t="0" r="635" b="1270"/>
            <wp:docPr id="29" name="Picture 2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rotWithShape="1">
                    <a:blip r:embed="rId32">
                      <a:extLst>
                        <a:ext uri="{28A0092B-C50C-407E-A947-70E740481C1C}">
                          <a14:useLocalDpi xmlns:a14="http://schemas.microsoft.com/office/drawing/2010/main" val="0"/>
                        </a:ext>
                      </a:extLst>
                    </a:blip>
                    <a:srcRect t="15478" b="14950"/>
                    <a:stretch/>
                  </pic:blipFill>
                  <pic:spPr bwMode="auto">
                    <a:xfrm>
                      <a:off x="0" y="0"/>
                      <a:ext cx="2286000" cy="3180818"/>
                    </a:xfrm>
                    <a:prstGeom prst="rect">
                      <a:avLst/>
                    </a:prstGeom>
                    <a:ln>
                      <a:noFill/>
                    </a:ln>
                    <a:extLst>
                      <a:ext uri="{53640926-AAD7-44D8-BBD7-CCE9431645EC}">
                        <a14:shadowObscured xmlns:a14="http://schemas.microsoft.com/office/drawing/2010/main"/>
                      </a:ext>
                    </a:extLst>
                  </pic:spPr>
                </pic:pic>
              </a:graphicData>
            </a:graphic>
          </wp:inline>
        </w:drawing>
      </w:r>
    </w:p>
    <w:p w14:paraId="56CD2A54" w14:textId="16E121F5" w:rsidR="00333AA3" w:rsidRPr="004F311A" w:rsidRDefault="004F311A" w:rsidP="004F311A">
      <w:pPr>
        <w:pStyle w:val="Caption"/>
      </w:pPr>
      <w:r>
        <w:t xml:space="preserve">Figure </w:t>
      </w:r>
      <w:fldSimple w:instr=" STYLEREF 1 \s ">
        <w:r w:rsidR="000C6138">
          <w:rPr>
            <w:noProof/>
          </w:rPr>
          <w:t>3</w:t>
        </w:r>
      </w:fldSimple>
      <w:r>
        <w:t>.</w:t>
      </w:r>
      <w:fldSimple w:instr=" SEQ Figure \* ARABIC \s 1 ">
        <w:r w:rsidR="000C6138">
          <w:rPr>
            <w:noProof/>
          </w:rPr>
          <w:t>4</w:t>
        </w:r>
      </w:fldSimple>
    </w:p>
    <w:p w14:paraId="17DDB4FB" w14:textId="50BB93CE" w:rsidR="00333AA3" w:rsidRDefault="009D454A" w:rsidP="00333AA3">
      <w:pPr>
        <w:rPr>
          <w:rFonts w:cs="Times New Roman"/>
          <w:b/>
          <w:szCs w:val="24"/>
        </w:rPr>
      </w:pPr>
      <w:r>
        <w:rPr>
          <w:rFonts w:cs="Times New Roman"/>
          <w:b/>
          <w:noProof/>
          <w:szCs w:val="24"/>
        </w:rPr>
        <w:lastRenderedPageBreak/>
        <w:drawing>
          <wp:inline distT="0" distB="0" distL="0" distR="0" wp14:anchorId="641F036D" wp14:editId="7E4C5090">
            <wp:extent cx="5943600" cy="44885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3">
                      <a:extLst>
                        <a:ext uri="{28A0092B-C50C-407E-A947-70E740481C1C}">
                          <a14:useLocalDpi xmlns:a14="http://schemas.microsoft.com/office/drawing/2010/main" val="0"/>
                        </a:ext>
                      </a:extLst>
                    </a:blip>
                    <a:srcRect r="34041" b="33616"/>
                    <a:stretch/>
                  </pic:blipFill>
                  <pic:spPr bwMode="auto">
                    <a:xfrm>
                      <a:off x="0" y="0"/>
                      <a:ext cx="5943600" cy="4488530"/>
                    </a:xfrm>
                    <a:prstGeom prst="rect">
                      <a:avLst/>
                    </a:prstGeom>
                    <a:ln>
                      <a:noFill/>
                    </a:ln>
                    <a:extLst>
                      <a:ext uri="{53640926-AAD7-44D8-BBD7-CCE9431645EC}">
                        <a14:shadowObscured xmlns:a14="http://schemas.microsoft.com/office/drawing/2010/main"/>
                      </a:ext>
                    </a:extLst>
                  </pic:spPr>
                </pic:pic>
              </a:graphicData>
            </a:graphic>
          </wp:inline>
        </w:drawing>
      </w:r>
    </w:p>
    <w:p w14:paraId="2C183F7F" w14:textId="1BF21015" w:rsidR="00333AA3" w:rsidRDefault="001249BB" w:rsidP="001249BB">
      <w:pPr>
        <w:pStyle w:val="Caption"/>
        <w:rPr>
          <w:rFonts w:cs="Times New Roman"/>
          <w:b/>
          <w:szCs w:val="24"/>
        </w:rPr>
      </w:pPr>
      <w:bookmarkStart w:id="83" w:name="_Toc60480661"/>
      <w:r>
        <w:t xml:space="preserve">Figure </w:t>
      </w:r>
      <w:fldSimple w:instr=" STYLEREF 1 \s ">
        <w:r w:rsidR="000C6138">
          <w:rPr>
            <w:noProof/>
          </w:rPr>
          <w:t>3</w:t>
        </w:r>
      </w:fldSimple>
      <w:r w:rsidR="004F311A">
        <w:t>.</w:t>
      </w:r>
      <w:fldSimple w:instr=" SEQ Figure \* ARABIC \s 1 ">
        <w:r w:rsidR="000C6138">
          <w:rPr>
            <w:noProof/>
          </w:rPr>
          <w:t>5</w:t>
        </w:r>
      </w:fldSimple>
      <w:bookmarkEnd w:id="83"/>
    </w:p>
    <w:p w14:paraId="4D25CE07" w14:textId="021B84DA" w:rsidR="00333AA3" w:rsidRDefault="00333AA3" w:rsidP="00333AA3">
      <w:pPr>
        <w:rPr>
          <w:rFonts w:cs="Times New Roman"/>
          <w:bCs/>
          <w:szCs w:val="24"/>
        </w:rPr>
      </w:pPr>
      <w:r w:rsidRPr="0013643A">
        <w:rPr>
          <w:rFonts w:cs="Times New Roman"/>
          <w:bCs/>
          <w:szCs w:val="24"/>
        </w:rPr>
        <w:lastRenderedPageBreak/>
        <w:t xml:space="preserve"> </w:t>
      </w:r>
      <w:r w:rsidR="00FE55A7">
        <w:rPr>
          <w:rFonts w:cs="Times New Roman"/>
          <w:bCs/>
          <w:noProof/>
          <w:szCs w:val="24"/>
        </w:rPr>
        <w:drawing>
          <wp:inline distT="0" distB="0" distL="0" distR="0" wp14:anchorId="74C44123" wp14:editId="61BEE72E">
            <wp:extent cx="5943600" cy="4592955"/>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2C8113BE" w14:textId="77777777" w:rsidR="001249BB" w:rsidRDefault="001249BB" w:rsidP="00333AA3">
      <w:pPr>
        <w:rPr>
          <w:rFonts w:cs="Times New Roman"/>
          <w:bCs/>
          <w:szCs w:val="24"/>
        </w:rPr>
      </w:pPr>
    </w:p>
    <w:p w14:paraId="3948C67A" w14:textId="2E826ED5" w:rsidR="001249BB" w:rsidRDefault="001249BB" w:rsidP="001249BB">
      <w:pPr>
        <w:pStyle w:val="Caption"/>
        <w:rPr>
          <w:rFonts w:cs="Times New Roman"/>
          <w:b/>
          <w:szCs w:val="24"/>
        </w:rPr>
        <w:sectPr w:rsidR="001249BB" w:rsidSect="00F716D3">
          <w:pgSz w:w="12240" w:h="15840"/>
          <w:pgMar w:top="1440" w:right="1440" w:bottom="1440" w:left="1440" w:header="720" w:footer="720" w:gutter="0"/>
          <w:cols w:space="720"/>
          <w:docGrid w:linePitch="360"/>
        </w:sectPr>
      </w:pPr>
      <w:bookmarkStart w:id="84" w:name="_Toc60480662"/>
      <w:r>
        <w:t xml:space="preserve">Figure </w:t>
      </w:r>
      <w:fldSimple w:instr=" STYLEREF 1 \s ">
        <w:r w:rsidR="000C6138">
          <w:rPr>
            <w:noProof/>
          </w:rPr>
          <w:t>3</w:t>
        </w:r>
      </w:fldSimple>
      <w:r w:rsidR="004F311A">
        <w:t>.</w:t>
      </w:r>
      <w:fldSimple w:instr=" SEQ Figure \* ARABIC \s 1 ">
        <w:r w:rsidR="000C6138">
          <w:rPr>
            <w:noProof/>
          </w:rPr>
          <w:t>6</w:t>
        </w:r>
      </w:fldSimple>
      <w:bookmarkEnd w:id="84"/>
    </w:p>
    <w:p w14:paraId="37F2F9E8" w14:textId="03434C6B" w:rsidR="00333AA3" w:rsidRDefault="00762E41" w:rsidP="00762E41">
      <w:pPr>
        <w:pStyle w:val="Heading2"/>
      </w:pPr>
      <w:bookmarkStart w:id="85" w:name="_Toc60841233"/>
      <w:r>
        <w:lastRenderedPageBreak/>
        <w:t>Appendix S1. Supporting</w:t>
      </w:r>
      <w:r w:rsidR="00333AA3">
        <w:t xml:space="preserve"> Information</w:t>
      </w:r>
      <w:bookmarkEnd w:id="85"/>
    </w:p>
    <w:p w14:paraId="7F6A0CF9" w14:textId="4561D632" w:rsidR="00333AA3" w:rsidRDefault="00333AA3" w:rsidP="00333AA3">
      <w:pPr>
        <w:tabs>
          <w:tab w:val="left" w:pos="6687"/>
        </w:tabs>
        <w:spacing w:after="0"/>
        <w:rPr>
          <w:rFonts w:cs="Times New Roman"/>
          <w:bCs/>
          <w:szCs w:val="24"/>
        </w:rPr>
      </w:pPr>
    </w:p>
    <w:p w14:paraId="571EC136" w14:textId="7298DDD4" w:rsidR="004F311A" w:rsidRDefault="004F311A" w:rsidP="004F311A">
      <w:pPr>
        <w:pStyle w:val="Caption"/>
        <w:rPr>
          <w:rFonts w:cs="Times New Roman"/>
          <w:bCs/>
          <w:szCs w:val="24"/>
        </w:rPr>
      </w:pPr>
      <w:bookmarkStart w:id="86" w:name="_Toc61883057"/>
      <w:r>
        <w:t xml:space="preserve">Table </w:t>
      </w:r>
      <w:r>
        <w:rPr>
          <w:rFonts w:cs="Times New Roman"/>
          <w:bCs/>
          <w:szCs w:val="24"/>
        </w:rPr>
        <w:t>S</w:t>
      </w:r>
      <w:r w:rsidR="00B06ABD">
        <w:rPr>
          <w:rFonts w:cs="Times New Roman"/>
          <w:bCs/>
          <w:szCs w:val="24"/>
        </w:rPr>
        <w:t>3.1</w:t>
      </w:r>
      <w:r>
        <w:rPr>
          <w:rFonts w:cs="Times New Roman"/>
          <w:bCs/>
          <w:szCs w:val="24"/>
        </w:rPr>
        <w:t xml:space="preserve">: </w:t>
      </w:r>
      <w:proofErr w:type="spellStart"/>
      <w:r>
        <w:rPr>
          <w:rFonts w:cs="Times New Roman"/>
          <w:bCs/>
          <w:szCs w:val="24"/>
        </w:rPr>
        <w:t>Bioclimate</w:t>
      </w:r>
      <w:proofErr w:type="spellEnd"/>
      <w:r>
        <w:rPr>
          <w:rFonts w:cs="Times New Roman"/>
          <w:bCs/>
          <w:szCs w:val="24"/>
        </w:rPr>
        <w:t xml:space="preserve"> variable descriptions used in the stream width and insect production models. Descriptions are adapted from </w:t>
      </w:r>
      <w:hyperlink r:id="rId35" w:history="1">
        <w:r w:rsidRPr="00A1259B">
          <w:rPr>
            <w:rStyle w:val="Hyperlink"/>
            <w:rFonts w:cs="Times New Roman"/>
            <w:bCs/>
            <w:szCs w:val="24"/>
          </w:rPr>
          <w:t>https://www.worldclim.org/</w:t>
        </w:r>
      </w:hyperlink>
      <w:r>
        <w:rPr>
          <w:rFonts w:cs="Times New Roman"/>
          <w:bCs/>
          <w:szCs w:val="24"/>
        </w:rPr>
        <w:t>. A quarter is defined as a period of three months. We removed highly correlated variables such that bold were included in the analysis.</w:t>
      </w:r>
      <w:bookmarkEnd w:id="86"/>
    </w:p>
    <w:p w14:paraId="51E7290E" w14:textId="77777777" w:rsidR="004F311A" w:rsidRDefault="004F311A" w:rsidP="004F311A">
      <w:pPr>
        <w:tabs>
          <w:tab w:val="left" w:pos="6687"/>
        </w:tabs>
        <w:spacing w:after="0"/>
        <w:rPr>
          <w:rFonts w:cs="Times New Roman"/>
          <w:bCs/>
          <w:szCs w:val="24"/>
        </w:rPr>
      </w:pPr>
    </w:p>
    <w:tbl>
      <w:tblPr>
        <w:tblStyle w:val="TableGrid"/>
        <w:tblW w:w="0" w:type="auto"/>
        <w:tblLook w:val="04A0" w:firstRow="1" w:lastRow="0" w:firstColumn="1" w:lastColumn="0" w:noHBand="0" w:noVBand="1"/>
      </w:tblPr>
      <w:tblGrid>
        <w:gridCol w:w="8005"/>
      </w:tblGrid>
      <w:tr w:rsidR="004F311A" w14:paraId="37DB1EEC" w14:textId="77777777" w:rsidTr="007A57ED">
        <w:tc>
          <w:tcPr>
            <w:tcW w:w="8005" w:type="dxa"/>
          </w:tcPr>
          <w:p w14:paraId="2C1EE244" w14:textId="77777777" w:rsidR="004F311A" w:rsidRPr="00912B02" w:rsidRDefault="004F311A" w:rsidP="007A57ED">
            <w:pPr>
              <w:tabs>
                <w:tab w:val="left" w:pos="6687"/>
              </w:tabs>
              <w:rPr>
                <w:rFonts w:cs="Times New Roman"/>
                <w:b/>
                <w:szCs w:val="24"/>
              </w:rPr>
            </w:pPr>
            <w:r w:rsidRPr="004E7AE6">
              <w:rPr>
                <w:rFonts w:cs="Times New Roman" w:hint="eastAsia"/>
                <w:b/>
                <w:szCs w:val="24"/>
              </w:rPr>
              <w:t>BIO1 = Annual Mean Temperature</w:t>
            </w:r>
          </w:p>
        </w:tc>
      </w:tr>
      <w:tr w:rsidR="004F311A" w14:paraId="26F2D736" w14:textId="77777777" w:rsidTr="007A57ED">
        <w:tc>
          <w:tcPr>
            <w:tcW w:w="8005" w:type="dxa"/>
          </w:tcPr>
          <w:p w14:paraId="6C3E23DD" w14:textId="77777777" w:rsidR="004F311A" w:rsidRPr="00912B02" w:rsidRDefault="004F311A" w:rsidP="007A57ED">
            <w:pPr>
              <w:tabs>
                <w:tab w:val="left" w:pos="6687"/>
              </w:tabs>
              <w:rPr>
                <w:rFonts w:cs="Times New Roman"/>
                <w:b/>
                <w:szCs w:val="24"/>
              </w:rPr>
            </w:pPr>
            <w:r w:rsidRPr="004E7AE6">
              <w:rPr>
                <w:rFonts w:cs="Times New Roman" w:hint="eastAsia"/>
                <w:b/>
                <w:szCs w:val="24"/>
              </w:rPr>
              <w:t>BIO2 = Mean Diurnal Range (Mean of monthly (max temp - min temp))</w:t>
            </w:r>
          </w:p>
        </w:tc>
      </w:tr>
      <w:tr w:rsidR="004F311A" w14:paraId="53B7B83E" w14:textId="77777777" w:rsidTr="007A57ED">
        <w:tc>
          <w:tcPr>
            <w:tcW w:w="8005" w:type="dxa"/>
          </w:tcPr>
          <w:p w14:paraId="4D370B42" w14:textId="77777777" w:rsidR="004F311A" w:rsidRPr="00912B02" w:rsidRDefault="004F311A" w:rsidP="007A57ED">
            <w:pPr>
              <w:tabs>
                <w:tab w:val="left" w:pos="6687"/>
              </w:tabs>
              <w:rPr>
                <w:rFonts w:cs="Times New Roman"/>
                <w:b/>
                <w:szCs w:val="24"/>
              </w:rPr>
            </w:pPr>
            <w:r w:rsidRPr="004E7AE6">
              <w:rPr>
                <w:rFonts w:cs="Times New Roman" w:hint="eastAsia"/>
                <w:b/>
                <w:szCs w:val="24"/>
              </w:rPr>
              <w:t xml:space="preserve">BIO3 = </w:t>
            </w:r>
            <w:proofErr w:type="spellStart"/>
            <w:r w:rsidRPr="004E7AE6">
              <w:rPr>
                <w:rFonts w:cs="Times New Roman" w:hint="eastAsia"/>
                <w:b/>
                <w:szCs w:val="24"/>
              </w:rPr>
              <w:t>Isothermality</w:t>
            </w:r>
            <w:proofErr w:type="spellEnd"/>
            <w:r w:rsidRPr="004E7AE6">
              <w:rPr>
                <w:rFonts w:cs="Times New Roman" w:hint="eastAsia"/>
                <w:b/>
                <w:szCs w:val="24"/>
              </w:rPr>
              <w:t xml:space="preserve"> (BIO2/BIO7) (</w:t>
            </w:r>
            <w:r w:rsidRPr="004E7AE6">
              <w:rPr>
                <w:rFonts w:cs="Times New Roman" w:hint="eastAsia"/>
                <w:b/>
                <w:szCs w:val="24"/>
              </w:rPr>
              <w:t>×</w:t>
            </w:r>
            <w:r w:rsidRPr="004E7AE6">
              <w:rPr>
                <w:rFonts w:cs="Times New Roman" w:hint="eastAsia"/>
                <w:b/>
                <w:szCs w:val="24"/>
              </w:rPr>
              <w:t>100)</w:t>
            </w:r>
          </w:p>
        </w:tc>
      </w:tr>
      <w:tr w:rsidR="004F311A" w14:paraId="65A5DEA4" w14:textId="77777777" w:rsidTr="007A57ED">
        <w:tc>
          <w:tcPr>
            <w:tcW w:w="8005" w:type="dxa"/>
          </w:tcPr>
          <w:p w14:paraId="4A24177C" w14:textId="77777777" w:rsidR="004F311A" w:rsidRDefault="004F311A" w:rsidP="007A57ED">
            <w:pPr>
              <w:tabs>
                <w:tab w:val="left" w:pos="6687"/>
              </w:tabs>
              <w:rPr>
                <w:rFonts w:cs="Times New Roman"/>
                <w:bCs/>
                <w:szCs w:val="24"/>
              </w:rPr>
            </w:pPr>
            <w:r w:rsidRPr="004E7AE6">
              <w:rPr>
                <w:rFonts w:cs="Times New Roman" w:hint="eastAsia"/>
                <w:bCs/>
                <w:szCs w:val="24"/>
              </w:rPr>
              <w:t xml:space="preserve">BIO4 = Temperature Seasonality (standard deviation </w:t>
            </w:r>
            <w:r w:rsidRPr="004E7AE6">
              <w:rPr>
                <w:rFonts w:cs="Times New Roman" w:hint="eastAsia"/>
                <w:bCs/>
                <w:szCs w:val="24"/>
              </w:rPr>
              <w:t>×</w:t>
            </w:r>
            <w:r w:rsidRPr="004E7AE6">
              <w:rPr>
                <w:rFonts w:cs="Times New Roman" w:hint="eastAsia"/>
                <w:bCs/>
                <w:szCs w:val="24"/>
              </w:rPr>
              <w:t>100)</w:t>
            </w:r>
          </w:p>
        </w:tc>
      </w:tr>
      <w:tr w:rsidR="004F311A" w14:paraId="6C9A3AD1" w14:textId="77777777" w:rsidTr="007A57ED">
        <w:tc>
          <w:tcPr>
            <w:tcW w:w="8005" w:type="dxa"/>
          </w:tcPr>
          <w:p w14:paraId="275B1751" w14:textId="77777777" w:rsidR="004F311A" w:rsidRDefault="004F311A" w:rsidP="007A57ED">
            <w:pPr>
              <w:tabs>
                <w:tab w:val="left" w:pos="6687"/>
              </w:tabs>
              <w:rPr>
                <w:rFonts w:cs="Times New Roman"/>
                <w:bCs/>
                <w:szCs w:val="24"/>
              </w:rPr>
            </w:pPr>
            <w:r w:rsidRPr="004E7AE6">
              <w:rPr>
                <w:rFonts w:cs="Times New Roman" w:hint="eastAsia"/>
                <w:bCs/>
                <w:szCs w:val="24"/>
              </w:rPr>
              <w:t>BIO5 = Max Temperature of Warmest Month</w:t>
            </w:r>
          </w:p>
        </w:tc>
      </w:tr>
      <w:tr w:rsidR="004F311A" w14:paraId="72D17F4E" w14:textId="77777777" w:rsidTr="007A57ED">
        <w:tc>
          <w:tcPr>
            <w:tcW w:w="8005" w:type="dxa"/>
          </w:tcPr>
          <w:p w14:paraId="73CF4D32" w14:textId="77777777" w:rsidR="004F311A" w:rsidRDefault="004F311A" w:rsidP="007A57ED">
            <w:pPr>
              <w:tabs>
                <w:tab w:val="left" w:pos="6687"/>
              </w:tabs>
              <w:rPr>
                <w:rFonts w:cs="Times New Roman"/>
                <w:bCs/>
                <w:szCs w:val="24"/>
              </w:rPr>
            </w:pPr>
            <w:r w:rsidRPr="004E7AE6">
              <w:rPr>
                <w:rFonts w:cs="Times New Roman" w:hint="eastAsia"/>
                <w:bCs/>
                <w:szCs w:val="24"/>
              </w:rPr>
              <w:t>BIO6 = Min Temperature of Coldest Month</w:t>
            </w:r>
          </w:p>
        </w:tc>
      </w:tr>
      <w:tr w:rsidR="004F311A" w14:paraId="2FB86409" w14:textId="77777777" w:rsidTr="007A57ED">
        <w:tc>
          <w:tcPr>
            <w:tcW w:w="8005" w:type="dxa"/>
          </w:tcPr>
          <w:p w14:paraId="6A0DD52F" w14:textId="77777777" w:rsidR="004F311A" w:rsidRDefault="004F311A" w:rsidP="007A57ED">
            <w:pPr>
              <w:tabs>
                <w:tab w:val="left" w:pos="6687"/>
              </w:tabs>
              <w:rPr>
                <w:rFonts w:cs="Times New Roman"/>
                <w:bCs/>
                <w:szCs w:val="24"/>
              </w:rPr>
            </w:pPr>
            <w:r w:rsidRPr="004E7AE6">
              <w:rPr>
                <w:rFonts w:cs="Times New Roman" w:hint="eastAsia"/>
                <w:bCs/>
                <w:szCs w:val="24"/>
              </w:rPr>
              <w:t>BIO7 = Temperature Annual Range (BIO5-BIO6)</w:t>
            </w:r>
          </w:p>
        </w:tc>
      </w:tr>
      <w:tr w:rsidR="004F311A" w14:paraId="3F497BA6" w14:textId="77777777" w:rsidTr="007A57ED">
        <w:tc>
          <w:tcPr>
            <w:tcW w:w="8005" w:type="dxa"/>
          </w:tcPr>
          <w:p w14:paraId="4FE27FB1" w14:textId="77777777" w:rsidR="004F311A" w:rsidRPr="00912B02" w:rsidRDefault="004F311A" w:rsidP="007A57ED">
            <w:pPr>
              <w:tabs>
                <w:tab w:val="left" w:pos="6687"/>
              </w:tabs>
              <w:rPr>
                <w:rFonts w:cs="Times New Roman"/>
                <w:b/>
                <w:szCs w:val="24"/>
              </w:rPr>
            </w:pPr>
            <w:r w:rsidRPr="004E7AE6">
              <w:rPr>
                <w:rFonts w:cs="Times New Roman" w:hint="eastAsia"/>
                <w:b/>
                <w:szCs w:val="24"/>
              </w:rPr>
              <w:t>BIO8 = Mean Temperature of Wettest Quarter</w:t>
            </w:r>
          </w:p>
        </w:tc>
      </w:tr>
      <w:tr w:rsidR="004F311A" w14:paraId="44B8BB13" w14:textId="77777777" w:rsidTr="007A57ED">
        <w:tc>
          <w:tcPr>
            <w:tcW w:w="8005" w:type="dxa"/>
          </w:tcPr>
          <w:p w14:paraId="01195AB0" w14:textId="77777777" w:rsidR="004F311A" w:rsidRPr="00912B02" w:rsidRDefault="004F311A" w:rsidP="007A57ED">
            <w:pPr>
              <w:tabs>
                <w:tab w:val="left" w:pos="6687"/>
              </w:tabs>
              <w:rPr>
                <w:rFonts w:cs="Times New Roman"/>
                <w:b/>
                <w:szCs w:val="24"/>
              </w:rPr>
            </w:pPr>
            <w:r w:rsidRPr="004E7AE6">
              <w:rPr>
                <w:rFonts w:cs="Times New Roman" w:hint="eastAsia"/>
                <w:b/>
                <w:szCs w:val="24"/>
              </w:rPr>
              <w:t>BIO9 = Mean Temperature of Driest Quarter</w:t>
            </w:r>
          </w:p>
        </w:tc>
      </w:tr>
      <w:tr w:rsidR="004F311A" w14:paraId="1EC7C5A8" w14:textId="77777777" w:rsidTr="007A57ED">
        <w:tc>
          <w:tcPr>
            <w:tcW w:w="8005" w:type="dxa"/>
          </w:tcPr>
          <w:p w14:paraId="7DED9706" w14:textId="77777777" w:rsidR="004F311A" w:rsidRDefault="004F311A" w:rsidP="007A57ED">
            <w:pPr>
              <w:tabs>
                <w:tab w:val="left" w:pos="6687"/>
              </w:tabs>
              <w:rPr>
                <w:rFonts w:cs="Times New Roman"/>
                <w:bCs/>
                <w:szCs w:val="24"/>
              </w:rPr>
            </w:pPr>
            <w:r w:rsidRPr="004E7AE6">
              <w:rPr>
                <w:rFonts w:cs="Times New Roman" w:hint="eastAsia"/>
                <w:bCs/>
                <w:szCs w:val="24"/>
              </w:rPr>
              <w:t>BIO10 = Mean Temperature of Warmest Quarter</w:t>
            </w:r>
          </w:p>
        </w:tc>
      </w:tr>
      <w:tr w:rsidR="004F311A" w14:paraId="3A3C5096" w14:textId="77777777" w:rsidTr="007A57ED">
        <w:tc>
          <w:tcPr>
            <w:tcW w:w="8005" w:type="dxa"/>
          </w:tcPr>
          <w:p w14:paraId="70F676E6" w14:textId="77777777" w:rsidR="004F311A" w:rsidRDefault="004F311A" w:rsidP="007A57ED">
            <w:pPr>
              <w:tabs>
                <w:tab w:val="left" w:pos="6687"/>
              </w:tabs>
              <w:rPr>
                <w:rFonts w:cs="Times New Roman"/>
                <w:bCs/>
                <w:szCs w:val="24"/>
              </w:rPr>
            </w:pPr>
            <w:r w:rsidRPr="004E7AE6">
              <w:rPr>
                <w:rFonts w:cs="Times New Roman" w:hint="eastAsia"/>
                <w:bCs/>
                <w:szCs w:val="24"/>
              </w:rPr>
              <w:t>BIO11 = Mean Temperature of Coldest Quarter</w:t>
            </w:r>
          </w:p>
        </w:tc>
      </w:tr>
      <w:tr w:rsidR="004F311A" w14:paraId="274D517B" w14:textId="77777777" w:rsidTr="007A57ED">
        <w:tc>
          <w:tcPr>
            <w:tcW w:w="8005" w:type="dxa"/>
          </w:tcPr>
          <w:p w14:paraId="36EC6E39" w14:textId="77777777" w:rsidR="004F311A" w:rsidRPr="00912B02" w:rsidRDefault="004F311A" w:rsidP="007A57ED">
            <w:pPr>
              <w:tabs>
                <w:tab w:val="left" w:pos="6687"/>
              </w:tabs>
              <w:rPr>
                <w:rFonts w:cs="Times New Roman"/>
                <w:b/>
                <w:szCs w:val="24"/>
              </w:rPr>
            </w:pPr>
            <w:r w:rsidRPr="004E7AE6">
              <w:rPr>
                <w:rFonts w:cs="Times New Roman" w:hint="eastAsia"/>
                <w:b/>
                <w:szCs w:val="24"/>
              </w:rPr>
              <w:t>BIO12 = Annual Precipitation</w:t>
            </w:r>
          </w:p>
        </w:tc>
      </w:tr>
      <w:tr w:rsidR="004F311A" w14:paraId="7895F406" w14:textId="77777777" w:rsidTr="007A57ED">
        <w:tc>
          <w:tcPr>
            <w:tcW w:w="8005" w:type="dxa"/>
          </w:tcPr>
          <w:p w14:paraId="5C3BAE2E" w14:textId="77777777" w:rsidR="004F311A" w:rsidRDefault="004F311A" w:rsidP="007A57ED">
            <w:pPr>
              <w:tabs>
                <w:tab w:val="left" w:pos="6687"/>
              </w:tabs>
              <w:rPr>
                <w:rFonts w:cs="Times New Roman"/>
                <w:bCs/>
                <w:szCs w:val="24"/>
              </w:rPr>
            </w:pPr>
            <w:r w:rsidRPr="004E7AE6">
              <w:rPr>
                <w:rFonts w:cs="Times New Roman" w:hint="eastAsia"/>
                <w:bCs/>
                <w:szCs w:val="24"/>
              </w:rPr>
              <w:t>BIO13 = Precipitation of Wettest Month</w:t>
            </w:r>
          </w:p>
        </w:tc>
      </w:tr>
      <w:tr w:rsidR="004F311A" w14:paraId="6B63C36B" w14:textId="77777777" w:rsidTr="007A57ED">
        <w:tc>
          <w:tcPr>
            <w:tcW w:w="8005" w:type="dxa"/>
          </w:tcPr>
          <w:p w14:paraId="2BBF77CD" w14:textId="77777777" w:rsidR="004F311A" w:rsidRDefault="004F311A" w:rsidP="007A57ED">
            <w:pPr>
              <w:tabs>
                <w:tab w:val="left" w:pos="6687"/>
              </w:tabs>
              <w:rPr>
                <w:rFonts w:cs="Times New Roman"/>
                <w:bCs/>
                <w:szCs w:val="24"/>
              </w:rPr>
            </w:pPr>
            <w:r w:rsidRPr="004E7AE6">
              <w:rPr>
                <w:rFonts w:cs="Times New Roman" w:hint="eastAsia"/>
                <w:bCs/>
                <w:szCs w:val="24"/>
              </w:rPr>
              <w:t>BIO14 = Precipitation of Driest Month</w:t>
            </w:r>
          </w:p>
        </w:tc>
      </w:tr>
      <w:tr w:rsidR="004F311A" w14:paraId="38263745" w14:textId="77777777" w:rsidTr="007A57ED">
        <w:tc>
          <w:tcPr>
            <w:tcW w:w="8005" w:type="dxa"/>
          </w:tcPr>
          <w:p w14:paraId="6D4CD8CE" w14:textId="77777777" w:rsidR="004F311A" w:rsidRPr="00912B02" w:rsidRDefault="004F311A" w:rsidP="007A57ED">
            <w:pPr>
              <w:tabs>
                <w:tab w:val="left" w:pos="6687"/>
              </w:tabs>
              <w:rPr>
                <w:rFonts w:cs="Times New Roman"/>
                <w:b/>
                <w:szCs w:val="24"/>
              </w:rPr>
            </w:pPr>
            <w:r w:rsidRPr="004E7AE6">
              <w:rPr>
                <w:rFonts w:cs="Times New Roman" w:hint="eastAsia"/>
                <w:b/>
                <w:szCs w:val="24"/>
              </w:rPr>
              <w:t>BIO15 = Precipitation Seasonality (Coefficient of Variation)</w:t>
            </w:r>
          </w:p>
        </w:tc>
      </w:tr>
      <w:tr w:rsidR="004F311A" w14:paraId="380AC3F5" w14:textId="77777777" w:rsidTr="007A57ED">
        <w:tc>
          <w:tcPr>
            <w:tcW w:w="8005" w:type="dxa"/>
          </w:tcPr>
          <w:p w14:paraId="2D232337" w14:textId="77777777" w:rsidR="004F311A" w:rsidRPr="004E7AE6" w:rsidRDefault="004F311A" w:rsidP="007A57ED">
            <w:pPr>
              <w:tabs>
                <w:tab w:val="left" w:pos="6687"/>
              </w:tabs>
              <w:rPr>
                <w:rFonts w:cs="Times New Roman"/>
                <w:bCs/>
                <w:szCs w:val="24"/>
              </w:rPr>
            </w:pPr>
            <w:r w:rsidRPr="004E7AE6">
              <w:rPr>
                <w:rFonts w:cs="Times New Roman" w:hint="eastAsia"/>
                <w:bCs/>
                <w:szCs w:val="24"/>
              </w:rPr>
              <w:t>BIO16 = Precipitation of Wettest Quarter</w:t>
            </w:r>
          </w:p>
        </w:tc>
      </w:tr>
      <w:tr w:rsidR="004F311A" w14:paraId="43CDFF9C" w14:textId="77777777" w:rsidTr="007A57ED">
        <w:tc>
          <w:tcPr>
            <w:tcW w:w="8005" w:type="dxa"/>
          </w:tcPr>
          <w:p w14:paraId="100C52B7" w14:textId="77777777" w:rsidR="004F311A" w:rsidRPr="004E7AE6" w:rsidRDefault="004F311A" w:rsidP="007A57ED">
            <w:pPr>
              <w:tabs>
                <w:tab w:val="left" w:pos="6687"/>
              </w:tabs>
              <w:rPr>
                <w:rFonts w:cs="Times New Roman"/>
                <w:bCs/>
                <w:szCs w:val="24"/>
              </w:rPr>
            </w:pPr>
            <w:r w:rsidRPr="004E7AE6">
              <w:rPr>
                <w:rFonts w:cs="Times New Roman" w:hint="eastAsia"/>
                <w:bCs/>
                <w:szCs w:val="24"/>
              </w:rPr>
              <w:t>BIO17 = Precipitation of Driest Quarter</w:t>
            </w:r>
          </w:p>
        </w:tc>
      </w:tr>
      <w:tr w:rsidR="004F311A" w14:paraId="6C83A9A3" w14:textId="77777777" w:rsidTr="007A57ED">
        <w:tc>
          <w:tcPr>
            <w:tcW w:w="8005" w:type="dxa"/>
          </w:tcPr>
          <w:p w14:paraId="50D3E84D" w14:textId="77777777" w:rsidR="004F311A" w:rsidRPr="004E7AE6" w:rsidRDefault="004F311A" w:rsidP="007A57ED">
            <w:pPr>
              <w:tabs>
                <w:tab w:val="left" w:pos="6687"/>
              </w:tabs>
              <w:rPr>
                <w:rFonts w:cs="Times New Roman"/>
                <w:bCs/>
                <w:szCs w:val="24"/>
              </w:rPr>
            </w:pPr>
            <w:r w:rsidRPr="004E7AE6">
              <w:rPr>
                <w:rFonts w:cs="Times New Roman" w:hint="eastAsia"/>
                <w:bCs/>
                <w:szCs w:val="24"/>
              </w:rPr>
              <w:t>BIO18 = Precipitation of Warmest Quarter</w:t>
            </w:r>
          </w:p>
        </w:tc>
      </w:tr>
      <w:tr w:rsidR="004F311A" w14:paraId="01450470" w14:textId="77777777" w:rsidTr="007A57ED">
        <w:tc>
          <w:tcPr>
            <w:tcW w:w="8005" w:type="dxa"/>
          </w:tcPr>
          <w:p w14:paraId="120FBFFD" w14:textId="77777777" w:rsidR="004F311A" w:rsidRPr="004E7AE6" w:rsidRDefault="004F311A" w:rsidP="007A57ED">
            <w:pPr>
              <w:tabs>
                <w:tab w:val="left" w:pos="6687"/>
              </w:tabs>
              <w:rPr>
                <w:rFonts w:cs="Times New Roman"/>
                <w:bCs/>
                <w:szCs w:val="24"/>
              </w:rPr>
            </w:pPr>
            <w:r w:rsidRPr="004E7AE6">
              <w:rPr>
                <w:rFonts w:cs="Times New Roman" w:hint="eastAsia"/>
                <w:bCs/>
                <w:szCs w:val="24"/>
              </w:rPr>
              <w:t>BIO19 = Precipitation of Coldest Quarter</w:t>
            </w:r>
          </w:p>
        </w:tc>
      </w:tr>
    </w:tbl>
    <w:p w14:paraId="4FC7E0A7" w14:textId="77777777" w:rsidR="004F311A" w:rsidRDefault="004F311A" w:rsidP="004F311A">
      <w:pPr>
        <w:tabs>
          <w:tab w:val="left" w:pos="6687"/>
        </w:tabs>
        <w:spacing w:after="0"/>
        <w:rPr>
          <w:rFonts w:cs="Times New Roman"/>
          <w:bCs/>
          <w:szCs w:val="24"/>
        </w:rPr>
      </w:pPr>
    </w:p>
    <w:p w14:paraId="55632211" w14:textId="77777777" w:rsidR="004F311A" w:rsidRDefault="004F311A" w:rsidP="00333AA3">
      <w:pPr>
        <w:tabs>
          <w:tab w:val="left" w:pos="6687"/>
        </w:tabs>
        <w:spacing w:after="0"/>
        <w:rPr>
          <w:rFonts w:cs="Times New Roman"/>
          <w:bCs/>
          <w:szCs w:val="24"/>
        </w:rPr>
      </w:pPr>
    </w:p>
    <w:p w14:paraId="32344360" w14:textId="77777777" w:rsidR="00FC2592" w:rsidRDefault="00FC2592" w:rsidP="001249BB">
      <w:pPr>
        <w:pStyle w:val="Caption"/>
        <w:keepNext/>
      </w:pPr>
      <w:bookmarkStart w:id="87" w:name="_Toc60480692"/>
    </w:p>
    <w:p w14:paraId="7AB15974" w14:textId="77777777" w:rsidR="00FC2592" w:rsidRDefault="00FC2592" w:rsidP="001249BB">
      <w:pPr>
        <w:pStyle w:val="Caption"/>
        <w:keepNext/>
      </w:pPr>
    </w:p>
    <w:p w14:paraId="21CBE658" w14:textId="77777777" w:rsidR="00FC2592" w:rsidRDefault="00FC2592" w:rsidP="001249BB">
      <w:pPr>
        <w:pStyle w:val="Caption"/>
        <w:keepNext/>
      </w:pPr>
    </w:p>
    <w:p w14:paraId="775F1C9C" w14:textId="77777777" w:rsidR="00FC2592" w:rsidRDefault="00FC2592" w:rsidP="001249BB">
      <w:pPr>
        <w:pStyle w:val="Caption"/>
        <w:keepNext/>
      </w:pPr>
    </w:p>
    <w:p w14:paraId="326A35BF" w14:textId="77777777" w:rsidR="00FC2592" w:rsidRDefault="00FC2592" w:rsidP="001249BB">
      <w:pPr>
        <w:pStyle w:val="Caption"/>
        <w:keepNext/>
      </w:pPr>
    </w:p>
    <w:p w14:paraId="1024F252" w14:textId="7470F92B" w:rsidR="00FC2592" w:rsidRDefault="00FC2592" w:rsidP="00FC2592"/>
    <w:p w14:paraId="2D13EE78" w14:textId="77777777" w:rsidR="00FC2592" w:rsidRPr="00FC2592" w:rsidRDefault="00FC2592" w:rsidP="00FC2592"/>
    <w:p w14:paraId="2280A88A" w14:textId="78FAA182" w:rsidR="00333AA3" w:rsidRPr="001249BB" w:rsidRDefault="001249BB" w:rsidP="001249BB">
      <w:pPr>
        <w:pStyle w:val="Caption"/>
        <w:keepNext/>
      </w:pPr>
      <w:bookmarkStart w:id="88" w:name="_Toc61883058"/>
      <w:r>
        <w:lastRenderedPageBreak/>
        <w:t xml:space="preserve">Table </w:t>
      </w:r>
      <w:r w:rsidR="00333AA3" w:rsidRPr="00E92D89">
        <w:rPr>
          <w:rFonts w:cs="Times New Roman"/>
          <w:bCs/>
          <w:szCs w:val="24"/>
        </w:rPr>
        <w:t>S</w:t>
      </w:r>
      <w:r w:rsidR="00B06ABD">
        <w:rPr>
          <w:rFonts w:cs="Times New Roman"/>
          <w:bCs/>
          <w:szCs w:val="24"/>
        </w:rPr>
        <w:t>3.2.</w:t>
      </w:r>
      <w:r w:rsidR="00333AA3">
        <w:rPr>
          <w:rFonts w:cs="Times New Roman"/>
          <w:bCs/>
          <w:szCs w:val="24"/>
        </w:rPr>
        <w:t xml:space="preserve"> Avian Areal Insectivorous Birds used to calculate energetic demand. Body mass estimates were obtained from </w:t>
      </w:r>
      <w:r w:rsidR="00333AA3" w:rsidRPr="008A6C2C">
        <w:rPr>
          <w:rFonts w:cs="Times New Roman"/>
          <w:bCs/>
          <w:szCs w:val="24"/>
        </w:rPr>
        <w:t>Dunning (2008). Field</w:t>
      </w:r>
      <w:r w:rsidR="00333AA3">
        <w:rPr>
          <w:rFonts w:cs="Times New Roman"/>
          <w:bCs/>
          <w:szCs w:val="24"/>
        </w:rPr>
        <w:t xml:space="preserve"> metabolic rate were estimated from body mass using </w:t>
      </w:r>
      <w:proofErr w:type="spellStart"/>
      <w:r w:rsidR="00333AA3">
        <w:rPr>
          <w:rFonts w:cs="Times New Roman"/>
          <w:bCs/>
          <w:szCs w:val="24"/>
        </w:rPr>
        <w:t>allometric</w:t>
      </w:r>
      <w:proofErr w:type="spellEnd"/>
      <w:r w:rsidR="00333AA3">
        <w:rPr>
          <w:rFonts w:cs="Times New Roman"/>
          <w:bCs/>
          <w:szCs w:val="24"/>
        </w:rPr>
        <w:t xml:space="preserve"> scaling </w:t>
      </w:r>
      <w:r w:rsidR="00333AA3">
        <w:rPr>
          <w:rFonts w:cs="Times New Roman"/>
          <w:bCs/>
          <w:szCs w:val="24"/>
        </w:rPr>
        <w:fldChar w:fldCharType="begin" w:fldLock="1"/>
      </w:r>
      <w:r w:rsidR="00306019">
        <w:rPr>
          <w:rFonts w:cs="Times New Roman"/>
          <w:bCs/>
          <w:szCs w:val="24"/>
        </w:rPr>
        <w:instrText>ADDIN CSL_CITATION {"citationItems":[{"id":"ITEM-1","itemData":{"DOI":"10.1146/annurev.nutr.19.1.247","ISSN":"01999885","PMID":"10448524","abstract":"We summarize the recent information on field metabolic rates (FMR) of wild terrestrial vertebrates as determined by the doubly labeled water technique. Allometric (scaling) relationships are calculated for mammals (79 species), reptiles (55 species), and birds (95 species) and for various taxonomic, dietary, and habitat groups within these categories. Exponential equations based on body mass are offered for predicting rates of daily energy expenditure and daily food requirements of free-ranging mammals, reptiles, and birds. Significant scaling differences between various taxa, dietary, and habitat groups (detected by analysis of covariance with P &lt; 0.05) include the following: (a) The allometric slope for reptiles (0.889) is greater than that for mammals (0.734), which is greater than that for birds (0.681); (b) the slope for eutherian mammals (0.772) is greater than that for marsupial mammals (0.590); (c) among families of birds, slopes do not differ but elevations (intercepts) do, with passerine and procellariid birds having relatively high FMRs and gallinaceous birds having low FMRs; (d) Scleroglossan lizards have a higher slope (0.949) than do Iguanian lizards (0.793); (e) desert mammals have a higher slope (0.785) than do nondesert mammals; (f) marine birds have relatively high FMRs and desert birds have low FMRs; and (g) carnivorous mammals have a relatively high slope and carnivorous, insectivorous, and nectarivorous birds have relatively higher FMRs than do omnivores and granivores. The difference detected between passerine and nonpasserine birds reported in earlier reviews is not evident in the larger data set analyzed here. When the results are adjusted for phylogenetic effects using independent contrasts analysis, the difference between allometric slopes for marsupials and eutherians is no longer significant and the slope difference between Scleroglossan and Iguanian lizards disappears as well, but other taxonomic differences remain significant. Possible causes of the unexplained variations in FMR that could improve our currently inaccurate FMR prediction capabilities should be evaluated, including many important groups of terrestrial vertebrates that remain under- or unstudied and such factors as reproductive, thermoregulatory, social, and predator-avoidance behavior.","author":[{"dropping-particle":"","family":"Nagy","given":"K. A.","non-dropping-particle":"","parse-names":false,"suffix":""},{"dropping-particle":"","family":"Girard","given":"I. A.","non-dropping-particle":"","parse-names":false,"suffix":""},{"dropping-particle":"","family":"Brown","given":"T. K.","non-dropping-particle":"","parse-names":false,"suffix":""}],"container-title":"Annual Review of Nutrition","id":"ITEM-1","issued":{"date-parts":[["1999"]]},"page":"247-277","title":"Energetics of free-ranging mammals, reptiles, and birds","type":"article-journal","volume":"19"},"uris":["http://www.mendeley.com/documents/?uuid=c4e19643-3622-4396-b15c-ba45d3adc640"]}],"mendeley":{"formattedCitation":"(Nagy et al. 1999)","plainTextFormattedCitation":"(Nagy et al. 1999)","previouslyFormattedCitation":"(Nagy et al. 1999)"},"properties":{"noteIndex":0},"schema":"https://github.com/citation-style-language/schema/raw/master/csl-citation.json"}</w:instrText>
      </w:r>
      <w:r w:rsidR="00333AA3">
        <w:rPr>
          <w:rFonts w:cs="Times New Roman"/>
          <w:bCs/>
          <w:szCs w:val="24"/>
        </w:rPr>
        <w:fldChar w:fldCharType="separate"/>
      </w:r>
      <w:r w:rsidR="0034241C" w:rsidRPr="0034241C">
        <w:rPr>
          <w:rFonts w:cs="Times New Roman"/>
          <w:bCs/>
          <w:noProof/>
          <w:szCs w:val="24"/>
        </w:rPr>
        <w:t>(Nagy et al. 1999)</w:t>
      </w:r>
      <w:bookmarkEnd w:id="87"/>
      <w:bookmarkEnd w:id="88"/>
      <w:r w:rsidR="00333AA3">
        <w:rPr>
          <w:rFonts w:cs="Times New Roman"/>
          <w:bCs/>
          <w:szCs w:val="24"/>
        </w:rPr>
        <w:fldChar w:fldCharType="end"/>
      </w:r>
    </w:p>
    <w:tbl>
      <w:tblPr>
        <w:tblW w:w="8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2973"/>
        <w:gridCol w:w="1170"/>
        <w:gridCol w:w="1889"/>
      </w:tblGrid>
      <w:tr w:rsidR="00333AA3" w:rsidRPr="00654DFA" w14:paraId="032D899D" w14:textId="77777777" w:rsidTr="00333AA3">
        <w:trPr>
          <w:trHeight w:val="290"/>
        </w:trPr>
        <w:tc>
          <w:tcPr>
            <w:tcW w:w="2422" w:type="dxa"/>
            <w:shd w:val="clear" w:color="auto" w:fill="auto"/>
            <w:noWrap/>
            <w:vAlign w:val="center"/>
            <w:hideMark/>
          </w:tcPr>
          <w:p w14:paraId="3CCE882E" w14:textId="77777777" w:rsidR="00333AA3" w:rsidRPr="00654DFA" w:rsidRDefault="00333AA3" w:rsidP="00333AA3">
            <w:pPr>
              <w:spacing w:after="0"/>
              <w:jc w:val="center"/>
              <w:rPr>
                <w:rFonts w:eastAsia="Times New Roman" w:cs="Times New Roman"/>
                <w:color w:val="000000"/>
                <w:sz w:val="20"/>
                <w:szCs w:val="20"/>
              </w:rPr>
            </w:pPr>
            <w:r>
              <w:rPr>
                <w:rFonts w:eastAsia="Times New Roman" w:cs="Times New Roman"/>
                <w:color w:val="000000"/>
                <w:sz w:val="20"/>
                <w:szCs w:val="20"/>
              </w:rPr>
              <w:t>Scientific Name</w:t>
            </w:r>
          </w:p>
        </w:tc>
        <w:tc>
          <w:tcPr>
            <w:tcW w:w="2973" w:type="dxa"/>
            <w:shd w:val="clear" w:color="auto" w:fill="auto"/>
            <w:noWrap/>
            <w:vAlign w:val="center"/>
            <w:hideMark/>
          </w:tcPr>
          <w:p w14:paraId="5A4B2294" w14:textId="77777777" w:rsidR="00333AA3" w:rsidRPr="00654DFA" w:rsidRDefault="00333AA3" w:rsidP="00333AA3">
            <w:pPr>
              <w:spacing w:after="0"/>
              <w:jc w:val="center"/>
              <w:rPr>
                <w:rFonts w:eastAsia="Times New Roman" w:cs="Times New Roman"/>
                <w:color w:val="000000"/>
                <w:sz w:val="20"/>
                <w:szCs w:val="20"/>
              </w:rPr>
            </w:pPr>
            <w:r>
              <w:rPr>
                <w:rFonts w:eastAsia="Times New Roman" w:cs="Times New Roman"/>
                <w:color w:val="000000"/>
                <w:sz w:val="20"/>
                <w:szCs w:val="20"/>
              </w:rPr>
              <w:t>Common Name</w:t>
            </w:r>
          </w:p>
        </w:tc>
        <w:tc>
          <w:tcPr>
            <w:tcW w:w="1170" w:type="dxa"/>
            <w:shd w:val="clear" w:color="auto" w:fill="auto"/>
            <w:noWrap/>
            <w:vAlign w:val="center"/>
            <w:hideMark/>
          </w:tcPr>
          <w:p w14:paraId="0F7A67C1" w14:textId="77777777" w:rsidR="00333AA3" w:rsidRPr="00654DFA" w:rsidRDefault="00333AA3" w:rsidP="00333AA3">
            <w:pPr>
              <w:spacing w:after="0"/>
              <w:jc w:val="center"/>
              <w:rPr>
                <w:rFonts w:eastAsia="Times New Roman" w:cs="Times New Roman"/>
                <w:color w:val="000000"/>
                <w:sz w:val="20"/>
                <w:szCs w:val="20"/>
              </w:rPr>
            </w:pPr>
            <w:r>
              <w:rPr>
                <w:rFonts w:eastAsia="Times New Roman" w:cs="Times New Roman"/>
                <w:color w:val="000000"/>
                <w:sz w:val="20"/>
                <w:szCs w:val="20"/>
              </w:rPr>
              <w:t>Body Mass (g)</w:t>
            </w:r>
          </w:p>
        </w:tc>
        <w:tc>
          <w:tcPr>
            <w:tcW w:w="1889" w:type="dxa"/>
            <w:shd w:val="clear" w:color="auto" w:fill="auto"/>
            <w:noWrap/>
            <w:vAlign w:val="center"/>
            <w:hideMark/>
          </w:tcPr>
          <w:p w14:paraId="65EAFE60" w14:textId="77777777" w:rsidR="00333AA3" w:rsidRPr="00654DFA" w:rsidRDefault="00333AA3" w:rsidP="00333AA3">
            <w:pPr>
              <w:spacing w:after="0"/>
              <w:jc w:val="center"/>
              <w:rPr>
                <w:rFonts w:eastAsia="Times New Roman" w:cs="Times New Roman"/>
                <w:color w:val="000000"/>
                <w:sz w:val="20"/>
                <w:szCs w:val="20"/>
              </w:rPr>
            </w:pPr>
            <w:r>
              <w:rPr>
                <w:rFonts w:eastAsia="Times New Roman" w:cs="Times New Roman"/>
                <w:color w:val="000000"/>
                <w:sz w:val="20"/>
                <w:szCs w:val="20"/>
              </w:rPr>
              <w:t>Field Metabolic Rate (kJ d</w:t>
            </w:r>
            <w:r w:rsidRPr="00E92D89">
              <w:rPr>
                <w:rFonts w:eastAsia="Times New Roman" w:cs="Times New Roman"/>
                <w:color w:val="000000"/>
                <w:sz w:val="20"/>
                <w:szCs w:val="20"/>
                <w:vertAlign w:val="superscript"/>
              </w:rPr>
              <w:t>-1</w:t>
            </w:r>
            <w:r>
              <w:rPr>
                <w:rFonts w:eastAsia="Times New Roman" w:cs="Times New Roman"/>
                <w:color w:val="000000"/>
                <w:sz w:val="20"/>
                <w:szCs w:val="20"/>
              </w:rPr>
              <w:t>)</w:t>
            </w:r>
          </w:p>
        </w:tc>
      </w:tr>
      <w:tr w:rsidR="00333AA3" w:rsidRPr="00654DFA" w14:paraId="3F46F31C" w14:textId="77777777" w:rsidTr="00333AA3">
        <w:trPr>
          <w:trHeight w:val="290"/>
        </w:trPr>
        <w:tc>
          <w:tcPr>
            <w:tcW w:w="2422" w:type="dxa"/>
            <w:shd w:val="clear" w:color="auto" w:fill="auto"/>
            <w:noWrap/>
            <w:vAlign w:val="bottom"/>
            <w:hideMark/>
          </w:tcPr>
          <w:p w14:paraId="0504EC42"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Chordeiles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acutipennis</w:t>
            </w:r>
            <w:proofErr w:type="spellEnd"/>
          </w:p>
        </w:tc>
        <w:tc>
          <w:tcPr>
            <w:tcW w:w="2973" w:type="dxa"/>
            <w:shd w:val="clear" w:color="auto" w:fill="auto"/>
            <w:noWrap/>
            <w:vAlign w:val="bottom"/>
            <w:hideMark/>
          </w:tcPr>
          <w:p w14:paraId="28E85781"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Lesser Nighthawk</w:t>
            </w:r>
          </w:p>
        </w:tc>
        <w:tc>
          <w:tcPr>
            <w:tcW w:w="1170" w:type="dxa"/>
            <w:shd w:val="clear" w:color="auto" w:fill="auto"/>
            <w:noWrap/>
            <w:vAlign w:val="bottom"/>
            <w:hideMark/>
          </w:tcPr>
          <w:p w14:paraId="7471AAD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47.7</w:t>
            </w:r>
          </w:p>
        </w:tc>
        <w:tc>
          <w:tcPr>
            <w:tcW w:w="1889" w:type="dxa"/>
            <w:shd w:val="clear" w:color="auto" w:fill="auto"/>
            <w:noWrap/>
            <w:vAlign w:val="bottom"/>
            <w:hideMark/>
          </w:tcPr>
          <w:p w14:paraId="47B3295F"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146.08</w:t>
            </w:r>
          </w:p>
        </w:tc>
      </w:tr>
      <w:tr w:rsidR="00333AA3" w:rsidRPr="00654DFA" w14:paraId="27E3FFB1" w14:textId="77777777" w:rsidTr="00333AA3">
        <w:trPr>
          <w:trHeight w:val="290"/>
        </w:trPr>
        <w:tc>
          <w:tcPr>
            <w:tcW w:w="2422" w:type="dxa"/>
            <w:shd w:val="clear" w:color="auto" w:fill="auto"/>
            <w:noWrap/>
            <w:vAlign w:val="bottom"/>
            <w:hideMark/>
          </w:tcPr>
          <w:p w14:paraId="1FE94B9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Chordeiles</w:t>
            </w:r>
            <w:proofErr w:type="spellEnd"/>
            <w:r w:rsidRPr="00654DFA">
              <w:rPr>
                <w:rFonts w:eastAsia="Times New Roman" w:cs="Times New Roman"/>
                <w:color w:val="000000"/>
                <w:sz w:val="20"/>
                <w:szCs w:val="20"/>
              </w:rPr>
              <w:t xml:space="preserve"> minor</w:t>
            </w:r>
          </w:p>
        </w:tc>
        <w:tc>
          <w:tcPr>
            <w:tcW w:w="2973" w:type="dxa"/>
            <w:shd w:val="clear" w:color="auto" w:fill="auto"/>
            <w:noWrap/>
            <w:vAlign w:val="bottom"/>
            <w:hideMark/>
          </w:tcPr>
          <w:p w14:paraId="5405D890"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Common Nighthawk</w:t>
            </w:r>
          </w:p>
        </w:tc>
        <w:tc>
          <w:tcPr>
            <w:tcW w:w="1170" w:type="dxa"/>
            <w:shd w:val="clear" w:color="auto" w:fill="auto"/>
            <w:noWrap/>
            <w:vAlign w:val="bottom"/>
            <w:hideMark/>
          </w:tcPr>
          <w:p w14:paraId="7F51FE0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79.3</w:t>
            </w:r>
          </w:p>
        </w:tc>
        <w:tc>
          <w:tcPr>
            <w:tcW w:w="1889" w:type="dxa"/>
            <w:shd w:val="clear" w:color="auto" w:fill="auto"/>
            <w:noWrap/>
            <w:vAlign w:val="bottom"/>
            <w:hideMark/>
          </w:tcPr>
          <w:p w14:paraId="078C2E9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206.34</w:t>
            </w:r>
          </w:p>
        </w:tc>
      </w:tr>
      <w:tr w:rsidR="00333AA3" w:rsidRPr="00654DFA" w14:paraId="23633F06" w14:textId="77777777" w:rsidTr="00333AA3">
        <w:trPr>
          <w:trHeight w:val="290"/>
        </w:trPr>
        <w:tc>
          <w:tcPr>
            <w:tcW w:w="2422" w:type="dxa"/>
            <w:shd w:val="clear" w:color="auto" w:fill="auto"/>
            <w:noWrap/>
            <w:vAlign w:val="bottom"/>
            <w:hideMark/>
          </w:tcPr>
          <w:p w14:paraId="70D502EA"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Chordeiles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gundlachii</w:t>
            </w:r>
            <w:proofErr w:type="spellEnd"/>
          </w:p>
        </w:tc>
        <w:tc>
          <w:tcPr>
            <w:tcW w:w="2973" w:type="dxa"/>
            <w:shd w:val="clear" w:color="auto" w:fill="auto"/>
            <w:noWrap/>
            <w:vAlign w:val="bottom"/>
            <w:hideMark/>
          </w:tcPr>
          <w:p w14:paraId="36DDAE24"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Antillean Nighthawk</w:t>
            </w:r>
          </w:p>
        </w:tc>
        <w:tc>
          <w:tcPr>
            <w:tcW w:w="1170" w:type="dxa"/>
            <w:shd w:val="clear" w:color="auto" w:fill="auto"/>
            <w:noWrap/>
            <w:vAlign w:val="bottom"/>
            <w:hideMark/>
          </w:tcPr>
          <w:p w14:paraId="716E5A8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50</w:t>
            </w:r>
          </w:p>
        </w:tc>
        <w:tc>
          <w:tcPr>
            <w:tcW w:w="1889" w:type="dxa"/>
            <w:shd w:val="clear" w:color="auto" w:fill="auto"/>
            <w:noWrap/>
            <w:vAlign w:val="bottom"/>
            <w:hideMark/>
          </w:tcPr>
          <w:p w14:paraId="31945A9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150.72</w:t>
            </w:r>
          </w:p>
        </w:tc>
      </w:tr>
      <w:tr w:rsidR="00333AA3" w:rsidRPr="00654DFA" w14:paraId="31D30A91" w14:textId="77777777" w:rsidTr="00333AA3">
        <w:trPr>
          <w:trHeight w:val="290"/>
        </w:trPr>
        <w:tc>
          <w:tcPr>
            <w:tcW w:w="2422" w:type="dxa"/>
            <w:shd w:val="clear" w:color="auto" w:fill="auto"/>
            <w:noWrap/>
            <w:vAlign w:val="bottom"/>
            <w:hideMark/>
          </w:tcPr>
          <w:p w14:paraId="3175948F"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Nyctidromus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albicollis</w:t>
            </w:r>
            <w:proofErr w:type="spellEnd"/>
          </w:p>
        </w:tc>
        <w:tc>
          <w:tcPr>
            <w:tcW w:w="2973" w:type="dxa"/>
            <w:shd w:val="clear" w:color="auto" w:fill="auto"/>
            <w:noWrap/>
            <w:vAlign w:val="bottom"/>
            <w:hideMark/>
          </w:tcPr>
          <w:p w14:paraId="06D10174"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Common Pauraque</w:t>
            </w:r>
          </w:p>
        </w:tc>
        <w:tc>
          <w:tcPr>
            <w:tcW w:w="1170" w:type="dxa"/>
            <w:shd w:val="clear" w:color="auto" w:fill="auto"/>
            <w:noWrap/>
            <w:vAlign w:val="bottom"/>
            <w:hideMark/>
          </w:tcPr>
          <w:p w14:paraId="1B3167E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56.1</w:t>
            </w:r>
          </w:p>
        </w:tc>
        <w:tc>
          <w:tcPr>
            <w:tcW w:w="1889" w:type="dxa"/>
            <w:shd w:val="clear" w:color="auto" w:fill="auto"/>
            <w:noWrap/>
            <w:vAlign w:val="bottom"/>
            <w:hideMark/>
          </w:tcPr>
          <w:p w14:paraId="516BDB90"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163.07</w:t>
            </w:r>
          </w:p>
        </w:tc>
      </w:tr>
      <w:tr w:rsidR="00333AA3" w:rsidRPr="00654DFA" w14:paraId="069E9E50" w14:textId="77777777" w:rsidTr="00333AA3">
        <w:trPr>
          <w:trHeight w:val="290"/>
        </w:trPr>
        <w:tc>
          <w:tcPr>
            <w:tcW w:w="2422" w:type="dxa"/>
            <w:shd w:val="clear" w:color="auto" w:fill="auto"/>
            <w:noWrap/>
            <w:vAlign w:val="bottom"/>
            <w:hideMark/>
          </w:tcPr>
          <w:p w14:paraId="08491BB2"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Phalaenoptilus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nuttallii</w:t>
            </w:r>
            <w:proofErr w:type="spellEnd"/>
          </w:p>
        </w:tc>
        <w:tc>
          <w:tcPr>
            <w:tcW w:w="2973" w:type="dxa"/>
            <w:shd w:val="clear" w:color="auto" w:fill="auto"/>
            <w:noWrap/>
            <w:vAlign w:val="bottom"/>
            <w:hideMark/>
          </w:tcPr>
          <w:p w14:paraId="77B825EC"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 xml:space="preserve">Common </w:t>
            </w:r>
            <w:proofErr w:type="spellStart"/>
            <w:r w:rsidRPr="00654DFA">
              <w:rPr>
                <w:rFonts w:eastAsia="Times New Roman" w:cs="Times New Roman"/>
                <w:color w:val="000000"/>
                <w:sz w:val="20"/>
                <w:szCs w:val="20"/>
              </w:rPr>
              <w:t>Poorwill</w:t>
            </w:r>
            <w:proofErr w:type="spellEnd"/>
          </w:p>
        </w:tc>
        <w:tc>
          <w:tcPr>
            <w:tcW w:w="1170" w:type="dxa"/>
            <w:shd w:val="clear" w:color="auto" w:fill="auto"/>
            <w:noWrap/>
            <w:vAlign w:val="bottom"/>
            <w:hideMark/>
          </w:tcPr>
          <w:p w14:paraId="6E93B9A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48.1</w:t>
            </w:r>
          </w:p>
        </w:tc>
        <w:tc>
          <w:tcPr>
            <w:tcW w:w="1889" w:type="dxa"/>
            <w:shd w:val="clear" w:color="auto" w:fill="auto"/>
            <w:noWrap/>
            <w:vAlign w:val="bottom"/>
            <w:hideMark/>
          </w:tcPr>
          <w:p w14:paraId="344643A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146.84</w:t>
            </w:r>
          </w:p>
        </w:tc>
      </w:tr>
      <w:tr w:rsidR="00333AA3" w:rsidRPr="00654DFA" w14:paraId="6F0363FE" w14:textId="77777777" w:rsidTr="00333AA3">
        <w:trPr>
          <w:trHeight w:val="290"/>
        </w:trPr>
        <w:tc>
          <w:tcPr>
            <w:tcW w:w="2422" w:type="dxa"/>
            <w:shd w:val="clear" w:color="auto" w:fill="auto"/>
            <w:noWrap/>
            <w:vAlign w:val="bottom"/>
            <w:hideMark/>
          </w:tcPr>
          <w:p w14:paraId="0E2C167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Antrostomus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carolinensis</w:t>
            </w:r>
            <w:proofErr w:type="spellEnd"/>
          </w:p>
        </w:tc>
        <w:tc>
          <w:tcPr>
            <w:tcW w:w="2973" w:type="dxa"/>
            <w:shd w:val="clear" w:color="auto" w:fill="auto"/>
            <w:noWrap/>
            <w:vAlign w:val="bottom"/>
            <w:hideMark/>
          </w:tcPr>
          <w:p w14:paraId="4C669DEF"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Chuck-will's-widow</w:t>
            </w:r>
          </w:p>
        </w:tc>
        <w:tc>
          <w:tcPr>
            <w:tcW w:w="1170" w:type="dxa"/>
            <w:shd w:val="clear" w:color="auto" w:fill="auto"/>
            <w:noWrap/>
            <w:vAlign w:val="bottom"/>
            <w:hideMark/>
          </w:tcPr>
          <w:p w14:paraId="17C5B756"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109</w:t>
            </w:r>
          </w:p>
        </w:tc>
        <w:tc>
          <w:tcPr>
            <w:tcW w:w="1889" w:type="dxa"/>
            <w:shd w:val="clear" w:color="auto" w:fill="auto"/>
            <w:noWrap/>
            <w:vAlign w:val="bottom"/>
            <w:hideMark/>
          </w:tcPr>
          <w:p w14:paraId="17172C1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256.25</w:t>
            </w:r>
          </w:p>
        </w:tc>
      </w:tr>
      <w:tr w:rsidR="00333AA3" w:rsidRPr="00654DFA" w14:paraId="2E2C33AE" w14:textId="77777777" w:rsidTr="00333AA3">
        <w:trPr>
          <w:trHeight w:val="290"/>
        </w:trPr>
        <w:tc>
          <w:tcPr>
            <w:tcW w:w="2422" w:type="dxa"/>
            <w:shd w:val="clear" w:color="auto" w:fill="auto"/>
            <w:noWrap/>
            <w:vAlign w:val="bottom"/>
            <w:hideMark/>
          </w:tcPr>
          <w:p w14:paraId="701FE7DA"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Antrostomus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vociferus</w:t>
            </w:r>
            <w:proofErr w:type="spellEnd"/>
          </w:p>
        </w:tc>
        <w:tc>
          <w:tcPr>
            <w:tcW w:w="2973" w:type="dxa"/>
            <w:shd w:val="clear" w:color="auto" w:fill="auto"/>
            <w:noWrap/>
            <w:vAlign w:val="bottom"/>
            <w:hideMark/>
          </w:tcPr>
          <w:p w14:paraId="130E9BA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Eastern Whip-poor-will</w:t>
            </w:r>
          </w:p>
        </w:tc>
        <w:tc>
          <w:tcPr>
            <w:tcW w:w="1170" w:type="dxa"/>
            <w:shd w:val="clear" w:color="auto" w:fill="auto"/>
            <w:noWrap/>
            <w:vAlign w:val="bottom"/>
            <w:hideMark/>
          </w:tcPr>
          <w:p w14:paraId="3275CFC0"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53.4</w:t>
            </w:r>
          </w:p>
        </w:tc>
        <w:tc>
          <w:tcPr>
            <w:tcW w:w="1889" w:type="dxa"/>
            <w:shd w:val="clear" w:color="auto" w:fill="auto"/>
            <w:noWrap/>
            <w:vAlign w:val="bottom"/>
            <w:hideMark/>
          </w:tcPr>
          <w:p w14:paraId="6CAFC52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157.63</w:t>
            </w:r>
          </w:p>
        </w:tc>
      </w:tr>
      <w:tr w:rsidR="00333AA3" w:rsidRPr="00654DFA" w14:paraId="3437987F" w14:textId="77777777" w:rsidTr="00333AA3">
        <w:trPr>
          <w:trHeight w:val="290"/>
        </w:trPr>
        <w:tc>
          <w:tcPr>
            <w:tcW w:w="2422" w:type="dxa"/>
            <w:shd w:val="clear" w:color="auto" w:fill="auto"/>
            <w:noWrap/>
            <w:vAlign w:val="bottom"/>
            <w:hideMark/>
          </w:tcPr>
          <w:p w14:paraId="70C75613"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Cypseloides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niger</w:t>
            </w:r>
            <w:proofErr w:type="spellEnd"/>
          </w:p>
        </w:tc>
        <w:tc>
          <w:tcPr>
            <w:tcW w:w="2973" w:type="dxa"/>
            <w:shd w:val="clear" w:color="auto" w:fill="auto"/>
            <w:noWrap/>
            <w:vAlign w:val="bottom"/>
            <w:hideMark/>
          </w:tcPr>
          <w:p w14:paraId="2A3E1C20"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Black Swift</w:t>
            </w:r>
          </w:p>
        </w:tc>
        <w:tc>
          <w:tcPr>
            <w:tcW w:w="1170" w:type="dxa"/>
            <w:shd w:val="clear" w:color="auto" w:fill="auto"/>
            <w:noWrap/>
            <w:vAlign w:val="bottom"/>
            <w:hideMark/>
          </w:tcPr>
          <w:p w14:paraId="2BC9CFF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41.3</w:t>
            </w:r>
          </w:p>
        </w:tc>
        <w:tc>
          <w:tcPr>
            <w:tcW w:w="1889" w:type="dxa"/>
            <w:shd w:val="clear" w:color="auto" w:fill="auto"/>
            <w:noWrap/>
            <w:vAlign w:val="bottom"/>
            <w:hideMark/>
          </w:tcPr>
          <w:p w14:paraId="783C167C"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132.47</w:t>
            </w:r>
          </w:p>
        </w:tc>
      </w:tr>
      <w:tr w:rsidR="00333AA3" w:rsidRPr="00654DFA" w14:paraId="2D096A3A" w14:textId="77777777" w:rsidTr="00333AA3">
        <w:trPr>
          <w:trHeight w:val="290"/>
        </w:trPr>
        <w:tc>
          <w:tcPr>
            <w:tcW w:w="2422" w:type="dxa"/>
            <w:shd w:val="clear" w:color="auto" w:fill="auto"/>
            <w:noWrap/>
            <w:vAlign w:val="bottom"/>
            <w:hideMark/>
          </w:tcPr>
          <w:p w14:paraId="53E206F1"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Chaetura</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pelagica</w:t>
            </w:r>
            <w:proofErr w:type="spellEnd"/>
          </w:p>
        </w:tc>
        <w:tc>
          <w:tcPr>
            <w:tcW w:w="2973" w:type="dxa"/>
            <w:shd w:val="clear" w:color="auto" w:fill="auto"/>
            <w:noWrap/>
            <w:vAlign w:val="bottom"/>
            <w:hideMark/>
          </w:tcPr>
          <w:p w14:paraId="21313E58"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Chimney Swift</w:t>
            </w:r>
          </w:p>
        </w:tc>
        <w:tc>
          <w:tcPr>
            <w:tcW w:w="1170" w:type="dxa"/>
            <w:shd w:val="clear" w:color="auto" w:fill="auto"/>
            <w:noWrap/>
            <w:vAlign w:val="bottom"/>
            <w:hideMark/>
          </w:tcPr>
          <w:p w14:paraId="793173EE"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23.6</w:t>
            </w:r>
          </w:p>
        </w:tc>
        <w:tc>
          <w:tcPr>
            <w:tcW w:w="1889" w:type="dxa"/>
            <w:shd w:val="clear" w:color="auto" w:fill="auto"/>
            <w:noWrap/>
            <w:vAlign w:val="bottom"/>
            <w:hideMark/>
          </w:tcPr>
          <w:p w14:paraId="793979F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90.39</w:t>
            </w:r>
          </w:p>
        </w:tc>
      </w:tr>
      <w:tr w:rsidR="00333AA3" w:rsidRPr="00654DFA" w14:paraId="2987F02D" w14:textId="77777777" w:rsidTr="00333AA3">
        <w:trPr>
          <w:trHeight w:val="290"/>
        </w:trPr>
        <w:tc>
          <w:tcPr>
            <w:tcW w:w="2422" w:type="dxa"/>
            <w:shd w:val="clear" w:color="auto" w:fill="auto"/>
            <w:noWrap/>
            <w:vAlign w:val="bottom"/>
            <w:hideMark/>
          </w:tcPr>
          <w:p w14:paraId="5D3CF70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Chaetura</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vauxi</w:t>
            </w:r>
            <w:proofErr w:type="spellEnd"/>
          </w:p>
        </w:tc>
        <w:tc>
          <w:tcPr>
            <w:tcW w:w="2973" w:type="dxa"/>
            <w:shd w:val="clear" w:color="auto" w:fill="auto"/>
            <w:noWrap/>
            <w:vAlign w:val="bottom"/>
            <w:hideMark/>
          </w:tcPr>
          <w:p w14:paraId="06DDBE1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Vaux's Swift</w:t>
            </w:r>
          </w:p>
        </w:tc>
        <w:tc>
          <w:tcPr>
            <w:tcW w:w="1170" w:type="dxa"/>
            <w:shd w:val="clear" w:color="auto" w:fill="auto"/>
            <w:noWrap/>
            <w:vAlign w:val="bottom"/>
            <w:hideMark/>
          </w:tcPr>
          <w:p w14:paraId="03D1ECBF"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17.1</w:t>
            </w:r>
          </w:p>
        </w:tc>
        <w:tc>
          <w:tcPr>
            <w:tcW w:w="1889" w:type="dxa"/>
            <w:shd w:val="clear" w:color="auto" w:fill="auto"/>
            <w:noWrap/>
            <w:vAlign w:val="bottom"/>
            <w:hideMark/>
          </w:tcPr>
          <w:p w14:paraId="277408F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72.58</w:t>
            </w:r>
          </w:p>
        </w:tc>
      </w:tr>
      <w:tr w:rsidR="00333AA3" w:rsidRPr="00654DFA" w14:paraId="2BA5BFB4" w14:textId="77777777" w:rsidTr="00333AA3">
        <w:trPr>
          <w:trHeight w:val="290"/>
        </w:trPr>
        <w:tc>
          <w:tcPr>
            <w:tcW w:w="2422" w:type="dxa"/>
            <w:shd w:val="clear" w:color="auto" w:fill="auto"/>
            <w:noWrap/>
            <w:vAlign w:val="bottom"/>
            <w:hideMark/>
          </w:tcPr>
          <w:p w14:paraId="5F15B40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Aeronautes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saxatalis</w:t>
            </w:r>
            <w:proofErr w:type="spellEnd"/>
          </w:p>
        </w:tc>
        <w:tc>
          <w:tcPr>
            <w:tcW w:w="2973" w:type="dxa"/>
            <w:shd w:val="clear" w:color="auto" w:fill="auto"/>
            <w:noWrap/>
            <w:vAlign w:val="bottom"/>
            <w:hideMark/>
          </w:tcPr>
          <w:p w14:paraId="5EA86DE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White-throated Swift</w:t>
            </w:r>
          </w:p>
        </w:tc>
        <w:tc>
          <w:tcPr>
            <w:tcW w:w="1170" w:type="dxa"/>
            <w:shd w:val="clear" w:color="auto" w:fill="auto"/>
            <w:noWrap/>
            <w:vAlign w:val="bottom"/>
            <w:hideMark/>
          </w:tcPr>
          <w:p w14:paraId="7E8CE5F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32.1</w:t>
            </w:r>
          </w:p>
        </w:tc>
        <w:tc>
          <w:tcPr>
            <w:tcW w:w="1889" w:type="dxa"/>
            <w:shd w:val="clear" w:color="auto" w:fill="auto"/>
            <w:noWrap/>
            <w:vAlign w:val="bottom"/>
            <w:hideMark/>
          </w:tcPr>
          <w:p w14:paraId="7E5F5DF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111.46</w:t>
            </w:r>
          </w:p>
        </w:tc>
      </w:tr>
      <w:tr w:rsidR="00333AA3" w:rsidRPr="00654DFA" w14:paraId="19BEE982" w14:textId="77777777" w:rsidTr="00333AA3">
        <w:trPr>
          <w:trHeight w:val="290"/>
        </w:trPr>
        <w:tc>
          <w:tcPr>
            <w:tcW w:w="2422" w:type="dxa"/>
            <w:shd w:val="clear" w:color="auto" w:fill="auto"/>
            <w:noWrap/>
            <w:vAlign w:val="bottom"/>
            <w:hideMark/>
          </w:tcPr>
          <w:p w14:paraId="10B81B8F"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Stelgidopteryx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serripennis</w:t>
            </w:r>
            <w:proofErr w:type="spellEnd"/>
          </w:p>
        </w:tc>
        <w:tc>
          <w:tcPr>
            <w:tcW w:w="2973" w:type="dxa"/>
            <w:shd w:val="clear" w:color="auto" w:fill="auto"/>
            <w:noWrap/>
            <w:vAlign w:val="bottom"/>
            <w:hideMark/>
          </w:tcPr>
          <w:p w14:paraId="0205F526"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Northern Rough-winged Swallow</w:t>
            </w:r>
          </w:p>
        </w:tc>
        <w:tc>
          <w:tcPr>
            <w:tcW w:w="1170" w:type="dxa"/>
            <w:shd w:val="clear" w:color="auto" w:fill="auto"/>
            <w:noWrap/>
            <w:vAlign w:val="bottom"/>
            <w:hideMark/>
          </w:tcPr>
          <w:p w14:paraId="399A6F1F"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15.8</w:t>
            </w:r>
          </w:p>
        </w:tc>
        <w:tc>
          <w:tcPr>
            <w:tcW w:w="1889" w:type="dxa"/>
            <w:shd w:val="clear" w:color="auto" w:fill="auto"/>
            <w:noWrap/>
            <w:vAlign w:val="bottom"/>
            <w:hideMark/>
          </w:tcPr>
          <w:p w14:paraId="74A5DA9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68.94</w:t>
            </w:r>
          </w:p>
        </w:tc>
      </w:tr>
      <w:tr w:rsidR="00333AA3" w:rsidRPr="00654DFA" w14:paraId="5E486941" w14:textId="77777777" w:rsidTr="00333AA3">
        <w:trPr>
          <w:trHeight w:val="290"/>
        </w:trPr>
        <w:tc>
          <w:tcPr>
            <w:tcW w:w="2422" w:type="dxa"/>
            <w:shd w:val="clear" w:color="auto" w:fill="auto"/>
            <w:noWrap/>
            <w:vAlign w:val="bottom"/>
            <w:hideMark/>
          </w:tcPr>
          <w:p w14:paraId="4C10EB61"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Progne</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subis</w:t>
            </w:r>
            <w:proofErr w:type="spellEnd"/>
          </w:p>
        </w:tc>
        <w:tc>
          <w:tcPr>
            <w:tcW w:w="2973" w:type="dxa"/>
            <w:shd w:val="clear" w:color="auto" w:fill="auto"/>
            <w:noWrap/>
            <w:vAlign w:val="bottom"/>
            <w:hideMark/>
          </w:tcPr>
          <w:p w14:paraId="4022C932"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Purple Martin</w:t>
            </w:r>
          </w:p>
        </w:tc>
        <w:tc>
          <w:tcPr>
            <w:tcW w:w="1170" w:type="dxa"/>
            <w:shd w:val="clear" w:color="auto" w:fill="auto"/>
            <w:noWrap/>
            <w:vAlign w:val="bottom"/>
            <w:hideMark/>
          </w:tcPr>
          <w:p w14:paraId="118D5EA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53.8</w:t>
            </w:r>
          </w:p>
        </w:tc>
        <w:tc>
          <w:tcPr>
            <w:tcW w:w="1889" w:type="dxa"/>
            <w:shd w:val="clear" w:color="auto" w:fill="auto"/>
            <w:noWrap/>
            <w:vAlign w:val="bottom"/>
            <w:hideMark/>
          </w:tcPr>
          <w:p w14:paraId="7774FE30"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158.46</w:t>
            </w:r>
          </w:p>
        </w:tc>
      </w:tr>
      <w:tr w:rsidR="00333AA3" w:rsidRPr="00654DFA" w14:paraId="0DB5D12B" w14:textId="77777777" w:rsidTr="00333AA3">
        <w:trPr>
          <w:trHeight w:val="290"/>
        </w:trPr>
        <w:tc>
          <w:tcPr>
            <w:tcW w:w="2422" w:type="dxa"/>
            <w:shd w:val="clear" w:color="auto" w:fill="auto"/>
            <w:noWrap/>
            <w:vAlign w:val="bottom"/>
            <w:hideMark/>
          </w:tcPr>
          <w:p w14:paraId="1AFAB92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Tachycineta</w:t>
            </w:r>
            <w:proofErr w:type="spellEnd"/>
            <w:r w:rsidRPr="00654DFA">
              <w:rPr>
                <w:rFonts w:eastAsia="Times New Roman" w:cs="Times New Roman"/>
                <w:color w:val="000000"/>
                <w:sz w:val="20"/>
                <w:szCs w:val="20"/>
              </w:rPr>
              <w:t xml:space="preserve"> bicolor</w:t>
            </w:r>
          </w:p>
        </w:tc>
        <w:tc>
          <w:tcPr>
            <w:tcW w:w="2973" w:type="dxa"/>
            <w:shd w:val="clear" w:color="auto" w:fill="auto"/>
            <w:noWrap/>
            <w:vAlign w:val="bottom"/>
            <w:hideMark/>
          </w:tcPr>
          <w:p w14:paraId="1F9E0581"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Tree Swallow</w:t>
            </w:r>
          </w:p>
        </w:tc>
        <w:tc>
          <w:tcPr>
            <w:tcW w:w="1170" w:type="dxa"/>
            <w:shd w:val="clear" w:color="auto" w:fill="auto"/>
            <w:noWrap/>
            <w:vAlign w:val="bottom"/>
            <w:hideMark/>
          </w:tcPr>
          <w:p w14:paraId="0C45F4C4"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21.2</w:t>
            </w:r>
          </w:p>
        </w:tc>
        <w:tc>
          <w:tcPr>
            <w:tcW w:w="1889" w:type="dxa"/>
            <w:shd w:val="clear" w:color="auto" w:fill="auto"/>
            <w:noWrap/>
            <w:vAlign w:val="bottom"/>
            <w:hideMark/>
          </w:tcPr>
          <w:p w14:paraId="72CBC0F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84.02</w:t>
            </w:r>
          </w:p>
        </w:tc>
      </w:tr>
      <w:tr w:rsidR="00333AA3" w:rsidRPr="00654DFA" w14:paraId="5B46EBC4" w14:textId="77777777" w:rsidTr="00333AA3">
        <w:trPr>
          <w:trHeight w:val="290"/>
        </w:trPr>
        <w:tc>
          <w:tcPr>
            <w:tcW w:w="2422" w:type="dxa"/>
            <w:shd w:val="clear" w:color="auto" w:fill="auto"/>
            <w:noWrap/>
            <w:vAlign w:val="bottom"/>
            <w:hideMark/>
          </w:tcPr>
          <w:p w14:paraId="13261C9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Tachycineta</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thalassina</w:t>
            </w:r>
            <w:proofErr w:type="spellEnd"/>
          </w:p>
        </w:tc>
        <w:tc>
          <w:tcPr>
            <w:tcW w:w="2973" w:type="dxa"/>
            <w:shd w:val="clear" w:color="auto" w:fill="auto"/>
            <w:noWrap/>
            <w:vAlign w:val="bottom"/>
            <w:hideMark/>
          </w:tcPr>
          <w:p w14:paraId="382388A6"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Violet-green Swallow</w:t>
            </w:r>
          </w:p>
        </w:tc>
        <w:tc>
          <w:tcPr>
            <w:tcW w:w="1170" w:type="dxa"/>
            <w:shd w:val="clear" w:color="auto" w:fill="auto"/>
            <w:noWrap/>
            <w:vAlign w:val="bottom"/>
            <w:hideMark/>
          </w:tcPr>
          <w:p w14:paraId="463E203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14.1</w:t>
            </w:r>
          </w:p>
        </w:tc>
        <w:tc>
          <w:tcPr>
            <w:tcW w:w="1889" w:type="dxa"/>
            <w:shd w:val="clear" w:color="auto" w:fill="auto"/>
            <w:noWrap/>
            <w:vAlign w:val="bottom"/>
            <w:hideMark/>
          </w:tcPr>
          <w:p w14:paraId="5865FA79"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63.82</w:t>
            </w:r>
          </w:p>
        </w:tc>
      </w:tr>
      <w:tr w:rsidR="00333AA3" w:rsidRPr="00654DFA" w14:paraId="297AD571" w14:textId="77777777" w:rsidTr="00333AA3">
        <w:trPr>
          <w:trHeight w:val="290"/>
        </w:trPr>
        <w:tc>
          <w:tcPr>
            <w:tcW w:w="2422" w:type="dxa"/>
            <w:shd w:val="clear" w:color="auto" w:fill="auto"/>
            <w:noWrap/>
            <w:vAlign w:val="bottom"/>
            <w:hideMark/>
          </w:tcPr>
          <w:p w14:paraId="4ACFA90D"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Riparia</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riparia</w:t>
            </w:r>
            <w:proofErr w:type="spellEnd"/>
          </w:p>
        </w:tc>
        <w:tc>
          <w:tcPr>
            <w:tcW w:w="2973" w:type="dxa"/>
            <w:shd w:val="clear" w:color="auto" w:fill="auto"/>
            <w:noWrap/>
            <w:vAlign w:val="bottom"/>
            <w:hideMark/>
          </w:tcPr>
          <w:p w14:paraId="1B953250"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Bank Swallow</w:t>
            </w:r>
          </w:p>
        </w:tc>
        <w:tc>
          <w:tcPr>
            <w:tcW w:w="1170" w:type="dxa"/>
            <w:shd w:val="clear" w:color="auto" w:fill="auto"/>
            <w:noWrap/>
            <w:vAlign w:val="bottom"/>
            <w:hideMark/>
          </w:tcPr>
          <w:p w14:paraId="45B7F1B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13.2</w:t>
            </w:r>
          </w:p>
        </w:tc>
        <w:tc>
          <w:tcPr>
            <w:tcW w:w="1889" w:type="dxa"/>
            <w:shd w:val="clear" w:color="auto" w:fill="auto"/>
            <w:noWrap/>
            <w:vAlign w:val="bottom"/>
            <w:hideMark/>
          </w:tcPr>
          <w:p w14:paraId="3CBFE9D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61.08</w:t>
            </w:r>
          </w:p>
        </w:tc>
      </w:tr>
      <w:tr w:rsidR="00333AA3" w:rsidRPr="00654DFA" w14:paraId="476169F7" w14:textId="77777777" w:rsidTr="00333AA3">
        <w:trPr>
          <w:trHeight w:val="290"/>
        </w:trPr>
        <w:tc>
          <w:tcPr>
            <w:tcW w:w="2422" w:type="dxa"/>
            <w:shd w:val="clear" w:color="auto" w:fill="auto"/>
            <w:noWrap/>
            <w:vAlign w:val="bottom"/>
            <w:hideMark/>
          </w:tcPr>
          <w:p w14:paraId="685B1EF3"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Hirundo</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rustica</w:t>
            </w:r>
            <w:proofErr w:type="spellEnd"/>
          </w:p>
        </w:tc>
        <w:tc>
          <w:tcPr>
            <w:tcW w:w="2973" w:type="dxa"/>
            <w:shd w:val="clear" w:color="auto" w:fill="auto"/>
            <w:noWrap/>
            <w:vAlign w:val="bottom"/>
            <w:hideMark/>
          </w:tcPr>
          <w:p w14:paraId="0ABF3463"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Barn Swallow</w:t>
            </w:r>
          </w:p>
        </w:tc>
        <w:tc>
          <w:tcPr>
            <w:tcW w:w="1170" w:type="dxa"/>
            <w:shd w:val="clear" w:color="auto" w:fill="auto"/>
            <w:noWrap/>
            <w:vAlign w:val="bottom"/>
            <w:hideMark/>
          </w:tcPr>
          <w:p w14:paraId="644960D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17.2</w:t>
            </w:r>
          </w:p>
        </w:tc>
        <w:tc>
          <w:tcPr>
            <w:tcW w:w="1889" w:type="dxa"/>
            <w:shd w:val="clear" w:color="auto" w:fill="auto"/>
            <w:noWrap/>
            <w:vAlign w:val="bottom"/>
            <w:hideMark/>
          </w:tcPr>
          <w:p w14:paraId="6E156F7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73.1</w:t>
            </w:r>
            <w:r>
              <w:rPr>
                <w:rFonts w:eastAsia="Times New Roman" w:cs="Times New Roman"/>
                <w:color w:val="000000"/>
                <w:sz w:val="20"/>
                <w:szCs w:val="20"/>
              </w:rPr>
              <w:t>2</w:t>
            </w:r>
          </w:p>
        </w:tc>
      </w:tr>
      <w:tr w:rsidR="00333AA3" w:rsidRPr="00654DFA" w14:paraId="529362F6" w14:textId="77777777" w:rsidTr="00333AA3">
        <w:trPr>
          <w:trHeight w:val="290"/>
        </w:trPr>
        <w:tc>
          <w:tcPr>
            <w:tcW w:w="2422" w:type="dxa"/>
            <w:shd w:val="clear" w:color="auto" w:fill="auto"/>
            <w:noWrap/>
            <w:vAlign w:val="bottom"/>
            <w:hideMark/>
          </w:tcPr>
          <w:p w14:paraId="7F2B04D0"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Petrochelidon</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pyrrhonota</w:t>
            </w:r>
            <w:proofErr w:type="spellEnd"/>
          </w:p>
        </w:tc>
        <w:tc>
          <w:tcPr>
            <w:tcW w:w="2973" w:type="dxa"/>
            <w:shd w:val="clear" w:color="auto" w:fill="auto"/>
            <w:noWrap/>
            <w:vAlign w:val="bottom"/>
            <w:hideMark/>
          </w:tcPr>
          <w:p w14:paraId="3064A8D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Cliff Swallow</w:t>
            </w:r>
          </w:p>
        </w:tc>
        <w:tc>
          <w:tcPr>
            <w:tcW w:w="1170" w:type="dxa"/>
            <w:shd w:val="clear" w:color="auto" w:fill="auto"/>
            <w:noWrap/>
            <w:vAlign w:val="bottom"/>
            <w:hideMark/>
          </w:tcPr>
          <w:p w14:paraId="20ADC43B"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21.6</w:t>
            </w:r>
          </w:p>
        </w:tc>
        <w:tc>
          <w:tcPr>
            <w:tcW w:w="1889" w:type="dxa"/>
            <w:shd w:val="clear" w:color="auto" w:fill="auto"/>
            <w:noWrap/>
            <w:vAlign w:val="bottom"/>
            <w:hideMark/>
          </w:tcPr>
          <w:p w14:paraId="454DBE89"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85.10</w:t>
            </w:r>
          </w:p>
        </w:tc>
      </w:tr>
      <w:tr w:rsidR="00333AA3" w:rsidRPr="00654DFA" w14:paraId="7D73A61D" w14:textId="77777777" w:rsidTr="00333AA3">
        <w:trPr>
          <w:trHeight w:val="290"/>
        </w:trPr>
        <w:tc>
          <w:tcPr>
            <w:tcW w:w="2422" w:type="dxa"/>
            <w:shd w:val="clear" w:color="auto" w:fill="auto"/>
            <w:noWrap/>
            <w:vAlign w:val="bottom"/>
            <w:hideMark/>
          </w:tcPr>
          <w:p w14:paraId="7B48655C"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Petrochelidon</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fulva</w:t>
            </w:r>
            <w:proofErr w:type="spellEnd"/>
          </w:p>
        </w:tc>
        <w:tc>
          <w:tcPr>
            <w:tcW w:w="2973" w:type="dxa"/>
            <w:shd w:val="clear" w:color="auto" w:fill="auto"/>
            <w:noWrap/>
            <w:vAlign w:val="bottom"/>
            <w:hideMark/>
          </w:tcPr>
          <w:p w14:paraId="23656D24"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Cave Swallow</w:t>
            </w:r>
          </w:p>
        </w:tc>
        <w:tc>
          <w:tcPr>
            <w:tcW w:w="1170" w:type="dxa"/>
            <w:shd w:val="clear" w:color="auto" w:fill="auto"/>
            <w:noWrap/>
            <w:vAlign w:val="bottom"/>
            <w:hideMark/>
          </w:tcPr>
          <w:p w14:paraId="0518B52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24.1</w:t>
            </w:r>
          </w:p>
        </w:tc>
        <w:tc>
          <w:tcPr>
            <w:tcW w:w="1889" w:type="dxa"/>
            <w:shd w:val="clear" w:color="auto" w:fill="auto"/>
            <w:noWrap/>
            <w:vAlign w:val="bottom"/>
            <w:hideMark/>
          </w:tcPr>
          <w:p w14:paraId="1FEA600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91.76</w:t>
            </w:r>
          </w:p>
        </w:tc>
      </w:tr>
      <w:tr w:rsidR="00333AA3" w:rsidRPr="00654DFA" w14:paraId="7BB1FC5C" w14:textId="77777777" w:rsidTr="00333AA3">
        <w:trPr>
          <w:trHeight w:val="290"/>
        </w:trPr>
        <w:tc>
          <w:tcPr>
            <w:tcW w:w="2422" w:type="dxa"/>
            <w:shd w:val="clear" w:color="auto" w:fill="auto"/>
            <w:noWrap/>
            <w:vAlign w:val="bottom"/>
            <w:hideMark/>
          </w:tcPr>
          <w:p w14:paraId="58B8AD1B"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Camptostoma</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imberbe</w:t>
            </w:r>
            <w:proofErr w:type="spellEnd"/>
          </w:p>
        </w:tc>
        <w:tc>
          <w:tcPr>
            <w:tcW w:w="2973" w:type="dxa"/>
            <w:shd w:val="clear" w:color="auto" w:fill="auto"/>
            <w:noWrap/>
            <w:vAlign w:val="bottom"/>
            <w:hideMark/>
          </w:tcPr>
          <w:p w14:paraId="3FD5C757"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Northern Beardless-</w:t>
            </w:r>
            <w:proofErr w:type="spellStart"/>
            <w:r w:rsidRPr="00654DFA">
              <w:rPr>
                <w:rFonts w:eastAsia="Times New Roman" w:cs="Times New Roman"/>
                <w:color w:val="000000"/>
                <w:sz w:val="20"/>
                <w:szCs w:val="20"/>
              </w:rPr>
              <w:t>Tyrannulet</w:t>
            </w:r>
            <w:proofErr w:type="spellEnd"/>
          </w:p>
        </w:tc>
        <w:tc>
          <w:tcPr>
            <w:tcW w:w="1170" w:type="dxa"/>
            <w:shd w:val="clear" w:color="auto" w:fill="auto"/>
            <w:noWrap/>
            <w:vAlign w:val="bottom"/>
            <w:hideMark/>
          </w:tcPr>
          <w:p w14:paraId="074D28F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7.4</w:t>
            </w:r>
          </w:p>
        </w:tc>
        <w:tc>
          <w:tcPr>
            <w:tcW w:w="1889" w:type="dxa"/>
            <w:shd w:val="clear" w:color="auto" w:fill="auto"/>
            <w:noWrap/>
            <w:vAlign w:val="bottom"/>
            <w:hideMark/>
          </w:tcPr>
          <w:p w14:paraId="3629C68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41.03</w:t>
            </w:r>
          </w:p>
        </w:tc>
      </w:tr>
      <w:tr w:rsidR="00333AA3" w:rsidRPr="00654DFA" w14:paraId="49B77556" w14:textId="77777777" w:rsidTr="00333AA3">
        <w:trPr>
          <w:trHeight w:val="290"/>
        </w:trPr>
        <w:tc>
          <w:tcPr>
            <w:tcW w:w="2422" w:type="dxa"/>
            <w:shd w:val="clear" w:color="auto" w:fill="auto"/>
            <w:noWrap/>
            <w:vAlign w:val="bottom"/>
            <w:hideMark/>
          </w:tcPr>
          <w:p w14:paraId="762B5506"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Contopus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cooperi</w:t>
            </w:r>
            <w:proofErr w:type="spellEnd"/>
          </w:p>
        </w:tc>
        <w:tc>
          <w:tcPr>
            <w:tcW w:w="2973" w:type="dxa"/>
            <w:shd w:val="clear" w:color="auto" w:fill="auto"/>
            <w:noWrap/>
            <w:vAlign w:val="bottom"/>
            <w:hideMark/>
          </w:tcPr>
          <w:p w14:paraId="7769ADE7"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Olive-sided Flycatcher</w:t>
            </w:r>
          </w:p>
        </w:tc>
        <w:tc>
          <w:tcPr>
            <w:tcW w:w="1170" w:type="dxa"/>
            <w:shd w:val="clear" w:color="auto" w:fill="auto"/>
            <w:noWrap/>
            <w:vAlign w:val="bottom"/>
            <w:hideMark/>
          </w:tcPr>
          <w:p w14:paraId="2C41785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32.1</w:t>
            </w:r>
          </w:p>
        </w:tc>
        <w:tc>
          <w:tcPr>
            <w:tcW w:w="1889" w:type="dxa"/>
            <w:shd w:val="clear" w:color="auto" w:fill="auto"/>
            <w:noWrap/>
            <w:vAlign w:val="bottom"/>
            <w:hideMark/>
          </w:tcPr>
          <w:p w14:paraId="66B1AFF0"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111.46</w:t>
            </w:r>
          </w:p>
        </w:tc>
      </w:tr>
      <w:tr w:rsidR="00333AA3" w:rsidRPr="00654DFA" w14:paraId="61A112DF" w14:textId="77777777" w:rsidTr="00333AA3">
        <w:trPr>
          <w:trHeight w:val="290"/>
        </w:trPr>
        <w:tc>
          <w:tcPr>
            <w:tcW w:w="2422" w:type="dxa"/>
            <w:shd w:val="clear" w:color="auto" w:fill="auto"/>
            <w:noWrap/>
            <w:vAlign w:val="bottom"/>
            <w:hideMark/>
          </w:tcPr>
          <w:p w14:paraId="1E1D345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Contopus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pertinax</w:t>
            </w:r>
            <w:proofErr w:type="spellEnd"/>
          </w:p>
        </w:tc>
        <w:tc>
          <w:tcPr>
            <w:tcW w:w="2973" w:type="dxa"/>
            <w:shd w:val="clear" w:color="auto" w:fill="auto"/>
            <w:noWrap/>
            <w:vAlign w:val="bottom"/>
            <w:hideMark/>
          </w:tcPr>
          <w:p w14:paraId="616DCE1D"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Greater Pewee</w:t>
            </w:r>
          </w:p>
        </w:tc>
        <w:tc>
          <w:tcPr>
            <w:tcW w:w="1170" w:type="dxa"/>
            <w:shd w:val="clear" w:color="auto" w:fill="auto"/>
            <w:noWrap/>
            <w:vAlign w:val="bottom"/>
            <w:hideMark/>
          </w:tcPr>
          <w:p w14:paraId="4C890693"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27.2</w:t>
            </w:r>
          </w:p>
        </w:tc>
        <w:tc>
          <w:tcPr>
            <w:tcW w:w="1889" w:type="dxa"/>
            <w:shd w:val="clear" w:color="auto" w:fill="auto"/>
            <w:noWrap/>
            <w:vAlign w:val="bottom"/>
            <w:hideMark/>
          </w:tcPr>
          <w:p w14:paraId="3FCE1FA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99.57</w:t>
            </w:r>
          </w:p>
        </w:tc>
      </w:tr>
      <w:tr w:rsidR="00333AA3" w:rsidRPr="00654DFA" w14:paraId="5F91B104" w14:textId="77777777" w:rsidTr="00333AA3">
        <w:trPr>
          <w:trHeight w:val="290"/>
        </w:trPr>
        <w:tc>
          <w:tcPr>
            <w:tcW w:w="2422" w:type="dxa"/>
            <w:shd w:val="clear" w:color="auto" w:fill="auto"/>
            <w:noWrap/>
            <w:vAlign w:val="bottom"/>
            <w:hideMark/>
          </w:tcPr>
          <w:p w14:paraId="7B5DE09B"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Contopus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sordidulus</w:t>
            </w:r>
            <w:proofErr w:type="spellEnd"/>
          </w:p>
        </w:tc>
        <w:tc>
          <w:tcPr>
            <w:tcW w:w="2973" w:type="dxa"/>
            <w:shd w:val="clear" w:color="auto" w:fill="auto"/>
            <w:noWrap/>
            <w:vAlign w:val="bottom"/>
            <w:hideMark/>
          </w:tcPr>
          <w:p w14:paraId="5B7E9437"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Western Wood-Pewee</w:t>
            </w:r>
          </w:p>
        </w:tc>
        <w:tc>
          <w:tcPr>
            <w:tcW w:w="1170" w:type="dxa"/>
            <w:shd w:val="clear" w:color="auto" w:fill="auto"/>
            <w:noWrap/>
            <w:vAlign w:val="bottom"/>
            <w:hideMark/>
          </w:tcPr>
          <w:p w14:paraId="2208F034"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13.1</w:t>
            </w:r>
          </w:p>
        </w:tc>
        <w:tc>
          <w:tcPr>
            <w:tcW w:w="1889" w:type="dxa"/>
            <w:shd w:val="clear" w:color="auto" w:fill="auto"/>
            <w:noWrap/>
            <w:vAlign w:val="bottom"/>
            <w:hideMark/>
          </w:tcPr>
          <w:p w14:paraId="4BF3B5C9"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60.54</w:t>
            </w:r>
          </w:p>
        </w:tc>
      </w:tr>
      <w:tr w:rsidR="00333AA3" w:rsidRPr="00654DFA" w14:paraId="1A6E289C" w14:textId="77777777" w:rsidTr="00333AA3">
        <w:trPr>
          <w:trHeight w:val="290"/>
        </w:trPr>
        <w:tc>
          <w:tcPr>
            <w:tcW w:w="2422" w:type="dxa"/>
            <w:shd w:val="clear" w:color="auto" w:fill="auto"/>
            <w:noWrap/>
            <w:vAlign w:val="bottom"/>
            <w:hideMark/>
          </w:tcPr>
          <w:p w14:paraId="7340CDDA"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Contopus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virens</w:t>
            </w:r>
            <w:proofErr w:type="spellEnd"/>
          </w:p>
        </w:tc>
        <w:tc>
          <w:tcPr>
            <w:tcW w:w="2973" w:type="dxa"/>
            <w:shd w:val="clear" w:color="auto" w:fill="auto"/>
            <w:noWrap/>
            <w:vAlign w:val="bottom"/>
            <w:hideMark/>
          </w:tcPr>
          <w:p w14:paraId="18261783"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Eastern Wood-Pewee</w:t>
            </w:r>
          </w:p>
        </w:tc>
        <w:tc>
          <w:tcPr>
            <w:tcW w:w="1170" w:type="dxa"/>
            <w:shd w:val="clear" w:color="auto" w:fill="auto"/>
            <w:noWrap/>
            <w:vAlign w:val="bottom"/>
            <w:hideMark/>
          </w:tcPr>
          <w:p w14:paraId="0860C50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13.9</w:t>
            </w:r>
          </w:p>
        </w:tc>
        <w:tc>
          <w:tcPr>
            <w:tcW w:w="1889" w:type="dxa"/>
            <w:shd w:val="clear" w:color="auto" w:fill="auto"/>
            <w:noWrap/>
            <w:vAlign w:val="bottom"/>
            <w:hideMark/>
          </w:tcPr>
          <w:p w14:paraId="037429A4"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63.03</w:t>
            </w:r>
          </w:p>
        </w:tc>
      </w:tr>
      <w:tr w:rsidR="00333AA3" w:rsidRPr="00654DFA" w14:paraId="3AD90045" w14:textId="77777777" w:rsidTr="00333AA3">
        <w:trPr>
          <w:trHeight w:val="290"/>
        </w:trPr>
        <w:tc>
          <w:tcPr>
            <w:tcW w:w="2422" w:type="dxa"/>
            <w:shd w:val="clear" w:color="auto" w:fill="auto"/>
            <w:noWrap/>
            <w:vAlign w:val="bottom"/>
            <w:hideMark/>
          </w:tcPr>
          <w:p w14:paraId="0F18ACB6"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flaviventris</w:t>
            </w:r>
            <w:proofErr w:type="spellEnd"/>
          </w:p>
        </w:tc>
        <w:tc>
          <w:tcPr>
            <w:tcW w:w="2973" w:type="dxa"/>
            <w:shd w:val="clear" w:color="auto" w:fill="auto"/>
            <w:noWrap/>
            <w:vAlign w:val="bottom"/>
            <w:hideMark/>
          </w:tcPr>
          <w:p w14:paraId="40A672E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Yellow-bellied Flycatcher</w:t>
            </w:r>
          </w:p>
        </w:tc>
        <w:tc>
          <w:tcPr>
            <w:tcW w:w="1170" w:type="dxa"/>
            <w:shd w:val="clear" w:color="auto" w:fill="auto"/>
            <w:noWrap/>
            <w:vAlign w:val="bottom"/>
            <w:hideMark/>
          </w:tcPr>
          <w:p w14:paraId="4C929E8C"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11.8</w:t>
            </w:r>
          </w:p>
        </w:tc>
        <w:tc>
          <w:tcPr>
            <w:tcW w:w="1889" w:type="dxa"/>
            <w:shd w:val="clear" w:color="auto" w:fill="auto"/>
            <w:noWrap/>
            <w:vAlign w:val="bottom"/>
            <w:hideMark/>
          </w:tcPr>
          <w:p w14:paraId="2FD9352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56.38</w:t>
            </w:r>
          </w:p>
        </w:tc>
      </w:tr>
      <w:tr w:rsidR="00333AA3" w:rsidRPr="00654DFA" w14:paraId="66BAA84B" w14:textId="77777777" w:rsidTr="00333AA3">
        <w:trPr>
          <w:trHeight w:val="290"/>
        </w:trPr>
        <w:tc>
          <w:tcPr>
            <w:tcW w:w="2422" w:type="dxa"/>
            <w:shd w:val="clear" w:color="auto" w:fill="auto"/>
            <w:noWrap/>
            <w:vAlign w:val="bottom"/>
            <w:hideMark/>
          </w:tcPr>
          <w:p w14:paraId="31EC2E82"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virescens</w:t>
            </w:r>
            <w:proofErr w:type="spellEnd"/>
          </w:p>
        </w:tc>
        <w:tc>
          <w:tcPr>
            <w:tcW w:w="2973" w:type="dxa"/>
            <w:shd w:val="clear" w:color="auto" w:fill="auto"/>
            <w:noWrap/>
            <w:vAlign w:val="bottom"/>
            <w:hideMark/>
          </w:tcPr>
          <w:p w14:paraId="4CC10A17"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Acadian Flycatcher</w:t>
            </w:r>
          </w:p>
        </w:tc>
        <w:tc>
          <w:tcPr>
            <w:tcW w:w="1170" w:type="dxa"/>
            <w:shd w:val="clear" w:color="auto" w:fill="auto"/>
            <w:noWrap/>
            <w:vAlign w:val="bottom"/>
            <w:hideMark/>
          </w:tcPr>
          <w:p w14:paraId="24ACFE8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12.6</w:t>
            </w:r>
          </w:p>
        </w:tc>
        <w:tc>
          <w:tcPr>
            <w:tcW w:w="1889" w:type="dxa"/>
            <w:shd w:val="clear" w:color="auto" w:fill="auto"/>
            <w:noWrap/>
            <w:vAlign w:val="bottom"/>
            <w:hideMark/>
          </w:tcPr>
          <w:p w14:paraId="1BAD69A5"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58.95</w:t>
            </w:r>
          </w:p>
        </w:tc>
      </w:tr>
      <w:tr w:rsidR="00333AA3" w:rsidRPr="00654DFA" w14:paraId="3FFA66BF" w14:textId="77777777" w:rsidTr="00333AA3">
        <w:trPr>
          <w:trHeight w:val="290"/>
        </w:trPr>
        <w:tc>
          <w:tcPr>
            <w:tcW w:w="2422" w:type="dxa"/>
            <w:shd w:val="clear" w:color="auto" w:fill="auto"/>
            <w:noWrap/>
            <w:vAlign w:val="bottom"/>
            <w:hideMark/>
          </w:tcPr>
          <w:p w14:paraId="21D73EC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alnorum</w:t>
            </w:r>
            <w:proofErr w:type="spellEnd"/>
          </w:p>
        </w:tc>
        <w:tc>
          <w:tcPr>
            <w:tcW w:w="2973" w:type="dxa"/>
            <w:shd w:val="clear" w:color="auto" w:fill="auto"/>
            <w:noWrap/>
            <w:vAlign w:val="bottom"/>
            <w:hideMark/>
          </w:tcPr>
          <w:p w14:paraId="599049F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Alder Flycatcher</w:t>
            </w:r>
          </w:p>
        </w:tc>
        <w:tc>
          <w:tcPr>
            <w:tcW w:w="1170" w:type="dxa"/>
            <w:shd w:val="clear" w:color="auto" w:fill="auto"/>
            <w:noWrap/>
            <w:vAlign w:val="bottom"/>
            <w:hideMark/>
          </w:tcPr>
          <w:p w14:paraId="0F722AE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12.7</w:t>
            </w:r>
          </w:p>
        </w:tc>
        <w:tc>
          <w:tcPr>
            <w:tcW w:w="1889" w:type="dxa"/>
            <w:shd w:val="clear" w:color="auto" w:fill="auto"/>
            <w:noWrap/>
            <w:vAlign w:val="bottom"/>
            <w:hideMark/>
          </w:tcPr>
          <w:p w14:paraId="29E48CC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59.27</w:t>
            </w:r>
          </w:p>
        </w:tc>
      </w:tr>
      <w:tr w:rsidR="00333AA3" w:rsidRPr="00654DFA" w14:paraId="3B3E6F84" w14:textId="77777777" w:rsidTr="00333AA3">
        <w:trPr>
          <w:trHeight w:val="290"/>
        </w:trPr>
        <w:tc>
          <w:tcPr>
            <w:tcW w:w="2422" w:type="dxa"/>
            <w:shd w:val="clear" w:color="auto" w:fill="auto"/>
            <w:noWrap/>
            <w:vAlign w:val="bottom"/>
            <w:hideMark/>
          </w:tcPr>
          <w:p w14:paraId="044471CD"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traillii</w:t>
            </w:r>
            <w:proofErr w:type="spellEnd"/>
          </w:p>
        </w:tc>
        <w:tc>
          <w:tcPr>
            <w:tcW w:w="2973" w:type="dxa"/>
            <w:shd w:val="clear" w:color="auto" w:fill="auto"/>
            <w:noWrap/>
            <w:vAlign w:val="bottom"/>
            <w:hideMark/>
          </w:tcPr>
          <w:p w14:paraId="50CE72BB"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Willow Flycatcher</w:t>
            </w:r>
          </w:p>
        </w:tc>
        <w:tc>
          <w:tcPr>
            <w:tcW w:w="1170" w:type="dxa"/>
            <w:shd w:val="clear" w:color="auto" w:fill="auto"/>
            <w:noWrap/>
            <w:vAlign w:val="bottom"/>
            <w:hideMark/>
          </w:tcPr>
          <w:p w14:paraId="1B143EB0"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13.3</w:t>
            </w:r>
          </w:p>
        </w:tc>
        <w:tc>
          <w:tcPr>
            <w:tcW w:w="1889" w:type="dxa"/>
            <w:shd w:val="clear" w:color="auto" w:fill="auto"/>
            <w:noWrap/>
            <w:vAlign w:val="bottom"/>
            <w:hideMark/>
          </w:tcPr>
          <w:p w14:paraId="72B595B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61.40</w:t>
            </w:r>
          </w:p>
        </w:tc>
      </w:tr>
      <w:tr w:rsidR="00333AA3" w:rsidRPr="00654DFA" w14:paraId="0FEF3367" w14:textId="77777777" w:rsidTr="00333AA3">
        <w:trPr>
          <w:trHeight w:val="290"/>
        </w:trPr>
        <w:tc>
          <w:tcPr>
            <w:tcW w:w="2422" w:type="dxa"/>
            <w:shd w:val="clear" w:color="auto" w:fill="auto"/>
            <w:noWrap/>
            <w:vAlign w:val="bottom"/>
            <w:hideMark/>
          </w:tcPr>
          <w:p w14:paraId="6548FE8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minimus</w:t>
            </w:r>
            <w:proofErr w:type="spellEnd"/>
          </w:p>
        </w:tc>
        <w:tc>
          <w:tcPr>
            <w:tcW w:w="2973" w:type="dxa"/>
            <w:shd w:val="clear" w:color="auto" w:fill="auto"/>
            <w:noWrap/>
            <w:vAlign w:val="bottom"/>
            <w:hideMark/>
          </w:tcPr>
          <w:p w14:paraId="3C59909B"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Least Flycatcher</w:t>
            </w:r>
          </w:p>
        </w:tc>
        <w:tc>
          <w:tcPr>
            <w:tcW w:w="1170" w:type="dxa"/>
            <w:shd w:val="clear" w:color="auto" w:fill="auto"/>
            <w:noWrap/>
            <w:vAlign w:val="bottom"/>
            <w:hideMark/>
          </w:tcPr>
          <w:p w14:paraId="530D650C"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10</w:t>
            </w:r>
          </w:p>
        </w:tc>
        <w:tc>
          <w:tcPr>
            <w:tcW w:w="1889" w:type="dxa"/>
            <w:shd w:val="clear" w:color="auto" w:fill="auto"/>
            <w:noWrap/>
            <w:vAlign w:val="bottom"/>
            <w:hideMark/>
          </w:tcPr>
          <w:p w14:paraId="43EA55E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50.37</w:t>
            </w:r>
          </w:p>
        </w:tc>
      </w:tr>
      <w:tr w:rsidR="00333AA3" w:rsidRPr="00654DFA" w14:paraId="79AD3999" w14:textId="77777777" w:rsidTr="00333AA3">
        <w:trPr>
          <w:trHeight w:val="290"/>
        </w:trPr>
        <w:tc>
          <w:tcPr>
            <w:tcW w:w="2422" w:type="dxa"/>
            <w:shd w:val="clear" w:color="auto" w:fill="auto"/>
            <w:noWrap/>
            <w:vAlign w:val="bottom"/>
            <w:hideMark/>
          </w:tcPr>
          <w:p w14:paraId="6693A2C6"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hammondii</w:t>
            </w:r>
            <w:proofErr w:type="spellEnd"/>
          </w:p>
        </w:tc>
        <w:tc>
          <w:tcPr>
            <w:tcW w:w="2973" w:type="dxa"/>
            <w:shd w:val="clear" w:color="auto" w:fill="auto"/>
            <w:noWrap/>
            <w:vAlign w:val="bottom"/>
            <w:hideMark/>
          </w:tcPr>
          <w:p w14:paraId="48D87426"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Hammond's Flycatcher</w:t>
            </w:r>
          </w:p>
        </w:tc>
        <w:tc>
          <w:tcPr>
            <w:tcW w:w="1170" w:type="dxa"/>
            <w:shd w:val="clear" w:color="auto" w:fill="auto"/>
            <w:noWrap/>
            <w:vAlign w:val="bottom"/>
            <w:hideMark/>
          </w:tcPr>
          <w:p w14:paraId="32ECB710"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10.5</w:t>
            </w:r>
          </w:p>
        </w:tc>
        <w:tc>
          <w:tcPr>
            <w:tcW w:w="1889" w:type="dxa"/>
            <w:shd w:val="clear" w:color="auto" w:fill="auto"/>
            <w:noWrap/>
            <w:vAlign w:val="bottom"/>
            <w:hideMark/>
          </w:tcPr>
          <w:p w14:paraId="3E37B1CF"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52.08</w:t>
            </w:r>
          </w:p>
        </w:tc>
      </w:tr>
      <w:tr w:rsidR="00333AA3" w:rsidRPr="00654DFA" w14:paraId="5B6AB088" w14:textId="77777777" w:rsidTr="00333AA3">
        <w:trPr>
          <w:trHeight w:val="290"/>
        </w:trPr>
        <w:tc>
          <w:tcPr>
            <w:tcW w:w="2422" w:type="dxa"/>
            <w:shd w:val="clear" w:color="auto" w:fill="auto"/>
            <w:noWrap/>
            <w:vAlign w:val="bottom"/>
            <w:hideMark/>
          </w:tcPr>
          <w:p w14:paraId="058795E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wrightii</w:t>
            </w:r>
            <w:proofErr w:type="spellEnd"/>
          </w:p>
        </w:tc>
        <w:tc>
          <w:tcPr>
            <w:tcW w:w="2973" w:type="dxa"/>
            <w:shd w:val="clear" w:color="auto" w:fill="auto"/>
            <w:noWrap/>
            <w:vAlign w:val="bottom"/>
            <w:hideMark/>
          </w:tcPr>
          <w:p w14:paraId="3D8E6103"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Gray Flycatcher</w:t>
            </w:r>
          </w:p>
        </w:tc>
        <w:tc>
          <w:tcPr>
            <w:tcW w:w="1170" w:type="dxa"/>
            <w:shd w:val="clear" w:color="auto" w:fill="auto"/>
            <w:noWrap/>
            <w:vAlign w:val="bottom"/>
            <w:hideMark/>
          </w:tcPr>
          <w:p w14:paraId="1A2C7C5F"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12.3</w:t>
            </w:r>
          </w:p>
        </w:tc>
        <w:tc>
          <w:tcPr>
            <w:tcW w:w="1889" w:type="dxa"/>
            <w:shd w:val="clear" w:color="auto" w:fill="auto"/>
            <w:noWrap/>
            <w:vAlign w:val="bottom"/>
            <w:hideMark/>
          </w:tcPr>
          <w:p w14:paraId="37ABF88B"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57.99</w:t>
            </w:r>
          </w:p>
        </w:tc>
      </w:tr>
      <w:tr w:rsidR="00333AA3" w:rsidRPr="00654DFA" w14:paraId="4112ACD9" w14:textId="77777777" w:rsidTr="00333AA3">
        <w:trPr>
          <w:trHeight w:val="290"/>
        </w:trPr>
        <w:tc>
          <w:tcPr>
            <w:tcW w:w="2422" w:type="dxa"/>
            <w:shd w:val="clear" w:color="auto" w:fill="auto"/>
            <w:noWrap/>
            <w:vAlign w:val="bottom"/>
            <w:hideMark/>
          </w:tcPr>
          <w:p w14:paraId="2703288D"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oberholseri</w:t>
            </w:r>
            <w:proofErr w:type="spellEnd"/>
          </w:p>
        </w:tc>
        <w:tc>
          <w:tcPr>
            <w:tcW w:w="2973" w:type="dxa"/>
            <w:shd w:val="clear" w:color="auto" w:fill="auto"/>
            <w:noWrap/>
            <w:vAlign w:val="bottom"/>
            <w:hideMark/>
          </w:tcPr>
          <w:p w14:paraId="3F376637"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Dusky Flycatcher</w:t>
            </w:r>
          </w:p>
        </w:tc>
        <w:tc>
          <w:tcPr>
            <w:tcW w:w="1170" w:type="dxa"/>
            <w:shd w:val="clear" w:color="auto" w:fill="auto"/>
            <w:noWrap/>
            <w:vAlign w:val="bottom"/>
            <w:hideMark/>
          </w:tcPr>
          <w:p w14:paraId="4B592046"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10.4</w:t>
            </w:r>
          </w:p>
        </w:tc>
        <w:tc>
          <w:tcPr>
            <w:tcW w:w="1889" w:type="dxa"/>
            <w:shd w:val="clear" w:color="auto" w:fill="auto"/>
            <w:noWrap/>
            <w:vAlign w:val="bottom"/>
            <w:hideMark/>
          </w:tcPr>
          <w:p w14:paraId="3538048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51.73</w:t>
            </w:r>
          </w:p>
        </w:tc>
      </w:tr>
      <w:tr w:rsidR="00333AA3" w:rsidRPr="00654DFA" w14:paraId="63641952" w14:textId="77777777" w:rsidTr="00333AA3">
        <w:trPr>
          <w:trHeight w:val="290"/>
        </w:trPr>
        <w:tc>
          <w:tcPr>
            <w:tcW w:w="2422" w:type="dxa"/>
            <w:shd w:val="clear" w:color="auto" w:fill="auto"/>
            <w:noWrap/>
            <w:vAlign w:val="bottom"/>
            <w:hideMark/>
          </w:tcPr>
          <w:p w14:paraId="047DD9B3"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difficilis</w:t>
            </w:r>
            <w:proofErr w:type="spellEnd"/>
          </w:p>
        </w:tc>
        <w:tc>
          <w:tcPr>
            <w:tcW w:w="2973" w:type="dxa"/>
            <w:shd w:val="clear" w:color="auto" w:fill="auto"/>
            <w:noWrap/>
            <w:vAlign w:val="bottom"/>
            <w:hideMark/>
          </w:tcPr>
          <w:p w14:paraId="6B156BD6"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Pacific-slope Flycatcher</w:t>
            </w:r>
          </w:p>
        </w:tc>
        <w:tc>
          <w:tcPr>
            <w:tcW w:w="1170" w:type="dxa"/>
            <w:shd w:val="clear" w:color="auto" w:fill="auto"/>
            <w:noWrap/>
            <w:vAlign w:val="bottom"/>
            <w:hideMark/>
          </w:tcPr>
          <w:p w14:paraId="2FD6D958"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10.7</w:t>
            </w:r>
          </w:p>
        </w:tc>
        <w:tc>
          <w:tcPr>
            <w:tcW w:w="1889" w:type="dxa"/>
            <w:shd w:val="clear" w:color="auto" w:fill="auto"/>
            <w:noWrap/>
            <w:vAlign w:val="bottom"/>
            <w:hideMark/>
          </w:tcPr>
          <w:p w14:paraId="605CCE5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52.74</w:t>
            </w:r>
          </w:p>
        </w:tc>
      </w:tr>
      <w:tr w:rsidR="00333AA3" w:rsidRPr="00654DFA" w14:paraId="79A2D87A" w14:textId="77777777" w:rsidTr="00333AA3">
        <w:trPr>
          <w:trHeight w:val="290"/>
        </w:trPr>
        <w:tc>
          <w:tcPr>
            <w:tcW w:w="2422" w:type="dxa"/>
            <w:shd w:val="clear" w:color="auto" w:fill="auto"/>
            <w:noWrap/>
            <w:vAlign w:val="bottom"/>
            <w:hideMark/>
          </w:tcPr>
          <w:p w14:paraId="122C5075"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occidentalis</w:t>
            </w:r>
            <w:proofErr w:type="spellEnd"/>
          </w:p>
        </w:tc>
        <w:tc>
          <w:tcPr>
            <w:tcW w:w="2973" w:type="dxa"/>
            <w:shd w:val="clear" w:color="auto" w:fill="auto"/>
            <w:noWrap/>
            <w:vAlign w:val="bottom"/>
            <w:hideMark/>
          </w:tcPr>
          <w:p w14:paraId="49176109"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Cordilleran Flycatcher</w:t>
            </w:r>
          </w:p>
        </w:tc>
        <w:tc>
          <w:tcPr>
            <w:tcW w:w="1170" w:type="dxa"/>
            <w:shd w:val="clear" w:color="auto" w:fill="auto"/>
            <w:noWrap/>
            <w:vAlign w:val="bottom"/>
            <w:hideMark/>
          </w:tcPr>
          <w:p w14:paraId="20F26984"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11.6</w:t>
            </w:r>
          </w:p>
        </w:tc>
        <w:tc>
          <w:tcPr>
            <w:tcW w:w="1889" w:type="dxa"/>
            <w:shd w:val="clear" w:color="auto" w:fill="auto"/>
            <w:noWrap/>
            <w:vAlign w:val="bottom"/>
            <w:hideMark/>
          </w:tcPr>
          <w:p w14:paraId="0EC6BF3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55.72</w:t>
            </w:r>
          </w:p>
        </w:tc>
      </w:tr>
      <w:tr w:rsidR="00333AA3" w:rsidRPr="00654DFA" w14:paraId="0951DC3C" w14:textId="77777777" w:rsidTr="00333AA3">
        <w:trPr>
          <w:trHeight w:val="290"/>
        </w:trPr>
        <w:tc>
          <w:tcPr>
            <w:tcW w:w="2422" w:type="dxa"/>
            <w:shd w:val="clear" w:color="auto" w:fill="auto"/>
            <w:noWrap/>
            <w:vAlign w:val="bottom"/>
            <w:hideMark/>
          </w:tcPr>
          <w:p w14:paraId="7757BA4D"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Empidonax</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fulvifrons</w:t>
            </w:r>
            <w:proofErr w:type="spellEnd"/>
          </w:p>
        </w:tc>
        <w:tc>
          <w:tcPr>
            <w:tcW w:w="2973" w:type="dxa"/>
            <w:shd w:val="clear" w:color="auto" w:fill="auto"/>
            <w:noWrap/>
            <w:vAlign w:val="bottom"/>
            <w:hideMark/>
          </w:tcPr>
          <w:p w14:paraId="7B93111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Buff-breasted Flycatcher</w:t>
            </w:r>
          </w:p>
        </w:tc>
        <w:tc>
          <w:tcPr>
            <w:tcW w:w="1170" w:type="dxa"/>
            <w:shd w:val="clear" w:color="auto" w:fill="auto"/>
            <w:noWrap/>
            <w:vAlign w:val="bottom"/>
            <w:hideMark/>
          </w:tcPr>
          <w:p w14:paraId="54034F3C"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7.9</w:t>
            </w:r>
          </w:p>
        </w:tc>
        <w:tc>
          <w:tcPr>
            <w:tcW w:w="1889" w:type="dxa"/>
            <w:shd w:val="clear" w:color="auto" w:fill="auto"/>
            <w:noWrap/>
            <w:vAlign w:val="bottom"/>
            <w:hideMark/>
          </w:tcPr>
          <w:p w14:paraId="1E038D56"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42.90</w:t>
            </w:r>
          </w:p>
        </w:tc>
      </w:tr>
      <w:tr w:rsidR="00333AA3" w:rsidRPr="00654DFA" w14:paraId="346A07BA" w14:textId="77777777" w:rsidTr="00333AA3">
        <w:trPr>
          <w:trHeight w:val="290"/>
        </w:trPr>
        <w:tc>
          <w:tcPr>
            <w:tcW w:w="2422" w:type="dxa"/>
            <w:shd w:val="clear" w:color="auto" w:fill="auto"/>
            <w:noWrap/>
            <w:vAlign w:val="bottom"/>
            <w:hideMark/>
          </w:tcPr>
          <w:p w14:paraId="247AA1EC"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Sayornis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nigricans</w:t>
            </w:r>
            <w:proofErr w:type="spellEnd"/>
          </w:p>
        </w:tc>
        <w:tc>
          <w:tcPr>
            <w:tcW w:w="2973" w:type="dxa"/>
            <w:shd w:val="clear" w:color="auto" w:fill="auto"/>
            <w:noWrap/>
            <w:vAlign w:val="bottom"/>
            <w:hideMark/>
          </w:tcPr>
          <w:p w14:paraId="0FA29016"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Black Phoebe</w:t>
            </w:r>
          </w:p>
        </w:tc>
        <w:tc>
          <w:tcPr>
            <w:tcW w:w="1170" w:type="dxa"/>
            <w:shd w:val="clear" w:color="auto" w:fill="auto"/>
            <w:noWrap/>
            <w:vAlign w:val="bottom"/>
            <w:hideMark/>
          </w:tcPr>
          <w:p w14:paraId="6A7E5C0E"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18.3</w:t>
            </w:r>
          </w:p>
        </w:tc>
        <w:tc>
          <w:tcPr>
            <w:tcW w:w="1889" w:type="dxa"/>
            <w:shd w:val="clear" w:color="auto" w:fill="auto"/>
            <w:noWrap/>
            <w:vAlign w:val="bottom"/>
            <w:hideMark/>
          </w:tcPr>
          <w:p w14:paraId="0C9E6A8B"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76.22</w:t>
            </w:r>
          </w:p>
        </w:tc>
      </w:tr>
      <w:tr w:rsidR="00333AA3" w:rsidRPr="00654DFA" w14:paraId="471C3555" w14:textId="77777777" w:rsidTr="00333AA3">
        <w:trPr>
          <w:trHeight w:val="290"/>
        </w:trPr>
        <w:tc>
          <w:tcPr>
            <w:tcW w:w="2422" w:type="dxa"/>
            <w:shd w:val="clear" w:color="auto" w:fill="auto"/>
            <w:noWrap/>
            <w:vAlign w:val="bottom"/>
            <w:hideMark/>
          </w:tcPr>
          <w:p w14:paraId="62B72B02"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Sayornis</w:t>
            </w:r>
            <w:proofErr w:type="spellEnd"/>
            <w:r w:rsidRPr="00654DFA">
              <w:rPr>
                <w:rFonts w:eastAsia="Times New Roman" w:cs="Times New Roman"/>
                <w:color w:val="000000"/>
                <w:sz w:val="20"/>
                <w:szCs w:val="20"/>
              </w:rPr>
              <w:t xml:space="preserve"> phoebe</w:t>
            </w:r>
          </w:p>
        </w:tc>
        <w:tc>
          <w:tcPr>
            <w:tcW w:w="2973" w:type="dxa"/>
            <w:shd w:val="clear" w:color="auto" w:fill="auto"/>
            <w:noWrap/>
            <w:vAlign w:val="bottom"/>
            <w:hideMark/>
          </w:tcPr>
          <w:p w14:paraId="27F9CDA9"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Eastern Phoebe</w:t>
            </w:r>
          </w:p>
        </w:tc>
        <w:tc>
          <w:tcPr>
            <w:tcW w:w="1170" w:type="dxa"/>
            <w:shd w:val="clear" w:color="auto" w:fill="auto"/>
            <w:noWrap/>
            <w:vAlign w:val="bottom"/>
            <w:hideMark/>
          </w:tcPr>
          <w:p w14:paraId="35538F6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19.7</w:t>
            </w:r>
          </w:p>
        </w:tc>
        <w:tc>
          <w:tcPr>
            <w:tcW w:w="1889" w:type="dxa"/>
            <w:shd w:val="clear" w:color="auto" w:fill="auto"/>
            <w:noWrap/>
            <w:vAlign w:val="bottom"/>
            <w:hideMark/>
          </w:tcPr>
          <w:p w14:paraId="61B064E9"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79.93</w:t>
            </w:r>
          </w:p>
        </w:tc>
      </w:tr>
      <w:tr w:rsidR="00333AA3" w:rsidRPr="00654DFA" w14:paraId="566F2EA7" w14:textId="77777777" w:rsidTr="00333AA3">
        <w:trPr>
          <w:trHeight w:val="290"/>
        </w:trPr>
        <w:tc>
          <w:tcPr>
            <w:tcW w:w="2422" w:type="dxa"/>
            <w:shd w:val="clear" w:color="auto" w:fill="auto"/>
            <w:noWrap/>
            <w:vAlign w:val="bottom"/>
            <w:hideMark/>
          </w:tcPr>
          <w:p w14:paraId="2036CCEE"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Sayornis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saya</w:t>
            </w:r>
            <w:proofErr w:type="spellEnd"/>
          </w:p>
        </w:tc>
        <w:tc>
          <w:tcPr>
            <w:tcW w:w="2973" w:type="dxa"/>
            <w:shd w:val="clear" w:color="auto" w:fill="auto"/>
            <w:noWrap/>
            <w:vAlign w:val="bottom"/>
            <w:hideMark/>
          </w:tcPr>
          <w:p w14:paraId="71609223"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Say's Phoebe</w:t>
            </w:r>
          </w:p>
        </w:tc>
        <w:tc>
          <w:tcPr>
            <w:tcW w:w="1170" w:type="dxa"/>
            <w:shd w:val="clear" w:color="auto" w:fill="auto"/>
            <w:noWrap/>
            <w:vAlign w:val="bottom"/>
            <w:hideMark/>
          </w:tcPr>
          <w:p w14:paraId="20D3341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20.9</w:t>
            </w:r>
          </w:p>
        </w:tc>
        <w:tc>
          <w:tcPr>
            <w:tcW w:w="1889" w:type="dxa"/>
            <w:shd w:val="clear" w:color="auto" w:fill="auto"/>
            <w:noWrap/>
            <w:vAlign w:val="bottom"/>
            <w:hideMark/>
          </w:tcPr>
          <w:p w14:paraId="61821512"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83.21</w:t>
            </w:r>
          </w:p>
        </w:tc>
      </w:tr>
      <w:tr w:rsidR="00333AA3" w:rsidRPr="00654DFA" w14:paraId="52C71D83" w14:textId="77777777" w:rsidTr="00333AA3">
        <w:trPr>
          <w:trHeight w:val="290"/>
        </w:trPr>
        <w:tc>
          <w:tcPr>
            <w:tcW w:w="2422" w:type="dxa"/>
            <w:shd w:val="clear" w:color="auto" w:fill="auto"/>
            <w:noWrap/>
            <w:vAlign w:val="bottom"/>
            <w:hideMark/>
          </w:tcPr>
          <w:p w14:paraId="025D91B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lastRenderedPageBreak/>
              <w:t>Pyrocephalus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rubinus</w:t>
            </w:r>
            <w:proofErr w:type="spellEnd"/>
          </w:p>
        </w:tc>
        <w:tc>
          <w:tcPr>
            <w:tcW w:w="2973" w:type="dxa"/>
            <w:shd w:val="clear" w:color="auto" w:fill="auto"/>
            <w:noWrap/>
            <w:vAlign w:val="bottom"/>
            <w:hideMark/>
          </w:tcPr>
          <w:p w14:paraId="5AABD32D"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Vermilion Flycatcher</w:t>
            </w:r>
          </w:p>
        </w:tc>
        <w:tc>
          <w:tcPr>
            <w:tcW w:w="1170" w:type="dxa"/>
            <w:shd w:val="clear" w:color="auto" w:fill="auto"/>
            <w:noWrap/>
            <w:vAlign w:val="bottom"/>
            <w:hideMark/>
          </w:tcPr>
          <w:p w14:paraId="0CD139F3"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14.4</w:t>
            </w:r>
          </w:p>
        </w:tc>
        <w:tc>
          <w:tcPr>
            <w:tcW w:w="1889" w:type="dxa"/>
            <w:shd w:val="clear" w:color="auto" w:fill="auto"/>
            <w:noWrap/>
            <w:vAlign w:val="bottom"/>
            <w:hideMark/>
          </w:tcPr>
          <w:p w14:paraId="51A8C62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64.57</w:t>
            </w:r>
          </w:p>
        </w:tc>
      </w:tr>
      <w:tr w:rsidR="00333AA3" w:rsidRPr="00654DFA" w14:paraId="55335325" w14:textId="77777777" w:rsidTr="00333AA3">
        <w:trPr>
          <w:trHeight w:val="290"/>
        </w:trPr>
        <w:tc>
          <w:tcPr>
            <w:tcW w:w="2422" w:type="dxa"/>
            <w:shd w:val="clear" w:color="auto" w:fill="auto"/>
            <w:noWrap/>
            <w:vAlign w:val="bottom"/>
            <w:hideMark/>
          </w:tcPr>
          <w:p w14:paraId="3BC405C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Myiarchus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tuberculifer</w:t>
            </w:r>
            <w:proofErr w:type="spellEnd"/>
          </w:p>
        </w:tc>
        <w:tc>
          <w:tcPr>
            <w:tcW w:w="2973" w:type="dxa"/>
            <w:shd w:val="clear" w:color="auto" w:fill="auto"/>
            <w:noWrap/>
            <w:vAlign w:val="bottom"/>
            <w:hideMark/>
          </w:tcPr>
          <w:p w14:paraId="6A1E7F4D"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Dusky-capped Flycatcher</w:t>
            </w:r>
          </w:p>
        </w:tc>
        <w:tc>
          <w:tcPr>
            <w:tcW w:w="1170" w:type="dxa"/>
            <w:shd w:val="clear" w:color="auto" w:fill="auto"/>
            <w:noWrap/>
            <w:vAlign w:val="bottom"/>
            <w:hideMark/>
          </w:tcPr>
          <w:p w14:paraId="2F06AF46"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18.9</w:t>
            </w:r>
          </w:p>
        </w:tc>
        <w:tc>
          <w:tcPr>
            <w:tcW w:w="1889" w:type="dxa"/>
            <w:shd w:val="clear" w:color="auto" w:fill="auto"/>
            <w:noWrap/>
            <w:vAlign w:val="bottom"/>
            <w:hideMark/>
          </w:tcPr>
          <w:p w14:paraId="2E7EE566"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77.88</w:t>
            </w:r>
          </w:p>
        </w:tc>
      </w:tr>
      <w:tr w:rsidR="00333AA3" w:rsidRPr="00654DFA" w14:paraId="46242EF2" w14:textId="77777777" w:rsidTr="00333AA3">
        <w:trPr>
          <w:trHeight w:val="290"/>
        </w:trPr>
        <w:tc>
          <w:tcPr>
            <w:tcW w:w="2422" w:type="dxa"/>
            <w:shd w:val="clear" w:color="auto" w:fill="auto"/>
            <w:noWrap/>
            <w:vAlign w:val="bottom"/>
            <w:hideMark/>
          </w:tcPr>
          <w:p w14:paraId="2D098B28"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Myiarchus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cinerascens</w:t>
            </w:r>
            <w:proofErr w:type="spellEnd"/>
          </w:p>
        </w:tc>
        <w:tc>
          <w:tcPr>
            <w:tcW w:w="2973" w:type="dxa"/>
            <w:shd w:val="clear" w:color="auto" w:fill="auto"/>
            <w:noWrap/>
            <w:vAlign w:val="bottom"/>
            <w:hideMark/>
          </w:tcPr>
          <w:p w14:paraId="622C59C4"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Ash-throated Flycatcher</w:t>
            </w:r>
          </w:p>
        </w:tc>
        <w:tc>
          <w:tcPr>
            <w:tcW w:w="1170" w:type="dxa"/>
            <w:shd w:val="clear" w:color="auto" w:fill="auto"/>
            <w:noWrap/>
            <w:vAlign w:val="bottom"/>
            <w:hideMark/>
          </w:tcPr>
          <w:p w14:paraId="5A7CA50B"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28.2</w:t>
            </w:r>
          </w:p>
        </w:tc>
        <w:tc>
          <w:tcPr>
            <w:tcW w:w="1889" w:type="dxa"/>
            <w:shd w:val="clear" w:color="auto" w:fill="auto"/>
            <w:noWrap/>
            <w:vAlign w:val="bottom"/>
            <w:hideMark/>
          </w:tcPr>
          <w:p w14:paraId="7AD485F6"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102.04</w:t>
            </w:r>
          </w:p>
        </w:tc>
      </w:tr>
      <w:tr w:rsidR="00333AA3" w:rsidRPr="00654DFA" w14:paraId="5ED66C7B" w14:textId="77777777" w:rsidTr="00333AA3">
        <w:trPr>
          <w:trHeight w:val="290"/>
        </w:trPr>
        <w:tc>
          <w:tcPr>
            <w:tcW w:w="2422" w:type="dxa"/>
            <w:shd w:val="clear" w:color="auto" w:fill="auto"/>
            <w:noWrap/>
            <w:vAlign w:val="bottom"/>
            <w:hideMark/>
          </w:tcPr>
          <w:p w14:paraId="7529C810"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Myiarchus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crinitus</w:t>
            </w:r>
            <w:proofErr w:type="spellEnd"/>
          </w:p>
        </w:tc>
        <w:tc>
          <w:tcPr>
            <w:tcW w:w="2973" w:type="dxa"/>
            <w:shd w:val="clear" w:color="auto" w:fill="auto"/>
            <w:noWrap/>
            <w:vAlign w:val="bottom"/>
            <w:hideMark/>
          </w:tcPr>
          <w:p w14:paraId="5EECF8F5"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Great Crested Flycatcher</w:t>
            </w:r>
          </w:p>
        </w:tc>
        <w:tc>
          <w:tcPr>
            <w:tcW w:w="1170" w:type="dxa"/>
            <w:shd w:val="clear" w:color="auto" w:fill="auto"/>
            <w:noWrap/>
            <w:vAlign w:val="bottom"/>
            <w:hideMark/>
          </w:tcPr>
          <w:p w14:paraId="4417C59E"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32.1</w:t>
            </w:r>
          </w:p>
        </w:tc>
        <w:tc>
          <w:tcPr>
            <w:tcW w:w="1889" w:type="dxa"/>
            <w:shd w:val="clear" w:color="auto" w:fill="auto"/>
            <w:noWrap/>
            <w:vAlign w:val="bottom"/>
            <w:hideMark/>
          </w:tcPr>
          <w:p w14:paraId="5F05067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111.46</w:t>
            </w:r>
          </w:p>
        </w:tc>
      </w:tr>
      <w:tr w:rsidR="00333AA3" w:rsidRPr="00654DFA" w14:paraId="5884D169" w14:textId="77777777" w:rsidTr="00333AA3">
        <w:trPr>
          <w:trHeight w:val="290"/>
        </w:trPr>
        <w:tc>
          <w:tcPr>
            <w:tcW w:w="2422" w:type="dxa"/>
            <w:shd w:val="clear" w:color="auto" w:fill="auto"/>
            <w:noWrap/>
            <w:vAlign w:val="bottom"/>
            <w:hideMark/>
          </w:tcPr>
          <w:p w14:paraId="630C95AE"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Myiarchus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tyrannulus</w:t>
            </w:r>
            <w:proofErr w:type="spellEnd"/>
          </w:p>
        </w:tc>
        <w:tc>
          <w:tcPr>
            <w:tcW w:w="2973" w:type="dxa"/>
            <w:shd w:val="clear" w:color="auto" w:fill="auto"/>
            <w:noWrap/>
            <w:vAlign w:val="bottom"/>
            <w:hideMark/>
          </w:tcPr>
          <w:p w14:paraId="74D71CBC"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Brown-crested Flycatcher</w:t>
            </w:r>
          </w:p>
        </w:tc>
        <w:tc>
          <w:tcPr>
            <w:tcW w:w="1170" w:type="dxa"/>
            <w:shd w:val="clear" w:color="auto" w:fill="auto"/>
            <w:noWrap/>
            <w:vAlign w:val="bottom"/>
            <w:hideMark/>
          </w:tcPr>
          <w:p w14:paraId="7B76410B"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42.8</w:t>
            </w:r>
          </w:p>
        </w:tc>
        <w:tc>
          <w:tcPr>
            <w:tcW w:w="1889" w:type="dxa"/>
            <w:shd w:val="clear" w:color="auto" w:fill="auto"/>
            <w:noWrap/>
            <w:vAlign w:val="bottom"/>
            <w:hideMark/>
          </w:tcPr>
          <w:p w14:paraId="02AA40CE"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135.67</w:t>
            </w:r>
          </w:p>
        </w:tc>
      </w:tr>
      <w:tr w:rsidR="00333AA3" w:rsidRPr="00654DFA" w14:paraId="2CDE7471" w14:textId="77777777" w:rsidTr="00333AA3">
        <w:trPr>
          <w:trHeight w:val="290"/>
        </w:trPr>
        <w:tc>
          <w:tcPr>
            <w:tcW w:w="2422" w:type="dxa"/>
            <w:shd w:val="clear" w:color="auto" w:fill="auto"/>
            <w:noWrap/>
            <w:vAlign w:val="bottom"/>
            <w:hideMark/>
          </w:tcPr>
          <w:p w14:paraId="7A629A49"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Pitangus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sulphuratus</w:t>
            </w:r>
            <w:proofErr w:type="spellEnd"/>
          </w:p>
        </w:tc>
        <w:tc>
          <w:tcPr>
            <w:tcW w:w="2973" w:type="dxa"/>
            <w:shd w:val="clear" w:color="auto" w:fill="auto"/>
            <w:noWrap/>
            <w:vAlign w:val="bottom"/>
            <w:hideMark/>
          </w:tcPr>
          <w:p w14:paraId="33C5DE01"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 xml:space="preserve">Great </w:t>
            </w:r>
            <w:proofErr w:type="spellStart"/>
            <w:r w:rsidRPr="00654DFA">
              <w:rPr>
                <w:rFonts w:eastAsia="Times New Roman" w:cs="Times New Roman"/>
                <w:color w:val="000000"/>
                <w:sz w:val="20"/>
                <w:szCs w:val="20"/>
              </w:rPr>
              <w:t>Kiskadee</w:t>
            </w:r>
            <w:proofErr w:type="spellEnd"/>
          </w:p>
        </w:tc>
        <w:tc>
          <w:tcPr>
            <w:tcW w:w="1170" w:type="dxa"/>
            <w:shd w:val="clear" w:color="auto" w:fill="auto"/>
            <w:noWrap/>
            <w:vAlign w:val="bottom"/>
            <w:hideMark/>
          </w:tcPr>
          <w:p w14:paraId="48E28D0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63.7</w:t>
            </w:r>
          </w:p>
        </w:tc>
        <w:tc>
          <w:tcPr>
            <w:tcW w:w="1889" w:type="dxa"/>
            <w:shd w:val="clear" w:color="auto" w:fill="auto"/>
            <w:noWrap/>
            <w:vAlign w:val="bottom"/>
            <w:hideMark/>
          </w:tcPr>
          <w:p w14:paraId="36491604"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177.91</w:t>
            </w:r>
          </w:p>
        </w:tc>
      </w:tr>
      <w:tr w:rsidR="00333AA3" w:rsidRPr="00654DFA" w14:paraId="1D854F8D" w14:textId="77777777" w:rsidTr="00333AA3">
        <w:trPr>
          <w:trHeight w:val="290"/>
        </w:trPr>
        <w:tc>
          <w:tcPr>
            <w:tcW w:w="2422" w:type="dxa"/>
            <w:shd w:val="clear" w:color="auto" w:fill="auto"/>
            <w:noWrap/>
            <w:vAlign w:val="bottom"/>
            <w:hideMark/>
          </w:tcPr>
          <w:p w14:paraId="6D25D67C"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Myiodynastes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luteiventris</w:t>
            </w:r>
            <w:proofErr w:type="spellEnd"/>
          </w:p>
        </w:tc>
        <w:tc>
          <w:tcPr>
            <w:tcW w:w="2973" w:type="dxa"/>
            <w:shd w:val="clear" w:color="auto" w:fill="auto"/>
            <w:noWrap/>
            <w:vAlign w:val="bottom"/>
            <w:hideMark/>
          </w:tcPr>
          <w:p w14:paraId="5FA23F2B"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Sulphur-bellied Flycatcher</w:t>
            </w:r>
          </w:p>
        </w:tc>
        <w:tc>
          <w:tcPr>
            <w:tcW w:w="1170" w:type="dxa"/>
            <w:shd w:val="clear" w:color="auto" w:fill="auto"/>
            <w:noWrap/>
            <w:vAlign w:val="bottom"/>
            <w:hideMark/>
          </w:tcPr>
          <w:p w14:paraId="6E5E32A7"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46.9</w:t>
            </w:r>
          </w:p>
        </w:tc>
        <w:tc>
          <w:tcPr>
            <w:tcW w:w="1889" w:type="dxa"/>
            <w:shd w:val="clear" w:color="auto" w:fill="auto"/>
            <w:noWrap/>
            <w:vAlign w:val="bottom"/>
            <w:hideMark/>
          </w:tcPr>
          <w:p w14:paraId="2ECA2F4C"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144.29</w:t>
            </w:r>
          </w:p>
        </w:tc>
      </w:tr>
      <w:tr w:rsidR="00333AA3" w:rsidRPr="00654DFA" w14:paraId="153AC098" w14:textId="77777777" w:rsidTr="00333AA3">
        <w:trPr>
          <w:trHeight w:val="290"/>
        </w:trPr>
        <w:tc>
          <w:tcPr>
            <w:tcW w:w="2422" w:type="dxa"/>
            <w:shd w:val="clear" w:color="auto" w:fill="auto"/>
            <w:noWrap/>
            <w:vAlign w:val="bottom"/>
            <w:hideMark/>
          </w:tcPr>
          <w:p w14:paraId="1E499F01"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melancholicus</w:t>
            </w:r>
            <w:proofErr w:type="spellEnd"/>
          </w:p>
        </w:tc>
        <w:tc>
          <w:tcPr>
            <w:tcW w:w="2973" w:type="dxa"/>
            <w:shd w:val="clear" w:color="auto" w:fill="auto"/>
            <w:noWrap/>
            <w:vAlign w:val="bottom"/>
            <w:hideMark/>
          </w:tcPr>
          <w:p w14:paraId="0965A77C"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Tropical Kingbird</w:t>
            </w:r>
          </w:p>
        </w:tc>
        <w:tc>
          <w:tcPr>
            <w:tcW w:w="1170" w:type="dxa"/>
            <w:shd w:val="clear" w:color="auto" w:fill="auto"/>
            <w:noWrap/>
            <w:vAlign w:val="bottom"/>
            <w:hideMark/>
          </w:tcPr>
          <w:p w14:paraId="1BD6E36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37.4</w:t>
            </w:r>
          </w:p>
        </w:tc>
        <w:tc>
          <w:tcPr>
            <w:tcW w:w="1889" w:type="dxa"/>
            <w:shd w:val="clear" w:color="auto" w:fill="auto"/>
            <w:noWrap/>
            <w:vAlign w:val="bottom"/>
            <w:hideMark/>
          </w:tcPr>
          <w:p w14:paraId="1DDF2929"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123.68</w:t>
            </w:r>
          </w:p>
        </w:tc>
      </w:tr>
      <w:tr w:rsidR="00333AA3" w:rsidRPr="00654DFA" w14:paraId="268E46EF" w14:textId="77777777" w:rsidTr="00333AA3">
        <w:trPr>
          <w:trHeight w:val="290"/>
        </w:trPr>
        <w:tc>
          <w:tcPr>
            <w:tcW w:w="2422" w:type="dxa"/>
            <w:shd w:val="clear" w:color="auto" w:fill="auto"/>
            <w:noWrap/>
            <w:vAlign w:val="bottom"/>
            <w:hideMark/>
          </w:tcPr>
          <w:p w14:paraId="09FB51A0"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couchii</w:t>
            </w:r>
            <w:proofErr w:type="spellEnd"/>
          </w:p>
        </w:tc>
        <w:tc>
          <w:tcPr>
            <w:tcW w:w="2973" w:type="dxa"/>
            <w:shd w:val="clear" w:color="auto" w:fill="auto"/>
            <w:noWrap/>
            <w:vAlign w:val="bottom"/>
            <w:hideMark/>
          </w:tcPr>
          <w:p w14:paraId="097728C4"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Couch's Kingbird</w:t>
            </w:r>
          </w:p>
        </w:tc>
        <w:tc>
          <w:tcPr>
            <w:tcW w:w="1170" w:type="dxa"/>
            <w:shd w:val="clear" w:color="auto" w:fill="auto"/>
            <w:noWrap/>
            <w:vAlign w:val="bottom"/>
            <w:hideMark/>
          </w:tcPr>
          <w:p w14:paraId="3B639F2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39</w:t>
            </w:r>
          </w:p>
        </w:tc>
        <w:tc>
          <w:tcPr>
            <w:tcW w:w="1889" w:type="dxa"/>
            <w:shd w:val="clear" w:color="auto" w:fill="auto"/>
            <w:noWrap/>
            <w:vAlign w:val="bottom"/>
            <w:hideMark/>
          </w:tcPr>
          <w:p w14:paraId="77DE4F1F"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127.26</w:t>
            </w:r>
          </w:p>
        </w:tc>
      </w:tr>
      <w:tr w:rsidR="00333AA3" w:rsidRPr="00654DFA" w14:paraId="4924EE6F" w14:textId="77777777" w:rsidTr="00333AA3">
        <w:trPr>
          <w:trHeight w:val="290"/>
        </w:trPr>
        <w:tc>
          <w:tcPr>
            <w:tcW w:w="2422" w:type="dxa"/>
            <w:shd w:val="clear" w:color="auto" w:fill="auto"/>
            <w:noWrap/>
            <w:vAlign w:val="bottom"/>
            <w:hideMark/>
          </w:tcPr>
          <w:p w14:paraId="3B43FD3D"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vociferans</w:t>
            </w:r>
            <w:proofErr w:type="spellEnd"/>
          </w:p>
        </w:tc>
        <w:tc>
          <w:tcPr>
            <w:tcW w:w="2973" w:type="dxa"/>
            <w:shd w:val="clear" w:color="auto" w:fill="auto"/>
            <w:noWrap/>
            <w:vAlign w:val="bottom"/>
            <w:hideMark/>
          </w:tcPr>
          <w:p w14:paraId="3A56F2C3"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Cassin's Kingbird</w:t>
            </w:r>
          </w:p>
        </w:tc>
        <w:tc>
          <w:tcPr>
            <w:tcW w:w="1170" w:type="dxa"/>
            <w:shd w:val="clear" w:color="auto" w:fill="auto"/>
            <w:noWrap/>
            <w:vAlign w:val="bottom"/>
            <w:hideMark/>
          </w:tcPr>
          <w:p w14:paraId="34AC085E"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45.6</w:t>
            </w:r>
          </w:p>
        </w:tc>
        <w:tc>
          <w:tcPr>
            <w:tcW w:w="1889" w:type="dxa"/>
            <w:shd w:val="clear" w:color="auto" w:fill="auto"/>
            <w:noWrap/>
            <w:vAlign w:val="bottom"/>
            <w:hideMark/>
          </w:tcPr>
          <w:p w14:paraId="46C9DCB5"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141.56</w:t>
            </w:r>
          </w:p>
        </w:tc>
      </w:tr>
      <w:tr w:rsidR="00333AA3" w:rsidRPr="00654DFA" w14:paraId="3192F9C2" w14:textId="77777777" w:rsidTr="00333AA3">
        <w:trPr>
          <w:trHeight w:val="290"/>
        </w:trPr>
        <w:tc>
          <w:tcPr>
            <w:tcW w:w="2422" w:type="dxa"/>
            <w:shd w:val="clear" w:color="auto" w:fill="auto"/>
            <w:noWrap/>
            <w:vAlign w:val="bottom"/>
            <w:hideMark/>
          </w:tcPr>
          <w:p w14:paraId="28DBFAA2"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crassirostris</w:t>
            </w:r>
            <w:proofErr w:type="spellEnd"/>
          </w:p>
        </w:tc>
        <w:tc>
          <w:tcPr>
            <w:tcW w:w="2973" w:type="dxa"/>
            <w:shd w:val="clear" w:color="auto" w:fill="auto"/>
            <w:noWrap/>
            <w:vAlign w:val="bottom"/>
            <w:hideMark/>
          </w:tcPr>
          <w:p w14:paraId="1A2AD852"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Thick-billed Kingbird</w:t>
            </w:r>
          </w:p>
        </w:tc>
        <w:tc>
          <w:tcPr>
            <w:tcW w:w="1170" w:type="dxa"/>
            <w:shd w:val="clear" w:color="auto" w:fill="auto"/>
            <w:noWrap/>
            <w:vAlign w:val="bottom"/>
            <w:hideMark/>
          </w:tcPr>
          <w:p w14:paraId="78B96F7E"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55.9</w:t>
            </w:r>
          </w:p>
        </w:tc>
        <w:tc>
          <w:tcPr>
            <w:tcW w:w="1889" w:type="dxa"/>
            <w:shd w:val="clear" w:color="auto" w:fill="auto"/>
            <w:noWrap/>
            <w:vAlign w:val="bottom"/>
            <w:hideMark/>
          </w:tcPr>
          <w:p w14:paraId="7CF72D54"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162.62</w:t>
            </w:r>
          </w:p>
        </w:tc>
      </w:tr>
      <w:tr w:rsidR="00333AA3" w:rsidRPr="00654DFA" w14:paraId="3DA6DF55" w14:textId="77777777" w:rsidTr="00333AA3">
        <w:trPr>
          <w:trHeight w:val="290"/>
        </w:trPr>
        <w:tc>
          <w:tcPr>
            <w:tcW w:w="2422" w:type="dxa"/>
            <w:shd w:val="clear" w:color="auto" w:fill="auto"/>
            <w:noWrap/>
            <w:vAlign w:val="bottom"/>
            <w:hideMark/>
          </w:tcPr>
          <w:p w14:paraId="6E846642"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verticalis</w:t>
            </w:r>
            <w:proofErr w:type="spellEnd"/>
          </w:p>
        </w:tc>
        <w:tc>
          <w:tcPr>
            <w:tcW w:w="2973" w:type="dxa"/>
            <w:shd w:val="clear" w:color="auto" w:fill="auto"/>
            <w:noWrap/>
            <w:vAlign w:val="bottom"/>
            <w:hideMark/>
          </w:tcPr>
          <w:p w14:paraId="6853E98F"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Western Kingbird</w:t>
            </w:r>
          </w:p>
        </w:tc>
        <w:tc>
          <w:tcPr>
            <w:tcW w:w="1170" w:type="dxa"/>
            <w:shd w:val="clear" w:color="auto" w:fill="auto"/>
            <w:noWrap/>
            <w:vAlign w:val="bottom"/>
            <w:hideMark/>
          </w:tcPr>
          <w:p w14:paraId="76340F4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39.6</w:t>
            </w:r>
          </w:p>
        </w:tc>
        <w:tc>
          <w:tcPr>
            <w:tcW w:w="1889" w:type="dxa"/>
            <w:shd w:val="clear" w:color="auto" w:fill="auto"/>
            <w:noWrap/>
            <w:vAlign w:val="bottom"/>
            <w:hideMark/>
          </w:tcPr>
          <w:p w14:paraId="463A179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128.59</w:t>
            </w:r>
          </w:p>
        </w:tc>
      </w:tr>
      <w:tr w:rsidR="00333AA3" w:rsidRPr="00654DFA" w14:paraId="423C2E6B" w14:textId="77777777" w:rsidTr="00333AA3">
        <w:trPr>
          <w:trHeight w:val="290"/>
        </w:trPr>
        <w:tc>
          <w:tcPr>
            <w:tcW w:w="2422" w:type="dxa"/>
            <w:shd w:val="clear" w:color="auto" w:fill="auto"/>
            <w:noWrap/>
            <w:vAlign w:val="bottom"/>
            <w:hideMark/>
          </w:tcPr>
          <w:p w14:paraId="45D2888F"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tyrannus</w:t>
            </w:r>
            <w:proofErr w:type="spellEnd"/>
          </w:p>
        </w:tc>
        <w:tc>
          <w:tcPr>
            <w:tcW w:w="2973" w:type="dxa"/>
            <w:shd w:val="clear" w:color="auto" w:fill="auto"/>
            <w:noWrap/>
            <w:vAlign w:val="bottom"/>
            <w:hideMark/>
          </w:tcPr>
          <w:p w14:paraId="38CDB722"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Eastern Kingbird</w:t>
            </w:r>
          </w:p>
        </w:tc>
        <w:tc>
          <w:tcPr>
            <w:tcW w:w="1170" w:type="dxa"/>
            <w:shd w:val="clear" w:color="auto" w:fill="auto"/>
            <w:noWrap/>
            <w:vAlign w:val="bottom"/>
            <w:hideMark/>
          </w:tcPr>
          <w:p w14:paraId="46F75D61"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38.6</w:t>
            </w:r>
          </w:p>
        </w:tc>
        <w:tc>
          <w:tcPr>
            <w:tcW w:w="1889" w:type="dxa"/>
            <w:shd w:val="clear" w:color="auto" w:fill="auto"/>
            <w:noWrap/>
            <w:vAlign w:val="bottom"/>
            <w:hideMark/>
          </w:tcPr>
          <w:p w14:paraId="1AC63DC3"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126.41</w:t>
            </w:r>
          </w:p>
        </w:tc>
      </w:tr>
      <w:tr w:rsidR="00333AA3" w:rsidRPr="00654DFA" w14:paraId="1A859A86" w14:textId="77777777" w:rsidTr="00333AA3">
        <w:trPr>
          <w:trHeight w:val="290"/>
        </w:trPr>
        <w:tc>
          <w:tcPr>
            <w:tcW w:w="2422" w:type="dxa"/>
            <w:shd w:val="clear" w:color="auto" w:fill="auto"/>
            <w:noWrap/>
            <w:vAlign w:val="bottom"/>
            <w:hideMark/>
          </w:tcPr>
          <w:p w14:paraId="19CD8AC7"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dominicensis</w:t>
            </w:r>
            <w:proofErr w:type="spellEnd"/>
          </w:p>
        </w:tc>
        <w:tc>
          <w:tcPr>
            <w:tcW w:w="2973" w:type="dxa"/>
            <w:shd w:val="clear" w:color="auto" w:fill="auto"/>
            <w:noWrap/>
            <w:vAlign w:val="bottom"/>
            <w:hideMark/>
          </w:tcPr>
          <w:p w14:paraId="7D51A7D7"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Gray Kingbird</w:t>
            </w:r>
          </w:p>
        </w:tc>
        <w:tc>
          <w:tcPr>
            <w:tcW w:w="1170" w:type="dxa"/>
            <w:shd w:val="clear" w:color="auto" w:fill="auto"/>
            <w:noWrap/>
            <w:vAlign w:val="bottom"/>
            <w:hideMark/>
          </w:tcPr>
          <w:p w14:paraId="40A0E21C"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46.5</w:t>
            </w:r>
          </w:p>
        </w:tc>
        <w:tc>
          <w:tcPr>
            <w:tcW w:w="1889" w:type="dxa"/>
            <w:shd w:val="clear" w:color="auto" w:fill="auto"/>
            <w:noWrap/>
            <w:vAlign w:val="bottom"/>
            <w:hideMark/>
          </w:tcPr>
          <w:p w14:paraId="770F2183"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143.45</w:t>
            </w:r>
          </w:p>
        </w:tc>
      </w:tr>
      <w:tr w:rsidR="00333AA3" w:rsidRPr="00654DFA" w14:paraId="7323D402" w14:textId="77777777" w:rsidTr="00333AA3">
        <w:trPr>
          <w:trHeight w:val="290"/>
        </w:trPr>
        <w:tc>
          <w:tcPr>
            <w:tcW w:w="2422" w:type="dxa"/>
            <w:shd w:val="clear" w:color="auto" w:fill="auto"/>
            <w:noWrap/>
            <w:vAlign w:val="bottom"/>
            <w:hideMark/>
          </w:tcPr>
          <w:p w14:paraId="1285CAF1" w14:textId="77777777" w:rsidR="00333AA3" w:rsidRPr="00654DFA" w:rsidRDefault="00333AA3" w:rsidP="00333AA3">
            <w:pPr>
              <w:spacing w:after="0"/>
              <w:rPr>
                <w:rFonts w:eastAsia="Times New Roman" w:cs="Times New Roman"/>
                <w:color w:val="000000"/>
                <w:sz w:val="20"/>
                <w:szCs w:val="20"/>
              </w:rPr>
            </w:pPr>
            <w:proofErr w:type="spellStart"/>
            <w:r w:rsidRPr="00654DFA">
              <w:rPr>
                <w:rFonts w:eastAsia="Times New Roman" w:cs="Times New Roman"/>
                <w:color w:val="000000"/>
                <w:sz w:val="20"/>
                <w:szCs w:val="20"/>
              </w:rPr>
              <w:t>Tyrannus</w:t>
            </w:r>
            <w:proofErr w:type="spellEnd"/>
            <w:r w:rsidRPr="00654DFA">
              <w:rPr>
                <w:rFonts w:eastAsia="Times New Roman" w:cs="Times New Roman"/>
                <w:color w:val="000000"/>
                <w:sz w:val="20"/>
                <w:szCs w:val="20"/>
              </w:rPr>
              <w:t xml:space="preserve"> </w:t>
            </w:r>
            <w:proofErr w:type="spellStart"/>
            <w:r w:rsidRPr="00654DFA">
              <w:rPr>
                <w:rFonts w:eastAsia="Times New Roman" w:cs="Times New Roman"/>
                <w:color w:val="000000"/>
                <w:sz w:val="20"/>
                <w:szCs w:val="20"/>
              </w:rPr>
              <w:t>forficatus</w:t>
            </w:r>
            <w:proofErr w:type="spellEnd"/>
          </w:p>
        </w:tc>
        <w:tc>
          <w:tcPr>
            <w:tcW w:w="2973" w:type="dxa"/>
            <w:shd w:val="clear" w:color="auto" w:fill="auto"/>
            <w:noWrap/>
            <w:vAlign w:val="bottom"/>
            <w:hideMark/>
          </w:tcPr>
          <w:p w14:paraId="31C7453C" w14:textId="77777777" w:rsidR="00333AA3" w:rsidRPr="00654DFA" w:rsidRDefault="00333AA3" w:rsidP="00333AA3">
            <w:pPr>
              <w:spacing w:after="0"/>
              <w:rPr>
                <w:rFonts w:eastAsia="Times New Roman" w:cs="Times New Roman"/>
                <w:color w:val="000000"/>
                <w:sz w:val="20"/>
                <w:szCs w:val="20"/>
              </w:rPr>
            </w:pPr>
            <w:r w:rsidRPr="00654DFA">
              <w:rPr>
                <w:rFonts w:eastAsia="Times New Roman" w:cs="Times New Roman"/>
                <w:color w:val="000000"/>
                <w:sz w:val="20"/>
                <w:szCs w:val="20"/>
              </w:rPr>
              <w:t>Scissor-tailed Flycatcher</w:t>
            </w:r>
          </w:p>
        </w:tc>
        <w:tc>
          <w:tcPr>
            <w:tcW w:w="1170" w:type="dxa"/>
            <w:shd w:val="clear" w:color="auto" w:fill="auto"/>
            <w:noWrap/>
            <w:vAlign w:val="bottom"/>
            <w:hideMark/>
          </w:tcPr>
          <w:p w14:paraId="44B7E5CA"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39.3</w:t>
            </w:r>
          </w:p>
        </w:tc>
        <w:tc>
          <w:tcPr>
            <w:tcW w:w="1889" w:type="dxa"/>
            <w:shd w:val="clear" w:color="auto" w:fill="auto"/>
            <w:noWrap/>
            <w:vAlign w:val="bottom"/>
            <w:hideMark/>
          </w:tcPr>
          <w:p w14:paraId="5DF74BCD" w14:textId="77777777" w:rsidR="00333AA3" w:rsidRPr="00654DFA" w:rsidRDefault="00333AA3" w:rsidP="00333AA3">
            <w:pPr>
              <w:spacing w:after="0"/>
              <w:jc w:val="right"/>
              <w:rPr>
                <w:rFonts w:eastAsia="Times New Roman" w:cs="Times New Roman"/>
                <w:color w:val="000000"/>
                <w:sz w:val="20"/>
                <w:szCs w:val="20"/>
              </w:rPr>
            </w:pPr>
            <w:r w:rsidRPr="00654DFA">
              <w:rPr>
                <w:rFonts w:eastAsia="Times New Roman" w:cs="Times New Roman"/>
                <w:color w:val="000000"/>
                <w:sz w:val="20"/>
                <w:szCs w:val="20"/>
              </w:rPr>
              <w:t>127.92</w:t>
            </w:r>
          </w:p>
        </w:tc>
      </w:tr>
    </w:tbl>
    <w:p w14:paraId="40893714" w14:textId="70B03135" w:rsidR="00333AA3" w:rsidRDefault="00333AA3" w:rsidP="00333AA3">
      <w:pPr>
        <w:rPr>
          <w:rFonts w:cs="Times New Roman"/>
          <w:b/>
          <w:szCs w:val="24"/>
        </w:rPr>
      </w:pPr>
    </w:p>
    <w:p w14:paraId="325CA043" w14:textId="77777777" w:rsidR="00FC2592" w:rsidRDefault="00FC2592" w:rsidP="00333AA3">
      <w:pPr>
        <w:rPr>
          <w:rFonts w:cs="Times New Roman"/>
          <w:b/>
          <w:szCs w:val="24"/>
        </w:rPr>
      </w:pPr>
    </w:p>
    <w:p w14:paraId="6B12D8E6" w14:textId="7EB5328A" w:rsidR="00333AA3" w:rsidRPr="00CC40CC" w:rsidRDefault="001249BB" w:rsidP="001249BB">
      <w:pPr>
        <w:pStyle w:val="Caption"/>
        <w:rPr>
          <w:rFonts w:cs="Times New Roman"/>
          <w:bCs/>
          <w:szCs w:val="24"/>
        </w:rPr>
      </w:pPr>
      <w:bookmarkStart w:id="89" w:name="_Toc60480693"/>
      <w:bookmarkStart w:id="90" w:name="_Toc61883059"/>
      <w:r>
        <w:t xml:space="preserve">Table </w:t>
      </w:r>
      <w:r w:rsidR="00333AA3" w:rsidRPr="00CC40CC">
        <w:rPr>
          <w:rFonts w:cs="Times New Roman"/>
          <w:bCs/>
          <w:szCs w:val="24"/>
        </w:rPr>
        <w:t>S</w:t>
      </w:r>
      <w:r w:rsidR="00B06ABD">
        <w:rPr>
          <w:rFonts w:cs="Times New Roman"/>
          <w:bCs/>
          <w:szCs w:val="24"/>
        </w:rPr>
        <w:t>3.3.</w:t>
      </w:r>
      <w:r w:rsidR="00333AA3">
        <w:rPr>
          <w:rFonts w:cs="Times New Roman"/>
          <w:bCs/>
          <w:szCs w:val="24"/>
        </w:rPr>
        <w:t xml:space="preserve"> Leave-one-out model comparison and population-level effects for wetted stream width models.</w:t>
      </w:r>
      <w:bookmarkEnd w:id="89"/>
      <w:bookmarkEnd w:id="90"/>
      <w:r w:rsidR="00333AA3">
        <w:rPr>
          <w:rFonts w:cs="Times New Roman"/>
          <w:bCs/>
          <w:szCs w:val="24"/>
        </w:rPr>
        <w:t xml:space="preserve"> </w:t>
      </w:r>
    </w:p>
    <w:tbl>
      <w:tblPr>
        <w:tblStyle w:val="TableGrid"/>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1397"/>
        <w:gridCol w:w="1443"/>
        <w:gridCol w:w="1526"/>
        <w:gridCol w:w="1528"/>
        <w:gridCol w:w="1190"/>
      </w:tblGrid>
      <w:tr w:rsidR="00333AA3" w14:paraId="3BAD0123" w14:textId="77777777" w:rsidTr="00333AA3">
        <w:tc>
          <w:tcPr>
            <w:tcW w:w="843" w:type="dxa"/>
            <w:vAlign w:val="center"/>
          </w:tcPr>
          <w:p w14:paraId="4D17D934" w14:textId="77777777" w:rsidR="00333AA3" w:rsidRDefault="00333AA3" w:rsidP="00333AA3">
            <w:pPr>
              <w:jc w:val="center"/>
              <w:rPr>
                <w:rFonts w:cs="Times New Roman"/>
                <w:b/>
                <w:szCs w:val="24"/>
              </w:rPr>
            </w:pPr>
          </w:p>
        </w:tc>
        <w:tc>
          <w:tcPr>
            <w:tcW w:w="5902" w:type="dxa"/>
            <w:gridSpan w:val="4"/>
            <w:tcBorders>
              <w:bottom w:val="single" w:sz="4" w:space="0" w:color="auto"/>
            </w:tcBorders>
            <w:vAlign w:val="center"/>
          </w:tcPr>
          <w:p w14:paraId="26F47E3A" w14:textId="77777777" w:rsidR="00333AA3" w:rsidRDefault="00333AA3" w:rsidP="00333AA3">
            <w:pPr>
              <w:jc w:val="center"/>
              <w:rPr>
                <w:rFonts w:cs="Times New Roman"/>
                <w:bCs/>
                <w:szCs w:val="24"/>
              </w:rPr>
            </w:pPr>
            <w:r>
              <w:rPr>
                <w:rFonts w:cs="Times New Roman"/>
                <w:bCs/>
                <w:szCs w:val="24"/>
              </w:rPr>
              <w:t>Population-level effects</w:t>
            </w:r>
          </w:p>
        </w:tc>
        <w:tc>
          <w:tcPr>
            <w:tcW w:w="1182" w:type="dxa"/>
            <w:vAlign w:val="center"/>
          </w:tcPr>
          <w:p w14:paraId="0C9B44D9" w14:textId="77777777" w:rsidR="00333AA3" w:rsidRDefault="00333AA3" w:rsidP="00333AA3">
            <w:pPr>
              <w:jc w:val="center"/>
              <w:rPr>
                <w:rFonts w:cs="Times New Roman"/>
                <w:bCs/>
                <w:szCs w:val="24"/>
              </w:rPr>
            </w:pPr>
          </w:p>
        </w:tc>
      </w:tr>
      <w:tr w:rsidR="00333AA3" w14:paraId="197AB295" w14:textId="77777777" w:rsidTr="00333AA3">
        <w:tc>
          <w:tcPr>
            <w:tcW w:w="843" w:type="dxa"/>
            <w:tcBorders>
              <w:bottom w:val="single" w:sz="4" w:space="0" w:color="auto"/>
            </w:tcBorders>
            <w:vAlign w:val="center"/>
          </w:tcPr>
          <w:p w14:paraId="7711806A" w14:textId="77777777" w:rsidR="00333AA3" w:rsidRPr="00301554" w:rsidRDefault="00333AA3" w:rsidP="00333AA3">
            <w:pPr>
              <w:jc w:val="center"/>
              <w:rPr>
                <w:rFonts w:cs="Times New Roman"/>
                <w:bCs/>
                <w:szCs w:val="24"/>
              </w:rPr>
            </w:pPr>
            <w:r w:rsidRPr="00301554">
              <w:rPr>
                <w:rFonts w:cs="Times New Roman"/>
                <w:bCs/>
                <w:szCs w:val="24"/>
              </w:rPr>
              <w:t>Model Rank</w:t>
            </w:r>
          </w:p>
        </w:tc>
        <w:tc>
          <w:tcPr>
            <w:tcW w:w="1401" w:type="dxa"/>
            <w:tcBorders>
              <w:top w:val="single" w:sz="4" w:space="0" w:color="auto"/>
              <w:bottom w:val="single" w:sz="4" w:space="0" w:color="auto"/>
            </w:tcBorders>
            <w:vAlign w:val="center"/>
          </w:tcPr>
          <w:p w14:paraId="75786781" w14:textId="77777777" w:rsidR="00333AA3" w:rsidRPr="00301554" w:rsidRDefault="00333AA3" w:rsidP="00333AA3">
            <w:pPr>
              <w:jc w:val="center"/>
              <w:rPr>
                <w:rFonts w:cs="Times New Roman"/>
                <w:bCs/>
                <w:szCs w:val="24"/>
              </w:rPr>
            </w:pPr>
            <w:r w:rsidRPr="00301554">
              <w:rPr>
                <w:rFonts w:cs="Times New Roman"/>
                <w:bCs/>
                <w:szCs w:val="24"/>
              </w:rPr>
              <w:t>Catchment Area</w:t>
            </w:r>
          </w:p>
          <w:p w14:paraId="2727A997" w14:textId="77777777" w:rsidR="00333AA3" w:rsidRPr="00301554" w:rsidRDefault="00333AA3" w:rsidP="00333AA3">
            <w:pPr>
              <w:jc w:val="center"/>
              <w:rPr>
                <w:rFonts w:cs="Times New Roman"/>
                <w:bCs/>
                <w:szCs w:val="24"/>
              </w:rPr>
            </w:pPr>
            <w:r w:rsidRPr="00301554">
              <w:rPr>
                <w:rFonts w:cs="Times New Roman"/>
                <w:bCs/>
                <w:szCs w:val="24"/>
              </w:rPr>
              <w:t xml:space="preserve">(95% </w:t>
            </w:r>
            <w:proofErr w:type="spellStart"/>
            <w:r w:rsidRPr="00301554">
              <w:rPr>
                <w:rFonts w:cs="Times New Roman"/>
                <w:bCs/>
                <w:szCs w:val="24"/>
              </w:rPr>
              <w:t>CrI</w:t>
            </w:r>
            <w:proofErr w:type="spellEnd"/>
            <w:r w:rsidRPr="00301554">
              <w:rPr>
                <w:rFonts w:cs="Times New Roman"/>
                <w:bCs/>
                <w:szCs w:val="24"/>
              </w:rPr>
              <w:t>)</w:t>
            </w:r>
          </w:p>
        </w:tc>
        <w:tc>
          <w:tcPr>
            <w:tcW w:w="1443" w:type="dxa"/>
            <w:tcBorders>
              <w:top w:val="single" w:sz="4" w:space="0" w:color="auto"/>
              <w:bottom w:val="single" w:sz="4" w:space="0" w:color="auto"/>
            </w:tcBorders>
            <w:vAlign w:val="center"/>
          </w:tcPr>
          <w:p w14:paraId="37A1C4B9" w14:textId="77777777" w:rsidR="00333AA3" w:rsidRPr="00301554" w:rsidRDefault="00333AA3" w:rsidP="00333AA3">
            <w:pPr>
              <w:jc w:val="center"/>
              <w:rPr>
                <w:rFonts w:cs="Times New Roman"/>
                <w:bCs/>
                <w:szCs w:val="24"/>
              </w:rPr>
            </w:pPr>
            <w:r w:rsidRPr="00301554">
              <w:rPr>
                <w:rFonts w:cs="Times New Roman"/>
                <w:bCs/>
                <w:szCs w:val="24"/>
              </w:rPr>
              <w:t>Mean Annual Precipitation</w:t>
            </w:r>
          </w:p>
          <w:p w14:paraId="5404AFE4" w14:textId="77777777" w:rsidR="00333AA3" w:rsidRPr="00301554" w:rsidRDefault="00333AA3" w:rsidP="00333AA3">
            <w:pPr>
              <w:jc w:val="center"/>
              <w:rPr>
                <w:rFonts w:cs="Times New Roman"/>
                <w:bCs/>
                <w:szCs w:val="24"/>
              </w:rPr>
            </w:pPr>
            <w:r w:rsidRPr="00301554">
              <w:rPr>
                <w:rFonts w:cs="Times New Roman"/>
                <w:bCs/>
                <w:szCs w:val="24"/>
              </w:rPr>
              <w:t xml:space="preserve">(95% </w:t>
            </w:r>
            <w:proofErr w:type="spellStart"/>
            <w:r w:rsidRPr="00301554">
              <w:rPr>
                <w:rFonts w:cs="Times New Roman"/>
                <w:bCs/>
                <w:szCs w:val="24"/>
              </w:rPr>
              <w:t>CrI</w:t>
            </w:r>
            <w:proofErr w:type="spellEnd"/>
            <w:r w:rsidRPr="00301554">
              <w:rPr>
                <w:rFonts w:cs="Times New Roman"/>
                <w:bCs/>
                <w:szCs w:val="24"/>
              </w:rPr>
              <w:t>)</w:t>
            </w:r>
          </w:p>
        </w:tc>
        <w:tc>
          <w:tcPr>
            <w:tcW w:w="1528" w:type="dxa"/>
            <w:tcBorders>
              <w:top w:val="single" w:sz="4" w:space="0" w:color="auto"/>
              <w:bottom w:val="single" w:sz="4" w:space="0" w:color="auto"/>
            </w:tcBorders>
            <w:vAlign w:val="center"/>
          </w:tcPr>
          <w:p w14:paraId="52DCB0FE" w14:textId="77777777" w:rsidR="00333AA3" w:rsidRPr="00301554" w:rsidRDefault="00333AA3" w:rsidP="00333AA3">
            <w:pPr>
              <w:jc w:val="center"/>
              <w:rPr>
                <w:rFonts w:cs="Times New Roman"/>
                <w:bCs/>
                <w:szCs w:val="24"/>
              </w:rPr>
            </w:pPr>
            <w:r w:rsidRPr="00301554">
              <w:rPr>
                <w:rFonts w:cs="Times New Roman"/>
                <w:bCs/>
                <w:szCs w:val="24"/>
              </w:rPr>
              <w:t>Precipitation Seasonality</w:t>
            </w:r>
          </w:p>
          <w:p w14:paraId="777EE114" w14:textId="77777777" w:rsidR="00333AA3" w:rsidRPr="00301554" w:rsidRDefault="00333AA3" w:rsidP="00333AA3">
            <w:pPr>
              <w:jc w:val="center"/>
              <w:rPr>
                <w:rFonts w:cs="Times New Roman"/>
                <w:bCs/>
                <w:szCs w:val="24"/>
              </w:rPr>
            </w:pPr>
            <w:r w:rsidRPr="00301554">
              <w:rPr>
                <w:rFonts w:cs="Times New Roman"/>
                <w:bCs/>
                <w:szCs w:val="24"/>
              </w:rPr>
              <w:t xml:space="preserve">(95% </w:t>
            </w:r>
            <w:proofErr w:type="spellStart"/>
            <w:r w:rsidRPr="00301554">
              <w:rPr>
                <w:rFonts w:cs="Times New Roman"/>
                <w:bCs/>
                <w:szCs w:val="24"/>
              </w:rPr>
              <w:t>CrI</w:t>
            </w:r>
            <w:proofErr w:type="spellEnd"/>
            <w:r w:rsidRPr="00301554">
              <w:rPr>
                <w:rFonts w:cs="Times New Roman"/>
                <w:bCs/>
                <w:szCs w:val="24"/>
              </w:rPr>
              <w:t>)</w:t>
            </w:r>
          </w:p>
        </w:tc>
        <w:tc>
          <w:tcPr>
            <w:tcW w:w="1530" w:type="dxa"/>
            <w:tcBorders>
              <w:top w:val="single" w:sz="4" w:space="0" w:color="auto"/>
              <w:bottom w:val="single" w:sz="4" w:space="0" w:color="auto"/>
            </w:tcBorders>
            <w:vAlign w:val="center"/>
          </w:tcPr>
          <w:p w14:paraId="598DB02E" w14:textId="77777777" w:rsidR="00333AA3" w:rsidRPr="00301554" w:rsidRDefault="00333AA3" w:rsidP="00333AA3">
            <w:pPr>
              <w:jc w:val="center"/>
              <w:rPr>
                <w:rFonts w:cs="Times New Roman"/>
                <w:bCs/>
                <w:szCs w:val="24"/>
              </w:rPr>
            </w:pPr>
            <w:r w:rsidRPr="00301554">
              <w:rPr>
                <w:rFonts w:cs="Times New Roman"/>
                <w:bCs/>
                <w:szCs w:val="24"/>
              </w:rPr>
              <w:t>Mean Annual Temperature</w:t>
            </w:r>
          </w:p>
          <w:p w14:paraId="2BACAE8D" w14:textId="77777777" w:rsidR="00333AA3" w:rsidRPr="00301554" w:rsidRDefault="00333AA3" w:rsidP="00333AA3">
            <w:pPr>
              <w:jc w:val="center"/>
              <w:rPr>
                <w:rFonts w:cs="Times New Roman"/>
                <w:bCs/>
                <w:szCs w:val="24"/>
              </w:rPr>
            </w:pPr>
            <w:r w:rsidRPr="00301554">
              <w:rPr>
                <w:rFonts w:cs="Times New Roman"/>
                <w:bCs/>
                <w:szCs w:val="24"/>
              </w:rPr>
              <w:t xml:space="preserve">(95% </w:t>
            </w:r>
            <w:proofErr w:type="spellStart"/>
            <w:r w:rsidRPr="00301554">
              <w:rPr>
                <w:rFonts w:cs="Times New Roman"/>
                <w:bCs/>
                <w:szCs w:val="24"/>
              </w:rPr>
              <w:t>CrI</w:t>
            </w:r>
            <w:proofErr w:type="spellEnd"/>
            <w:r w:rsidRPr="00301554">
              <w:rPr>
                <w:rFonts w:cs="Times New Roman"/>
                <w:bCs/>
                <w:szCs w:val="24"/>
              </w:rPr>
              <w:t>)</w:t>
            </w:r>
          </w:p>
        </w:tc>
        <w:tc>
          <w:tcPr>
            <w:tcW w:w="1182" w:type="dxa"/>
            <w:tcBorders>
              <w:bottom w:val="single" w:sz="4" w:space="0" w:color="auto"/>
            </w:tcBorders>
            <w:vAlign w:val="center"/>
          </w:tcPr>
          <w:p w14:paraId="1AB128E6" w14:textId="77777777" w:rsidR="00333AA3" w:rsidRPr="00301554" w:rsidRDefault="00333AA3" w:rsidP="00333AA3">
            <w:pPr>
              <w:jc w:val="center"/>
              <w:rPr>
                <w:rFonts w:cs="Times New Roman"/>
                <w:bCs/>
                <w:szCs w:val="24"/>
              </w:rPr>
            </w:pPr>
            <w:r w:rsidRPr="00301554">
              <w:rPr>
                <w:rFonts w:cs="Times New Roman"/>
                <w:bCs/>
                <w:szCs w:val="24"/>
              </w:rPr>
              <w:t>Predictive Accuracy Change (SE)</w:t>
            </w:r>
          </w:p>
        </w:tc>
      </w:tr>
      <w:tr w:rsidR="00333AA3" w14:paraId="1CAE639B" w14:textId="77777777" w:rsidTr="00333AA3">
        <w:tc>
          <w:tcPr>
            <w:tcW w:w="843" w:type="dxa"/>
            <w:tcBorders>
              <w:top w:val="single" w:sz="4" w:space="0" w:color="auto"/>
            </w:tcBorders>
            <w:vAlign w:val="center"/>
          </w:tcPr>
          <w:p w14:paraId="1321CC5B" w14:textId="77777777" w:rsidR="00333AA3" w:rsidRPr="00301554" w:rsidRDefault="00333AA3" w:rsidP="00333AA3">
            <w:pPr>
              <w:jc w:val="center"/>
              <w:rPr>
                <w:rFonts w:cs="Times New Roman"/>
                <w:bCs/>
                <w:szCs w:val="24"/>
              </w:rPr>
            </w:pPr>
            <w:r w:rsidRPr="00301554">
              <w:rPr>
                <w:rFonts w:cs="Times New Roman"/>
                <w:bCs/>
                <w:szCs w:val="24"/>
              </w:rPr>
              <w:t>1</w:t>
            </w:r>
          </w:p>
        </w:tc>
        <w:tc>
          <w:tcPr>
            <w:tcW w:w="1401" w:type="dxa"/>
            <w:tcBorders>
              <w:top w:val="single" w:sz="4" w:space="0" w:color="auto"/>
            </w:tcBorders>
            <w:vAlign w:val="center"/>
          </w:tcPr>
          <w:p w14:paraId="12A98AD0" w14:textId="77777777" w:rsidR="00333AA3" w:rsidRPr="00301554" w:rsidRDefault="00333AA3" w:rsidP="00333AA3">
            <w:pPr>
              <w:jc w:val="center"/>
              <w:rPr>
                <w:rFonts w:cs="Times New Roman"/>
                <w:bCs/>
                <w:szCs w:val="24"/>
              </w:rPr>
            </w:pPr>
            <w:r w:rsidRPr="00301554">
              <w:rPr>
                <w:rFonts w:cs="Times New Roman"/>
                <w:bCs/>
                <w:szCs w:val="24"/>
              </w:rPr>
              <w:t>0.94</w:t>
            </w:r>
          </w:p>
          <w:p w14:paraId="0D3F198B" w14:textId="77777777" w:rsidR="00333AA3" w:rsidRPr="00301554" w:rsidRDefault="00333AA3" w:rsidP="00333AA3">
            <w:pPr>
              <w:jc w:val="center"/>
              <w:rPr>
                <w:rFonts w:cs="Times New Roman"/>
                <w:bCs/>
                <w:szCs w:val="24"/>
              </w:rPr>
            </w:pPr>
            <w:r w:rsidRPr="00301554">
              <w:rPr>
                <w:rFonts w:cs="Times New Roman"/>
                <w:bCs/>
                <w:szCs w:val="24"/>
              </w:rPr>
              <w:t>(0.88, 1.01)</w:t>
            </w:r>
          </w:p>
        </w:tc>
        <w:tc>
          <w:tcPr>
            <w:tcW w:w="1443" w:type="dxa"/>
            <w:tcBorders>
              <w:top w:val="single" w:sz="4" w:space="0" w:color="auto"/>
            </w:tcBorders>
            <w:vAlign w:val="center"/>
          </w:tcPr>
          <w:p w14:paraId="48C3A404" w14:textId="77777777" w:rsidR="00333AA3" w:rsidRDefault="00333AA3" w:rsidP="00333AA3">
            <w:pPr>
              <w:jc w:val="center"/>
              <w:rPr>
                <w:rFonts w:cs="Times New Roman"/>
                <w:bCs/>
                <w:szCs w:val="24"/>
              </w:rPr>
            </w:pPr>
            <w:r w:rsidRPr="00301554">
              <w:rPr>
                <w:rFonts w:cs="Times New Roman"/>
                <w:bCs/>
                <w:szCs w:val="24"/>
              </w:rPr>
              <w:t>0.24</w:t>
            </w:r>
          </w:p>
          <w:p w14:paraId="147801FA" w14:textId="77777777" w:rsidR="00333AA3" w:rsidRPr="00301554" w:rsidRDefault="00333AA3" w:rsidP="00333AA3">
            <w:pPr>
              <w:jc w:val="center"/>
              <w:rPr>
                <w:rFonts w:cs="Times New Roman"/>
                <w:bCs/>
                <w:szCs w:val="24"/>
              </w:rPr>
            </w:pPr>
            <w:r w:rsidRPr="00301554">
              <w:rPr>
                <w:rFonts w:cs="Times New Roman"/>
                <w:bCs/>
                <w:szCs w:val="24"/>
              </w:rPr>
              <w:t>(0.21, 0.27)</w:t>
            </w:r>
          </w:p>
        </w:tc>
        <w:tc>
          <w:tcPr>
            <w:tcW w:w="1528" w:type="dxa"/>
            <w:tcBorders>
              <w:top w:val="single" w:sz="4" w:space="0" w:color="auto"/>
            </w:tcBorders>
            <w:vAlign w:val="center"/>
          </w:tcPr>
          <w:p w14:paraId="5AF08319" w14:textId="77777777" w:rsidR="00333AA3" w:rsidRDefault="00333AA3" w:rsidP="00333AA3">
            <w:pPr>
              <w:jc w:val="center"/>
              <w:rPr>
                <w:rFonts w:cs="Times New Roman"/>
                <w:bCs/>
                <w:szCs w:val="24"/>
              </w:rPr>
            </w:pPr>
            <w:r w:rsidRPr="00301554">
              <w:rPr>
                <w:rFonts w:cs="Times New Roman"/>
                <w:bCs/>
                <w:szCs w:val="24"/>
              </w:rPr>
              <w:t>-0.17</w:t>
            </w:r>
          </w:p>
          <w:p w14:paraId="57E24786" w14:textId="77777777" w:rsidR="00333AA3" w:rsidRPr="00301554" w:rsidRDefault="00333AA3" w:rsidP="00333AA3">
            <w:pPr>
              <w:jc w:val="center"/>
              <w:rPr>
                <w:rFonts w:cs="Times New Roman"/>
                <w:bCs/>
                <w:szCs w:val="24"/>
              </w:rPr>
            </w:pPr>
            <w:r w:rsidRPr="00301554">
              <w:rPr>
                <w:rFonts w:cs="Times New Roman"/>
                <w:bCs/>
                <w:szCs w:val="24"/>
              </w:rPr>
              <w:t>(-0.2, -0.13)</w:t>
            </w:r>
          </w:p>
        </w:tc>
        <w:tc>
          <w:tcPr>
            <w:tcW w:w="1530" w:type="dxa"/>
            <w:tcBorders>
              <w:top w:val="single" w:sz="4" w:space="0" w:color="auto"/>
            </w:tcBorders>
            <w:vAlign w:val="center"/>
          </w:tcPr>
          <w:p w14:paraId="1EDEB9AC" w14:textId="77777777" w:rsidR="00333AA3" w:rsidRDefault="00333AA3" w:rsidP="00333AA3">
            <w:pPr>
              <w:jc w:val="center"/>
              <w:rPr>
                <w:rFonts w:cs="Times New Roman"/>
                <w:bCs/>
                <w:szCs w:val="24"/>
              </w:rPr>
            </w:pPr>
            <w:r w:rsidRPr="00301554">
              <w:rPr>
                <w:rFonts w:cs="Times New Roman"/>
                <w:bCs/>
                <w:szCs w:val="24"/>
              </w:rPr>
              <w:t>-0.11</w:t>
            </w:r>
          </w:p>
          <w:p w14:paraId="6185B4BA" w14:textId="77777777" w:rsidR="00333AA3" w:rsidRPr="00301554" w:rsidRDefault="00333AA3" w:rsidP="00333AA3">
            <w:pPr>
              <w:jc w:val="center"/>
              <w:rPr>
                <w:rFonts w:cs="Times New Roman"/>
                <w:bCs/>
                <w:szCs w:val="24"/>
              </w:rPr>
            </w:pPr>
            <w:r w:rsidRPr="00301554">
              <w:rPr>
                <w:rFonts w:cs="Times New Roman"/>
                <w:bCs/>
                <w:szCs w:val="24"/>
              </w:rPr>
              <w:t>(-0.15,</w:t>
            </w:r>
            <w:r>
              <w:rPr>
                <w:rFonts w:cs="Times New Roman"/>
                <w:bCs/>
                <w:szCs w:val="24"/>
              </w:rPr>
              <w:t xml:space="preserve"> </w:t>
            </w:r>
            <w:r w:rsidRPr="00301554">
              <w:rPr>
                <w:rFonts w:cs="Times New Roman"/>
                <w:bCs/>
                <w:szCs w:val="24"/>
              </w:rPr>
              <w:t>-0.08)</w:t>
            </w:r>
          </w:p>
        </w:tc>
        <w:tc>
          <w:tcPr>
            <w:tcW w:w="1182" w:type="dxa"/>
            <w:tcBorders>
              <w:top w:val="single" w:sz="4" w:space="0" w:color="auto"/>
            </w:tcBorders>
            <w:vAlign w:val="center"/>
          </w:tcPr>
          <w:p w14:paraId="61733B14" w14:textId="77777777" w:rsidR="00333AA3" w:rsidRPr="00301554" w:rsidRDefault="00333AA3" w:rsidP="00333AA3">
            <w:pPr>
              <w:jc w:val="center"/>
              <w:rPr>
                <w:rFonts w:cs="Times New Roman"/>
                <w:bCs/>
                <w:szCs w:val="24"/>
              </w:rPr>
            </w:pPr>
          </w:p>
        </w:tc>
      </w:tr>
      <w:tr w:rsidR="00333AA3" w14:paraId="0FF6851F" w14:textId="77777777" w:rsidTr="00333AA3">
        <w:tc>
          <w:tcPr>
            <w:tcW w:w="843" w:type="dxa"/>
            <w:vAlign w:val="center"/>
          </w:tcPr>
          <w:p w14:paraId="692FF604" w14:textId="77777777" w:rsidR="00333AA3" w:rsidRPr="00301554" w:rsidRDefault="00333AA3" w:rsidP="00333AA3">
            <w:pPr>
              <w:jc w:val="center"/>
              <w:rPr>
                <w:rFonts w:cs="Times New Roman"/>
                <w:bCs/>
                <w:szCs w:val="24"/>
              </w:rPr>
            </w:pPr>
            <w:r w:rsidRPr="00301554">
              <w:rPr>
                <w:rFonts w:cs="Times New Roman"/>
                <w:bCs/>
                <w:szCs w:val="24"/>
              </w:rPr>
              <w:t>2</w:t>
            </w:r>
          </w:p>
        </w:tc>
        <w:tc>
          <w:tcPr>
            <w:tcW w:w="1401" w:type="dxa"/>
            <w:vAlign w:val="center"/>
          </w:tcPr>
          <w:p w14:paraId="6FFDE6F2" w14:textId="77777777" w:rsidR="00333AA3" w:rsidRPr="00301554" w:rsidRDefault="00333AA3" w:rsidP="00333AA3">
            <w:pPr>
              <w:jc w:val="center"/>
              <w:rPr>
                <w:rFonts w:cs="Times New Roman"/>
                <w:bCs/>
                <w:szCs w:val="24"/>
              </w:rPr>
            </w:pPr>
            <w:r w:rsidRPr="00301554">
              <w:rPr>
                <w:rFonts w:cs="Times New Roman"/>
                <w:bCs/>
                <w:szCs w:val="24"/>
              </w:rPr>
              <w:t>0.92</w:t>
            </w:r>
          </w:p>
          <w:p w14:paraId="7A91B68A" w14:textId="77777777" w:rsidR="00333AA3" w:rsidRPr="00301554" w:rsidRDefault="00333AA3" w:rsidP="00333AA3">
            <w:pPr>
              <w:jc w:val="center"/>
              <w:rPr>
                <w:rFonts w:cs="Times New Roman"/>
                <w:bCs/>
                <w:szCs w:val="24"/>
              </w:rPr>
            </w:pPr>
            <w:r w:rsidRPr="00301554">
              <w:rPr>
                <w:rFonts w:cs="Times New Roman"/>
                <w:bCs/>
                <w:szCs w:val="24"/>
              </w:rPr>
              <w:t>(0.85, 0.98)</w:t>
            </w:r>
          </w:p>
        </w:tc>
        <w:tc>
          <w:tcPr>
            <w:tcW w:w="1443" w:type="dxa"/>
            <w:vAlign w:val="center"/>
          </w:tcPr>
          <w:p w14:paraId="4314CA3D" w14:textId="77777777" w:rsidR="00333AA3" w:rsidRDefault="00333AA3" w:rsidP="00333AA3">
            <w:pPr>
              <w:jc w:val="center"/>
              <w:rPr>
                <w:rFonts w:cs="Times New Roman"/>
                <w:bCs/>
                <w:szCs w:val="24"/>
              </w:rPr>
            </w:pPr>
            <w:r w:rsidRPr="00301554">
              <w:rPr>
                <w:rFonts w:cs="Times New Roman"/>
                <w:bCs/>
                <w:szCs w:val="24"/>
              </w:rPr>
              <w:t>0.20</w:t>
            </w:r>
          </w:p>
          <w:p w14:paraId="0F9F549D" w14:textId="77777777" w:rsidR="00333AA3" w:rsidRPr="00301554" w:rsidRDefault="00333AA3" w:rsidP="00333AA3">
            <w:pPr>
              <w:jc w:val="center"/>
              <w:rPr>
                <w:rFonts w:cs="Times New Roman"/>
                <w:bCs/>
                <w:szCs w:val="24"/>
              </w:rPr>
            </w:pPr>
            <w:r w:rsidRPr="00301554">
              <w:rPr>
                <w:rFonts w:cs="Times New Roman"/>
                <w:bCs/>
                <w:szCs w:val="24"/>
              </w:rPr>
              <w:t>(0.17,</w:t>
            </w:r>
            <w:r>
              <w:rPr>
                <w:rFonts w:cs="Times New Roman"/>
                <w:bCs/>
                <w:szCs w:val="24"/>
              </w:rPr>
              <w:t xml:space="preserve"> </w:t>
            </w:r>
            <w:r w:rsidRPr="00301554">
              <w:rPr>
                <w:rFonts w:cs="Times New Roman"/>
                <w:bCs/>
                <w:szCs w:val="24"/>
              </w:rPr>
              <w:t>0.23)</w:t>
            </w:r>
          </w:p>
        </w:tc>
        <w:tc>
          <w:tcPr>
            <w:tcW w:w="1528" w:type="dxa"/>
            <w:vAlign w:val="center"/>
          </w:tcPr>
          <w:p w14:paraId="6E7DC554" w14:textId="77777777" w:rsidR="00333AA3" w:rsidRDefault="00333AA3" w:rsidP="00333AA3">
            <w:pPr>
              <w:jc w:val="center"/>
              <w:rPr>
                <w:rFonts w:cs="Times New Roman"/>
                <w:bCs/>
                <w:szCs w:val="24"/>
              </w:rPr>
            </w:pPr>
            <w:r w:rsidRPr="00301554">
              <w:rPr>
                <w:rFonts w:cs="Times New Roman"/>
                <w:bCs/>
                <w:szCs w:val="24"/>
              </w:rPr>
              <w:t>-0.16</w:t>
            </w:r>
          </w:p>
          <w:p w14:paraId="6A080D7E" w14:textId="77777777" w:rsidR="00333AA3" w:rsidRPr="00301554" w:rsidRDefault="00333AA3" w:rsidP="00333AA3">
            <w:pPr>
              <w:jc w:val="center"/>
              <w:rPr>
                <w:rFonts w:cs="Times New Roman"/>
                <w:bCs/>
                <w:szCs w:val="24"/>
              </w:rPr>
            </w:pPr>
            <w:r w:rsidRPr="00301554">
              <w:rPr>
                <w:rFonts w:cs="Times New Roman"/>
                <w:bCs/>
                <w:szCs w:val="24"/>
              </w:rPr>
              <w:t>(-0.20, -0.13)</w:t>
            </w:r>
          </w:p>
        </w:tc>
        <w:tc>
          <w:tcPr>
            <w:tcW w:w="1530" w:type="dxa"/>
            <w:vAlign w:val="center"/>
          </w:tcPr>
          <w:p w14:paraId="51FA7CDB" w14:textId="77777777" w:rsidR="00333AA3" w:rsidRPr="00301554" w:rsidRDefault="00333AA3" w:rsidP="00333AA3">
            <w:pPr>
              <w:jc w:val="center"/>
              <w:rPr>
                <w:rFonts w:cs="Times New Roman"/>
                <w:bCs/>
                <w:szCs w:val="24"/>
              </w:rPr>
            </w:pPr>
          </w:p>
        </w:tc>
        <w:tc>
          <w:tcPr>
            <w:tcW w:w="1182" w:type="dxa"/>
            <w:vAlign w:val="center"/>
          </w:tcPr>
          <w:p w14:paraId="1194AE7C" w14:textId="77777777" w:rsidR="00333AA3" w:rsidRPr="00301554" w:rsidRDefault="00333AA3" w:rsidP="00333AA3">
            <w:pPr>
              <w:jc w:val="center"/>
              <w:rPr>
                <w:rFonts w:cs="Times New Roman"/>
                <w:bCs/>
                <w:szCs w:val="24"/>
              </w:rPr>
            </w:pPr>
            <w:r w:rsidRPr="00301554">
              <w:rPr>
                <w:rFonts w:cs="Times New Roman"/>
                <w:bCs/>
                <w:szCs w:val="24"/>
              </w:rPr>
              <w:t>-16.9 (6.9)</w:t>
            </w:r>
          </w:p>
        </w:tc>
      </w:tr>
      <w:tr w:rsidR="00333AA3" w14:paraId="2A0B89E1" w14:textId="77777777" w:rsidTr="00333AA3">
        <w:tc>
          <w:tcPr>
            <w:tcW w:w="843" w:type="dxa"/>
            <w:vAlign w:val="center"/>
          </w:tcPr>
          <w:p w14:paraId="7F5DA0F8" w14:textId="77777777" w:rsidR="00333AA3" w:rsidRPr="00301554" w:rsidRDefault="00333AA3" w:rsidP="00333AA3">
            <w:pPr>
              <w:jc w:val="center"/>
              <w:rPr>
                <w:rFonts w:cs="Times New Roman"/>
                <w:bCs/>
                <w:szCs w:val="24"/>
              </w:rPr>
            </w:pPr>
            <w:r w:rsidRPr="00301554">
              <w:rPr>
                <w:rFonts w:cs="Times New Roman"/>
                <w:bCs/>
                <w:szCs w:val="24"/>
              </w:rPr>
              <w:t>3</w:t>
            </w:r>
          </w:p>
        </w:tc>
        <w:tc>
          <w:tcPr>
            <w:tcW w:w="1401" w:type="dxa"/>
            <w:vAlign w:val="center"/>
          </w:tcPr>
          <w:p w14:paraId="45F53877" w14:textId="77777777" w:rsidR="00333AA3" w:rsidRPr="00301554" w:rsidRDefault="00333AA3" w:rsidP="00333AA3">
            <w:pPr>
              <w:jc w:val="center"/>
              <w:rPr>
                <w:rFonts w:cs="Times New Roman"/>
                <w:bCs/>
                <w:szCs w:val="24"/>
              </w:rPr>
            </w:pPr>
            <w:r w:rsidRPr="00301554">
              <w:rPr>
                <w:rFonts w:cs="Times New Roman"/>
                <w:bCs/>
                <w:szCs w:val="24"/>
              </w:rPr>
              <w:t>0.90</w:t>
            </w:r>
          </w:p>
          <w:p w14:paraId="6B83F622" w14:textId="77777777" w:rsidR="00333AA3" w:rsidRPr="00301554" w:rsidRDefault="00333AA3" w:rsidP="00333AA3">
            <w:pPr>
              <w:jc w:val="center"/>
              <w:rPr>
                <w:rFonts w:cs="Times New Roman"/>
                <w:bCs/>
                <w:szCs w:val="24"/>
              </w:rPr>
            </w:pPr>
            <w:r w:rsidRPr="00301554">
              <w:rPr>
                <w:rFonts w:cs="Times New Roman"/>
                <w:bCs/>
                <w:szCs w:val="24"/>
              </w:rPr>
              <w:t>(0.83, 0.97)</w:t>
            </w:r>
          </w:p>
        </w:tc>
        <w:tc>
          <w:tcPr>
            <w:tcW w:w="1443" w:type="dxa"/>
            <w:vAlign w:val="center"/>
          </w:tcPr>
          <w:p w14:paraId="40866C70" w14:textId="77777777" w:rsidR="00333AA3" w:rsidRDefault="00333AA3" w:rsidP="00333AA3">
            <w:pPr>
              <w:jc w:val="center"/>
              <w:rPr>
                <w:rFonts w:cs="Times New Roman"/>
                <w:bCs/>
                <w:szCs w:val="24"/>
              </w:rPr>
            </w:pPr>
            <w:r w:rsidRPr="00301554">
              <w:rPr>
                <w:rFonts w:cs="Times New Roman"/>
                <w:bCs/>
                <w:szCs w:val="24"/>
              </w:rPr>
              <w:t>0.21</w:t>
            </w:r>
          </w:p>
          <w:p w14:paraId="7FFAE8B7" w14:textId="77777777" w:rsidR="00333AA3" w:rsidRPr="00301554" w:rsidRDefault="00333AA3" w:rsidP="00333AA3">
            <w:pPr>
              <w:jc w:val="center"/>
              <w:rPr>
                <w:rFonts w:cs="Times New Roman"/>
                <w:bCs/>
                <w:szCs w:val="24"/>
              </w:rPr>
            </w:pPr>
            <w:r w:rsidRPr="00301554">
              <w:rPr>
                <w:rFonts w:cs="Times New Roman"/>
                <w:bCs/>
                <w:szCs w:val="24"/>
              </w:rPr>
              <w:t>(0.18, 0.23)</w:t>
            </w:r>
          </w:p>
        </w:tc>
        <w:tc>
          <w:tcPr>
            <w:tcW w:w="1528" w:type="dxa"/>
            <w:vAlign w:val="center"/>
          </w:tcPr>
          <w:p w14:paraId="57BEA120" w14:textId="77777777" w:rsidR="00333AA3" w:rsidRPr="00301554" w:rsidRDefault="00333AA3" w:rsidP="00333AA3">
            <w:pPr>
              <w:jc w:val="center"/>
              <w:rPr>
                <w:rFonts w:cs="Times New Roman"/>
                <w:bCs/>
                <w:szCs w:val="24"/>
              </w:rPr>
            </w:pPr>
          </w:p>
        </w:tc>
        <w:tc>
          <w:tcPr>
            <w:tcW w:w="1530" w:type="dxa"/>
            <w:vAlign w:val="center"/>
          </w:tcPr>
          <w:p w14:paraId="47383126" w14:textId="77777777" w:rsidR="00333AA3" w:rsidRPr="00301554" w:rsidRDefault="00333AA3" w:rsidP="00333AA3">
            <w:pPr>
              <w:jc w:val="center"/>
              <w:rPr>
                <w:rFonts w:cs="Times New Roman"/>
                <w:bCs/>
                <w:szCs w:val="24"/>
              </w:rPr>
            </w:pPr>
          </w:p>
        </w:tc>
        <w:tc>
          <w:tcPr>
            <w:tcW w:w="1182" w:type="dxa"/>
            <w:vAlign w:val="center"/>
          </w:tcPr>
          <w:p w14:paraId="51C2678E" w14:textId="77777777" w:rsidR="00333AA3" w:rsidRPr="00301554" w:rsidRDefault="00333AA3" w:rsidP="00333AA3">
            <w:pPr>
              <w:jc w:val="center"/>
              <w:rPr>
                <w:rFonts w:cs="Times New Roman"/>
                <w:bCs/>
                <w:szCs w:val="24"/>
              </w:rPr>
            </w:pPr>
            <w:r w:rsidRPr="00301554">
              <w:rPr>
                <w:rFonts w:cs="Times New Roman"/>
                <w:bCs/>
                <w:szCs w:val="24"/>
              </w:rPr>
              <w:t>-54.8 (12.7)</w:t>
            </w:r>
          </w:p>
        </w:tc>
      </w:tr>
      <w:tr w:rsidR="00333AA3" w14:paraId="665887D9" w14:textId="77777777" w:rsidTr="00333AA3">
        <w:tc>
          <w:tcPr>
            <w:tcW w:w="843" w:type="dxa"/>
            <w:vAlign w:val="center"/>
          </w:tcPr>
          <w:p w14:paraId="17B547AB" w14:textId="77777777" w:rsidR="00333AA3" w:rsidRPr="00301554" w:rsidRDefault="00333AA3" w:rsidP="00333AA3">
            <w:pPr>
              <w:jc w:val="center"/>
              <w:rPr>
                <w:rFonts w:cs="Times New Roman"/>
                <w:bCs/>
                <w:szCs w:val="24"/>
              </w:rPr>
            </w:pPr>
            <w:r w:rsidRPr="00301554">
              <w:rPr>
                <w:rFonts w:cs="Times New Roman"/>
                <w:bCs/>
                <w:szCs w:val="24"/>
              </w:rPr>
              <w:t>4</w:t>
            </w:r>
          </w:p>
        </w:tc>
        <w:tc>
          <w:tcPr>
            <w:tcW w:w="1401" w:type="dxa"/>
            <w:vAlign w:val="center"/>
          </w:tcPr>
          <w:p w14:paraId="208B372D" w14:textId="77777777" w:rsidR="00333AA3" w:rsidRPr="00301554" w:rsidRDefault="00333AA3" w:rsidP="00333AA3">
            <w:pPr>
              <w:jc w:val="center"/>
              <w:rPr>
                <w:rFonts w:cs="Times New Roman"/>
                <w:bCs/>
                <w:szCs w:val="24"/>
              </w:rPr>
            </w:pPr>
            <w:r w:rsidRPr="00301554">
              <w:rPr>
                <w:rFonts w:cs="Times New Roman"/>
                <w:bCs/>
                <w:szCs w:val="24"/>
              </w:rPr>
              <w:t>0.86</w:t>
            </w:r>
          </w:p>
          <w:p w14:paraId="17D07AD6" w14:textId="77777777" w:rsidR="00333AA3" w:rsidRPr="00301554" w:rsidRDefault="00333AA3" w:rsidP="00333AA3">
            <w:pPr>
              <w:jc w:val="center"/>
              <w:rPr>
                <w:rFonts w:cs="Times New Roman"/>
                <w:bCs/>
                <w:szCs w:val="24"/>
              </w:rPr>
            </w:pPr>
            <w:r w:rsidRPr="00301554">
              <w:rPr>
                <w:rFonts w:cs="Times New Roman"/>
                <w:bCs/>
                <w:szCs w:val="24"/>
              </w:rPr>
              <w:t>(0.83,</w:t>
            </w:r>
            <w:r>
              <w:rPr>
                <w:rFonts w:cs="Times New Roman"/>
                <w:bCs/>
                <w:szCs w:val="24"/>
              </w:rPr>
              <w:t xml:space="preserve"> </w:t>
            </w:r>
            <w:r w:rsidRPr="00301554">
              <w:rPr>
                <w:rFonts w:cs="Times New Roman"/>
                <w:bCs/>
                <w:szCs w:val="24"/>
              </w:rPr>
              <w:t>0.88)</w:t>
            </w:r>
          </w:p>
        </w:tc>
        <w:tc>
          <w:tcPr>
            <w:tcW w:w="1443" w:type="dxa"/>
            <w:vAlign w:val="center"/>
          </w:tcPr>
          <w:p w14:paraId="34053424" w14:textId="77777777" w:rsidR="00333AA3" w:rsidRPr="00301554" w:rsidRDefault="00333AA3" w:rsidP="00333AA3">
            <w:pPr>
              <w:jc w:val="center"/>
              <w:rPr>
                <w:rFonts w:cs="Times New Roman"/>
                <w:bCs/>
                <w:szCs w:val="24"/>
              </w:rPr>
            </w:pPr>
          </w:p>
        </w:tc>
        <w:tc>
          <w:tcPr>
            <w:tcW w:w="1528" w:type="dxa"/>
            <w:vAlign w:val="center"/>
          </w:tcPr>
          <w:p w14:paraId="46AE1F19" w14:textId="77777777" w:rsidR="00333AA3" w:rsidRPr="00301554" w:rsidRDefault="00333AA3" w:rsidP="00333AA3">
            <w:pPr>
              <w:jc w:val="center"/>
              <w:rPr>
                <w:rFonts w:cs="Times New Roman"/>
                <w:bCs/>
                <w:szCs w:val="24"/>
              </w:rPr>
            </w:pPr>
          </w:p>
        </w:tc>
        <w:tc>
          <w:tcPr>
            <w:tcW w:w="1530" w:type="dxa"/>
            <w:vAlign w:val="center"/>
          </w:tcPr>
          <w:p w14:paraId="20EBC9A4" w14:textId="77777777" w:rsidR="00333AA3" w:rsidRPr="00301554" w:rsidRDefault="00333AA3" w:rsidP="00333AA3">
            <w:pPr>
              <w:jc w:val="center"/>
              <w:rPr>
                <w:rFonts w:cs="Times New Roman"/>
                <w:bCs/>
                <w:szCs w:val="24"/>
              </w:rPr>
            </w:pPr>
          </w:p>
        </w:tc>
        <w:tc>
          <w:tcPr>
            <w:tcW w:w="1182" w:type="dxa"/>
            <w:vAlign w:val="center"/>
          </w:tcPr>
          <w:p w14:paraId="10A35DF7" w14:textId="77777777" w:rsidR="00333AA3" w:rsidRPr="00301554" w:rsidRDefault="00333AA3" w:rsidP="00333AA3">
            <w:pPr>
              <w:jc w:val="center"/>
              <w:rPr>
                <w:rFonts w:cs="Times New Roman"/>
                <w:bCs/>
                <w:szCs w:val="24"/>
              </w:rPr>
            </w:pPr>
            <w:r w:rsidRPr="00301554">
              <w:rPr>
                <w:rFonts w:cs="Times New Roman"/>
                <w:bCs/>
                <w:szCs w:val="24"/>
              </w:rPr>
              <w:t>-154.7 (20.1)</w:t>
            </w:r>
          </w:p>
        </w:tc>
      </w:tr>
    </w:tbl>
    <w:p w14:paraId="6D6075BB" w14:textId="77777777" w:rsidR="00333AA3" w:rsidRDefault="00333AA3" w:rsidP="00333AA3">
      <w:pPr>
        <w:rPr>
          <w:rFonts w:cs="Times New Roman"/>
          <w:b/>
          <w:szCs w:val="24"/>
        </w:rPr>
      </w:pPr>
    </w:p>
    <w:p w14:paraId="28918856" w14:textId="77777777" w:rsidR="00333AA3" w:rsidRDefault="00333AA3" w:rsidP="00333AA3">
      <w:pPr>
        <w:contextualSpacing/>
        <w:rPr>
          <w:rFonts w:cs="Times New Roman"/>
          <w:szCs w:val="24"/>
        </w:rPr>
      </w:pPr>
    </w:p>
    <w:p w14:paraId="72281964" w14:textId="77777777" w:rsidR="00333AA3" w:rsidRDefault="00333AA3" w:rsidP="00333AA3">
      <w:pPr>
        <w:contextualSpacing/>
        <w:rPr>
          <w:rFonts w:cs="Times New Roman"/>
          <w:szCs w:val="24"/>
        </w:rPr>
      </w:pPr>
    </w:p>
    <w:p w14:paraId="0762FC7B" w14:textId="77777777" w:rsidR="00333AA3" w:rsidRDefault="00333AA3" w:rsidP="00333AA3">
      <w:pPr>
        <w:contextualSpacing/>
        <w:rPr>
          <w:rFonts w:cs="Times New Roman"/>
          <w:szCs w:val="24"/>
        </w:rPr>
      </w:pPr>
    </w:p>
    <w:p w14:paraId="7B7CA491" w14:textId="77777777" w:rsidR="00333AA3" w:rsidRDefault="00333AA3" w:rsidP="00333AA3">
      <w:pPr>
        <w:contextualSpacing/>
        <w:rPr>
          <w:rFonts w:cs="Times New Roman"/>
          <w:szCs w:val="24"/>
        </w:rPr>
      </w:pPr>
    </w:p>
    <w:p w14:paraId="77C23D1E" w14:textId="77777777" w:rsidR="00333AA3" w:rsidRDefault="00333AA3" w:rsidP="00333AA3">
      <w:pPr>
        <w:contextualSpacing/>
        <w:rPr>
          <w:rFonts w:cs="Times New Roman"/>
          <w:szCs w:val="24"/>
        </w:rPr>
      </w:pPr>
    </w:p>
    <w:p w14:paraId="71AF9E35" w14:textId="77777777" w:rsidR="00333AA3" w:rsidRDefault="00333AA3" w:rsidP="00333AA3">
      <w:pPr>
        <w:contextualSpacing/>
        <w:rPr>
          <w:rFonts w:cs="Times New Roman"/>
          <w:szCs w:val="24"/>
        </w:rPr>
      </w:pPr>
    </w:p>
    <w:p w14:paraId="79555043" w14:textId="77777777" w:rsidR="00333AA3" w:rsidRDefault="00333AA3" w:rsidP="00333AA3">
      <w:pPr>
        <w:contextualSpacing/>
        <w:rPr>
          <w:rFonts w:cs="Times New Roman"/>
          <w:szCs w:val="24"/>
        </w:rPr>
      </w:pPr>
    </w:p>
    <w:p w14:paraId="58F501AA" w14:textId="15223F37" w:rsidR="00333AA3" w:rsidRDefault="00333AA3" w:rsidP="00333AA3">
      <w:pPr>
        <w:contextualSpacing/>
        <w:rPr>
          <w:rFonts w:cs="Times New Roman"/>
          <w:szCs w:val="24"/>
        </w:rPr>
      </w:pPr>
    </w:p>
    <w:p w14:paraId="0BF04B9C" w14:textId="77777777" w:rsidR="004241E2" w:rsidRDefault="004241E2" w:rsidP="00333AA3">
      <w:pPr>
        <w:contextualSpacing/>
        <w:rPr>
          <w:rFonts w:cs="Times New Roman"/>
          <w:szCs w:val="24"/>
        </w:rPr>
      </w:pPr>
    </w:p>
    <w:p w14:paraId="5936D62B" w14:textId="77777777" w:rsidR="00762E41" w:rsidRPr="00EC689A" w:rsidRDefault="00762E41" w:rsidP="00762E41">
      <w:pPr>
        <w:pStyle w:val="Heading1"/>
        <w:jc w:val="center"/>
      </w:pPr>
      <w:bookmarkStart w:id="91" w:name="_Toc60841234"/>
      <w:r>
        <w:lastRenderedPageBreak/>
        <w:t>Scaling landscape pattern in river networks: the effects of spatial extent, grain size and thematic resolution</w:t>
      </w:r>
      <w:bookmarkEnd w:id="91"/>
    </w:p>
    <w:p w14:paraId="16742E09" w14:textId="77777777" w:rsidR="00762E41" w:rsidRDefault="00762E41" w:rsidP="00762E41">
      <w:pPr>
        <w:jc w:val="center"/>
      </w:pPr>
    </w:p>
    <w:p w14:paraId="71A4E61B" w14:textId="77777777" w:rsidR="004241E2" w:rsidRDefault="004241E2" w:rsidP="00762E41">
      <w:pPr>
        <w:jc w:val="center"/>
        <w:rPr>
          <w:rFonts w:cs="Times New Roman"/>
          <w:szCs w:val="24"/>
        </w:rPr>
      </w:pPr>
    </w:p>
    <w:p w14:paraId="760E9DFF" w14:textId="31FA7D47" w:rsidR="00762E41" w:rsidRDefault="00762E41" w:rsidP="00762E41">
      <w:pPr>
        <w:jc w:val="center"/>
        <w:rPr>
          <w:rFonts w:cs="Times New Roman"/>
          <w:szCs w:val="24"/>
        </w:rPr>
      </w:pPr>
      <w:r w:rsidRPr="008D4BF7">
        <w:rPr>
          <w:rFonts w:cs="Times New Roman"/>
          <w:szCs w:val="24"/>
        </w:rPr>
        <w:t>Darin A. Kopp and Daniel C. Allen</w:t>
      </w:r>
    </w:p>
    <w:p w14:paraId="6E246780" w14:textId="5E1C876D" w:rsidR="00762E41" w:rsidRDefault="00762E41" w:rsidP="00762E41">
      <w:pPr>
        <w:spacing w:line="480" w:lineRule="auto"/>
        <w:contextualSpacing/>
        <w:rPr>
          <w:rFonts w:cs="Times New Roman"/>
          <w:szCs w:val="24"/>
        </w:rPr>
      </w:pPr>
    </w:p>
    <w:p w14:paraId="078456EA" w14:textId="77777777" w:rsidR="004241E2" w:rsidRPr="008D4BF7" w:rsidRDefault="004241E2" w:rsidP="00762E41">
      <w:pPr>
        <w:spacing w:line="480" w:lineRule="auto"/>
        <w:contextualSpacing/>
        <w:rPr>
          <w:rFonts w:cs="Times New Roman"/>
          <w:szCs w:val="24"/>
        </w:rPr>
      </w:pPr>
    </w:p>
    <w:p w14:paraId="096986FF" w14:textId="705B5480" w:rsidR="00333AA3" w:rsidRDefault="00762E41" w:rsidP="00665B56">
      <w:pPr>
        <w:spacing w:line="480" w:lineRule="auto"/>
        <w:contextualSpacing/>
        <w:jc w:val="center"/>
        <w:rPr>
          <w:rFonts w:cs="Times New Roman"/>
          <w:szCs w:val="24"/>
        </w:rPr>
      </w:pPr>
      <w:r w:rsidRPr="008D4BF7">
        <w:rPr>
          <w:rFonts w:cs="Times New Roman"/>
          <w:szCs w:val="24"/>
        </w:rPr>
        <w:t>Ecology and Evolutionary Biology Program, Department of Biology, University of Oklahoma, Norman, Oklahoma 73071</w:t>
      </w:r>
    </w:p>
    <w:p w14:paraId="7AC5A763" w14:textId="0BB36898" w:rsidR="001249BB" w:rsidRDefault="001249BB" w:rsidP="00665B56">
      <w:pPr>
        <w:spacing w:line="480" w:lineRule="auto"/>
        <w:contextualSpacing/>
        <w:jc w:val="center"/>
        <w:rPr>
          <w:rFonts w:cs="Times New Roman"/>
          <w:szCs w:val="24"/>
        </w:rPr>
      </w:pPr>
    </w:p>
    <w:p w14:paraId="7CC04AC9" w14:textId="2EF72ECB" w:rsidR="001249BB" w:rsidRDefault="001249BB" w:rsidP="00665B56">
      <w:pPr>
        <w:spacing w:line="480" w:lineRule="auto"/>
        <w:contextualSpacing/>
        <w:jc w:val="center"/>
        <w:rPr>
          <w:rFonts w:cs="Times New Roman"/>
          <w:szCs w:val="24"/>
        </w:rPr>
      </w:pPr>
    </w:p>
    <w:p w14:paraId="5BCAEF98" w14:textId="0AA13517" w:rsidR="001249BB" w:rsidRDefault="001249BB" w:rsidP="00665B56">
      <w:pPr>
        <w:spacing w:line="480" w:lineRule="auto"/>
        <w:contextualSpacing/>
        <w:jc w:val="center"/>
        <w:rPr>
          <w:rFonts w:cs="Times New Roman"/>
          <w:szCs w:val="24"/>
        </w:rPr>
      </w:pPr>
    </w:p>
    <w:p w14:paraId="657E731E" w14:textId="6C6E0703" w:rsidR="001249BB" w:rsidRDefault="001249BB" w:rsidP="00665B56">
      <w:pPr>
        <w:spacing w:line="480" w:lineRule="auto"/>
        <w:contextualSpacing/>
        <w:jc w:val="center"/>
        <w:rPr>
          <w:rFonts w:cs="Times New Roman"/>
          <w:szCs w:val="24"/>
        </w:rPr>
      </w:pPr>
    </w:p>
    <w:p w14:paraId="540FEE1B" w14:textId="3ADB8929" w:rsidR="001249BB" w:rsidRDefault="001249BB" w:rsidP="00665B56">
      <w:pPr>
        <w:spacing w:line="480" w:lineRule="auto"/>
        <w:contextualSpacing/>
        <w:jc w:val="center"/>
        <w:rPr>
          <w:rFonts w:cs="Times New Roman"/>
          <w:szCs w:val="24"/>
        </w:rPr>
      </w:pPr>
    </w:p>
    <w:p w14:paraId="1329C66F" w14:textId="71983592" w:rsidR="001249BB" w:rsidRDefault="001249BB" w:rsidP="00665B56">
      <w:pPr>
        <w:spacing w:line="480" w:lineRule="auto"/>
        <w:contextualSpacing/>
        <w:jc w:val="center"/>
        <w:rPr>
          <w:rFonts w:cs="Times New Roman"/>
          <w:szCs w:val="24"/>
        </w:rPr>
      </w:pPr>
    </w:p>
    <w:p w14:paraId="774C0877" w14:textId="4641DAD2" w:rsidR="001249BB" w:rsidRDefault="001249BB" w:rsidP="00665B56">
      <w:pPr>
        <w:spacing w:line="480" w:lineRule="auto"/>
        <w:contextualSpacing/>
        <w:jc w:val="center"/>
        <w:rPr>
          <w:rFonts w:cs="Times New Roman"/>
          <w:szCs w:val="24"/>
        </w:rPr>
      </w:pPr>
    </w:p>
    <w:p w14:paraId="67748879" w14:textId="3CDAEBCF" w:rsidR="001249BB" w:rsidRDefault="001249BB" w:rsidP="00665B56">
      <w:pPr>
        <w:spacing w:line="480" w:lineRule="auto"/>
        <w:contextualSpacing/>
        <w:jc w:val="center"/>
        <w:rPr>
          <w:rFonts w:cs="Times New Roman"/>
          <w:szCs w:val="24"/>
        </w:rPr>
      </w:pPr>
    </w:p>
    <w:p w14:paraId="35952A8F" w14:textId="3B4BCD14" w:rsidR="000D7ACA" w:rsidRDefault="000D7ACA" w:rsidP="00665B56">
      <w:pPr>
        <w:spacing w:line="480" w:lineRule="auto"/>
        <w:contextualSpacing/>
        <w:jc w:val="center"/>
        <w:rPr>
          <w:rFonts w:cs="Times New Roman"/>
          <w:szCs w:val="24"/>
        </w:rPr>
      </w:pPr>
    </w:p>
    <w:p w14:paraId="66073EEC" w14:textId="77777777" w:rsidR="000D7ACA" w:rsidRDefault="000D7ACA" w:rsidP="00665B56">
      <w:pPr>
        <w:spacing w:line="480" w:lineRule="auto"/>
        <w:contextualSpacing/>
        <w:jc w:val="center"/>
        <w:rPr>
          <w:rFonts w:cs="Times New Roman"/>
          <w:szCs w:val="24"/>
        </w:rPr>
      </w:pPr>
    </w:p>
    <w:p w14:paraId="24B11FEA" w14:textId="2CF33806" w:rsidR="001249BB" w:rsidRDefault="001249BB" w:rsidP="00665B56">
      <w:pPr>
        <w:spacing w:line="480" w:lineRule="auto"/>
        <w:contextualSpacing/>
        <w:jc w:val="center"/>
        <w:rPr>
          <w:rFonts w:cs="Times New Roman"/>
          <w:szCs w:val="24"/>
        </w:rPr>
      </w:pPr>
    </w:p>
    <w:p w14:paraId="09B9085D" w14:textId="78602151" w:rsidR="001249BB" w:rsidRDefault="001249BB" w:rsidP="00665B56">
      <w:pPr>
        <w:spacing w:line="480" w:lineRule="auto"/>
        <w:contextualSpacing/>
        <w:jc w:val="center"/>
        <w:rPr>
          <w:rFonts w:cs="Times New Roman"/>
          <w:szCs w:val="24"/>
        </w:rPr>
      </w:pPr>
    </w:p>
    <w:p w14:paraId="1AEB19AA" w14:textId="28C957AC" w:rsidR="001249BB" w:rsidRDefault="001249BB" w:rsidP="00665B56">
      <w:pPr>
        <w:spacing w:line="480" w:lineRule="auto"/>
        <w:contextualSpacing/>
        <w:jc w:val="center"/>
        <w:rPr>
          <w:rFonts w:cs="Times New Roman"/>
          <w:szCs w:val="24"/>
        </w:rPr>
      </w:pPr>
    </w:p>
    <w:p w14:paraId="596BD7B2" w14:textId="77777777" w:rsidR="001249BB" w:rsidRPr="004C6283" w:rsidRDefault="001249BB" w:rsidP="00665B56">
      <w:pPr>
        <w:spacing w:line="480" w:lineRule="auto"/>
        <w:contextualSpacing/>
        <w:jc w:val="center"/>
        <w:rPr>
          <w:rFonts w:cs="Times New Roman"/>
          <w:szCs w:val="24"/>
        </w:rPr>
      </w:pPr>
    </w:p>
    <w:p w14:paraId="3D2FD1AE" w14:textId="42BE6473" w:rsidR="00333AA3" w:rsidRPr="001F4F98" w:rsidRDefault="00333AA3" w:rsidP="00706C5E">
      <w:pPr>
        <w:pStyle w:val="Heading2"/>
        <w:spacing w:line="480" w:lineRule="auto"/>
        <w:contextualSpacing/>
      </w:pPr>
      <w:bookmarkStart w:id="92" w:name="_Toc60841235"/>
      <w:r w:rsidRPr="00435986">
        <w:lastRenderedPageBreak/>
        <w:t>Abstract</w:t>
      </w:r>
      <w:bookmarkEnd w:id="92"/>
      <w:r w:rsidR="00665B56">
        <w:t xml:space="preserve"> </w:t>
      </w:r>
    </w:p>
    <w:p w14:paraId="13EFFCF9" w14:textId="77777777" w:rsidR="00755451" w:rsidRPr="001A1F6F" w:rsidRDefault="00755451" w:rsidP="00755451">
      <w:pPr>
        <w:spacing w:line="480" w:lineRule="auto"/>
        <w:contextualSpacing/>
        <w:rPr>
          <w:rFonts w:cs="Times New Roman"/>
          <w:b/>
          <w:bCs/>
          <w:szCs w:val="24"/>
        </w:rPr>
      </w:pPr>
      <w:r w:rsidRPr="001A1F6F">
        <w:rPr>
          <w:rFonts w:cs="Times New Roman"/>
          <w:b/>
          <w:bCs/>
          <w:szCs w:val="24"/>
        </w:rPr>
        <w:t xml:space="preserve">Abstract:  </w:t>
      </w:r>
    </w:p>
    <w:p w14:paraId="78C8AA9B" w14:textId="77777777" w:rsidR="00755451" w:rsidRPr="00523B57" w:rsidRDefault="00755451" w:rsidP="00755451">
      <w:pPr>
        <w:spacing w:line="480" w:lineRule="auto"/>
        <w:contextualSpacing/>
        <w:rPr>
          <w:rFonts w:cs="Times New Roman"/>
          <w:szCs w:val="24"/>
        </w:rPr>
      </w:pPr>
      <w:r w:rsidRPr="00523B57">
        <w:rPr>
          <w:rFonts w:cs="Times New Roman"/>
          <w:szCs w:val="24"/>
        </w:rPr>
        <w:t>Context</w:t>
      </w:r>
    </w:p>
    <w:p w14:paraId="4545E775" w14:textId="77777777" w:rsidR="00755451" w:rsidRPr="00523B57" w:rsidRDefault="00755451" w:rsidP="00755451">
      <w:pPr>
        <w:spacing w:line="480" w:lineRule="auto"/>
        <w:contextualSpacing/>
        <w:rPr>
          <w:rFonts w:cs="Times New Roman"/>
          <w:color w:val="333333"/>
          <w:szCs w:val="24"/>
          <w:shd w:val="clear" w:color="auto" w:fill="FFFFFF"/>
        </w:rPr>
      </w:pPr>
      <w:r w:rsidRPr="00523B57">
        <w:rPr>
          <w:rFonts w:cs="Times New Roman"/>
          <w:color w:val="333333"/>
          <w:szCs w:val="24"/>
          <w:shd w:val="clear" w:color="auto" w:fill="FFFFFF"/>
        </w:rPr>
        <w:t>Spatial pattern reflects ecological processes but is scale dependent. In riverine landscapes, scaling relationships are poorly known and could differ from other well-studied landscapes because of their dendritic form.</w:t>
      </w:r>
    </w:p>
    <w:p w14:paraId="25CD43C1" w14:textId="77777777" w:rsidR="00755451" w:rsidRPr="00523B57" w:rsidRDefault="00755451" w:rsidP="00755451">
      <w:pPr>
        <w:spacing w:line="480" w:lineRule="auto"/>
        <w:contextualSpacing/>
        <w:rPr>
          <w:rFonts w:cs="Times New Roman"/>
          <w:szCs w:val="24"/>
        </w:rPr>
      </w:pPr>
    </w:p>
    <w:p w14:paraId="4EAD0B32" w14:textId="77777777" w:rsidR="00755451" w:rsidRPr="00523B57" w:rsidRDefault="00755451" w:rsidP="00755451">
      <w:pPr>
        <w:spacing w:line="480" w:lineRule="auto"/>
        <w:contextualSpacing/>
        <w:rPr>
          <w:rFonts w:cs="Times New Roman"/>
          <w:szCs w:val="24"/>
        </w:rPr>
      </w:pPr>
      <w:r w:rsidRPr="00523B57">
        <w:rPr>
          <w:rFonts w:cs="Times New Roman"/>
          <w:szCs w:val="24"/>
        </w:rPr>
        <w:t>Objectives</w:t>
      </w:r>
    </w:p>
    <w:p w14:paraId="5F934CF6" w14:textId="77777777" w:rsidR="00755451" w:rsidRPr="00523B57" w:rsidRDefault="00755451" w:rsidP="00755451">
      <w:pPr>
        <w:spacing w:line="480" w:lineRule="auto"/>
        <w:contextualSpacing/>
        <w:rPr>
          <w:rFonts w:cs="Times New Roman"/>
          <w:color w:val="333333"/>
          <w:szCs w:val="24"/>
          <w:shd w:val="clear" w:color="auto" w:fill="FFFFFF"/>
        </w:rPr>
      </w:pPr>
      <w:r w:rsidRPr="00523B57">
        <w:rPr>
          <w:rFonts w:cs="Times New Roman"/>
          <w:color w:val="333333"/>
          <w:szCs w:val="24"/>
          <w:shd w:val="clear" w:color="auto" w:fill="FFFFFF"/>
        </w:rPr>
        <w:t xml:space="preserve">The objectives of this study were 1) to assess how spatial pattern of </w:t>
      </w:r>
      <w:proofErr w:type="spellStart"/>
      <w:r w:rsidRPr="00523B57">
        <w:rPr>
          <w:rFonts w:cs="Times New Roman"/>
          <w:color w:val="333333"/>
          <w:szCs w:val="24"/>
          <w:shd w:val="clear" w:color="auto" w:fill="FFFFFF"/>
        </w:rPr>
        <w:t>hydrogeomorphic</w:t>
      </w:r>
      <w:proofErr w:type="spellEnd"/>
      <w:r w:rsidRPr="00523B57">
        <w:rPr>
          <w:rFonts w:cs="Times New Roman"/>
          <w:color w:val="333333"/>
          <w:szCs w:val="24"/>
          <w:shd w:val="clear" w:color="auto" w:fill="FFFFFF"/>
        </w:rPr>
        <w:t xml:space="preserve"> habitat patches (HGP) change with spatial extent, grain size, and thematic resolution, and 2) to quantify how spatial pattern in river networks varies across the contiguous United States (CONUS).</w:t>
      </w:r>
    </w:p>
    <w:p w14:paraId="30FC645E" w14:textId="77777777" w:rsidR="00755451" w:rsidRPr="00523B57" w:rsidRDefault="00755451" w:rsidP="00755451">
      <w:pPr>
        <w:spacing w:line="480" w:lineRule="auto"/>
        <w:contextualSpacing/>
        <w:rPr>
          <w:rFonts w:cs="Times New Roman"/>
          <w:szCs w:val="24"/>
        </w:rPr>
      </w:pPr>
    </w:p>
    <w:p w14:paraId="5DA32C4F" w14:textId="77777777" w:rsidR="00755451" w:rsidRPr="00523B57" w:rsidRDefault="00755451" w:rsidP="00755451">
      <w:pPr>
        <w:spacing w:line="480" w:lineRule="auto"/>
        <w:contextualSpacing/>
        <w:rPr>
          <w:rFonts w:cs="Times New Roman"/>
          <w:szCs w:val="24"/>
        </w:rPr>
      </w:pPr>
      <w:r w:rsidRPr="00523B57">
        <w:rPr>
          <w:rFonts w:cs="Times New Roman"/>
          <w:szCs w:val="24"/>
        </w:rPr>
        <w:t>Methods</w:t>
      </w:r>
    </w:p>
    <w:p w14:paraId="57E7BB73" w14:textId="77777777" w:rsidR="00755451" w:rsidRPr="00523B57" w:rsidRDefault="00755451" w:rsidP="00755451">
      <w:pPr>
        <w:spacing w:line="480" w:lineRule="auto"/>
        <w:contextualSpacing/>
        <w:rPr>
          <w:rFonts w:cs="Times New Roman"/>
          <w:color w:val="333333"/>
          <w:szCs w:val="24"/>
          <w:shd w:val="clear" w:color="auto" w:fill="FFFFFF"/>
        </w:rPr>
      </w:pPr>
      <w:r w:rsidRPr="00523B57">
        <w:rPr>
          <w:rFonts w:cs="Times New Roman"/>
          <w:color w:val="333333"/>
          <w:szCs w:val="24"/>
          <w:shd w:val="clear" w:color="auto" w:fill="FFFFFF"/>
        </w:rPr>
        <w:t xml:space="preserve">We identified </w:t>
      </w:r>
      <w:proofErr w:type="spellStart"/>
      <w:r w:rsidRPr="00523B57">
        <w:rPr>
          <w:rFonts w:cs="Times New Roman"/>
          <w:color w:val="333333"/>
          <w:szCs w:val="24"/>
          <w:shd w:val="clear" w:color="auto" w:fill="FFFFFF"/>
        </w:rPr>
        <w:t>hydrogeomorphic</w:t>
      </w:r>
      <w:proofErr w:type="spellEnd"/>
      <w:r w:rsidRPr="00523B57">
        <w:rPr>
          <w:rFonts w:cs="Times New Roman"/>
          <w:color w:val="333333"/>
          <w:szCs w:val="24"/>
          <w:shd w:val="clear" w:color="auto" w:fill="FFFFFF"/>
        </w:rPr>
        <w:t xml:space="preserve"> patches in river networks located in different </w:t>
      </w:r>
      <w:proofErr w:type="spellStart"/>
      <w:r w:rsidRPr="00523B57">
        <w:rPr>
          <w:rFonts w:cs="Times New Roman"/>
          <w:color w:val="333333"/>
          <w:szCs w:val="24"/>
          <w:shd w:val="clear" w:color="auto" w:fill="FFFFFF"/>
        </w:rPr>
        <w:t>ecoclimatic</w:t>
      </w:r>
      <w:proofErr w:type="spellEnd"/>
      <w:r w:rsidRPr="00523B57">
        <w:rPr>
          <w:rFonts w:cs="Times New Roman"/>
          <w:color w:val="333333"/>
          <w:szCs w:val="24"/>
          <w:shd w:val="clear" w:color="auto" w:fill="FFFFFF"/>
        </w:rPr>
        <w:t xml:space="preserve"> domains of the CONUS. </w:t>
      </w:r>
      <w:r>
        <w:rPr>
          <w:rFonts w:cs="Times New Roman"/>
          <w:color w:val="333333"/>
          <w:szCs w:val="24"/>
          <w:shd w:val="clear" w:color="auto" w:fill="FFFFFF"/>
        </w:rPr>
        <w:t>We then quantified s</w:t>
      </w:r>
      <w:r w:rsidRPr="00523B57">
        <w:rPr>
          <w:rFonts w:cs="Times New Roman"/>
          <w:color w:val="333333"/>
          <w:szCs w:val="24"/>
          <w:shd w:val="clear" w:color="auto" w:fill="FFFFFF"/>
        </w:rPr>
        <w:t>patial pattern using a suite of landscape metrics and investigated scaling relationships for each component of scale. We also assessed whether watershed area, river network length, and drainage density were related to spatial pattern and explored regional differences in the hydrologic, geomorphologic, and climatic variables that differentiate HGP types.</w:t>
      </w:r>
    </w:p>
    <w:p w14:paraId="700F0211" w14:textId="77777777" w:rsidR="00755451" w:rsidRPr="00523B57" w:rsidRDefault="00755451" w:rsidP="00755451">
      <w:pPr>
        <w:spacing w:line="480" w:lineRule="auto"/>
        <w:contextualSpacing/>
        <w:rPr>
          <w:rFonts w:cs="Times New Roman"/>
          <w:szCs w:val="24"/>
        </w:rPr>
      </w:pPr>
    </w:p>
    <w:p w14:paraId="0ACF3779" w14:textId="77777777" w:rsidR="00755451" w:rsidRPr="00523B57" w:rsidRDefault="00755451" w:rsidP="00755451">
      <w:pPr>
        <w:spacing w:line="480" w:lineRule="auto"/>
        <w:contextualSpacing/>
        <w:rPr>
          <w:rFonts w:cs="Times New Roman"/>
          <w:szCs w:val="24"/>
        </w:rPr>
      </w:pPr>
      <w:r w:rsidRPr="00523B57">
        <w:rPr>
          <w:rFonts w:cs="Times New Roman"/>
          <w:szCs w:val="24"/>
        </w:rPr>
        <w:t>Results</w:t>
      </w:r>
    </w:p>
    <w:p w14:paraId="4A8FC2A5" w14:textId="77777777" w:rsidR="00755451" w:rsidRPr="00523B57" w:rsidRDefault="00755451" w:rsidP="00755451">
      <w:pPr>
        <w:spacing w:line="480" w:lineRule="auto"/>
        <w:contextualSpacing/>
        <w:rPr>
          <w:rFonts w:cs="Times New Roman"/>
          <w:color w:val="333333"/>
          <w:szCs w:val="24"/>
          <w:shd w:val="clear" w:color="auto" w:fill="FFFFFF"/>
        </w:rPr>
      </w:pPr>
      <w:r w:rsidRPr="00523B57">
        <w:rPr>
          <w:rFonts w:cs="Times New Roman"/>
          <w:color w:val="333333"/>
          <w:szCs w:val="24"/>
          <w:shd w:val="clear" w:color="auto" w:fill="FFFFFF"/>
        </w:rPr>
        <w:t xml:space="preserve">Scaling relationships varied among river networks. When predictable, they followed either linear, logarithmic, or power functions. Spatial pattern among river networks was related to total </w:t>
      </w:r>
      <w:r w:rsidRPr="00523B57">
        <w:rPr>
          <w:rFonts w:cs="Times New Roman"/>
          <w:color w:val="333333"/>
          <w:szCs w:val="24"/>
          <w:shd w:val="clear" w:color="auto" w:fill="FFFFFF"/>
        </w:rPr>
        <w:lastRenderedPageBreak/>
        <w:t xml:space="preserve">network length, catchment area or drainage density. HGP types in different networks were rarely characterized by the same suite of </w:t>
      </w:r>
      <w:proofErr w:type="spellStart"/>
      <w:r w:rsidRPr="00523B57">
        <w:rPr>
          <w:rFonts w:cs="Times New Roman"/>
          <w:color w:val="333333"/>
          <w:szCs w:val="24"/>
          <w:shd w:val="clear" w:color="auto" w:fill="FFFFFF"/>
        </w:rPr>
        <w:t>hydrogeomorphic</w:t>
      </w:r>
      <w:proofErr w:type="spellEnd"/>
      <w:r w:rsidRPr="00523B57">
        <w:rPr>
          <w:rFonts w:cs="Times New Roman"/>
          <w:color w:val="333333"/>
          <w:szCs w:val="24"/>
          <w:shd w:val="clear" w:color="auto" w:fill="FFFFFF"/>
        </w:rPr>
        <w:t xml:space="preserve"> variables.</w:t>
      </w:r>
    </w:p>
    <w:p w14:paraId="082B1BCC" w14:textId="77777777" w:rsidR="00755451" w:rsidRPr="00523B57" w:rsidRDefault="00755451" w:rsidP="00755451">
      <w:pPr>
        <w:spacing w:line="480" w:lineRule="auto"/>
        <w:contextualSpacing/>
        <w:rPr>
          <w:rFonts w:cs="Times New Roman"/>
          <w:szCs w:val="24"/>
        </w:rPr>
      </w:pPr>
    </w:p>
    <w:p w14:paraId="78D60B24" w14:textId="77777777" w:rsidR="00755451" w:rsidRPr="00523B57" w:rsidRDefault="00755451" w:rsidP="00755451">
      <w:pPr>
        <w:spacing w:line="480" w:lineRule="auto"/>
        <w:contextualSpacing/>
        <w:rPr>
          <w:rFonts w:cs="Times New Roman"/>
          <w:szCs w:val="24"/>
        </w:rPr>
      </w:pPr>
      <w:r w:rsidRPr="00523B57">
        <w:rPr>
          <w:rFonts w:cs="Times New Roman"/>
          <w:szCs w:val="24"/>
        </w:rPr>
        <w:t>Conclusions</w:t>
      </w:r>
    </w:p>
    <w:p w14:paraId="46766076" w14:textId="77777777" w:rsidR="00755451" w:rsidRPr="00523B57" w:rsidRDefault="00755451" w:rsidP="00755451">
      <w:pPr>
        <w:spacing w:line="480" w:lineRule="auto"/>
        <w:contextualSpacing/>
        <w:rPr>
          <w:rFonts w:cs="Times New Roman"/>
          <w:color w:val="333333"/>
          <w:szCs w:val="24"/>
          <w:shd w:val="clear" w:color="auto" w:fill="FFFFFF"/>
        </w:rPr>
      </w:pPr>
      <w:r w:rsidRPr="00523B57">
        <w:rPr>
          <w:rFonts w:cs="Times New Roman"/>
          <w:color w:val="333333"/>
          <w:szCs w:val="24"/>
          <w:shd w:val="clear" w:color="auto" w:fill="FFFFFF"/>
        </w:rPr>
        <w:t>In riverine landscapes, there are a variety of relationships between scale and spatial pattern which often vary among different river networks. The scaling functions we present can provide a concise description of scale dependency in these landscapes and improve our ability to synthesize research conducted at different scales.</w:t>
      </w:r>
    </w:p>
    <w:p w14:paraId="2BCED7EA" w14:textId="77777777" w:rsidR="00755451" w:rsidRDefault="00755451" w:rsidP="00FC2592">
      <w:pPr>
        <w:spacing w:line="480" w:lineRule="auto"/>
        <w:contextualSpacing/>
        <w:rPr>
          <w:rFonts w:cs="Times New Roman"/>
          <w:b/>
          <w:bCs/>
          <w:szCs w:val="24"/>
        </w:rPr>
      </w:pPr>
    </w:p>
    <w:p w14:paraId="5F5FD6F1" w14:textId="21329019" w:rsidR="00FC2592" w:rsidRDefault="00FC2592" w:rsidP="00FC2592">
      <w:pPr>
        <w:spacing w:line="480" w:lineRule="auto"/>
        <w:contextualSpacing/>
        <w:rPr>
          <w:rFonts w:cs="Times New Roman"/>
          <w:szCs w:val="24"/>
        </w:rPr>
      </w:pPr>
      <w:r w:rsidRPr="00FC2592">
        <w:rPr>
          <w:rFonts w:cs="Times New Roman"/>
          <w:b/>
          <w:bCs/>
          <w:szCs w:val="24"/>
        </w:rPr>
        <w:t>Keywords:</w:t>
      </w:r>
      <w:r>
        <w:rPr>
          <w:rFonts w:cs="Times New Roman"/>
          <w:szCs w:val="24"/>
        </w:rPr>
        <w:t xml:space="preserve"> </w:t>
      </w:r>
      <w:proofErr w:type="spellStart"/>
      <w:r>
        <w:rPr>
          <w:rFonts w:cs="Times New Roman"/>
          <w:szCs w:val="24"/>
        </w:rPr>
        <w:t>Hydrogeomorphic</w:t>
      </w:r>
      <w:proofErr w:type="spellEnd"/>
      <w:r>
        <w:rPr>
          <w:rFonts w:cs="Times New Roman"/>
          <w:szCs w:val="24"/>
        </w:rPr>
        <w:t xml:space="preserve"> patches, scaling, landscape pattern analysis, riverine ecosystems, dendritic networks, spatial pattern.</w:t>
      </w:r>
    </w:p>
    <w:p w14:paraId="40A1C528" w14:textId="0D57E5F5" w:rsidR="00333AA3" w:rsidRPr="00665B56" w:rsidRDefault="00333AA3" w:rsidP="00665B56">
      <w:pPr>
        <w:pStyle w:val="Heading2"/>
        <w:spacing w:line="480" w:lineRule="auto"/>
        <w:contextualSpacing/>
      </w:pPr>
      <w:bookmarkStart w:id="93" w:name="_Toc60841236"/>
      <w:r w:rsidRPr="00665B56">
        <w:rPr>
          <w:rStyle w:val="Heading2Char"/>
          <w:b/>
        </w:rPr>
        <w:t>Introduction</w:t>
      </w:r>
      <w:bookmarkEnd w:id="93"/>
      <w:r w:rsidRPr="00665B56">
        <w:t xml:space="preserve"> </w:t>
      </w:r>
    </w:p>
    <w:p w14:paraId="7FA24C6E" w14:textId="77777777" w:rsidR="00755451" w:rsidRDefault="00755451" w:rsidP="00755451">
      <w:pPr>
        <w:spacing w:line="480" w:lineRule="auto"/>
        <w:ind w:firstLine="720"/>
        <w:contextualSpacing/>
        <w:rPr>
          <w:rFonts w:cs="Times New Roman"/>
          <w:szCs w:val="24"/>
        </w:rPr>
      </w:pPr>
      <w:r w:rsidRPr="008475B0">
        <w:rPr>
          <w:rFonts w:cs="Times New Roman"/>
          <w:szCs w:val="24"/>
        </w:rPr>
        <w:t>Spatial pattern</w:t>
      </w:r>
      <w:r>
        <w:rPr>
          <w:rFonts w:cs="Times New Roman"/>
          <w:szCs w:val="24"/>
        </w:rPr>
        <w:t xml:space="preserve"> is</w:t>
      </w:r>
      <w:r w:rsidRPr="008475B0">
        <w:rPr>
          <w:rFonts w:cs="Times New Roman"/>
          <w:szCs w:val="24"/>
        </w:rPr>
        <w:t xml:space="preserve"> </w:t>
      </w:r>
      <w:r>
        <w:rPr>
          <w:rFonts w:cs="Times New Roman"/>
          <w:szCs w:val="24"/>
        </w:rPr>
        <w:t>closely</w:t>
      </w:r>
      <w:r w:rsidRPr="008475B0">
        <w:rPr>
          <w:rFonts w:cs="Times New Roman"/>
          <w:szCs w:val="24"/>
        </w:rPr>
        <w:t xml:space="preserve"> linked </w:t>
      </w:r>
      <w:r>
        <w:rPr>
          <w:rFonts w:cs="Times New Roman"/>
          <w:szCs w:val="24"/>
        </w:rPr>
        <w:t>to</w:t>
      </w:r>
      <w:r w:rsidRPr="008475B0">
        <w:rPr>
          <w:rFonts w:cs="Times New Roman"/>
          <w:szCs w:val="24"/>
        </w:rPr>
        <w:t xml:space="preserve"> ecological processes but the</w:t>
      </w:r>
      <w:r>
        <w:rPr>
          <w:rFonts w:cs="Times New Roman"/>
          <w:szCs w:val="24"/>
        </w:rPr>
        <w:t xml:space="preserve"> relationship depends on the </w:t>
      </w:r>
      <w:r w:rsidRPr="00050D96">
        <w:rPr>
          <w:rFonts w:cs="Times New Roman"/>
          <w:szCs w:val="24"/>
        </w:rPr>
        <w:t>scale</w:t>
      </w:r>
      <w:r>
        <w:rPr>
          <w:rFonts w:cs="Times New Roman"/>
          <w:szCs w:val="24"/>
        </w:rPr>
        <w:t xml:space="preserve"> of the investigation</w:t>
      </w:r>
      <w:r w:rsidRPr="00050D96">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{"citationItems":[{"id":"ITEM-1","itemData":{"author":[{"dropping-particle":"","family":"Wiens","given":"J. A.","non-dropping-particle":"","parse-names":false,"suffix":""}],"container-title":"Functional Ecology","id":"ITEM-1","issue":"4","issued":{"date-parts":[["1989"]]},"page":"385-397","title":"Spatial scaling in ecology","type":"article-journal","volume":"3"},"uris":["http://www.mendeley.com/documents/?uuid=4b7ff78d-5315-41eb-9716-26d305429fc8"]},{"id":"ITEM-2","itemData":{"DOI":"10.1111/geb.12233","ISSN":"14668238","abstract":"Aim: The spatial extent (scale) at which landscape attributes are measured has a strong impact on inferred species-landscape relationships. Consequently, researchers commonly measure landscape variables at multiple scales to select one scale (the 'scale of effect') that yields the strongest species-landscape relationship. Scales of effect observed in multiscale studies may not be true scales of effect if scales are arbitrarily selected and/or are too narrow in range. Miscalculation of the scale of effect may explain why the theoretical relationship between scale of effect and species traits, e.g. dispersal distance, is not empirically well supported. Location: World-wide. Methods: Using data from 583 species in 71 studies we conducted a quantitative review of multiscale studies to evaluate whether research has been conducted at the true scale of effect. Results: Multiple lines of evidence indicated that multiscale studies are often conducted at suboptimal scales. We did not find convincing evidence of a relationship between observed scale of effect and any of 29 species traits. Instead, observed scales of effect were strongly positively predicted by the smallest and largest scales evaluated by researchers. Only 29% of studies reported biological reasons for the scales evaluated. Scales tended to be narrow in range (the mean range is 0.9 orders of magnitude) and few (the mean number of scales evaluated is four). Many species (44%) had observed scales of effect equal to the smallest or largest scale evaluated, suggesting a better scale was outside that range. Increasing the range of scales evaluated decreased the proportion of species with scales of effect equal to the smallest or largest scale evaluated. Main conclusions: To ensure that species-landscape relationships are well estimated, we recommend that the scales at which landscape variables are measured range widely, from the size of a single territory to well above the average dispersal distance.","author":[{"dropping-particle":"","family":"Jackson","given":"Heather Bird","non-dropping-particle":"","parse-names":false,"suffix":""},{"dropping-particle":"","family":"Fahrig","given":"Lenore","non-dropping-particle":"","parse-names":false,"suffix":""}],"container-title":"Global Ecology and Biogeography","id":"ITEM-2","issue":"1","issued":{"date-parts":[["2015"]]},"page":"52-63","title":"Are ecologists conducting research at the optimal scale?","type":"article-journal","volume":"24"},"uris":["http://www.mendeley.com/documents/?uuid=675e98e4-6707-4208-84cd-7eff5d6e934c"]},{"id":"ITEM-3","itemData":{"DOI":"10.1023/A","ISSN":"00138703","abstract":"While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Ecology","id":"ITEM-3","issue":"3","issued":{"date-parts":[["2002"]]},"page":"761-782","title":"Empirical patterns of the effects of changing scale on landscape metrics","type":"article-journal","volume":"17"},"uris":["http://www.mendeley.com/documents/?uuid=0a890e40-e3a8-4e9e-b52a-8e00af91cd6c"]}],"mendeley":{"formattedCitation":"(Wiens 1989; Wu et al. 2002; Jackson and Fahrig 2015)","plainTextFormattedCitation":"(Wiens 1989; Wu et al. 2002; Jackson and Fahrig 2015)","previouslyFormattedCitation":"(Wiens 1989, Wu et al. 2002, Jackson and Fahrig 2015)"},"properties":{"noteIndex":0},"schema":"https://github.com/citation-style-language/schema/raw/master/csl-citation.json"}</w:instrText>
      </w:r>
      <w:r>
        <w:rPr>
          <w:rFonts w:cs="Times New Roman"/>
          <w:szCs w:val="24"/>
        </w:rPr>
        <w:fldChar w:fldCharType="separate"/>
      </w:r>
      <w:r w:rsidRPr="0047668E">
        <w:rPr>
          <w:rFonts w:cs="Times New Roman"/>
          <w:noProof/>
          <w:szCs w:val="24"/>
        </w:rPr>
        <w:t>(Wiens 1989; Wu et al. 2002; Jackson and Fahrig 2015)</w:t>
      </w:r>
      <w:r>
        <w:rPr>
          <w:rFonts w:cs="Times New Roman"/>
          <w:szCs w:val="24"/>
        </w:rPr>
        <w:fldChar w:fldCharType="end"/>
      </w:r>
      <w:r>
        <w:rPr>
          <w:rFonts w:cs="Times New Roman"/>
          <w:szCs w:val="24"/>
        </w:rPr>
        <w:t xml:space="preserve">. Scaling functions can describe how spatial pattern changes with scale and facilitate the transfer of information from one scale to another </w:t>
      </w:r>
      <w:r>
        <w:rPr>
          <w:rFonts w:cs="Times New Roman"/>
          <w:szCs w:val="24"/>
        </w:rPr>
        <w:fldChar w:fldCharType="begin" w:fldLock="1"/>
      </w:r>
      <w:r>
        <w:rPr>
          <w:rFonts w:cs="Times New Roman"/>
          <w:szCs w:val="24"/>
        </w:rPr>
        <w:instrText>ADDIN CSL_CITATION {"citationItems":[{"id":"ITEM-1","itemData":{"DOI":"10.1023/A","ISSN":"00138703","abstract":"While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Ecology","id":"ITEM-1","issue":"3","issued":{"date-parts":[["2002"]]},"page":"761-782","title":"Empirical patterns of the effects of changing scale on landscape metrics","type":"article-journal","volume":"17"},"uris":["http://www.mendeley.com/documents/?uuid=0a890e40-e3a8-4e9e-b52a-8e00af91cd6c"]},{"id":"ITEM-2","itemData":{"DOI":"10.1016/j.apgeog.2012.01.003","ISSN":"01436228","abstract":"Various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Geography","id":"ITEM-2","issued":{"date-parts":[["2012"]]},"page":"385-394","title":"Landscape indices behavior: A review of scale effects","type":"article-journal","volume":"34"},"uris":["http://www.mendeley.com/documents/?uuid=ad11e540-3277-4a6b-8d00-741267e05f72"]}],"mendeley":{"formattedCitation":"(Wu et al. 2002; Šímová and Gdulová 2012)","plainTextFormattedCitation":"(Wu et al. 2002; Šímová and Gdulová 2012)","previouslyFormattedCitation":"(Wu et al. 2002, Šímová and Gdulová 2012)"},"properties":{"noteIndex":0},"schema":"https://github.com/citation-style-language/schema/raw/master/csl-citation.json"}</w:instrText>
      </w:r>
      <w:r>
        <w:rPr>
          <w:rFonts w:cs="Times New Roman"/>
          <w:szCs w:val="24"/>
        </w:rPr>
        <w:fldChar w:fldCharType="separate"/>
      </w:r>
      <w:r w:rsidRPr="0047668E">
        <w:rPr>
          <w:rFonts w:cs="Times New Roman"/>
          <w:noProof/>
          <w:szCs w:val="24"/>
        </w:rPr>
        <w:t>(Wu et al. 2002; Šímová and Gdulová 2012)</w:t>
      </w:r>
      <w:r>
        <w:rPr>
          <w:rFonts w:cs="Times New Roman"/>
          <w:szCs w:val="24"/>
        </w:rPr>
        <w:fldChar w:fldCharType="end"/>
      </w:r>
      <w:r>
        <w:rPr>
          <w:rFonts w:cs="Times New Roman"/>
          <w:szCs w:val="24"/>
        </w:rPr>
        <w:t xml:space="preserve">. Within rivers and streams, heterogeneity of aquatic habitats is an important feature governing ecological processes </w:t>
      </w:r>
      <w:r>
        <w:rPr>
          <w:rFonts w:cs="Times New Roman"/>
          <w:szCs w:val="24"/>
        </w:rPr>
        <w:fldChar w:fldCharType="begin" w:fldLock="1"/>
      </w:r>
      <w:r>
        <w:rPr>
          <w:rFonts w:cs="Times New Roman"/>
          <w:szCs w:val="24"/>
        </w:rPr>
        <w:instrText>ADDIN CSL_CITATION {"citationItems":[{"id":"ITEM-1","itemData":{"DOI":"10.1002/rra.901","ISBN":"1535-1459","ISSN":"15351459","PMID":"19129508","abstract":"We propose an integrated, heuristic model of lotic biocomplexity across spatiotemporal scales from headwaters to large rivers. This riverine ecosystem synthesis (RES) provides a framework for understanding both broad, often discontinuous patterns along longitudinal and lateral dimensions of river networks and local ecological patterns across various temporal and smaller spatial scales. Rather than posing a completely new model, we arrange a conceptual marriage of eco-geomorphology (ecological aspects of fluvial geomorphology) with a terrestrial landscape model describing hierarchical patch dynamics. We modify five components of this terrestrial model for lotic ecosystems: (1) nested, discontinuous hierarchies of patch mosaics; (2) ecosystem dynamics as a composite of intra- and inter-patch dynamics; (3) linked patterns and processes; (4) dominance of non-equilibria] and stochastic processes; and (5) formation of a quasi-equilibrial, metastable state. Our conceptual model blends our perspectives on biocomplexity with aspects of aquatic models proposed from 1980-2004. Contrasting with a common view of rivers as continuous, longitudinal gradients in physical conditions, the RES portrays rivers as downstream arrays of large hydrogeomorphic patches (e.g. constricted, braided and floodplain channel areas) formed by catchment geomorphology and climate. The longitudinal distribution of these patches, which are identifiable using standard geomorphic techniques, varies amongst rivers and is difficult to forecast above ecoregional scales. Some types of hydrogeomorphic patches may reoccur along this downstream passage. Unique ecological 'functional process zones' are formed by individual types of hydrogeomorphic patches because of physiochemical habitat differences which affect ecosystem structure and function. The RES currently includes 14 tenets predicting how patterns of individual species distributions, community regulation, lotic ecosystem processes, and floodplain interactions will vary over spatiotemporal scales, especially as they relate to the functional process zones formed by hydrogeomorphic differences in the river network. Copyright (C) 2006 John Wiley &amp; Sons, Ltd.","author":[{"dropping-particle":"","family":"Thorp","given":"James H.","non-dropping-particle":"","parse-names":false,"suffix":""},{"dropping-particle":"","family":"Thoms","given":"Martin C.","non-dropping-particle":"","parse-names":false,"suffix":""},{"dropping-particle":"","family":"Delong","given":"Michael D.","non-dropping-particle":"","parse-names":false,"suffix":""}],"container-title":"River Research and Applications","id":"ITEM-1","issue":"2","issued":{"date-parts":[["2006"]]},"note":"1. Historical Perspectives and Philosophical Foundation\n2. Elements of the Riverscape and Riverine Landscape\n3. Do patterns exist along a longitudinal dimension in river networks\n3a.Historicall perspectives on continua within rivernetwork\n3b.hydrogeomorphic patches and associated functional process zones\n4. Hierarchical patch dynamics model - bried descrtiption\n5. applying the hierarchical patch dynamics model to lotic ecosystems\n5a. Selective spatiotemporal scales\n5b. Element 1: nested discontinuous hierarchies of patch mosaics\n5c. Element 2: ecosystem dynamics as a composite of intra- and inter-patch dynamics\n5d. Element 3: linked patterns and processes\n5e. Element 4: Dominance of non-equilibrium and stochastic processes\n5f. Element 5: Formation of a quasi-equilibrial, metastable state\n6. A contribution to conceptual cohesiveness in lotic models \n6a. Distribution of species \n6.aa. Model Tenent 1\n6ab. model tenet 2\n6ac. Model tenet 3\n6ad. Model tenet 4\n6b. Community regulation \n6ba. model tenet 5\n6bb. model tenet 6\n6bc. model tenet 7\n6bd. model tenet 8\n6c. River and riverine landscape processes\n6ca. model tenet 9\n6cb model tenet 10","page":"123-147","title":"The riverine ecosystem synthesis: Biocomplexity in river networks across space and time","type":"article-journal","volume":"22"},"uris":["http://www.mendeley.com/documents/?uuid=2dcdf750-a9d5-46e6-b390-b3cf33588523"]},{"id":"ITEM-2","itemData":{"DOI":"10.1111/1752-1688.12649","ISSN":"17521688","abstract":"Fluvial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Association","id":"ITEM-2","issue":"4","issued":{"date-parts":[["2018"]]},"page":"899-913","title":"Characterization of River Networks: A GIS Approach and Its Applications","type":"article-journal","volume":"54"},"uris":["http://www.mendeley.com/documents/?uuid=f71918bb-cdf0-435d-99e7-f9c3eaae3114"]},{"id":"ITEM-3","itemData":{"DOI":"10.1007/s40823-019-00044-6","abstract":"Recent advances in riverscape ecology highlight the need for spatially explicit examinations of how network structure influences ecological pattern and process, instead of the simple linear (upstream-downstream) view. Developments in GIS, remote sensing, and computer technologies already offer powerful tools for the application of patch- and gradient-based models for characterizing abiotic and biotic heterogeneity across a range ofspatial and temporal scales. Along with graph-based analyses and spatial statistical stream network models (i.e., geostatistical modelling), these approaches offer improved capabil- ities for quantifying spatial and temporal heterogeneity and connectivity relationships, thereby allowing for rigorous and high- resolution analyses ofpattern, process, and scale relationships","author":[{"dropping-particle":"","family":"Erős","given":"Tibor","non-dropping-particle":"","parse-names":false,"suffix":""},{"dropping-particle":"","family":"Lowe","given":"Winsor H.","non-dropping-particle":"","parse-names":false,"suffix":""}],"container-title":"Current Landscape Ecology Reports","id":"ITEM-3","issue":"4","issued":{"date-parts":[["2019"]]},"page":"103-112","title":"The Landscape Ecology of Rivers: from Patch-Based to Spatial Network Analyses","type":"article-journal","volume":"4"},"uris":["http://www.mendeley.com/documents/?uuid=32833a85-7d6c-433d-8aa6-c7551f6aa461"]}],"mendeley":{"formattedCitation":"(Thorp et al. 2006; Thoms et al. 2018; Erős and Lowe 2019)","plainTextFormattedCitation":"(Thorp et al. 2006; Thoms et al. 2018; Erős and Lowe 2019)","previouslyFormattedCitation":"(Thorp et al. 2006, Thoms et al. 2018, Erős and Lowe 2019)"},"properties":{"noteIndex":0},"schema":"https://github.com/citation-style-language/schema/raw/master/csl-citation.json"}</w:instrText>
      </w:r>
      <w:r>
        <w:rPr>
          <w:rFonts w:cs="Times New Roman"/>
          <w:szCs w:val="24"/>
        </w:rPr>
        <w:fldChar w:fldCharType="separate"/>
      </w:r>
      <w:r w:rsidRPr="0047668E">
        <w:rPr>
          <w:rFonts w:cs="Times New Roman"/>
          <w:noProof/>
          <w:szCs w:val="24"/>
        </w:rPr>
        <w:t>(Thorp et al. 2006; Thoms et al. 2018; Erős and Lowe 2019)</w:t>
      </w:r>
      <w:r>
        <w:rPr>
          <w:rFonts w:cs="Times New Roman"/>
          <w:szCs w:val="24"/>
        </w:rPr>
        <w:fldChar w:fldCharType="end"/>
      </w:r>
      <w:r>
        <w:rPr>
          <w:rFonts w:cs="Times New Roman"/>
          <w:szCs w:val="24"/>
        </w:rPr>
        <w:t xml:space="preserve">. However, previous studies have viewed aquatic ecosystems as homogenous compartments embedded within larger landscapes </w:t>
      </w:r>
      <w:r>
        <w:rPr>
          <w:rFonts w:cs="Times New Roman"/>
          <w:szCs w:val="24"/>
        </w:rPr>
        <w:fldChar w:fldCharType="begin" w:fldLock="1"/>
      </w:r>
      <w:r>
        <w:rPr>
          <w:rFonts w:cs="Times New Roman"/>
          <w:szCs w:val="24"/>
        </w:rPr>
        <w:instrText>ADDIN CSL_CITATION {"citationItems":[{"id":"ITEM-1","itemData":{"DOI":"10.1016/j.apgeog.2012.01.003","ISSN":"01436228","abstract":"Various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Geography","id":"ITEM-1","issued":{"date-parts":[["2012"]]},"page":"385-394","title":"Landscape indices behavior: A review of scale effects","type":"article-journal","volume":"34"},"uris":["http://www.mendeley.com/documents/?uuid=ad11e540-3277-4a6b-8d00-741267e05f72"]},{"id":"ITEM-2","itemData":{"DOI":"10.1007/s40823-019-00044-6","abstract":"Recent advances in riverscape ecology highlight the need for spatially explicit examinations of how network structure influences ecological pattern and process, instead of the simple linear (upstream-downstream) view. Developments in GIS, remote sensing, and computer technologies already offer powerful tools for the application of patch- and gradient-based models for characterizing abiotic and biotic heterogeneity across a range ofspatial and temporal scales. Along with graph-based analyses and spatial statistical stream network models (i.e., geostatistical modelling), these approaches offer improved capabil- ities for quantifying spatial and temporal heterogeneity and connectivity relationships, thereby allowing for rigorous and high- resolution analyses ofpattern, process, and scale relationships","author":[{"dropping-particle":"","family":"Erős","given":"Tibor","non-dropping-particle":"","parse-names":false,"suffix":""},{"dropping-particle":"","family":"Lowe","given":"Winsor H.","non-dropping-particle":"","parse-names":false,"suffix":""}],"container-title":"Current Landscape Ecology Reports","id":"ITEM-2","issue":"4","issued":{"date-parts":[["2019"]]},"page":"103-112","title":"The Landscape Ecology of Rivers: from Patch-Based to Spatial Network Analyses","type":"article-journal","volume":"4"},"uris":["http://www.mendeley.com/documents/?uuid=32833a85-7d6c-433d-8aa6-c7551f6aa461"]}],"mendeley":{"formattedCitation":"(Šímová and Gdulová 2012; Erős and Lowe 2019)","plainTextFormattedCitation":"(Šímová and Gdulová 2012; Erős and Lowe 2019)","previouslyFormattedCitation":"(Šímová and Gdulová 2012, Erős and Lowe 2019)"},"properties":{"noteIndex":0},"schema":"https://github.com/citation-style-language/schema/raw/master/csl-citation.json"}</w:instrText>
      </w:r>
      <w:r>
        <w:rPr>
          <w:rFonts w:cs="Times New Roman"/>
          <w:szCs w:val="24"/>
        </w:rPr>
        <w:fldChar w:fldCharType="separate"/>
      </w:r>
      <w:r w:rsidRPr="0047668E">
        <w:rPr>
          <w:rFonts w:cs="Times New Roman"/>
          <w:noProof/>
          <w:szCs w:val="24"/>
        </w:rPr>
        <w:t>(Šímová and Gdulová 2012; Erős and Lowe 2019)</w:t>
      </w:r>
      <w:r>
        <w:rPr>
          <w:rFonts w:cs="Times New Roman"/>
          <w:szCs w:val="24"/>
        </w:rPr>
        <w:fldChar w:fldCharType="end"/>
      </w:r>
      <w:r>
        <w:rPr>
          <w:rFonts w:cs="Times New Roman"/>
          <w:szCs w:val="24"/>
        </w:rPr>
        <w:t xml:space="preserve">. Aquatic ecosystems are structurally different from terrestrial landscapes (i.e. dendritic networks) and require different metrics and methods to quantify spatial pattern </w:t>
      </w:r>
      <w:r>
        <w:rPr>
          <w:rFonts w:cs="Times New Roman"/>
          <w:szCs w:val="24"/>
        </w:rPr>
        <w:fldChar w:fldCharType="begin" w:fldLock="1"/>
      </w:r>
      <w:r>
        <w:rPr>
          <w:rFonts w:cs="Times New Roman"/>
          <w:szCs w:val="24"/>
        </w:rPr>
        <w:instrText>ADDIN CSL_CITATION {"citationItems":[{"id":"ITEM-1","itemData":{"DOI":"10.1007/s10661-013-3114-6","ISBN":"01676369 (ISSN)","ISSN":"01676369","PMID":"23435849","abstract":"River systems consist of hydrogeomorphic patches (HPs) that emerge at multiple spatiotemporal scales. Functional process zones (FPZs) are HPs that exist at the river valley scale and are important strata for framing whole-watershed research questions and management plans. Hierarchical classification procedures aid in HP identification by grouping sections of river based on their hydrogeomorphic character; however, collecting data required for such procedures with field-based methods is often impractical. We developed a set of GIS-based tools that facilitate rapid, low cost riverine landscape characterization and FPZ classification. Our tools, termed RESonate, consist of a custom toolbox designed for ESRI ArcGIS®. RESonate automatically extracts 13 hydrogeomorphic variables from readily available geospatial datasets and datasets derived from modeling procedures. An advanced 2D flood model, FLDPLN, designed for MATLAB® is used to determine valley morphology by systematically flooding river networks. When used in conjunction with other modeling procedures, RESonate and FLDPLN can assess the character of large river networks quickly and at very low costs. Here we describe tool and model functions in addition to their benefits, limitations, and applications.","author":[{"dropping-particle":"","family":"Williams","given":"Bradley S.","non-dropping-particle":"","parse-names":false,"suffix":""},{"dropping-particle":"","family":"D'Amico","given":"Ellen","non-dropping-particle":"","parse-names":false,"suffix":""},{"dropping-particle":"","family":"Kastens","given":"Jude H.","non-dropping-particle":"","parse-names":false,"suffix":""},{"dropping-particle":"","family":"Thorp","given":"James H.","non-dropping-particle":"","parse-names":false,"suffix":""},{"dropping-particle":"","family":"Flotemersch","given":"Joseph E.","non-dropping-particle":"","parse-names":false,"suffix":""},{"dropping-particle":"","family":"Thoms","given":"Martin C.","non-dropping-particle":"","parse-names":false,"suffix":""}],"container-title":"Environmental Monitoring and Assessment","id":"ITEM-1","issue":"9","issued":{"date-parts":[["2013"]]},"page":"7485-7499","title":"Automated riverine landscape characterization: GIS-based tools for watershed-scale research, assessment, and management","type":"article-journal","volume":"185"},"uris":["http://www.mendeley.com/documents/?uuid=3254c308-8690-4f1e-9f21-0bbb7355c4fb"]},{"id":"ITEM-2","itemData":{"DOI":"10.1111/1752-1688.12649","ISSN":"17521688","abstract":"Fluvial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Association","id":"ITEM-2","issue":"4","issued":{"date-parts":[["2018"]]},"page":"899-913","title":"Characterization of River Networks: A GIS Approach and Its Applications","type":"article-journal","volume":"54"},"uris":["http://www.mendeley.com/documents/?uuid=f71918bb-cdf0-435d-99e7-f9c3eaae3114"]}],"mendeley":{"formattedCitation":"(Williams et al. 2013; Thoms et al. 2018)","plainTextFormattedCitation":"(Williams et al. 2013; Thoms et al. 2018)","previouslyFormattedCitation":"(Williams et al. 2013,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(Williams et al. 2013; Thoms et al. 2018)</w:t>
      </w:r>
      <w:r>
        <w:rPr>
          <w:rFonts w:cs="Times New Roman"/>
          <w:szCs w:val="24"/>
        </w:rPr>
        <w:fldChar w:fldCharType="end"/>
      </w:r>
      <w:r>
        <w:rPr>
          <w:rFonts w:cs="Times New Roman"/>
          <w:szCs w:val="24"/>
        </w:rPr>
        <w:t xml:space="preserve">. </w:t>
      </w:r>
      <w:r>
        <w:rPr>
          <w:rFonts w:cs="Times New Roman"/>
          <w:szCs w:val="24"/>
        </w:rPr>
        <w:lastRenderedPageBreak/>
        <w:t xml:space="preserve">Understanding how these metrics change with scale is necessary for identifying the operational scale of an ecosystem processes </w:t>
      </w:r>
      <w:r>
        <w:rPr>
          <w:rFonts w:cs="Times New Roman"/>
          <w:szCs w:val="24"/>
        </w:rPr>
        <w:fldChar w:fldCharType="begin" w:fldLock="1"/>
      </w:r>
      <w:r>
        <w:rPr>
          <w:rFonts w:cs="Times New Roman"/>
          <w:szCs w:val="24"/>
        </w:rPr>
        <w:instrText>ADDIN CSL_CITATION {"citationItems":[{"id":"ITEM-1","itemData":{"DOI":"10.1111/geb.12233","ISSN":"14668238","abstract":"Aim: The spatial extent (scale) at which landscape attributes are measured has a strong impact on inferred species-landscape relationships. Consequently, researchers commonly measure landscape variables at multiple scales to select one scale (the 'scale of effect') that yields the strongest species-landscape relationship. Scales of effect observed in multiscale studies may not be true scales of effect if scales are arbitrarily selected and/or are too narrow in range. Miscalculation of the scale of effect may explain why the theoretical relationship between scale of effect and species traits, e.g. dispersal distance, is not empirically well supported. Location: World-wide. Methods: Using data from 583 species in 71 studies we conducted a quantitative review of multiscale studies to evaluate whether research has been conducted at the true scale of effect. Results: Multiple lines of evidence indicated that multiscale studies are often conducted at suboptimal scales. We did not find convincing evidence of a relationship between observed scale of effect and any of 29 species traits. Instead, observed scales of effect were strongly positively predicted by the smallest and largest scales evaluated by researchers. Only 29% of studies reported biological reasons for the scales evaluated. Scales tended to be narrow in range (the mean range is 0.9 orders of magnitude) and few (the mean number of scales evaluated is four). Many species (44%) had observed scales of effect equal to the smallest or largest scale evaluated, suggesting a better scale was outside that range. Increasing the range of scales evaluated decreased the proportion of species with scales of effect equal to the smallest or largest scale evaluated. Main conclusions: To ensure that species-landscape relationships are well estimated, we recommend that the scales at which landscape variables are measured range widely, from the size of a single territory to well above the average dispersal distance.","author":[{"dropping-particle":"","family":"Jackson","given":"Heather Bird","non-dropping-particle":"","parse-names":false,"suffix":""},{"dropping-particle":"","family":"Fahrig","given":"Lenore","non-dropping-particle":"","parse-names":false,"suffix":""}],"container-title":"Global Ecology and Biogeography","id":"ITEM-1","issue":"1","issued":{"date-parts":[["2015"]]},"page":"52-63","title":"Are ecologists conducting research at the optimal scale?","type":"article-journal","volume":"24"},"uris":["http://www.mendeley.com/documents/?uuid=675e98e4-6707-4208-84cd-7eff5d6e934c"]},{"id":"ITEM-2","itemData":{"DOI":"10.1111/geb.12889","ISSN":"14668238","abstract":"Aim: The aim was to assess whether and to what extent the role of local landscape attributes in shaping macroscopic biodiversity patterns is sensitive to spatial and thematic resolutions of land cover data. Location: Sub-Saharan Africa and continental China. Time period: Early 21st century. Taxa studied: Terrestrial mammals. Methods: We conducted spatial and thematic scaling analyses to generate land cover datasets of different spatial (0.3, 0.5, 1.0 and 9.0 km) and thematic (two, three and five classes) resolutions. We calculated landscape metrics based on the resulting land cover maps and examined the power of landscape metrics for explaining species richness patterns, using non-spatial (OLS) and spatial (SAR) linear models and random forest (RF) models. We systematically assessed the resolution dependence of explanatory power for different geographical regions, different scaling approaches and different model types. We also compared the explanatory power of landscape attributes with that of macroclimate. Results: Collectively, local landscape attributes generally had strong explanatory power for species richness. For the African system, the largest explanatory power was c. 60% based on the OLS models and random forest models and c. 30% based on the non-spatial components of the SAR models. For the Chinese system, the largest explanatory power was c. 35% based on the OLS models and c. 40% based on the SAR and random forest models. We observed a linear scaling relationship, which is robust to studied systems, scaling approaches and model types. In contrast, the scaling relationship varies substantially among single landscape metrics. At coarse resolutions, the addition of landscape attributes collectively would not improve climate-envelope models significantly, whereas at finer resolutions, landscape attributes collectively have explanatory power that is close to or even exceeds climate. Main conclusions: Local landscape attributes play an important role in shaping macroscopic biodiversity patterns. However, their strength is highly sensitive to both spatial and thematic resolutions of land cover data, with stronger explanatory power detected at finer resolutions. Strong sensitivity to spatial and thematic resolutions makes landscape attributes highly plastic determinants, leading to contrasting conclusions if based on greatly different resolutions of land cover data. Scaling analyses are needed to examine such cross-scale effects of macroecological de…","author":[{"dropping-particle":"","family":"Qiu","given":"Yanning","non-dropping-particle":"","parse-names":false,"suffix":""},{"dropping-particle":"","family":"Teng","given":"Shuqing N.","non-dropping-particle":"","parse-names":false,"suffix":""},{"dropping-particle":"","family":"Zhang","given":"Yong","non-dropping-particle":"","parse-names":false,"suffix":""},{"dropping-particle":"","family":"Santana","given":"Joana","non-dropping-particle":"","parse-names":false,"suffix":""},{"dropping-particle":"","family":"Svenning","given":"Jens Christian","non-dropping-particle":"","parse-names":false,"suffix":""},{"dropping-particle":"","family":"Reino","given":"Luís","non-dropping-particle":"","parse-names":false,"suffix":""},{"dropping-particle":"","family":"Abades","given":"Sabastián","non-dropping-particle":"","parse-names":false,"suffix":""},{"dropping-particle":"","family":"Ma","given":"Haozhi","non-dropping-particle":"","parse-names":false,"suffix":""},{"dropping-particle":"","family":"Yang","given":"Luojun","non-dropping-particle":"","parse-names":false,"suffix":""},{"dropping-particle":"","family":"Wu","given":"Yiqian","non-dropping-particle":"","parse-names":false,"suffix":""},{"dropping-particle":"","family":"Huang","given":"Zheng Y.X.","non-dropping-particle":"","parse-names":false,"suffix":""},{"dropping-particle":"","family":"Xu","given":"Chi","non-dropping-particle":"","parse-names":false,"suffix":""}],"container-title":"Global Ecology and Biogeography","id":"ITEM-2","issue":"6","issued":{"date-parts":[["2019"]]},"page":"767-778","title":"The resolution-dependent role of landscape attributes in shaping macro-scale biodiversity patterns","type":"article-journal","volume":"28"},"uris":["http://www.mendeley.com/documents/?uuid=2efb39f1-7edc-4497-9c18-4e3dc297b8f5"]}],"mendeley":{"formattedCitation":"(Jackson and Fahrig 2015; Qiu et al. 2019)","plainTextFormattedCitation":"(Jackson and Fahrig 2015; Qiu et al. 2019)","previouslyFormattedCitation":"(Jackson and Fahrig 2015, Qiu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(Jackson and Fahrig 2015; Qiu et al. 2019)</w:t>
      </w:r>
      <w:r>
        <w:rPr>
          <w:rFonts w:cs="Times New Roman"/>
          <w:szCs w:val="24"/>
        </w:rPr>
        <w:fldChar w:fldCharType="end"/>
      </w:r>
      <w:r>
        <w:rPr>
          <w:rFonts w:cs="Times New Roman"/>
          <w:szCs w:val="24"/>
        </w:rPr>
        <w:t xml:space="preserve">. </w:t>
      </w:r>
    </w:p>
    <w:p w14:paraId="105B140C" w14:textId="77777777" w:rsidR="00755451" w:rsidRDefault="00755451" w:rsidP="00755451">
      <w:pPr>
        <w:spacing w:line="480" w:lineRule="auto"/>
        <w:ind w:firstLine="720"/>
        <w:contextualSpacing/>
        <w:rPr>
          <w:rFonts w:cs="Times New Roman"/>
          <w:szCs w:val="24"/>
        </w:rPr>
      </w:pPr>
      <w:r w:rsidRPr="00C07B67">
        <w:rPr>
          <w:rFonts w:cs="Times New Roman"/>
          <w:szCs w:val="24"/>
        </w:rPr>
        <w:t xml:space="preserve">Spatial pattern is typically quantified using landscape metrics that measure the composition (i.e. diversity) or configuration (i.e. spatial arrangement) of </w:t>
      </w:r>
      <w:r>
        <w:rPr>
          <w:rFonts w:cs="Times New Roman"/>
          <w:szCs w:val="24"/>
        </w:rPr>
        <w:t>habitat patches</w:t>
      </w:r>
      <w:r w:rsidRPr="00C07B67">
        <w:rPr>
          <w:rFonts w:cs="Times New Roman"/>
          <w:szCs w:val="24"/>
        </w:rPr>
        <w:t xml:space="preserve"> (</w:t>
      </w:r>
      <w:proofErr w:type="spellStart"/>
      <w:r w:rsidRPr="00C07B67">
        <w:rPr>
          <w:rFonts w:cs="Times New Roman"/>
          <w:szCs w:val="24"/>
        </w:rPr>
        <w:t>McGarigal</w:t>
      </w:r>
      <w:proofErr w:type="spellEnd"/>
      <w:r w:rsidRPr="00C07B67">
        <w:rPr>
          <w:rFonts w:cs="Times New Roman"/>
          <w:szCs w:val="24"/>
        </w:rPr>
        <w:t xml:space="preserve"> et al. 2012)</w:t>
      </w:r>
      <w:r>
        <w:rPr>
          <w:rFonts w:cs="Times New Roman"/>
          <w:szCs w:val="24"/>
        </w:rPr>
        <w:t xml:space="preserve">. Scale can include multiple components </w:t>
      </w:r>
      <w:r>
        <w:rPr>
          <w:rFonts w:cs="Times New Roman"/>
          <w:szCs w:val="24"/>
        </w:rPr>
        <w:fldChar w:fldCharType="begin" w:fldLock="1"/>
      </w:r>
      <w:r>
        <w:rPr>
          <w:rFonts w:cs="Times New Roman"/>
          <w:szCs w:val="24"/>
        </w:rPr>
        <w:instrText>ADDIN CSL_CITATION {"citationItems":[{"id":"ITEM-1","itemData":{"author":[{"dropping-particle":"","family":"Turner","given":"M.G.","non-dropping-particle":"","parse-names":false,"suffix":""},{"dropping-particle":"","family":"Gardner","given":"R.H.","non-dropping-particle":"","parse-names":false,"suffix":""}],"edition":"Second","id":"ITEM-1","issued":{"date-parts":[["2015"]]},"publisher":"Springer-Verlag","publisher-place":"New York","title":"Landscape Ecology in Theory and Practice","type":"book"},"uris":["http://www.mendeley.com/documents/?uuid=5c45c650-62ad-4930-9823-a07d625f599f"]},{"id":"ITEM-2","itemData":{"DOI":"10.1007/1-4020-4663-4_1","ISBN":"1402046642","abstract":"The relationship between pattern and process is of great interest in all natural and social sciences, and scale is an integral part of this relationship. It is now well documented that biophysical and socioeconomic patterns and processes operate on a wide range of spatial and temporal scales. In particular, the scale multiplicity and scale dependence of pattern, process, and their relationships have become a central topic in ecology (Levin 1992, Wu and Loucks 1995, Peterson and Parker 1998). Perspectives centering on scale and scaling began to surge in the mid-1980's and are pervasive in all areas of ecology today (Figure 1.1). A similar trend of increasing emphasis on scale and scaling is also evident in other natural and social sciences (e.g., Bl?schl and Sivapalan 1995, Marceau 1999, Meadowcroft 2002). Scale usually refers to the spatial or temporal dimension of a phenomenon, and scaling is the transfer of information between scales (more detail below). Three distinctive but interrelated issues of scale have frequently been discussed in the literature: (1) characteristic scales, (2) scale effects, and (3) scaling (and associated uncertainty analysis and accuracy assessment). The concept of characteristic scale implies that many, if not most, natural phenomena have their own distinctive scales (or ranges of scales) that characterize their behavior (e.g., typical spatial extent or event frequency). Characteristic scales are intrinsic to the phenomena of concern, but detected characteristic scales with the involvement of the observer may be tinted with subjectivity (Wu 1999). Conceptually, characteristic scales may be perceived as the levels in a hierarchy, and associated with scale breaks (O'Neill et al. 1991, Wu 1999). Ecological patterns and processes have been shown to have distinctive characteristic scales on which their dynamics can be most effectively studied (Clark 1985, Delcourt and Delcourt 1988, Wu 1999). Thus, identifying characteristic scales provides a key to profound understanding and enlightened scaling. Scale effects usually refer to the changes in the result of a study due to a change in the scale at which the study is conducted. Effects of changing scale on sampling and experimental design, statistical analyses, and modeling have been well documented in ecology and geography (e.g., Turner et al. 1989b, White and Running 1994, Wu and Levin 1994, Pierce and Running 1995, Jelinski and Wu 1996, Dungan et al. 2002, Wu 2004). In geography, …","author":[{"dropping-particle":"","family":"Wu","given":"Jianguo","non-dropping-particle":"","parse-names":false,"suffix":""},{"dropping-particle":"","family":"Li","given":"Harbin","non-dropping-particle":"","parse-names":false,"suffix":""}],"container-title":"Scaling and Uncertainty Analysis in Ecology: Methods and Applications","id":"ITEM-2","issued":{"date-parts":[["2006"]]},"page":"3-15","title":"Concepts of scale and scaling","type":"article-journal"},"uris":["http://www.mendeley.com/documents/?uuid=ec5d18f3-56b1-4c1a-bd8d-9c4cc26a4666"]}],"mendeley":{"formattedCitation":"(Wu and Li 2006; Turner and Gardner 2015)","plainTextFormattedCitation":"(Wu and Li 2006; Turner and Gardner 2015)","previouslyFormattedCitation":"(Wu and Li 2006, Turner and Gardner 2015)"},"properties":{"noteIndex":0},"schema":"https://github.com/citation-style-language/schema/raw/master/csl-citation.json"}</w:instrText>
      </w:r>
      <w:r>
        <w:rPr>
          <w:rFonts w:cs="Times New Roman"/>
          <w:szCs w:val="24"/>
        </w:rPr>
        <w:fldChar w:fldCharType="separate"/>
      </w:r>
      <w:r w:rsidRPr="0047668E">
        <w:rPr>
          <w:rFonts w:cs="Times New Roman"/>
          <w:noProof/>
          <w:szCs w:val="24"/>
        </w:rPr>
        <w:t>(Wu and Li 2006; Turner and Gardner 2015)</w:t>
      </w:r>
      <w:r>
        <w:rPr>
          <w:rFonts w:cs="Times New Roman"/>
          <w:szCs w:val="24"/>
        </w:rPr>
        <w:fldChar w:fldCharType="end"/>
      </w:r>
      <w:r>
        <w:rPr>
          <w:rFonts w:cs="Times New Roman"/>
          <w:szCs w:val="24"/>
        </w:rPr>
        <w:t xml:space="preserve">, but most often it refers to spatial extent, the total area used in a study, or spatial grain, the finest resolution that can detect a pattern </w:t>
      </w:r>
      <w:r>
        <w:rPr>
          <w:rFonts w:cs="Times New Roman"/>
          <w:szCs w:val="24"/>
        </w:rPr>
        <w:fldChar w:fldCharType="begin" w:fldLock="1"/>
      </w:r>
      <w:r>
        <w:rPr>
          <w:rFonts w:cs="Times New Roman"/>
          <w:szCs w:val="24"/>
        </w:rPr>
        <w:instrText>ADDIN CSL_CITATION {"citationItems":[{"id":"ITEM-1","itemData":{"author":[{"dropping-particle":"","family":"Wiens","given":"J. A.","non-dropping-particle":"","parse-names":false,"suffix":""}],"container-title":"Functional Ecology","id":"ITEM-1","issue":"4","issued":{"date-parts":[["1989"]]},"page":"385-397","title":"Spatial scaling in ecology","type":"article-journal","volume":"3"},"uris":["http://www.mendeley.com/documents/?uuid=4b7ff78d-5315-41eb-9716-26d305429fc8"]},{"id":"ITEM-2","itemData":{"DOI":"10.1007/1-4020-4663-4_1","ISBN":"1402046642","abstract":"The relationship between pattern and process is of great interest in all natural and social sciences, and scale is an integral part of this relationship. It is now well documented that biophysical and socioeconomic patterns and processes operate on a wide range of spatial and temporal scales. In particular, the scale multiplicity and scale dependence of pattern, process, and their relationships have become a central topic in ecology (Levin 1992, Wu and Loucks 1995, Peterson and Parker 1998). Perspectives centering on scale and scaling began to surge in the mid-1980's and are pervasive in all areas of ecology today (Figure 1.1). A similar trend of increasing emphasis on scale and scaling is also evident in other natural and social sciences (e.g., Bl?schl and Sivapalan 1995, Marceau 1999, Meadowcroft 2002). Scale usually refers to the spatial or temporal dimension of a phenomenon, and scaling is the transfer of information between scales (more detail below). Three distinctive but interrelated issues of scale have frequently been discussed in the literature: (1) characteristic scales, (2) scale effects, and (3) scaling (and associated uncertainty analysis and accuracy assessment). The concept of characteristic scale implies that many, if not most, natural phenomena have their own distinctive scales (or ranges of scales) that characterize their behavior (e.g., typical spatial extent or event frequency). Characteristic scales are intrinsic to the phenomena of concern, but detected characteristic scales with the involvement of the observer may be tinted with subjectivity (Wu 1999). Conceptually, characteristic scales may be perceived as the levels in a hierarchy, and associated with scale breaks (O'Neill et al. 1991, Wu 1999). Ecological patterns and processes have been shown to have distinctive characteristic scales on which their dynamics can be most effectively studied (Clark 1985, Delcourt and Delcourt 1988, Wu 1999). Thus, identifying characteristic scales provides a key to profound understanding and enlightened scaling. Scale effects usually refer to the changes in the result of a study due to a change in the scale at which the study is conducted. Effects of changing scale on sampling and experimental design, statistical analyses, and modeling have been well documented in ecology and geography (e.g., Turner et al. 1989b, White and Running 1994, Wu and Levin 1994, Pierce and Running 1995, Jelinski and Wu 1996, Dungan et al. 2002, Wu 2004). In geography, …","author":[{"dropping-particle":"","family":"Wu","given":"Jianguo","non-dropping-particle":"","parse-names":false,"suffix":""},{"dropping-particle":"","family":"Li","given":"Harbin","non-dropping-particle":"","parse-names":false,"suffix":""}],"container-title":"Scaling and Uncertainty Analysis in Ecology: Methods and Applications","id":"ITEM-2","issued":{"date-parts":[["2006"]]},"page":"3-15","title":"Concepts of scale and scaling","type":"article-journal"},"uris":["http://www.mendeley.com/documents/?uuid=ec5d18f3-56b1-4c1a-bd8d-9c4cc26a4666"]},{"id":"ITEM-3","itemData":{"DOI":"10.1007/978-4-431-87771-4","ISBN":"9784431877714","author":[{"dropping-particle":"","family":"Cushman","given":"Samuel A.","non-dropping-particle":"","parse-names":false,"suffix":""},{"dropping-particle":"","family":"Littell","given":"Jeremy","non-dropping-particle":"","parse-names":false,"suffix":""},{"dropping-particle":"","family":"McGarigal","given":"Kevin","non-dropping-particle":"","parse-names":false,"suffix":""}],"container-title":"Spatial Complexity, Informatics, and Wildlife Conservation","editor":[{"dropping-particle":"","family":"Cushman S.A.","given":"","non-dropping-particle":"","parse-names":false,"suffix":""},{"dropping-particle":"","family":"Huettmann","given":"F","non-dropping-particle":"","parse-names":false,"suffix":""}],"id":"ITEM-3","issued":{"date-parts":[["2010"]]},"page":"1-458","publisher":"Springer","publisher-place":"Tokyo","title":"The Problem of Ecological Scaling in Spatially Complex, Nonequilibrium Ecological Systems","type":"chapter"},"uris":["http://www.mendeley.com/documents/?uuid=a40f3a64-6b8f-4a1d-b80b-99eb60eb676d"]}],"mendeley":{"formattedCitation":"(Wiens 1989; Wu and Li 2006; Cushman et al. 2010)","manualFormatting":"(e.g. pixel size or linear unit; Wiens 1989, Wu and Li 2006, Cushman et al. 2010)","plainTextFormattedCitation":"(Wiens 1989; Wu and Li 2006; Cushman et al. 2010)","previouslyFormattedCitation":"(Wiens 1989, Wu and Li 2006, Cushman et al. 2010)"},"properties":{"noteIndex":0},"schema":"https://github.com/citation-style-language/schema/raw/master/csl-citation.json"}</w:instrText>
      </w:r>
      <w:r>
        <w:rPr>
          <w:rFonts w:cs="Times New Roman"/>
          <w:szCs w:val="24"/>
        </w:rPr>
        <w:fldChar w:fldCharType="separate"/>
      </w:r>
      <w:r w:rsidRPr="001E2FE8">
        <w:rPr>
          <w:rFonts w:cs="Times New Roman"/>
          <w:noProof/>
          <w:szCs w:val="24"/>
        </w:rPr>
        <w:t>(</w:t>
      </w:r>
      <w:r>
        <w:rPr>
          <w:rFonts w:cs="Times New Roman"/>
          <w:noProof/>
          <w:szCs w:val="24"/>
        </w:rPr>
        <w:t xml:space="preserve">e.g. pixel size or linear unit; </w:t>
      </w:r>
      <w:r w:rsidRPr="001E2FE8">
        <w:rPr>
          <w:rFonts w:cs="Times New Roman"/>
          <w:noProof/>
          <w:szCs w:val="24"/>
        </w:rPr>
        <w:t>Wiens 1989, Wu and Li 2006, Cushman et al. 2010)</w:t>
      </w:r>
      <w:r>
        <w:rPr>
          <w:rFonts w:cs="Times New Roman"/>
          <w:szCs w:val="24"/>
        </w:rPr>
        <w:fldChar w:fldCharType="end"/>
      </w:r>
      <w:r>
        <w:rPr>
          <w:rFonts w:cs="Times New Roman"/>
          <w:szCs w:val="24"/>
        </w:rPr>
        <w:t xml:space="preserve">. A third component of scale, thematic resolution, refers to the level of detail used to differentiate landscape components. For example, land cover classification maps are often represented as nested hierarchies: at lower levels of the hierarchy thematic resolution increases such that a larger number of subordinate land cover classes are revealed </w:t>
      </w:r>
      <w:r>
        <w:rPr>
          <w:rFonts w:cs="Times New Roman"/>
          <w:szCs w:val="24"/>
        </w:rPr>
        <w:fldChar w:fldCharType="begin" w:fldLock="1"/>
      </w:r>
      <w:r>
        <w:rPr>
          <w:rFonts w:cs="Times New Roman"/>
          <w:szCs w:val="24"/>
        </w:rPr>
        <w:instrText>ADDIN CSL_CITATION {"citationItems":[{"id":"ITEM-1","itemData":{"DOI":"10.1111/geb.12889","ISSN":"14668238","abstract":"Aim: The aim was to assess whether and to what extent the role of local landscape attributes in shaping macroscopic biodiversity patterns is sensitive to spatial and thematic resolutions of land cover data. Location: Sub-Saharan Africa and continental China. Time period: Early 21st century. Taxa studied: Terrestrial mammals. Methods: We conducted spatial and thematic scaling analyses to generate land cover datasets of different spatial (0.3, 0.5, 1.0 and 9.0 km) and thematic (two, three and five classes) resolutions. We calculated landscape metrics based on the resulting land cover maps and examined the power of landscape metrics for explaining species richness patterns, using non-spatial (OLS) and spatial (SAR) linear models and random forest (RF) models. We systematically assessed the resolution dependence of explanatory power for different geographical regions, different scaling approaches and different model types. We also compared the explanatory power of landscape attributes with that of macroclimate. Results: Collectively, local landscape attributes generally had strong explanatory power for species richness. For the African system, the largest explanatory power was c. 60% based on the OLS models and random forest models and c. 30% based on the non-spatial components of the SAR models. For the Chinese system, the largest explanatory power was c. 35% based on the OLS models and c. 40% based on the SAR and random forest models. We observed a linear scaling relationship, which is robust to studied systems, scaling approaches and model types. In contrast, the scaling relationship varies substantially among single landscape metrics. At coarse resolutions, the addition of landscape attributes collectively would not improve climate-envelope models significantly, whereas at finer resolutions, landscape attributes collectively have explanatory power that is close to or even exceeds climate. Main conclusions: Local landscape attributes play an important role in shaping macroscopic biodiversity patterns. However, their strength is highly sensitive to both spatial and thematic resolutions of land cover data, with stronger explanatory power detected at finer resolutions. Strong sensitivity to spatial and thematic resolutions makes landscape attributes highly plastic determinants, leading to contrasting conclusions if based on greatly different resolutions of land cover data. Scaling analyses are needed to examine such cross-scale effects of macroecological de…","author":[{"dropping-particle":"","family":"Qiu","given":"Yanning","non-dropping-particle":"","parse-names":false,"suffix":""},{"dropping-particle":"","family":"Teng","given":"Shuqing N.","non-dropping-particle":"","parse-names":false,"suffix":""},{"dropping-particle":"","family":"Zhang","given":"Yong","non-dropping-particle":"","parse-names":false,"suffix":""},{"dropping-particle":"","family":"Santana","given":"Joana","non-dropping-particle":"","parse-names":false,"suffix":""},{"dropping-particle":"","family":"Svenning","given":"Jens Christian","non-dropping-particle":"","parse-names":false,"suffix":""},{"dropping-particle":"","family":"Reino","given":"Luís","non-dropping-particle":"","parse-names":false,"suffix":""},{"dropping-particle":"","family":"Abades","given":"Sabastián","non-dropping-particle":"","parse-names":false,"suffix":""},{"dropping-particle":"","family":"Ma","given":"Haozhi","non-dropping-particle":"","parse-names":false,"suffix":""},{"dropping-particle":"","family":"Yang","given":"Luojun","non-dropping-particle":"","parse-names":false,"suffix":""},{"dropping-particle":"","family":"Wu","given":"Yiqian","non-dropping-particle":"","parse-names":false,"suffix":""},{"dropping-particle":"","family":"Huang","given":"Zheng Y.X.","non-dropping-particle":"","parse-names":false,"suffix":""},{"dropping-particle":"","family":"Xu","given":"Chi","non-dropping-particle":"","parse-names":false,"suffix":""}],"container-title":"Global Ecology and Biogeography","id":"ITEM-1","issue":"6","issued":{"date-parts":[["2019"]]},"page":"767-778","title":"The resolution-dependent role of landscape attributes in shaping macro-scale biodiversity patterns","type":"article-journal","volume":"28"},"uris":["http://www.mendeley.com/documents/?uuid=2efb39f1-7edc-4497-9c18-4e3dc297b8f5"]},{"id":"ITEM-2","itemData":{"DOI":"10.1007/s10980-006-9010-5","ISSN":"09212973","abstract":"The thematic resolution of mapped data determines the amount of detail of geospatial information, and influences various aspects of landscape classification and the relevance of derived pattern attributes to particular ecological questions. Here we show that changing thematic resolution may significantly affect landscape metrics and in turn their ability to detect landscape changes. The effects of thematic resolution on many landscape metrics tend to show consistent general patterns, but the details of these patterns are likely to be dependent on specific landscape patterns and classification criteria. Thus, the effects of thematic resolution, like those with regard to grain and extent, must be considered in landscape pattern analysis. © 2006 Springer Science+Business Media B.V.","author":[{"dropping-particle":"","family":"Buyantuyev","given":"Alexander","non-dropping-particle":"","parse-names":false,"suffix":""},{"dropping-particle":"","family":"Wu","given":"Jianguo","non-dropping-particle":"","parse-names":false,"suffix":""}],"container-title":"Landscape Ecology","id":"ITEM-2","issue":"1","issued":{"date-parts":[["2007"]]},"page":"7-13","title":"Effects of thematic resolution on landscape pattern analysis","type":"article-journal","volume":"22"},"uris":["http://www.mendeley.com/documents/?uuid=fb40bdb5-3c41-47be-8063-241bfaddc47a"]},{"id":"ITEM-3","itemData":{"DOI":"10.1016/j.apgeog.2012.01.003","ISSN":"01436228","abstract":"Various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Geography","id":"ITEM-3","issued":{"date-parts":[["2012"]]},"page":"385-394","title":"Landscape indices behavior: A review of scale effects","type":"article-journal","volume":"34"},"uris":["http://www.mendeley.com/documents/?uuid=ad11e540-3277-4a6b-8d00-741267e05f72"]}],"mendeley":{"formattedCitation":"(Buyantuyev and Wu 2007; Šímová and Gdulová 2012; Qiu et al. 2019)","plainTextFormattedCitation":"(Buyantuyev and Wu 2007; Šímová and Gdulová 2012; Qiu et al. 2019)","previouslyFormattedCitation":"(Buyantuyev and Wu 2007, Šímová and Gdulová 2012, Qiu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(Buyantuyev and Wu 2007; Šímová and Gdulová 2012; Qiu et al. 2019)</w:t>
      </w:r>
      <w:r>
        <w:rPr>
          <w:rFonts w:cs="Times New Roman"/>
          <w:szCs w:val="24"/>
        </w:rPr>
        <w:fldChar w:fldCharType="end"/>
      </w:r>
      <w:r>
        <w:rPr>
          <w:rFonts w:cs="Times New Roman"/>
          <w:szCs w:val="24"/>
        </w:rPr>
        <w:t xml:space="preserve">. </w:t>
      </w:r>
    </w:p>
    <w:p w14:paraId="111CBC0C" w14:textId="77777777" w:rsidR="00755451" w:rsidRDefault="00755451" w:rsidP="00755451">
      <w:pPr>
        <w:spacing w:line="480" w:lineRule="auto"/>
        <w:ind w:firstLine="720"/>
        <w:contextualSpacing/>
        <w:rPr>
          <w:rFonts w:cs="Times New Roman"/>
          <w:szCs w:val="24"/>
        </w:rPr>
      </w:pPr>
      <w:r>
        <w:rPr>
          <w:rFonts w:cs="Times New Roman"/>
          <w:szCs w:val="24"/>
        </w:rPr>
        <w:t xml:space="preserve">Each component of scale can influence landscape metrics differently. In some instances, these effects are predictable </w:t>
      </w:r>
      <w:r>
        <w:rPr>
          <w:rFonts w:cs="Times New Roman"/>
          <w:szCs w:val="24"/>
        </w:rPr>
        <w:fldChar w:fldCharType="begin" w:fldLock="1"/>
      </w:r>
      <w:r>
        <w:rPr>
          <w:rFonts w:cs="Times New Roman"/>
          <w:szCs w:val="24"/>
        </w:rPr>
        <w:instrText>ADDIN CSL_CITATION {"citationItems":[{"id":"ITEM-1","itemData":{"DOI":"10.1023/A","ISSN":"00138703","abstract":"While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Ecology","id":"ITEM-1","issue":"3","issued":{"date-parts":[["2002"]]},"page":"761-782","title":"Empirical patterns of the effects of changing scale on landscape metrics","type":"article-journal","volume":"17"},"uris":["http://www.mendeley.com/documents/?uuid=0a890e40-e3a8-4e9e-b52a-8e00af91cd6c"]},{"id":"ITEM-2","itemData":{"DOI":"10.1007/s10980-006-9010-5","ISSN":"09212973","abstract":"The thematic resolution of mapped data determines the amount of detail of geospatial information, and influences various aspects of landscape classification and the relevance of derived pattern attributes to particular ecological questions. Here we show that changing thematic resolution may significantly affect landscape metrics and in turn their ability to detect landscape changes. The effects of thematic resolution on many landscape metrics tend to show consistent general patterns, but the details of these patterns are likely to be dependent on specific landscape patterns and classification criteria. Thus, the effects of thematic resolution, like those with regard to grain and extent, must be considered in landscape pattern analysis. © 2006 Springer Science+Business Media B.V.","author":[{"dropping-particle":"","family":"Buyantuyev","given":"Alexander","non-dropping-particle":"","parse-names":false,"suffix":""},{"dropping-particle":"","family":"Wu","given":"Jianguo","non-dropping-particle":"","parse-names":false,"suffix":""}],"container-title":"Landscape Ecology","id":"ITEM-2","issue":"1","issued":{"date-parts":[["2007"]]},"page":"7-13","title":"Effects of thematic resolution on landscape pattern analysis","type":"article-journal","volume":"22"},"uris":["http://www.mendeley.com/documents/?uuid=fb40bdb5-3c41-47be-8063-241bfaddc47a"]},{"id":"ITEM-3","itemData":{"DOI":"10.1007/s10980-019-00937-1","ISBN":"0123456789","ISSN":"15729761","abstract":"Context: Spatial heterogeneity is scale-dependent. Understanding the scaling rules of spatial features across wide ranges of scale is a major challenge in landscape ecology. The lack of scientific justification in choosing proper scale may lead to unexpected outcomes in landscape pattern analysis and result in biases in subsequent process analysis. Objectives: The goal is to provide an extensive analysis on scaling relationships for a variety of landscape metrics as functions of grain size and extent. Specific research objectives are to: (1) identify scaling relationships of landscape metrics as functions of grain size, (2) define scale domains of these scaling relationships, and (3) explore how scaling relations of landscape metrics with respect to grain size would change with spatial extent. Methods: Expanding the approach of Wu and Hobbs (Landsc Ecol 17:355–365, 2002) and Wu (Landsc Ecol 19:125–138, 2004) using a much bigger dataset and covering a wider range of scales, we examined the patterns of scalograms of 38 landscape metrics within 96 sampled landscapes ranging from 25 to 221 km2 in the conterminous United States. Scaling models were derived from the scalograms as a function of grain size, and the scale domains of these models were identified as the critical scales along the dimensions of grain size and spatial extent where the performance of the models fell below a given error limit. Results: The responses of landscape metrics with respect to changing resolutions fall into three categories: predictable across the whole spectrum of grain size investigated (Type I), predictable in a limited range of grain size (Type II), and unpredictable (Type III). For Type II metrics, the critical aggregation resolutions were identified based on the predefined error limit, and scale-invariant power-law scaling relationships were found between critical resolutions and spatial extents. All the scaling exponents are positive, suggesting that critical aggregation resolutions can be relaxed as the spatial extent expands. Furthermore, the coefficients of scaling relations for Type I and II metrics vary with spatial extents, and robust scaling functions between the coefficients and the extent can be observed for some metrics. Conclusions: This study addresses a fundamental scale issue in landscape ecology: how a particular spatial pattern would change with scale and how information could be adequately transferred from one scale to another. A variety of scaling rela…","author":[{"dropping-particle":"","family":"Xu","given":"Chunxue","non-dropping-particle":"","parse-names":false,"suffix":""},{"dropping-particle":"","family":"Zhao","given":"Shuqing","non-dropping-particle":"","parse-names":false,"suffix":""},{"dropping-particle":"","family":"Liu","given":"Shuguang","non-dropping-particle":"","parse-names":false,"suffix":""}],"container-title":"Landscape Ecology","id":"ITEM-3","issue":"1","issued":{"date-parts":[["2020"]]},"page":"223-247","publisher":"Springer Netherlands","title":"Spatial scaling of multiple landscape features in the conterminous United States","type":"article-journal","volume":"35"},"uris":["http://www.mendeley.com/documents/?uuid=ce7a976d-a405-43db-8004-cdf3c3df9e2c"]}],"mendeley":{"formattedCitation":"(Wu et al. 2002; Buyantuyev and Wu 2007; Xu et al. 2020)","plainTextFormattedCitation":"(Wu et al. 2002; Buyantuyev and Wu 2007; Xu et al. 2020)","previouslyFormattedCitation":"(Wu et al. 2002, Buyantuyev and Wu 2007, Xu et al. 2020)"},"properties":{"noteIndex":0},"schema":"https://github.com/citation-style-language/schema/raw/master/csl-citation.json"}</w:instrText>
      </w:r>
      <w:r>
        <w:rPr>
          <w:rFonts w:cs="Times New Roman"/>
          <w:szCs w:val="24"/>
        </w:rPr>
        <w:fldChar w:fldCharType="separate"/>
      </w:r>
      <w:r w:rsidRPr="0047668E">
        <w:rPr>
          <w:rFonts w:cs="Times New Roman"/>
          <w:noProof/>
          <w:szCs w:val="24"/>
        </w:rPr>
        <w:t>(Wu et al. 2002; Buyantuyev and Wu 2007; Xu et al. 2020)</w:t>
      </w:r>
      <w:r>
        <w:rPr>
          <w:rFonts w:cs="Times New Roman"/>
          <w:szCs w:val="24"/>
        </w:rPr>
        <w:fldChar w:fldCharType="end"/>
      </w:r>
      <w:r>
        <w:rPr>
          <w:rFonts w:cs="Times New Roman"/>
          <w:szCs w:val="24"/>
        </w:rPr>
        <w:t xml:space="preserve">. For example, landscape metrics that represent absolute values of spatial pattern, such as mean size or distance between landscape components, should increase monotonically with spatial extent and decrease with spatial grain and thematic resolution </w:t>
      </w:r>
      <w:r>
        <w:rPr>
          <w:rFonts w:cs="Times New Roman"/>
          <w:szCs w:val="24"/>
        </w:rPr>
        <w:fldChar w:fldCharType="begin" w:fldLock="1"/>
      </w:r>
      <w:r>
        <w:rPr>
          <w:rFonts w:cs="Times New Roman"/>
          <w:szCs w:val="24"/>
        </w:rPr>
        <w:instrText>ADDIN CSL_CITATION {"citationItems":[{"id":"ITEM-1","itemData":{"author":[{"dropping-particle":"","family":"Baldwin","given":"David J B","non-dropping-particle":"","parse-names":false,"suffix":""},{"dropping-particle":"","family":"Weaver","given":"Kevin","non-dropping-particle":"","parse-names":false,"suffix":""},{"dropping-particle":"","family":"Schnekenburger","given":"Frank","non-dropping-particle":"","parse-names":false,"suffix":""},{"dropping-particle":"","family":"Perera","given":"Ajith H","non-dropping-particle":"","parse-names":false,"suffix":""}],"container-title":"Landscape Ecology","id":"ITEM-1","issued":{"date-parts":[["2004"]]},"page":"255-271","title":"Sensitivity of landscape pattern indices to input data characteristics on real landscapes: implications for their use in natural disturbance emulation","type":"article-journal","volume":"19"},"uris":["http://www.mendeley.com/documents/?uuid=3cc98469-c0d8-46b5-a0a1-24c197cc2e5d"]},{"id":"ITEM-2","itemData":{"DOI":"10.1016/j.apgeog.2012.01.003","ISSN":"01436228","abstract":"Various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Geography","id":"ITEM-2","issued":{"date-parts":[["2012"]]},"page":"385-394","title":"Landscape indices behavior: A review of scale effects","type":"article-journal","volume":"34"},"uris":["http://www.mendeley.com/documents/?uuid=ad11e540-3277-4a6b-8d00-741267e05f72"]}],"mendeley":{"formattedCitation":"(Baldwin et al. 2004; Šímová and Gdulová 2012)","plainTextFormattedCitation":"(Baldwin et al. 2004; Šímová and Gdulová 2012)","previouslyFormattedCitation":"(Baldwin et al. 2004, Šímová and Gdulová 2012)"},"properties":{"noteIndex":0},"schema":"https://github.com/citation-style-language/schema/raw/master/csl-citation.json"}</w:instrText>
      </w:r>
      <w:r>
        <w:rPr>
          <w:rFonts w:cs="Times New Roman"/>
          <w:szCs w:val="24"/>
        </w:rPr>
        <w:fldChar w:fldCharType="separate"/>
      </w:r>
      <w:r w:rsidRPr="0047668E">
        <w:rPr>
          <w:rFonts w:cs="Times New Roman"/>
          <w:noProof/>
          <w:szCs w:val="24"/>
        </w:rPr>
        <w:t>(Baldwin et al. 2004; Šímová and Gdulová 2012)</w:t>
      </w:r>
      <w:r>
        <w:rPr>
          <w:rFonts w:cs="Times New Roman"/>
          <w:szCs w:val="24"/>
        </w:rPr>
        <w:fldChar w:fldCharType="end"/>
      </w:r>
      <w:r>
        <w:rPr>
          <w:rFonts w:cs="Times New Roman"/>
          <w:szCs w:val="24"/>
        </w:rPr>
        <w:t xml:space="preserve">. Similarly, landscape metrics that quantify diversity should increase when novel landscape components are encountered at larger spatial extents or unveiled by increased thematic detail </w:t>
      </w:r>
      <w:r>
        <w:rPr>
          <w:rFonts w:cs="Times New Roman"/>
          <w:szCs w:val="24"/>
        </w:rPr>
        <w:fldChar w:fldCharType="begin" w:fldLock="1"/>
      </w:r>
      <w:r>
        <w:rPr>
          <w:rFonts w:cs="Times New Roman"/>
          <w:szCs w:val="24"/>
        </w:rPr>
        <w:instrText>ADDIN CSL_CITATION {"citationItems":[{"id":"ITEM-1","itemData":{"DOI":"10.1016/j.apgeog.2012.01.003","ISSN":"01436228","abstract":"Various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Geography","id":"ITEM-1","issued":{"date-parts":[["2012"]]},"page":"385-394","title":"Landscape indices behavior: A review of scale effects","type":"article-journal","volume":"34"},"uris":["http://www.mendeley.com/documents/?uuid=ad11e540-3277-4a6b-8d00-741267e05f72"]},{"id":"ITEM-2","itemData":{"abstract":"The purpose of this study was to observe the effects of changing the grain (the first level of spatial resolution possible with a given data set) and extent (the total area of the study) of landscape data on observed spatial patterns and to identify some general rules for comparing measures obtained at different scales. Simple random maps, maps with contagion (i.e., clusters of the same land cover type), and actual landscape data from USGS land use (LUDA) data maps were used in the analyses. Landscape patterns were compared using indices measuring diversity (H), dominance (D) and contagion (C). Rare land cover types were lost as grain became coarser. This loss could be predicted analytically for random maps with two land cover types, and it was observed in actual landscapes as grain was increased experimentally. However, the rate of loss was influenced by the spatial pattern. Land cover types that were clumped disappeared slowly or were retained with increasing grain, whereas cover types that were dispersed were lost rapidly. The diversity index decreased linearly with increasing grain size, but dominance and contagion did not show a linear relationship. The indices D and C increased with increasing extent, but H exhibited a variable response. The indices were sensitive to the number (m) of cover types observed in the data set and the fraction of the landscape occupied by each cover type (Pk); both m and Pk varied with grain and extent. Qualitative and quantitative changes in measurements across spatial scales will differ depending on how scale is defined. Characterizing the relationships between ecological measurements and the grain or extent of the data may make it possible to predict or correct for the loss of information with changes in spatial scale.","author":[{"dropping-particle":"","family":"Turner","given":"Monica G.","non-dropping-particle":"","parse-names":false,"suffix":""},{"dropping-particle":"V.","family":"O'Neill","given":"Robert","non-dropping-particle":"","parse-names":false,"suffix":""},{"dropping-particle":"","family":"Gardner","given":"Robert H.","non-dropping-particle":"","parse-names":false,"suffix":""},{"dropping-particle":"","family":"Milne","given":"Bruce T.","non-dropping-particle":"","parse-names":false,"suffix":""}],"container-title":"Landscape Ecology","id":"ITEM-2","issued":{"date-parts":[["1989"]]},"page":"153-162","title":"Effects of changing spatial extent on landscape pattern analysis.","type":"article-journal","volume":"3"},"uris":["http://www.mendeley.com/documents/?uuid=0ca70573-6b90-4986-82d8-5579018a96c0"]}],"mendeley":{"formattedCitation":"(Turner et al. 1989; Šímová and Gdulová 2012)","plainTextFormattedCitation":"(Turner et al. 1989; Šímová and Gdulová 2012)","previouslyFormattedCitation":"(Turner et al. 1989, Šímová and Gdulová 2012)"},"properties":{"noteIndex":0},"schema":"https://github.com/citation-style-language/schema/raw/master/csl-citation.json"}</w:instrText>
      </w:r>
      <w:r>
        <w:rPr>
          <w:rFonts w:cs="Times New Roman"/>
          <w:szCs w:val="24"/>
        </w:rPr>
        <w:fldChar w:fldCharType="separate"/>
      </w:r>
      <w:r w:rsidRPr="0047668E">
        <w:rPr>
          <w:rFonts w:cs="Times New Roman"/>
          <w:noProof/>
          <w:szCs w:val="24"/>
        </w:rPr>
        <w:t>(Turner et al. 1989; Šímová and Gdulová 2012)</w:t>
      </w:r>
      <w:r>
        <w:rPr>
          <w:rFonts w:cs="Times New Roman"/>
          <w:szCs w:val="24"/>
        </w:rPr>
        <w:fldChar w:fldCharType="end"/>
      </w:r>
      <w:r>
        <w:rPr>
          <w:rFonts w:cs="Times New Roman"/>
          <w:szCs w:val="24"/>
        </w:rPr>
        <w:t xml:space="preserve">. They should also decrease with coarsening grain because small or rare landscape components disappear </w:t>
      </w:r>
      <w:r>
        <w:rPr>
          <w:rFonts w:cs="Times New Roman"/>
          <w:szCs w:val="24"/>
        </w:rPr>
        <w:fldChar w:fldCharType="begin" w:fldLock="1"/>
      </w:r>
      <w:r>
        <w:rPr>
          <w:rFonts w:cs="Times New Roman"/>
          <w:szCs w:val="24"/>
        </w:rPr>
        <w:instrText>ADDIN CSL_CITATION {"citationItems":[{"id":"ITEM-1","itemData":{"DOI":"10.1016/j.apgeog.2012.01.003","ISSN":"01436228","abstract":"Various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Geography","id":"ITEM-1","issued":{"date-parts":[["2012"]]},"page":"385-394","title":"Landscape indices behavior: A review of scale effects","type":"article-journal","volume":"34"},"uris":["http://www.mendeley.com/documents/?uuid=ad11e540-3277-4a6b-8d00-741267e05f72"]},{"id":"ITEM-2","itemData":{"abstract":"The purpose of this study was to observe the effects of changing the grain (the first level of spatial resolution possible with a given data set) and extent (the total area of the study) of landscape data on observed spatial patterns and to identify some general rules for comparing measures obtained at different scales. Simple random maps, maps with contagion (i.e., clusters of the same land cover type), and actual landscape data from USGS land use (LUDA) data maps were used in the analyses. Landscape patterns were compared using indices measuring diversity (H), dominance (D) and contagion (C). Rare land cover types were lost as grain became coarser. This loss could be predicted analytically for random maps with two land cover types, and it was observed in actual landscapes as grain was increased experimentally. However, the rate of loss was influenced by the spatial pattern. Land cover types that were clumped disappeared slowly or were retained with increasing grain, whereas cover types that were dispersed were lost rapidly. The diversity index decreased linearly with increasing grain size, but dominance and contagion did not show a linear relationship. The indices D and C increased with increasing extent, but H exhibited a variable response. The indices were sensitive to the number (m) of cover types observed in the data set and the fraction of the landscape occupied by each cover type (Pk); both m and Pk varied with grain and extent. Qualitative and quantitative changes in measurements across spatial scales will differ depending on how scale is defined. Characterizing the relationships between ecological measurements and the grain or extent of the data may make it possible to predict or correct for the loss of information with changes in spatial scale.","author":[{"dropping-particle":"","family":"Turner","given":"Monica G.","non-dropping-particle":"","parse-names":false,"suffix":""},{"dropping-particle":"V.","family":"O'Neill","given":"Robert","non-dropping-particle":"","parse-names":false,"suffix":""},{"dropping-particle":"","family":"Gardner","given":"Robert H.","non-dropping-particle":"","parse-names":false,"suffix":""},{"dropping-particle":"","family":"Milne","given":"Bruce T.","non-dropping-particle":"","parse-names":false,"suffix":""}],"container-title":"Landscape Ecology","id":"ITEM-2","issued":{"date-parts":[["1989"]]},"page":"153-162","title":"Effects of changing spatial extent on landscape pattern analysis.","type":"article-journal","volume":"3"},"uris":["http://www.mendeley.com/documents/?uuid=0ca70573-6b90-4986-82d8-5579018a96c0"]}],"mendeley":{"formattedCitation":"(Turner et al. 1989; Šímová and Gdulová 2012)","plainTextFormattedCitation":"(Turner et al. 1989; Šímová and Gdulová 2012)","previouslyFormattedCitation":"(Turner et al. 1989, Šímová and Gdulová 2012)"},"properties":{"noteIndex":0},"schema":"https://github.com/citation-style-language/schema/raw/master/csl-citation.json"}</w:instrText>
      </w:r>
      <w:r>
        <w:rPr>
          <w:rFonts w:cs="Times New Roman"/>
          <w:szCs w:val="24"/>
        </w:rPr>
        <w:fldChar w:fldCharType="separate"/>
      </w:r>
      <w:r w:rsidRPr="0047668E">
        <w:rPr>
          <w:rFonts w:cs="Times New Roman"/>
          <w:noProof/>
          <w:szCs w:val="24"/>
        </w:rPr>
        <w:t>(Turner et al. 1989; Šímová and Gdulová 2012)</w:t>
      </w:r>
      <w:r>
        <w:rPr>
          <w:rFonts w:cs="Times New Roman"/>
          <w:szCs w:val="24"/>
        </w:rPr>
        <w:fldChar w:fldCharType="end"/>
      </w:r>
      <w:r>
        <w:rPr>
          <w:rFonts w:cs="Times New Roman"/>
          <w:szCs w:val="24"/>
        </w:rPr>
        <w:t>. Changing s</w:t>
      </w:r>
      <w:r w:rsidRPr="00685EA6">
        <w:rPr>
          <w:rFonts w:cs="Times New Roman"/>
          <w:szCs w:val="24"/>
        </w:rPr>
        <w:t>cale can also</w:t>
      </w:r>
      <w:r>
        <w:rPr>
          <w:rFonts w:cs="Times New Roman"/>
          <w:szCs w:val="24"/>
        </w:rPr>
        <w:t xml:space="preserve"> cause metrics</w:t>
      </w:r>
      <w:r w:rsidRPr="00685EA6">
        <w:rPr>
          <w:rFonts w:cs="Times New Roman"/>
          <w:szCs w:val="24"/>
        </w:rPr>
        <w:t xml:space="preserve"> </w:t>
      </w:r>
      <w:r>
        <w:rPr>
          <w:rFonts w:cs="Times New Roman"/>
          <w:szCs w:val="24"/>
        </w:rPr>
        <w:t xml:space="preserve">to display either staircase-like or chaotic patterns, making them less predictable </w:t>
      </w:r>
      <w:r>
        <w:rPr>
          <w:rFonts w:cs="Times New Roman"/>
          <w:szCs w:val="24"/>
        </w:rPr>
        <w:fldChar w:fldCharType="begin" w:fldLock="1"/>
      </w:r>
      <w:r>
        <w:rPr>
          <w:rFonts w:cs="Times New Roman"/>
          <w:szCs w:val="24"/>
        </w:rPr>
        <w:instrText>ADDIN CSL_CITATION {"citationItems":[{"id":"ITEM-1","itemData":{"DOI":"10.1023/A","ISSN":"00138703","abstract":"While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Ecology","id":"ITEM-1","issue":"3","issued":{"date-parts":[["2002"]]},"page":"761-782","title":"Empirical patterns of the effects of changing scale on landscape metrics","type":"article-journal","volume":"17"},"uris":["http://www.mendeley.com/documents/?uuid=0a890e40-e3a8-4e9e-b52a-8e00af91cd6c"]},{"id":"ITEM-2","itemData":{"DOI":"10.1016/j.apgeog.2012.01.003","ISSN":"01436228","abstract":"Various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Geography","id":"ITEM-2","issued":{"date-parts":[["2012"]]},"page":"385-394","title":"Landscape indices behavior: A review of scale effects","type":"article-journal","volume":"34"},"uris":["http://www.mendeley.com/documents/?uuid=ad11e540-3277-4a6b-8d00-741267e05f72"]}],"mendeley":{"formattedCitation":"(Wu et al. 2002; Šímová and Gdulová 2012)","plainTextFormattedCitation":"(Wu et al. 2002; Šímová and Gdulová 2012)","previouslyFormattedCitation":"(Wu et al. 2002, Šímová and Gdulová 2012)"},"properties":{"noteIndex":0},"schema":"https://github.com/citation-style-language/schema/raw/master/csl-citation.json"}</w:instrText>
      </w:r>
      <w:r>
        <w:rPr>
          <w:rFonts w:cs="Times New Roman"/>
          <w:szCs w:val="24"/>
        </w:rPr>
        <w:fldChar w:fldCharType="separate"/>
      </w:r>
      <w:r w:rsidRPr="0047668E">
        <w:rPr>
          <w:rFonts w:cs="Times New Roman"/>
          <w:noProof/>
          <w:szCs w:val="24"/>
        </w:rPr>
        <w:t>(Wu et al. 2002; Šímová and Gdulová 2012)</w:t>
      </w:r>
      <w:r>
        <w:rPr>
          <w:rFonts w:cs="Times New Roman"/>
          <w:szCs w:val="24"/>
        </w:rPr>
        <w:fldChar w:fldCharType="end"/>
      </w:r>
      <w:r>
        <w:rPr>
          <w:rFonts w:cs="Times New Roman"/>
          <w:szCs w:val="24"/>
        </w:rPr>
        <w:t xml:space="preserve">. Evaluating the effects </w:t>
      </w:r>
      <w:r>
        <w:rPr>
          <w:rFonts w:cs="Times New Roman"/>
          <w:szCs w:val="24"/>
        </w:rPr>
        <w:lastRenderedPageBreak/>
        <w:t xml:space="preserve">of scale on landscape metrics in multiple landscapes can uncover potential generalities in these relationships </w:t>
      </w:r>
      <w:r w:rsidRPr="00685EA6">
        <w:rPr>
          <w:rFonts w:cs="Times New Roman"/>
          <w:szCs w:val="24"/>
        </w:rPr>
        <w:fldChar w:fldCharType="begin" w:fldLock="1"/>
      </w:r>
      <w:r>
        <w:rPr>
          <w:rFonts w:cs="Times New Roman"/>
          <w:szCs w:val="24"/>
        </w:rPr>
        <w:instrText>ADDIN CSL_CITATION {"citationItems":[{"id":"ITEM-1","itemData":{"DOI":"10.1111/j.0906-7590.2004.03799.x","ISSN":"09067590","abstract":"Landscape patterns demonstrate scale-dependent properties that have been parsimoniously described by empirical scaling functions. These functions, derived from multiple-scale analysis of real landscapes, are evaluated here for their generality and robustness via a series of simulated landscapes with known landscape patterns. A factorial design was used to generate these landscapes, varying the number of classes, class abundance distribution, and patch dispersion. The results confirm that the three types of scaling relations were both general and robust. Type I metrics were predictable with simple scaling functions (e.g. power laws or linear functions); Type II metrics showed stair-case like response patterns and were essentially not predictable; Type III metrics exhibited erratic response patterns that were unpredictable in most cases. However, significant differences were found between real and simulated landscapes when landscape extent was increased. Systematic changes in grain size show that the predictability of scaling relations increases with the number of classes, the evenness of class abundance distribution, and the aggregation of patch dispersion. However, random patch dispersion seemed to enhance the predictability of scaling relations when changing spatial extent.","author":[{"dropping-particle":"","family":"Shen","given":"Weijun","non-dropping-particle":"","parse-names":false,"suffix":""},{"dropping-particle":"","family":"Jenerette","given":"G. Darrel","non-dropping-particle":"","parse-names":false,"suffix":""},{"dropping-particle":"","family":"Wu","given":"Jianguo","non-dropping-particle":"","parse-names":false,"suffix":""},{"dropping-particle":"","family":"Gardner","given":"Robert H.","non-dropping-particle":"","parse-names":false,"suffix":""}],"container-title":"Ecography","id":"ITEM-1","issue":"4","issued":{"date-parts":[["2004"]]},"page":"459-469","title":"Evaluating empirical scaling relations of pattern metrics with simulated landscapes","type":"article-journal","volume":"27"},"uris":["http://www.mendeley.com/documents/?uuid=db637931-29c4-4a3a-8ff5-bb345a6b19d4"]},{"id":"ITEM-2","itemData":{"DOI":"10.1007/s10980-006-9010-5","ISSN":"09212973","abstract":"The thematic resolution of mapped data determines the amount of detail of geospatial information, and influences various aspects of landscape classification and the relevance of derived pattern attributes to particular ecological questions. Here we show that changing thematic resolution may significantly affect landscape metrics and in turn their ability to detect landscape changes. The effects of thematic resolution on many landscape metrics tend to show consistent general patterns, but the details of these patterns are likely to be dependent on specific landscape patterns and classification criteria. Thus, the effects of thematic resolution, like those with regard to grain and extent, must be considered in landscape pattern analysis. © 2006 Springer Science+Business Media B.V.","author":[{"dropping-particle":"","family":"Buyantuyev","given":"Alexander","non-dropping-particle":"","parse-names":false,"suffix":""},{"dropping-particle":"","family":"Wu","given":"Jianguo","non-dropping-particle":"","parse-names":false,"suffix":""}],"container-title":"Landscape Ecology","id":"ITEM-2","issue":"1","issued":{"date-parts":[["2007"]]},"page":"7-13","title":"Effects of thematic resolution on landscape pattern analysis","type":"article-journal","volume":"22"},"uris":["http://www.mendeley.com/documents/?uuid=fb40bdb5-3c41-47be-8063-241bfaddc47a"]},{"id":"ITEM-3","itemData":{"DOI":"10.1023/A","ISSN":"00138703","abstract":"While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Ecology","id":"ITEM-3","issue":"3","issued":{"date-parts":[["2002"]]},"page":"761-782","title":"Empirical patterns of the effects of changing scale on landscape metrics","type":"article-journal","volume":"17"},"uris":["http://www.mendeley.com/documents/?uuid=0a890e40-e3a8-4e9e-b52a-8e00af91cd6c"]}],"mendeley":{"formattedCitation":"(Wu et al. 2002; Shen et al. 2004; Buyantuyev and Wu 2007)","plainTextFormattedCitation":"(Wu et al. 2002; Shen et al. 2004; Buyantuyev and Wu 2007)","previouslyFormattedCitation":"(Wu et al. 2002, Shen et al. 2004, Buyantuyev and Wu 2007)"},"properties":{"noteIndex":0},"schema":"https://github.com/citation-style-language/schema/raw/master/csl-citation.json"}</w:instrText>
      </w:r>
      <w:r w:rsidRPr="00685EA6">
        <w:rPr>
          <w:rFonts w:cs="Times New Roman"/>
          <w:szCs w:val="24"/>
        </w:rPr>
        <w:fldChar w:fldCharType="separate"/>
      </w:r>
      <w:r w:rsidRPr="0047668E">
        <w:rPr>
          <w:rFonts w:cs="Times New Roman"/>
          <w:noProof/>
          <w:szCs w:val="24"/>
        </w:rPr>
        <w:t>(Wu et al. 2002; Shen et al. 2004; Buyantuyev and Wu 2007)</w:t>
      </w:r>
      <w:r w:rsidRPr="00685EA6">
        <w:rPr>
          <w:rFonts w:cs="Times New Roman"/>
          <w:szCs w:val="24"/>
        </w:rPr>
        <w:fldChar w:fldCharType="end"/>
      </w:r>
      <w:r>
        <w:rPr>
          <w:rFonts w:cs="Times New Roman"/>
          <w:szCs w:val="24"/>
        </w:rPr>
        <w:t>.</w:t>
      </w:r>
    </w:p>
    <w:p w14:paraId="1666C7DE" w14:textId="77777777" w:rsidR="00755451" w:rsidRDefault="00755451" w:rsidP="00755451">
      <w:pPr>
        <w:spacing w:line="480" w:lineRule="auto"/>
        <w:ind w:firstLine="720"/>
        <w:contextualSpacing/>
        <w:rPr>
          <w:rFonts w:cs="Times New Roman"/>
          <w:szCs w:val="24"/>
        </w:rPr>
      </w:pPr>
      <w:r>
        <w:rPr>
          <w:rFonts w:cs="Times New Roman"/>
          <w:szCs w:val="24"/>
        </w:rPr>
        <w:t xml:space="preserve">Riverine landscapes include components of the Earth’s surface that are influenced by a river, including aquatic habitats in the river, and riparian corridors and floodplains that occur alongside them </w:t>
      </w:r>
      <w:r>
        <w:rPr>
          <w:rFonts w:cs="Times New Roman"/>
          <w:szCs w:val="24"/>
        </w:rPr>
        <w:fldChar w:fldCharType="begin" w:fldLock="1"/>
      </w:r>
      <w:r>
        <w:rPr>
          <w:rFonts w:cs="Times New Roman"/>
          <w:szCs w:val="24"/>
        </w:rPr>
        <w:instrText>ADDIN CSL_CITATION {"citationItems":[{"id":"ITEM-1","itemData":{"author":[{"dropping-particle":"","family":"Ward","given":"J.V.","non-dropping-particle":"","parse-names":false,"suffix":""},{"dropping-particle":"","family":"Malard","given":"Florian","non-dropping-particle":"","parse-names":false,"suffix":""},{"dropping-particle":"","family":"Tockner","given":"Klement","non-dropping-particle":"","parse-names":false,"suffix":""}],"id":"ITEM-1","issued":{"date-parts":[["2002"]]},"page":"35-45","title":"Landscape ecology: a framework for integrating pattern and process in river corridors","type":"article-journal","volume":"17"},"uris":["http://www.mendeley.com/documents/?uuid=24be5e91-a9ad-4e03-b390-942eb96821a4"]},{"id":"ITEM-2","itemData":{"DOI":"10.1002/rra.901","ISBN":"1535-1459","ISSN":"15351459","PMID":"19129508","abstract":"We propose an integrated, heuristic model of lotic biocomplexity across spatiotemporal scales from headwaters to large rivers. This riverine ecosystem synthesis (RES) provides a framework for understanding both broad, often discontinuous patterns along longitudinal and lateral dimensions of river networks and local ecological patterns across various temporal and smaller spatial scales. Rather than posing a completely new model, we arrange a conceptual marriage of eco-geomorphology (ecological aspects of fluvial geomorphology) with a terrestrial landscape model describing hierarchical patch dynamics. We modify five components of this terrestrial model for lotic ecosystems: (1) nested, discontinuous hierarchies of patch mosaics; (2) ecosystem dynamics as a composite of intra- and inter-patch dynamics; (3) linked patterns and processes; (4) dominance of non-equilibria] and stochastic processes; and (5) formation of a quasi-equilibrial, metastable state. Our conceptual model blends our perspectives on biocomplexity with aspects of aquatic models proposed from 1980-2004. Contrasting with a common view of rivers as continuous, longitudinal gradients in physical conditions, the RES portrays rivers as downstream arrays of large hydrogeomorphic patches (e.g. constricted, braided and floodplain channel areas) formed by catchment geomorphology and climate. The longitudinal distribution of these patches, which are identifiable using standard geomorphic techniques, varies amongst rivers and is difficult to forecast above ecoregional scales. Some types of hydrogeomorphic patches may reoccur along this downstream passage. Unique ecological 'functional process zones' are formed by individual types of hydrogeomorphic patches because of physiochemical habitat differences which affect ecosystem structure and function. The RES currently includes 14 tenets predicting how patterns of individual species distributions, community regulation, lotic ecosystem processes, and floodplain interactions will vary over spatiotemporal scales, especially as they relate to the functional process zones formed by hydrogeomorphic differences in the river network. Copyright (C) 2006 John Wiley &amp; Sons, Ltd.","author":[{"dropping-particle":"","family":"Thorp","given":"James H.","non-dropping-particle":"","parse-names":false,"suffix":""},{"dropping-particle":"","family":"Thoms","given":"Martin C.","non-dropping-particle":"","parse-names":false,"suffix":""},{"dropping-particle":"","family":"Delong","given":"Michael D.","non-dropping-particle":"","parse-names":false,"suffix":""}],"container-title":"River Research and Applications","id":"ITEM-2","issue":"2","issued":{"date-parts":[["2006"]]},"note":"1. Historical Perspectives and Philosophical Foundation\n2. Elements of the Riverscape and Riverine Landscape\n3. Do patterns exist along a longitudinal dimension in river networks\n3a.Historicall perspectives on continua within rivernetwork\n3b.hydrogeomorphic patches and associated functional process zones\n4. Hierarchical patch dynamics model - bried descrtiption\n5. applying the hierarchical patch dynamics model to lotic ecosystems\n5a. Selective spatiotemporal scales\n5b. Element 1: nested discontinuous hierarchies of patch mosaics\n5c. Element 2: ecosystem dynamics as a composite of intra- and inter-patch dynamics\n5d. Element 3: linked patterns and processes\n5e. Element 4: Dominance of non-equilibrium and stochastic processes\n5f. Element 5: Formation of a quasi-equilibrial, metastable state\n6. A contribution to conceptual cohesiveness in lotic models \n6a. Distribution of species \n6.aa. Model Tenent 1\n6ab. model tenet 2\n6ac. Model tenet 3\n6ad. Model tenet 4\n6b. Community regulation \n6ba. model tenet 5\n6bb. model tenet 6\n6bc. model tenet 7\n6bd. model tenet 8\n6c. River and riverine landscape processes\n6ca. model tenet 9\n6cb model tenet 10","page":"123-147","title":"The riverine ecosystem synthesis: Biocomplexity in river networks across space and time","type":"article-journal","volume":"22"},"uris":["http://www.mendeley.com/documents/?uuid=2dcdf750-a9d5-46e6-b390-b3cf33588523"]},{"id":"ITEM-3","itemData":{"DOI":"10.1641/0006-3568(2002)052[0483:LTRBTG]2.0.CO;2","ISSN":"00063568","author":[{"dropping-particle":"","family":"Fausch","given":"Kurt D.","non-dropping-particle":"","parse-names":false,"suffix":""},{"dropping-particle":"","family":"Torgersen","given":"Christian E.","non-dropping-particle":"","parse-names":false,"suffix":""},{"dropping-particle":"V.","family":"Baxter","given":"Colden","non-dropping-particle":"","parse-names":false,"suffix":""},{"dropping-particle":"","family":"Li","given":"Hiram W.","non-dropping-particle":"","parse-names":false,"suffix":""}],"container-title":"BioScience","id":"ITEM-3","issue":"6","issued":{"date-parts":[["2002"]]},"page":"483-498","title":"Landscapes to riverscapes: Bridging the gap between research and conservation of stream fishes","type":"article-journal","volume":"52"},"uris":["http://www.mendeley.com/documents/?uuid=390240e7-4a61-4962-a710-d0b9f97e21a6"]}],"mendeley":{"formattedCitation":"(Fausch et al. 2002; Ward et al. 2002; Thorp et al. 2006)","plainTextFormattedCitation":"(Fausch et al. 2002; Ward et al. 2002; Thorp et al. 2006)","previouslyFormattedCitation":"(Fausch et al. 2002, Ward et al. 2002, Thorp et al. 2006)"},"properties":{"noteIndex":0},"schema":"https://github.com/citation-style-language/schema/raw/master/csl-citation.json"}</w:instrText>
      </w:r>
      <w:r>
        <w:rPr>
          <w:rFonts w:cs="Times New Roman"/>
          <w:szCs w:val="24"/>
        </w:rPr>
        <w:fldChar w:fldCharType="separate"/>
      </w:r>
      <w:r w:rsidRPr="0047668E">
        <w:rPr>
          <w:rFonts w:cs="Times New Roman"/>
          <w:noProof/>
          <w:szCs w:val="24"/>
        </w:rPr>
        <w:t>(Fausch et al. 2002; Ward et al. 2002; Thorp et al. 2006)</w:t>
      </w:r>
      <w:r>
        <w:rPr>
          <w:rFonts w:cs="Times New Roman"/>
          <w:szCs w:val="24"/>
        </w:rPr>
        <w:fldChar w:fldCharType="end"/>
      </w:r>
      <w:r>
        <w:rPr>
          <w:rFonts w:cs="Times New Roman"/>
          <w:szCs w:val="24"/>
        </w:rPr>
        <w:t xml:space="preserve">. These systems are characterized by “habitat patches” which can be classified by their hydrological and geomorphological conditions, often termed </w:t>
      </w:r>
      <w:r>
        <w:rPr>
          <w:rFonts w:cs="Times New Roman"/>
          <w:szCs w:val="24"/>
        </w:rPr>
        <w:fldChar w:fldCharType="begin" w:fldLock="1"/>
      </w:r>
      <w:r>
        <w:rPr>
          <w:rFonts w:cs="Times New Roman"/>
          <w:szCs w:val="24"/>
        </w:rPr>
        <w:instrText>ADDIN CSL_CITATION {"citationItems":[{"id":"ITEM-1","itemData":{"abstract":"Eco-geomorphology is an interdisciplinary approach to the study of river systems that integrates hydrology, fluvial geomorphology and ecology. This approach facilitates a new understanding of river systems by bridging dominant paradigms from individual disciplines. Each discipline views river systems from a spatial and temporal perspective, but we suggest that one of the main impediments to further expansion of interdisciplinary study is the mismatch of scales between disciplines. A hierarchical and integrative framework for interdisciplinary study is required and would overcomes scale issues by matching a problem with a river system process to identify causal explanations at the correct spatial and temporal scales. We use the example of environmental flows to demonstrate the utility of an eco-geomorphological approach for identification of characteristic scales of hydrological, geomorphological and ecological influence in the Condamine-Balonne River.","author":[{"dropping-particle":"","family":"Thoms","given":"Martin C.","non-dropping-particle":"","parse-names":false,"suffix":""},{"dropping-particle":"","family":"Parsons","given":"Melissa","non-dropping-particle":"","parse-names":false,"suffix":""}],"container-title":"The Structure, Function and Management Implications of Fluvial Sedimentary Systems (Proceedings of an international symposium held at Alice Springs, Australia, September 2002). IAHS Publ. no. 276, 2002.","id":"ITEM-1","issue":"1994","issued":{"date-parts":[["2002"]]},"page":"113-119","title":"Eco-geomorphology : an interdisciplinary approach to river science","type":"article-journal"},"uris":["http://www.mendeley.com/documents/?uuid=ef177032-5404-4dcf-8e13-4e342166eddd"]},{"id":"ITEM-2","itemData":{"DOI":"10.1007/s10661-013-3114-6","ISBN":"01676369 (ISSN)","ISSN":"01676369","PMID":"23435849","abstract":"River systems consist of hydrogeomorphic patches (HPs) that emerge at multiple spatiotemporal scales. Functional process zones (FPZs) are HPs that exist at the river valley scale and are important strata for framing whole-watershed research questions and management plans. Hierarchical classification procedures aid in HP identification by grouping sections of river based on their hydrogeomorphic character; however, collecting data required for such procedures with field-based methods is often impractical. We developed a set of GIS-based tools that facilitate rapid, low cost riverine landscape characterization and FPZ classification. Our tools, termed RESonate, consist of a custom toolbox designed for ESRI ArcGIS®. RESonate automatically extracts 13 hydrogeomorphic variables from readily available geospatial datasets and datasets derived from modeling procedures. An advanced 2D flood model, FLDPLN, designed for MATLAB® is used to determine valley morphology by systematically flooding river networks. When used in conjunction with other modeling procedures, RESonate and FLDPLN can assess the character of large river networks quickly and at very low costs. Here we describe tool and model functions in addition to their benefits, limitations, and applications.","author":[{"dropping-particle":"","family":"Williams","given":"Bradley S.","non-dropping-particle":"","parse-names":false,"suffix":""},{"dropping-particle":"","family":"D'Amico","given":"Ellen","non-dropping-particle":"","parse-names":false,"suffix":""},{"dropping-particle":"","family":"Kastens","given":"Jude H.","non-dropping-particle":"","parse-names":false,"suffix":""},{"dropping-particle":"","family":"Thorp","given":"James H.","non-dropping-particle":"","parse-names":false,"suffix":""},{"dropping-particle":"","family":"Flotemersch","given":"Joseph E.","non-dropping-particle":"","parse-names":false,"suffix":""},{"dropping-particle":"","family":"Thoms","given":"Martin C.","non-dropping-particle":"","parse-names":false,"suffix":""}],"container-title":"Environmental Monitoring and Assessment","id":"ITEM-2","issue":"9","issued":{"date-parts":[["2013"]]},"page":"7485-7499","title":"Automated riverine landscape characterization: GIS-based tools for watershed-scale research, assessment, and management","type":"article-journal","volume":"185"},"uris":["http://www.mendeley.com/documents/?uuid=3254c308-8690-4f1e-9f21-0bbb7355c4fb"]}],"mendeley":{"formattedCitation":"(Thoms and Parsons 2002; Williams et al. 2013)","manualFormatting":"\"hydrogeomorphic patches\" (Thoms and Parsons 2002, Williams et al. 2013)","plainTextFormattedCitation":"(Thoms and Parsons 2002; Williams et al. 2013)","previouslyFormattedCitation":"(Thoms and Parsons 2002, Williams et al. 2013)"},"properties":{"noteIndex":0},"schema":"https://github.com/citation-style-language/schema/raw/master/csl-citation.json"}</w:instrText>
      </w:r>
      <w:r>
        <w:rPr>
          <w:rFonts w:cs="Times New Roman"/>
          <w:szCs w:val="24"/>
        </w:rPr>
        <w:fldChar w:fldCharType="separate"/>
      </w:r>
      <w:r>
        <w:rPr>
          <w:rFonts w:cs="Times New Roman"/>
          <w:noProof/>
          <w:szCs w:val="24"/>
        </w:rPr>
        <w:t>"hydrogeomorphic patches" (</w:t>
      </w:r>
      <w:r w:rsidRPr="00E05B5F">
        <w:rPr>
          <w:rFonts w:cs="Times New Roman"/>
          <w:noProof/>
          <w:szCs w:val="24"/>
        </w:rPr>
        <w:t>Thoms and Parsons 2002, Williams et al. 2013)</w:t>
      </w:r>
      <w:r>
        <w:rPr>
          <w:rFonts w:cs="Times New Roman"/>
          <w:szCs w:val="24"/>
        </w:rPr>
        <w:fldChar w:fldCharType="end"/>
      </w:r>
      <w:r>
        <w:rPr>
          <w:rFonts w:cs="Times New Roman"/>
          <w:szCs w:val="24"/>
        </w:rPr>
        <w:t xml:space="preserve">. </w:t>
      </w:r>
      <w:proofErr w:type="spellStart"/>
      <w:r>
        <w:rPr>
          <w:rFonts w:cs="Times New Roman"/>
          <w:szCs w:val="24"/>
        </w:rPr>
        <w:t>Hydrogeomorphic</w:t>
      </w:r>
      <w:proofErr w:type="spellEnd"/>
      <w:r>
        <w:rPr>
          <w:rFonts w:cs="Times New Roman"/>
          <w:szCs w:val="24"/>
        </w:rPr>
        <w:t xml:space="preserve"> patches (hereafter “HGP”) are associated with geomorphic and hydrologic forces that shape sections of a riverine ecosystem (i.e. “functional process zones”), and influence ecological processes </w:t>
      </w:r>
      <w:r>
        <w:rPr>
          <w:rFonts w:cs="Times New Roman"/>
          <w:szCs w:val="24"/>
        </w:rPr>
        <w:fldChar w:fldCharType="begin" w:fldLock="1"/>
      </w:r>
      <w:r>
        <w:rPr>
          <w:rFonts w:cs="Times New Roman"/>
          <w:szCs w:val="24"/>
        </w:rPr>
        <w:instrText>ADDIN CSL_CITATION {"citationItems":[{"id":"ITEM-1","itemData":{"DOI":"10.1002/rra.901","ISBN":"1535-1459","ISSN":"15351459","PMID":"19129508","abstract":"We propose an integrated, heuristic model of lotic biocomplexity across spatiotemporal scales from headwaters to large rivers. This riverine ecosystem synthesis (RES) provides a framework for understanding both broad, often discontinuous patterns along longitudinal and lateral dimensions of river networks and local ecological patterns across various temporal and smaller spatial scales. Rather than posing a completely new model, we arrange a conceptual marriage of eco-geomorphology (ecological aspects of fluvial geomorphology) with a terrestrial landscape model describing hierarchical patch dynamics. We modify five components of this terrestrial model for lotic ecosystems: (1) nested, discontinuous hierarchies of patch mosaics; (2) ecosystem dynamics as a composite of intra- and inter-patch dynamics; (3) linked patterns and processes; (4) dominance of non-equilibria] and stochastic processes; and (5) formation of a quasi-equilibrial, metastable state. Our conceptual model blends our perspectives on biocomplexity with aspects of aquatic models proposed from 1980-2004. Contrasting with a common view of rivers as continuous, longitudinal gradients in physical conditions, the RES portrays rivers as downstream arrays of large hydrogeomorphic patches (e.g. constricted, braided and floodplain channel areas) formed by catchment geomorphology and climate. The longitudinal distribution of these patches, which are identifiable using standard geomorphic techniques, varies amongst rivers and is difficult to forecast above ecoregional scales. Some types of hydrogeomorphic patches may reoccur along this downstream passage. Unique ecological 'functional process zones' are formed by individual types of hydrogeomorphic patches because of physiochemical habitat differences which affect ecosystem structure and function. The RES currently includes 14 tenets predicting how patterns of individual species distributions, community regulation, lotic ecosystem processes, and floodplain interactions will vary over spatiotemporal scales, especially as they relate to the functional process zones formed by hydrogeomorphic differences in the river network. Copyright (C) 2006 John Wiley &amp; Sons, Ltd.","author":[{"dropping-particle":"","family":"Thorp","given":"James H.","non-dropping-particle":"","parse-names":false,"suffix":""},{"dropping-particle":"","family":"Thoms","given":"Martin C.","non-dropping-particle":"","parse-names":false,"suffix":""},{"dropping-particle":"","family":"Delong","given":"Michael D.","non-dropping-particle":"","parse-names":false,"suffix":""}],"container-title":"River Research and Applications","id":"ITEM-1","issue":"2","issued":{"date-parts":[["2006"]]},"note":"1. Historical Perspectives and Philosophical Foundation\n2. Elements of the Riverscape and Riverine Landscape\n3. Do patterns exist along a longitudinal dimension in river networks\n3a.Historicall perspectives on continua within rivernetwork\n3b.hydrogeomorphic patches and associated functional process zones\n4. Hierarchical patch dynamics model - bried descrtiption\n5. applying the hierarchical patch dynamics model to lotic ecosystems\n5a. Selective spatiotemporal scales\n5b. Element 1: nested discontinuous hierarchies of patch mosaics\n5c. Element 2: ecosystem dynamics as a composite of intra- and inter-patch dynamics\n5d. Element 3: linked patterns and processes\n5e. Element 4: Dominance of non-equilibrium and stochastic processes\n5f. Element 5: Formation of a quasi-equilibrial, metastable state\n6. A contribution to conceptual cohesiveness in lotic models \n6a. Distribution of species \n6.aa. Model Tenent 1\n6ab. model tenet 2\n6ac. Model tenet 3\n6ad. Model tenet 4\n6b. Community regulation \n6ba. model tenet 5\n6bb. model tenet 6\n6bc. model tenet 7\n6bd. model tenet 8\n6c. River and riverine landscape processes\n6ca. model tenet 9\n6cb model tenet 10","page":"123-147","title":"The riverine ecosystem synthesis: Biocomplexity in river networks across space and time","type":"article-journal","volume":"22"},"uris":["http://www.mendeley.com/documents/?uuid=2dcdf750-a9d5-46e6-b390-b3cf33588523"]},{"id":"ITEM-2","itemData":{"author":[{"dropping-particle":"","family":"Thorp","given":"James","non-dropping-particle":"","parse-names":false,"suffix":""},{"dropping-particle":"","family":"Thoms","given":"Martin","non-dropping-particle":"","parse-names":false,"suffix":""},{"dropping-particle":"","family":"Michael","given":"Delong","non-dropping-particle":"","parse-names":false,"suffix":""}],"id":"ITEM-2","issued":{"date-parts":[["2008"]]},"publisher":"Elsevier","publisher-place":"Oxford, UK","title":"The Riverine Ecosystem Synthesis: towards a conceptual cohesiveness in river science","type":"book"},"uris":["http://www.mendeley.com/documents/?uuid=bf5c1462-dad3-4b43-90d3-740fa13c70cf"]}],"mendeley":{"formattedCitation":"(Thorp et al. 2006, 2008)","plainTextFormattedCitation":"(Thorp et al. 2006, 2008)","previouslyFormattedCitation":"(Thorp et al. 2006, 2008)"},"properties":{"noteIndex":0},"schema":"https://github.com/citation-style-language/schema/raw/master/csl-citation.json"}</w:instrText>
      </w:r>
      <w:r>
        <w:rPr>
          <w:rFonts w:cs="Times New Roman"/>
          <w:szCs w:val="24"/>
        </w:rPr>
        <w:fldChar w:fldCharType="separate"/>
      </w:r>
      <w:r w:rsidRPr="00602577">
        <w:rPr>
          <w:rFonts w:cs="Times New Roman"/>
          <w:noProof/>
          <w:szCs w:val="24"/>
        </w:rPr>
        <w:t>(Thorp et al. 2006, 2008)</w:t>
      </w:r>
      <w:r>
        <w:rPr>
          <w:rFonts w:cs="Times New Roman"/>
          <w:szCs w:val="24"/>
        </w:rPr>
        <w:fldChar w:fldCharType="end"/>
      </w:r>
      <w:r>
        <w:rPr>
          <w:rFonts w:cs="Times New Roman"/>
          <w:szCs w:val="24"/>
        </w:rPr>
        <w:t xml:space="preserve">. The composition and configuration of HGP can characterize the physical structure of entire river networks </w:t>
      </w:r>
      <w:r>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Applications","type":"article-journal","volume":"54"},"uris":["http://www.mendeley.com/documents/?uuid=f71918bb-cdf0-435d-99e7-f9c3eaae3114"]},{"id":"ITEM-2","itemData":{"DOI":"10.1007/s10661-013-3114-6","ISBN":"01676369 (ISSN)","ISSN":"01676369","PMID":"23435849","abstract":"River systems consist of hydrogeomorphic patches (HPs) that emerge at multiple spatiotemporal scales. Functional process zones (FPZs) are HPs that exist at the river valley scale and are important strata for framing whole-watershed research questions and management plans. Hierarchical classification procedures aid in HP identification by grouping sections of river based on their hydrogeomorphic character; however, collecting data required for such procedures with field-based methods is often impractical. We developed a set of GIS-based tools that facilitate rapid, low cost riverine landscape characterization and FPZ classification. Our tools, termed RESonate, consist of a custom toolbox designed for ESRI ArcGIS®. RESonate automatically extracts 13 hydrogeomorphic variables from readily available geospatial datasets and datasets derived from modeling procedures. An advanced 2D flood model, FLDPLN, designed for MATLAB® is used to determine valley morphology by systematically flooding river networks. When used in conjunction with other modeling procedures, RESonate and FLDPLN can assess the character of large river networks quickly and at very low costs. Here we describe tool and model functions in addition to their benefits, limitations, and applications.","author":[{"dropping-particle":"","family":"Williams","given":"Bradley S.","non-dropping-particle":"","parse-names":false,"suffix":""},{"dropping-particle":"","family":"D'Amico","given":"Ellen","non-dropping-particle":"","parse-names":false,"suffix":""},{"dropping-particle":"","family":"Kastens","given":"Jude H.","non-dropping-particle":"","parse-names":false,"suffix":""},{"dropping-particle":"","family":"Thorp","given":"James H.","non-dropping-particle":"","parse-names":false,"suffix":""},{"dropping-particle":"","family":"Flotemersch","given":"Joseph E.","non-dropping-particle":"","parse-names":false,"suffix":""},{"dropping-particle":"","family":"Thoms","given":"Martin C.","non-dropping-particle":"","parse-names":false,"suffix":""}],"container-title":"Environmental Monitoring and Assessment","id":"ITEM-2","issue":"9","issued":{"date-parts":[["2013"]]},"page":"7485-7499","title":"Automated riverine landscape characterization: GIS-based tools for watershed-scale research, assessment, and management","type":"article-journal","volume":"185"},"uris":["http://www.mendeley.com/documents/?uuid=3254c308-8690-4f1e-9f21-0bbb7355c4fb"]}],"mendeley":{"formattedCitation":"(Williams et al. 2013; Thoms et al. 2018)","plainTextFormattedCitation":"(Williams et al. 2013; Thoms et al. 2018)","previouslyFormattedCitation":"(Williams et al. 2013,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(Williams et al. 2013; Thoms et al. 2018)</w:t>
      </w:r>
      <w:r>
        <w:rPr>
          <w:rFonts w:cs="Times New Roman"/>
          <w:szCs w:val="24"/>
        </w:rPr>
        <w:fldChar w:fldCharType="end"/>
      </w:r>
      <w:r>
        <w:rPr>
          <w:rFonts w:cs="Times New Roman"/>
          <w:szCs w:val="24"/>
        </w:rPr>
        <w:t xml:space="preserve">, influence species diversity patterns </w:t>
      </w:r>
      <w:r>
        <w:rPr>
          <w:rFonts w:cs="Times New Roman"/>
          <w:szCs w:val="24"/>
        </w:rPr>
        <w:fldChar w:fldCharType="begin" w:fldLock="1"/>
      </w:r>
      <w:r>
        <w:rPr>
          <w:rFonts w:cs="Times New Roman"/>
          <w:szCs w:val="24"/>
        </w:rPr>
        <w:instrText>ADDIN CSL_CITATION {"citationItems":[{"id":"ITEM-1","itemData":{"DOI":"10.1016/j.scitotenv.2019.04.394","ISSN":"18791026","abstract":"Rivers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Environment","id":"ITEM-1","issued":{"date-parts":[["2019"]]},"page":"184-193","publisher":"Elsevier B.V.","title":"Communities associated with the Functional Process Zone scale: A case study of stream macroinvertebrates in endorheic drainages","type":"article-journal","volume":"677"},"uris":["http://www.mendeley.com/documents/?uuid=b04a944d-07f1-48e0-bcca-8f4c81320c18"]}],"mendeley":{"formattedCitation":"(Maasri et al. 2019)","plainTextFormattedCitation":"(Maasri et al. 2019)","previouslyFormattedCitation":"(Maasri et al. 2019)"},"properties":{"noteIndex":0},"schema":"https://github.com/citation-style-language/schema/raw/master/csl-citation.json"}</w:instrText>
      </w:r>
      <w:r>
        <w:rPr>
          <w:rFonts w:cs="Times New Roman"/>
          <w:szCs w:val="24"/>
        </w:rPr>
        <w:fldChar w:fldCharType="separate"/>
      </w:r>
      <w:r w:rsidRPr="007A5F25">
        <w:rPr>
          <w:rFonts w:cs="Times New Roman"/>
          <w:noProof/>
          <w:szCs w:val="24"/>
        </w:rPr>
        <w:t>(Maasri et al. 2019)</w:t>
      </w:r>
      <w:r>
        <w:rPr>
          <w:rFonts w:cs="Times New Roman"/>
          <w:szCs w:val="24"/>
        </w:rPr>
        <w:fldChar w:fldCharType="end"/>
      </w:r>
      <w:r>
        <w:rPr>
          <w:rFonts w:cs="Times New Roman"/>
          <w:szCs w:val="24"/>
        </w:rPr>
        <w:t xml:space="preserve"> and ecosystem processes </w:t>
      </w:r>
      <w:r>
        <w:rPr>
          <w:rFonts w:cs="Times New Roman"/>
          <w:szCs w:val="24"/>
        </w:rPr>
        <w:fldChar w:fldCharType="begin" w:fldLock="1"/>
      </w:r>
      <w:r>
        <w:rPr>
          <w:rFonts w:cs="Times New Roman"/>
          <w:szCs w:val="24"/>
        </w:rPr>
        <w:instrText>ADDIN CSL_CITATION {"citationItems":[{"id":"ITEM-1","itemData":{"DOI":"10.1525/bio.2010.60.1.11","ISBN":"0006-3568","ISSN":"0006-3568","abstract":"Assignment of values for natural ecological benefits and anthropocentric ecosystem services in riverine landscapes has been problematic, because a firm scientific basis linking these to the river’s physical structure has been absent.We highlight some inherent problems in this process and suggest possible solutions on the basis of the hydrogeomorphic classification of rivers.We suggest this link can be useful in fair asset trading (mitigation and offsets), selection of sites for rehabilitation, cost/benefit decisions on incremental steps in restoring ecological functions, and general protection of rivers.","author":[{"dropping-particle":"","family":"Thorp","given":"James H.","non-dropping-particle":"","parse-names":false,"suffix":""},{"dropping-particle":"","family":"Flotemersch","given":"Joseph E.","non-dropping-particle":"","parse-names":false,"suffix":""},{"dropping-particle":"","family":"Delong","given":"Michael D.","non-dropping-particle":"","parse-names":false,"suffix":""},{"dropping-particle":"","family":"Casper","given":"Andrew F.","non-dropping-particle":"","parse-names":false,"suffix":""},{"dropping-particle":"","family":"Thoms","given":"Martin C.","non-dropping-particle":"","parse-names":false,"suffix":""},{"dropping-particle":"","family":"Ballantyne","given":"Ford","non-dropping-particle":"","parse-names":false,"suffix":""},{"dropping-particle":"","family":"Williams","given":"Bradley S.","non-dropping-particle":"","parse-names":false,"suffix":""},{"dropping-particle":"","family":"O'Neill","given":"Brian J.","non-dropping-particle":"","parse-names":false,"suffix":""},{"dropping-particle":"","family":"Haase","given":"C. Stephen","non-dropping-particle":"","parse-names":false,"suffix":""}],"container-title":"BioScience","id":"ITEM-1","issue":"1","issued":{"date-parts":[["2010"]]},"page":"67-74","title":"Linking Ecosystem Services, Rehabilitation, and River Hydrogeomorphology","type":"article-journal","volume":"60"},"uris":["http://www.mendeley.com/documents/?uuid=18b23afc-9945-4a6c-b342-219447159d1b"]},{"id":"ITEM-2","itemData":{"DOI":"10.1002/ecs2.2481","ISSN":"21508925","abstract":"Many conceptual syntheses in ecology and evolution are undergirded by either a patch- or continuum-based model. Examples include gradualism and punctuated equilibrium in evolution, and edge effects and the theory of island biogeography in ecology. In this study, we sought to determine how patch- or continuum-based analyses could explain variation in concentrations of stream macronutrients and system metabolism, represented by measures of productivity and respiration rates, at the watershed scale across the Kanawha River Basin, USA. Using Strahler stream order (SSO; continuum) and functional process zone (FPZ; patch) as factors, we produced statistical models for each variable and compared model performance using likelihood ratio tests. Only one nutrient (i.e., (Formula presented.)) responded better to patch-based analysis. Both models were significantly better than a null model for ecosystem respiration; however, neither outperformed the other. Importantly, in most cases, a combination model, including both SSO and FPZ, best described observed variation in the system. Our findings suggest that several patch- and continuum-based processes may simultaneously influence the concentration of macronutrients and system metabolism. Nutrient spiraling along a continuum and the patch mosaic of land cover may both alter macronutrients, for example. Similarly, increases in temperature and discharge associated with increasing SSO, as well as the differences in light availability and channel morphology associated with different FPZs, may influence system metabolism. For these reasons, we recommend a combination of patch- and continuum-based analyses when modeling, analyzing, and interpreting patterns in stream ecosystem parameters.","author":[{"dropping-particle":"","family":"Collins","given":"Sean E.","non-dropping-particle":"","parse-names":false,"suffix":""},{"dropping-particle":"","family":"Matter","given":"Stephen F.","non-dropping-particle":"","parse-names":false,"suffix":""},{"dropping-particle":"","family":"Buffam","given":"Ishi","non-dropping-particle":"","parse-names":false,"suffix":""},{"dropping-particle":"","family":"Flotemersch","given":"Joseph E.","non-dropping-particle":"","parse-names":false,"suffix":""}],"container-title":"Ecosphere","id":"ITEM-2","issue":"11","issued":{"date-parts":[["2018"]]},"title":"A patchy continuum? Stream processes show varied responses to patch- and continuum-based analyses","type":"article-journal","volume":"9"},"uris":["http://www.mendeley.com/documents/?uuid=bc2b4801-c3e2-4aa9-9096-62af167b3a84"]},{"id":"ITEM-3","itemData":{"DOI":"10.1002/rra","ISBN":"0213-8409","ISSN":"02138409","PMID":"2717","abstract":"Understanding longitudinal trends in the processing of carbon in rivers represents a much conceptualised, but infrequently tested, issue in aquatic ecology. In this study, we conducted concurrent longitudinal examinations of three very different rivers in eastern Australia to determine whether general principles in river functioning exist across broad geographic and hydrologic scales. Specifically, we examined trends in ambient basic water chemistry, nutrient concentrations, dissolved organic carbon (DOC), extracellular enzymes and food web structure and functioning and conducted bioassays to examine the degree to which DOC and nutrients limit heterotrophic bacterial respiration. These parameters revealed striking similarities across all sites. For metazoan communities, stable isotope analysis showed that algal carbon was the dominant basal resource utilised by consumers in all three rivers, suggesting that in-stream primary producers strongly underpin trophic pathways regardless of the position within a catchment or catchment condition. Analyses of extracellular enzymes revealed that microbial communities are actively utilising DOC at all sites. In fact, heterotrophic microbial respiration was strongly limited by DOC at all sites, with nutrient additions resulting in only relatively minor increases in respiration. Ultimately, this study demonstrates that DOC and algal carbon are critically important drivers of ecosystem processes in Australian riverine ecosystems. Furthermore, across all of our sites and rivers, ambient nutrient concentrations did not influence carbon processing. The consistent longitudinal trends in river function identified in this study provide useful insights for catchment managers and modellers with respect to identifiying key principles that underpin ecosystem functioning in Australian rivers.","author":[{"dropping-particle":"","family":"Hadwen","given":"Wade L.","non-dropping-particle":"","parse-names":false,"suffix":""},{"dropping-particle":"","family":"Fellows","given":"Christine S.","non-dropping-particle":"","parse-names":false,"suffix":""},{"dropping-particle":"","family":"Westhorpe","given":"Douglas","non-dropping-particle":"","parse-names":false,"suffix":""},{"dropping-particle":"","family":"Rees","given":"Gavin N.","non-dropping-particle":"","parse-names":false,"suffix":""},{"dropping-particle":"","family":"Mitrovic","given":"Simon M.","non-dropping-particle":"","parse-names":false,"suffix":""},{"dropping-particle":"","family":"Taylor","given":"Brett","non-dropping-particle":"","parse-names":false,"suffix":""},{"dropping-particle":"","family":"Baldwin","given":"Darren S.","non-dropping-particle":"","parse-names":false,"suffix":""},{"dropping-particle":"","family":"Silvester","given":"Ewen","non-dropping-particle":"","parse-names":false,"suffix":""},{"dropping-particle":"","family":"Croome","given":"Roger","non-dropping-particle":"","parse-names":false,"suffix":""}],"container-title":"River Research and Applications","id":"ITEM-3","issued":{"date-parts":[["2010"]]},"page":"1129-1152","title":"Longitudinal trends in river functioning: Patterns of nutrient and carbin processing in three Australian rivers","type":"article-journal","volume":"26"},"uris":["http://www.mendeley.com/documents/?uuid=1f7bb9f6-2bcb-4b8b-9943-0fed37e7e4c0"]}],"mendeley":{"formattedCitation":"(Hadwen et al. 2010; Thorp et al. 2010; Collins et al. 2018)","plainTextFormattedCitation":"(Hadwen et al. 2010; Thorp et al. 2010; Collins et al. 2018)","previouslyFormattedCitation":"(Hadwen et al. 2010, Thorp et al. 2010, Collins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(Hadwen et al. 2010; Thorp et al. 2010; Collins et al. 2018)</w:t>
      </w:r>
      <w:r>
        <w:rPr>
          <w:rFonts w:cs="Times New Roman"/>
          <w:szCs w:val="24"/>
        </w:rPr>
        <w:fldChar w:fldCharType="end"/>
      </w:r>
      <w:r>
        <w:rPr>
          <w:rFonts w:cs="Times New Roman"/>
          <w:szCs w:val="24"/>
        </w:rPr>
        <w:t xml:space="preserve">. </w:t>
      </w:r>
    </w:p>
    <w:p w14:paraId="000E4946" w14:textId="77777777" w:rsidR="00755451" w:rsidRDefault="00755451" w:rsidP="00755451">
      <w:pPr>
        <w:spacing w:line="480" w:lineRule="auto"/>
        <w:ind w:firstLine="720"/>
        <w:contextualSpacing/>
        <w:rPr>
          <w:rFonts w:cs="Times New Roman"/>
          <w:szCs w:val="24"/>
        </w:rPr>
      </w:pPr>
      <w:r>
        <w:rPr>
          <w:rFonts w:cs="Times New Roman"/>
          <w:szCs w:val="24"/>
        </w:rPr>
        <w:t xml:space="preserve">Previous efforts to characterize river networks by their HGPs have focused on a small number of river networks at different spatial scales </w:t>
      </w:r>
      <w:r>
        <w:rPr>
          <w:rFonts w:cs="Times New Roman"/>
          <w:szCs w:val="24"/>
        </w:rPr>
        <w:fldChar w:fldCharType="begin" w:fldLock="1"/>
      </w:r>
      <w:r>
        <w:rPr>
          <w:rFonts w:cs="Times New Roman"/>
          <w:szCs w:val="24"/>
        </w:rPr>
        <w:instrText>ADDIN CSL_CITATION {"citationItems":[{"id":"ITEM-1","itemData":{"DOI":"10.1127/1868-5749/2014/0084","ISSN":"18685749","author":[{"dropping-particle":"","family":"Collins","given":"Sean E.","non-dropping-particle":"","parse-names":false,"suffix":""},{"dropping-particle":"","family":"Thoms","given":"Martin C.","non-dropping-particle":"","parse-names":false,"suffix":""},{"dropping-particle":"","family":"Flotemersch","given":"Joseph E.","non-dropping-particle":"","parse-names":false,"suffix":""}],"container-title":"River Systems","id":"ITEM-1","issue":"4","issued":{"date-parts":[["2014"]]},"page":"203-213","title":"Hydrogeomorphic zones characterize riverbed sediment patterns within a river network","type":"article-journal","volume":"21"},"uris":["http://www.mendeley.com/documents/?uuid=bd49bd01-e86d-45cc-a02b-7092e351608a"]},{"id":"ITEM-2","itemData":{"DOI":"10.1016/j.scitotenv.2019.04.394","ISSN":"18791026","abstract":"Rivers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Environment","id":"ITEM-2","issued":{"date-parts":[["2019"]]},"page":"184-193","publisher":"Elsevier B.V.","title":"Communities associated with the Functional Process Zone scale: A case study of stream macroinvertebrates in endorheic drainages","type":"article-journal","volume":"677"},"uris":["http://www.mendeley.com/documents/?uuid=b04a944d-07f1-48e0-bcca-8f4c81320c18"]},{"id":"ITEM-3","itemData":{"DOI":"10.1111/1752-1688.12649","ISSN":"17521688","abstract":"Fluvial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Association","id":"ITEM-3","issue":"4","issued":{"date-parts":[["2018"]]},"page":"899-913","title":"Characterization of River Networks: A GIS Approach and Its Applications","type":"article-journal","volume":"54"},"uris":["http://www.mendeley.com/documents/?uuid=f71918bb-cdf0-435d-99e7-f9c3eaae3114"]}],"mendeley":{"formattedCitation":"(Collins et al. 2014; Thoms et al. 2018; Maasri et al. 2019)","plainTextFormattedCitation":"(Collins et al. 2014; Thoms et al. 2018; Maasri et al. 2019)","previouslyFormattedCitation":"(Collins et al. 2014, Thoms et al. 2018, Maasri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(Collins et al. 2014; Thoms et al. 2018; Maasri et al. 2019)</w:t>
      </w:r>
      <w:r>
        <w:rPr>
          <w:rFonts w:cs="Times New Roman"/>
          <w:szCs w:val="24"/>
        </w:rPr>
        <w:fldChar w:fldCharType="end"/>
      </w:r>
      <w:r>
        <w:rPr>
          <w:rFonts w:cs="Times New Roman"/>
          <w:szCs w:val="24"/>
        </w:rPr>
        <w:t>. Since scale dependency is common, this may hinder efforts to synthesize their findings.</w:t>
      </w:r>
      <w:r w:rsidRPr="00B917F4">
        <w:rPr>
          <w:rFonts w:cs="Times New Roman"/>
          <w:szCs w:val="24"/>
        </w:rPr>
        <w:t xml:space="preserve"> </w:t>
      </w:r>
      <w:r>
        <w:rPr>
          <w:rFonts w:cs="Times New Roman"/>
          <w:szCs w:val="24"/>
        </w:rPr>
        <w:t xml:space="preserve">Scaling functions could provide an accurate way to predict how spatial pattern of HGP changes with spatial extent (watershed area), grain size (resolution of hydrography) or thematic detail. River networks are also embedded in biomes that vary in their climate, hydrology and geomorphology which could contribute to geographical variation in the factors that differentiate HGP types and their spatial pattern </w:t>
      </w:r>
      <w:r>
        <w:rPr>
          <w:rFonts w:cs="Times New Roman"/>
          <w:szCs w:val="24"/>
        </w:rPr>
        <w:fldChar w:fldCharType="begin" w:fldLock="1"/>
      </w:r>
      <w:r>
        <w:rPr>
          <w:rFonts w:cs="Times New Roman"/>
          <w:szCs w:val="24"/>
        </w:rPr>
        <w:instrText>ADDIN CSL_CITATION {"citationItems":[{"id":"ITEM-1","itemData":{"DOI":"10.1086/679756","ISBN":"2161-9549","ISSN":"2161-9549","PMID":"24335434","abstract":"Abstract We propose the Stream Biome Gradient Concept as a way to predict macroscale biological patterns in streams. This concept is based on the hypothesis that many abiotic and biotic features of streams change predictably along climate (temperature and precipitation) gradients because of direct influences of climate on hydrology, geomorphology, and interactions mediated by terrestrial vegetation. The Stream Biome Gradient Concept generates testable hypotheses related to continental variation among streams worldwide and allows aquatic scientists to understand how results from one biome might apply to a less-studied biome. Some predicted factors change monotonically across the biome/climate gradients, whereas others have maxima or minima in the central portion of the gradient. For example, predictions across the gradient from drier deserts through grasslands to wetter forests include more permanent flow, less bare ground, lower erosion and sediment transport rates, decreased importance of autochthonous C inputs to food webs, and greater stream animal species richness. In contrast, effects of large ungulate grazers on streams are expected to be greater in grasslands than in forests or deserts, and fire is expected to have weaker effects in grassland streams than in desert and forest streams along biome gradients with changing precipitation and constant latitude or elevation. Understanding historic patterns among biomes can help describe the evolutionary template at relevant biogeographic scales, can be used to broaden other conceptual models of stream ecology, and could lead to better management and conservation across the broadest scales. CR  - Copyright &amp;#169; 2015 Society for Freshwater Science","author":[{"dropping-particle":"","family":"Dodds","given":"Walter K.","non-dropping-particle":"","parse-names":false,"suffix":""},{"dropping-particle":"","family":"Gido","given":"Keith","non-dropping-particle":"","parse-names":false,"suffix":""},{"dropping-particle":"","family":"Whiles","given":"Matt R.","non-dropping-particle":"","parse-names":false,"suffix":""},{"dropping-particle":"","family":"Daniels","given":"Melinda D.","non-dropping-particle":"","parse-names":false,"suffix":""},{"dropping-particle":"","family":"Grudzinski","given":"Bartosz P.","non-dropping-particle":"","parse-names":false,"suffix":""}],"container-title":"Freshwater Science","id":"ITEM-1","issue":"1","issued":{"date-parts":[["2015"]]},"note":"1) Introduction:\n2) Climate Gradients and Links between biomes and hydrology \n2a) Climate and biome gradients \n2b) Hydrology and biome gradients \n3) Geomorphology acros biome gradients \n3a) Geomorphology and Biomes\n3b) Interactions with other factors influencing geomorphology\n4) Ecosystem Properties \n4a) Nutrients\n4b) Trophic state\n5) Stream Animal Communities Across biome gradients \n5a) Vertebrate Diversity \n5b) Invertebrate Diversity \n5c) How ecological resonses of animals change across biome gradients \n5d) Anthropogenic influences on stream animals across gradients\n6) The stream biome gradient concept and other integrative ideas in lotic ecology\n7) Overview","page":"1-19","title":"The Stream Biome Gradient Concept: factors controlling lotic systems across broad biogeographic scales","type":"article-journal","volume":"34"},"uris":["http://www.mendeley.com/documents/?uuid=ee50a9d6-fd34-4250-b8ca-b1fe22f288a8"]},{"id":"ITEM-2","itemData":{"DOI":"10.1002/ecs2.2786","ISSN":"21508925","abstract":"Understanding global ecological patterns and processes, from biogeochemical to biogeographical, requires broad-scale macrosystems context for comparing and contrasting ecosystems. Climate gradients (precipitation and temperature) and other continental-scale patterns shape freshwater environments due to their influences on terrestrial environments and their direct and indirect effects on the abiotic and biotic characteristics of lakes, streams, and wetlands. We combined literature review, analyses of open access data, and logical argument to assess abiotic and biotic characters of freshwater systems across gradients of latitude and elevation that drive precipitation, temperature, and other variability. We explored the predictive value of analyzing patterns in freshwater ecosystems at the global macrosystems scale. We found many patterns based on climate, particularly those dependent upon hydrologic characteristics and linked to characteristics of terrestrial biomes. For example, continental waters of dry areas will generally be widely dispersed and have higher probability of drying and network disconnection, greater temperatures, greater inorganic turbidity, greater salinity, and lower riparian canopy cover relative to areas with high precipitation. These factors will influence local community composition and ecosystem rates. Enough studies are now available at the continental or global scale to start to characterize patterns under a coherent conceptual framework, though considerable gaps exist in the tropics and less developed regions. We present illustrative global-scale trends of abiotic, biotic, and anthropogenic impacts in freshwater ecosystems across gradients of precipitation and temperature to further understanding of broadscale trends and to aid prediction in the face of global change. We view freshwater systems as occurring across arrays of multiple gradients (including latitude, altitude, and precipitation) rather than areas with specific boundaries. While terrestrial biomes capture some variability along these gradients that influence freshwaters, other features such as, slope, geology, and historical glaciation also influence freshwaters. Our conceptual framework is not so much a single hypothesis as a way to logically characterize patterns in freshwaters at scales relevant to (1) evolutionary processes that give rise to freshwater biodiversity, (2) regulatory units that influence freshwater ecosystems, and (3) the current scope of anthropog…","author":[{"dropping-particle":"","family":"Dodds","given":"Walter K.","non-dropping-particle":"","parse-names":false,"suffix":""},{"dropping-particle":"","family":"Bruckerhoff","given":"Lindsey","non-dropping-particle":"","parse-names":false,"suffix":""},{"dropping-particle":"","family":"Batzer","given":"Darold","non-dropping-particle":"","parse-names":false,"suffix":""},{"dropping-particle":"","family":"Schechner","given":"Anne","non-dropping-particle":"","parse-names":false,"suffix":""},{"dropping-particle":"","family":"Pennock","given":"Casey","non-dropping-particle":"","parse-names":false,"suffix":""},{"dropping-particle":"","family":"Renner","given":"Elizabeth","non-dropping-particle":"","parse-names":false,"suffix":""},{"dropping-particle":"","family":"Tromboni","given":"Flavia","non-dropping-particle":"","parse-names":false,"suffix":""},{"dropping-particle":"","family":"Bigham","given":"Kari","non-dropping-particle":"","parse-names":false,"suffix":""},{"dropping-particle":"","family":"Grieger","given":"Samantha","non-dropping-particle":"","parse-names":false,"suffix":""}],"container-title":"Ecosphere","id":"ITEM-2","issue":"7","issued":{"date-parts":[["2019"]]},"title":"The freshwater biome gradient framework: Predicting macroscale properties based on latitude, altitude, and precipitation","type":"article-journal","volume":"10"},"uris":["http://www.mendeley.com/documents/?uuid=984b969a-90b6-4d74-b4e2-015de5942e62"]}],"mendeley":{"formattedCitation":"(Dodds et al. 2015, 2019)","plainTextFormattedCitation":"(Dodds et al. 2015, 2019)","previouslyFormattedCitation":"(Dodds et al. 2015, 2019)"},"properties":{"noteIndex":0},"schema":"https://github.com/citation-style-language/schema/raw/master/csl-citation.json"}</w:instrText>
      </w:r>
      <w:r>
        <w:rPr>
          <w:rFonts w:cs="Times New Roman"/>
          <w:szCs w:val="24"/>
        </w:rPr>
        <w:fldChar w:fldCharType="separate"/>
      </w:r>
      <w:r w:rsidRPr="008D4E3D">
        <w:rPr>
          <w:rFonts w:cs="Times New Roman"/>
          <w:noProof/>
          <w:szCs w:val="24"/>
        </w:rPr>
        <w:t>(Dodds et al. 2015, 2019)</w:t>
      </w:r>
      <w:r>
        <w:rPr>
          <w:rFonts w:cs="Times New Roman"/>
          <w:szCs w:val="24"/>
        </w:rPr>
        <w:fldChar w:fldCharType="end"/>
      </w:r>
      <w:r>
        <w:rPr>
          <w:rFonts w:cs="Times New Roman"/>
          <w:szCs w:val="24"/>
        </w:rPr>
        <w:t xml:space="preserve">. Thus, systematic evaluations of scaling relationships across multiple riverine landscapes will improve our </w:t>
      </w:r>
      <w:r>
        <w:rPr>
          <w:rFonts w:cs="Times New Roman"/>
          <w:szCs w:val="24"/>
        </w:rPr>
        <w:lastRenderedPageBreak/>
        <w:t xml:space="preserve">understanding of scale dependencies in spatial pattern within and among different biomes </w:t>
      </w:r>
      <w:r>
        <w:rPr>
          <w:rFonts w:cs="Times New Roman"/>
          <w:szCs w:val="24"/>
        </w:rPr>
        <w:fldChar w:fldCharType="begin" w:fldLock="1"/>
      </w:r>
      <w:r>
        <w:rPr>
          <w:rFonts w:cs="Times New Roman"/>
          <w:szCs w:val="24"/>
        </w:rPr>
        <w:instrText>ADDIN CSL_CITATION {"citationItems":[{"id":"ITEM-1","itemData":{"DOI":"10.1023/A","ISSN":"00138703","abstract":"While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Ecology","id":"ITEM-1","issue":"3","issued":{"date-parts":[["2002"]]},"page":"761-782","title":"Empirical patterns of the effects of changing scale on landscape metrics","type":"article-journal","volume":"17"},"uris":["http://www.mendeley.com/documents/?uuid=0a890e40-e3a8-4e9e-b52a-8e00af91cd6c"]}],"mendeley":{"formattedCitation":"(Wu et al. 2002)","plainTextFormattedCitation":"(Wu et al. 2002)","previouslyFormattedCitation":"(Wu et al. 2002)"},"properties":{"noteIndex":0},"schema":"https://github.com/citation-style-language/schema/raw/master/csl-citation.json"}</w:instrText>
      </w:r>
      <w:r>
        <w:rPr>
          <w:rFonts w:cs="Times New Roman"/>
          <w:szCs w:val="24"/>
        </w:rPr>
        <w:fldChar w:fldCharType="separate"/>
      </w:r>
      <w:r w:rsidRPr="00746DE6">
        <w:rPr>
          <w:rFonts w:cs="Times New Roman"/>
          <w:noProof/>
          <w:szCs w:val="24"/>
        </w:rPr>
        <w:t>(Wu et al. 2002)</w:t>
      </w:r>
      <w:r>
        <w:rPr>
          <w:rFonts w:cs="Times New Roman"/>
          <w:szCs w:val="24"/>
        </w:rPr>
        <w:fldChar w:fldCharType="end"/>
      </w:r>
      <w:r>
        <w:rPr>
          <w:rFonts w:cs="Times New Roman"/>
          <w:szCs w:val="24"/>
        </w:rPr>
        <w:t xml:space="preserve">.  </w:t>
      </w:r>
    </w:p>
    <w:p w14:paraId="3F1DA9B1" w14:textId="77777777" w:rsidR="00755451" w:rsidRPr="00694D81" w:rsidRDefault="00755451" w:rsidP="00755451">
      <w:pPr>
        <w:spacing w:line="480" w:lineRule="auto"/>
        <w:ind w:firstLine="720"/>
        <w:contextualSpacing/>
        <w:rPr>
          <w:rFonts w:cs="Times New Roman"/>
          <w:szCs w:val="24"/>
        </w:rPr>
      </w:pPr>
      <w:r>
        <w:rPr>
          <w:rFonts w:cs="Times New Roman"/>
          <w:szCs w:val="24"/>
        </w:rPr>
        <w:t xml:space="preserve">Here, we investigate how the spatial pattern of HGP changes with scale in 18 river networks in the contiguous United States (hereafter “CONUS”). We used climate, hydrologic, and geomorphic variables to identify HGP and adapted several landscape metrics to quantify their configuration and composition in each river network. We then evaluate the relationship between each landscape metric and three components of scale: spatial extent, spatial grain, and thematic resolution </w:t>
      </w:r>
      <w:r>
        <w:rPr>
          <w:rFonts w:cs="Times New Roman"/>
          <w:szCs w:val="24"/>
        </w:rPr>
        <w:fldChar w:fldCharType="begin" w:fldLock="1"/>
      </w:r>
      <w:r>
        <w:rPr>
          <w:rFonts w:cs="Times New Roman"/>
          <w:szCs w:val="24"/>
        </w:rPr>
        <w:instrText>ADDIN CSL_CITATION {"citationItems":[{"id":"ITEM-1","itemData":{"DOI":"10.1007/s10980-019-00937-1","ISBN":"0123456789","ISSN":"15729761","abstract":"Context: Spatial heterogeneity is scale-dependent. Understanding the scaling rules of spatial features across wide ranges of scale is a major challenge in landscape ecology. The lack of scientific justification in choosing proper scale may lead to unexpected outcomes in landscape pattern analysis and result in biases in subsequent process analysis. Objectives: The goal is to provide an extensive analysis on scaling relationships for a variety of landscape metrics as functions of grain size and extent. Specific research objectives are to: (1) identify scaling relationships of landscape metrics as functions of grain size, (2) define scale domains of these scaling relationships, and (3) explore how scaling relations of landscape metrics with respect to grain size would change with spatial extent. Methods: Expanding the approach of Wu and Hobbs (Landsc Ecol 17:355–365, 2002) and Wu (Landsc Ecol 19:125–138, 2004) using a much bigger dataset and covering a wider range of scales, we examined the patterns of scalograms of 38 landscape metrics within 96 sampled landscapes ranging from 25 to 221 km2 in the conterminous United States. Scaling models were derived from the scalograms as a function of grain size, and the scale domains of these models were identified as the critical scales along the dimensions of grain size and spatial extent where the performance of the models fell below a given error limit. Results: The responses of landscape metrics with respect to changing resolutions fall into three categories: predictable across the whole spectrum of grain size investigated (Type I), predictable in a limited range of grain size (Type II), and unpredictable (Type III). For Type II metrics, the critical aggregation resolutions were identified based on the predefined error limit, and scale-invariant power-law scaling relationships were found between critical resolutions and spatial extents. All the scaling exponents are positive, suggesting that critical aggregation resolutions can be relaxed as the spatial extent expands. Furthermore, the coefficients of scaling relations for Type I and II metrics vary with spatial extents, and robust scaling functions between the coefficients and the extent can be observed for some metrics. Conclusions: This study addresses a fundamental scale issue in landscape ecology: how a particular spatial pattern would change with scale and how information could be adequately transferred from one scale to another. A variety of scaling rela…","author":[{"dropping-particle":"","family":"Xu","given":"Chunxue","non-dropping-particle":"","parse-names":false,"suffix":""},{"dropping-particle":"","family":"Zhao","given":"Shuqing","non-dropping-particle":"","parse-names":false,"suffix":""},{"dropping-particle":"","family":"Liu","given":"Shuguang","non-dropping-particle":"","parse-names":false,"suffix":""}],"container-title":"Landscape Ecology","id":"ITEM-1","issue":"1","issued":{"date-parts":[["2020"]]},"page":"223-247","publisher":"Springer Netherlands","title":"Spatial scaling of multiple landscape features in the conterminous United States","type":"article-journal","volume":"35"},"uris":["http://www.mendeley.com/documents/?uuid=ce7a976d-a405-43db-8004-cdf3c3df9e2c"]},{"id":"ITEM-2","itemData":{"DOI":"10.1023/A","ISSN":"00138703","abstract":"While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Ecology","id":"ITEM-2","issue":"3","issued":{"date-parts":[["2002"]]},"page":"761-782","title":"Empirical patterns of the effects of changing scale on landscape metrics","type":"article-journal","volume":"17"},"uris":["http://www.mendeley.com/documents/?uuid=0a890e40-e3a8-4e9e-b52a-8e00af91cd6c"]},{"id":"ITEM-3","itemData":{"DOI":"10.1007/s10980-006-9010-5","ISSN":"09212973","abstract":"The thematic resolution of mapped data determines the amount of detail of geospatial information, and influences various aspects of landscape classification and the relevance of derived pattern attributes to particular ecological questions. Here we show that changing thematic resolution may significantly affect landscape metrics and in turn their ability to detect landscape changes. The effects of thematic resolution on many landscape metrics tend to show consistent general patterns, but the details of these patterns are likely to be dependent on specific landscape patterns and classification criteria. Thus, the effects of thematic resolution, like those with regard to grain and extent, must be considered in landscape pattern analysis. © 2006 Springer Science+Business Media B.V.","author":[{"dropping-particle":"","family":"Buyantuyev","given":"Alexander","non-dropping-particle":"","parse-names":false,"suffix":""},{"dropping-particle":"","family":"Wu","given":"Jianguo","non-dropping-particle":"","parse-names":false,"suffix":""}],"container-title":"Landscape Ecology","id":"ITEM-3","issue":"1","issued":{"date-parts":[["2007"]]},"page":"7-13","title":"Effects of thematic resolution on landscape pattern analysis","type":"article-journal","volume":"22"},"uris":["http://www.mendeley.com/documents/?uuid=fb40bdb5-3c41-47be-8063-241bfaddc47a"]}],"mendeley":{"formattedCitation":"(Wu et al. 2002; Buyantuyev and Wu 2007; Xu et al. 2020)","plainTextFormattedCitation":"(Wu et al. 2002; Buyantuyev and Wu 2007; Xu et al. 2020)","previouslyFormattedCitation":"(Wu et al. 2002, Buyantuyev and Wu 2007, Xu et al. 2020)"},"properties":{"noteIndex":0},"schema":"https://github.com/citation-style-language/schema/raw/master/csl-citation.json"}</w:instrText>
      </w:r>
      <w:r>
        <w:rPr>
          <w:rFonts w:cs="Times New Roman"/>
          <w:szCs w:val="24"/>
        </w:rPr>
        <w:fldChar w:fldCharType="separate"/>
      </w:r>
      <w:r w:rsidRPr="0047668E">
        <w:rPr>
          <w:rFonts w:cs="Times New Roman"/>
          <w:noProof/>
          <w:szCs w:val="24"/>
        </w:rPr>
        <w:t>(Wu et al. 2002; Buyantuyev and Wu 2007; Xu et al. 2020)</w:t>
      </w:r>
      <w:r>
        <w:rPr>
          <w:rFonts w:cs="Times New Roman"/>
          <w:szCs w:val="24"/>
        </w:rPr>
        <w:fldChar w:fldCharType="end"/>
      </w:r>
      <w:r>
        <w:rPr>
          <w:rFonts w:cs="Times New Roman"/>
          <w:szCs w:val="24"/>
        </w:rPr>
        <w:t xml:space="preserve">. Finally, we investigated the role of river network size (i.e. total stream length or catchment area) and topology (drainage density) in driving variation in spatial pattern among biomes and determine if the suite of hydrologic, geomorphic and climatic variables used to differentiate HGP remains consistent across the studied river networks. </w:t>
      </w:r>
    </w:p>
    <w:p w14:paraId="37B501A1" w14:textId="3164B5E1" w:rsidR="00333AA3" w:rsidRPr="004241E2" w:rsidRDefault="00333AA3" w:rsidP="004241E2">
      <w:pPr>
        <w:spacing w:line="480" w:lineRule="auto"/>
        <w:ind w:firstLine="720"/>
        <w:contextualSpacing/>
        <w:rPr>
          <w:rFonts w:cs="Times New Roman"/>
          <w:szCs w:val="24"/>
        </w:rPr>
      </w:pPr>
      <w:r>
        <w:rPr>
          <w:rFonts w:cs="Times New Roman"/>
          <w:szCs w:val="24"/>
        </w:rPr>
        <w:t xml:space="preserve"> </w:t>
      </w:r>
    </w:p>
    <w:p w14:paraId="360C57B4" w14:textId="58AF261E" w:rsidR="00333AA3" w:rsidRPr="00254797" w:rsidRDefault="00333AA3" w:rsidP="00665B56">
      <w:pPr>
        <w:pStyle w:val="Heading2"/>
        <w:spacing w:line="480" w:lineRule="auto"/>
        <w:contextualSpacing/>
      </w:pPr>
      <w:bookmarkStart w:id="94" w:name="_Toc60841237"/>
      <w:r w:rsidRPr="006F24A8">
        <w:t>Methods</w:t>
      </w:r>
      <w:bookmarkEnd w:id="94"/>
    </w:p>
    <w:p w14:paraId="4911B3C5" w14:textId="77777777" w:rsidR="00755451" w:rsidRPr="006F24A8" w:rsidRDefault="00755451" w:rsidP="00755451">
      <w:pPr>
        <w:spacing w:line="480" w:lineRule="auto"/>
        <w:contextualSpacing/>
        <w:rPr>
          <w:rFonts w:cs="Times New Roman"/>
          <w:i/>
          <w:szCs w:val="24"/>
        </w:rPr>
      </w:pPr>
      <w:bookmarkStart w:id="95" w:name="_Toc60841238"/>
      <w:r w:rsidRPr="006F24A8">
        <w:rPr>
          <w:rFonts w:cs="Times New Roman"/>
          <w:i/>
          <w:szCs w:val="24"/>
        </w:rPr>
        <w:t xml:space="preserve">Study </w:t>
      </w:r>
      <w:r>
        <w:rPr>
          <w:rFonts w:cs="Times New Roman"/>
          <w:i/>
          <w:szCs w:val="24"/>
        </w:rPr>
        <w:t>s</w:t>
      </w:r>
      <w:r w:rsidRPr="006F24A8">
        <w:rPr>
          <w:rFonts w:cs="Times New Roman"/>
          <w:i/>
          <w:szCs w:val="24"/>
        </w:rPr>
        <w:t>ites</w:t>
      </w:r>
    </w:p>
    <w:p w14:paraId="472A6C53" w14:textId="77777777" w:rsidR="00755451" w:rsidRDefault="00755451" w:rsidP="00755451">
      <w:pPr>
        <w:spacing w:line="480" w:lineRule="auto"/>
        <w:ind w:firstLine="720"/>
        <w:contextualSpacing/>
        <w:rPr>
          <w:rFonts w:cs="Times New Roman"/>
          <w:szCs w:val="24"/>
        </w:rPr>
      </w:pPr>
      <w:r>
        <w:rPr>
          <w:rFonts w:cs="Times New Roman"/>
          <w:szCs w:val="24"/>
        </w:rPr>
        <w:t>W</w:t>
      </w:r>
      <w:r w:rsidRPr="006F24A8">
        <w:rPr>
          <w:rFonts w:cs="Times New Roman"/>
          <w:szCs w:val="24"/>
        </w:rPr>
        <w:t xml:space="preserve">e </w:t>
      </w:r>
      <w:r>
        <w:rPr>
          <w:rFonts w:cs="Times New Roman"/>
          <w:szCs w:val="24"/>
        </w:rPr>
        <w:t>chose a single river</w:t>
      </w:r>
      <w:r w:rsidRPr="006F24A8">
        <w:rPr>
          <w:rFonts w:cs="Times New Roman"/>
          <w:szCs w:val="24"/>
        </w:rPr>
        <w:t xml:space="preserve"> network </w:t>
      </w:r>
      <w:r>
        <w:rPr>
          <w:rFonts w:cs="Times New Roman"/>
          <w:szCs w:val="24"/>
        </w:rPr>
        <w:t xml:space="preserve">in each of the </w:t>
      </w:r>
      <w:r w:rsidRPr="006F24A8">
        <w:rPr>
          <w:rFonts w:cs="Times New Roman"/>
          <w:szCs w:val="24"/>
        </w:rPr>
        <w:t xml:space="preserve">National Ecological Observation Network (NEON; </w:t>
      </w:r>
      <w:hyperlink r:id="rId36" w:history="1">
        <w:r w:rsidRPr="006F24A8">
          <w:rPr>
            <w:rStyle w:val="Hyperlink"/>
            <w:rFonts w:cs="Times New Roman"/>
            <w:szCs w:val="24"/>
          </w:rPr>
          <w:t>https://www.neonscience.org/</w:t>
        </w:r>
      </w:hyperlink>
      <w:r w:rsidRPr="006F24A8">
        <w:rPr>
          <w:rFonts w:cs="Times New Roman"/>
          <w:szCs w:val="24"/>
        </w:rPr>
        <w:t>)</w:t>
      </w:r>
      <w:r>
        <w:rPr>
          <w:rFonts w:cs="Times New Roman"/>
          <w:szCs w:val="24"/>
        </w:rPr>
        <w:t xml:space="preserve"> </w:t>
      </w:r>
      <w:proofErr w:type="spellStart"/>
      <w:r>
        <w:rPr>
          <w:rFonts w:cs="Times New Roman"/>
          <w:szCs w:val="24"/>
        </w:rPr>
        <w:t>ecoclimatic</w:t>
      </w:r>
      <w:proofErr w:type="spellEnd"/>
      <w:r>
        <w:rPr>
          <w:rFonts w:cs="Times New Roman"/>
          <w:szCs w:val="24"/>
        </w:rPr>
        <w:t xml:space="preserve"> domains</w:t>
      </w:r>
      <w:r w:rsidRPr="006F24A8">
        <w:rPr>
          <w:rFonts w:cs="Times New Roman"/>
          <w:szCs w:val="24"/>
        </w:rPr>
        <w:t xml:space="preserve"> </w:t>
      </w:r>
      <w:r>
        <w:rPr>
          <w:rFonts w:cs="Times New Roman"/>
          <w:szCs w:val="24"/>
        </w:rPr>
        <w:t xml:space="preserve">in the CONUS </w:t>
      </w:r>
      <w:r w:rsidRPr="006F24A8">
        <w:rPr>
          <w:rFonts w:cs="Times New Roman"/>
          <w:szCs w:val="24"/>
        </w:rPr>
        <w:t>(</w:t>
      </w:r>
      <w:r>
        <w:rPr>
          <w:rFonts w:cs="Times New Roman"/>
          <w:szCs w:val="24"/>
        </w:rPr>
        <w:t>Figure 1</w:t>
      </w:r>
      <w:r w:rsidRPr="006F24A8">
        <w:rPr>
          <w:rFonts w:cs="Times New Roman"/>
          <w:szCs w:val="24"/>
        </w:rPr>
        <w:t xml:space="preserve">; </w:t>
      </w:r>
      <w:r w:rsidRPr="006F24A8">
        <w:rPr>
          <w:rFonts w:cs="Times New Roman"/>
          <w:szCs w:val="24"/>
        </w:rPr>
        <w:fldChar w:fldCharType="begin" w:fldLock="1"/>
      </w:r>
      <w:r w:rsidRPr="006F24A8">
        <w:rPr>
          <w:rFonts w:cs="Times New Roman"/>
          <w:szCs w:val="24"/>
        </w:rPr>
        <w:instrText>ADDIN CSL_CITATION {"citationItems":[{"id":"ITEM-1","itemData":{"DOI":"10.1007/s00267-003-1084-0","ISSN":"14321009","PMID":"15883870","abstract":"Multivariate clustering based on fine spatial resolution maps of elevation, temperature, precipitation, soil characteristics, and solar inputs has been used at several specified levels of division to produce a spectrum of quantitative ecoregion maps for the conterminous United States. The coarse ecoregion divisions accurately capture intuitively-understood regional environmental differences, whereas the finer divisions highlight local condition gradients, ecotones, and clines. Such statistically generated ecoregions can be produced based on user-selected continuous variables, allowing customized regions to be delineated for any specific problem. By creating an objective ecoregion classification, the ecoregion concept is removed from the limitations of human subjectivity, making possible a new array of ecologically useful derivative products. A red-green-blue visualization based on principal components analysis of ecoregion centroids indicates with color the relative combination of environmental conditions found within each ecoregion. Multiple geographic areas can be classified into a single common set of quantitative ecoregions to provide a basis for comparison, or maps of a single area through time can be classified to portray climatic or environmental changes geographically in terms of current conditions. Quantified representativeness can characterize borders between ecoregions as gradual, sharp, or of changing character along their length. Similarity of any ecoregion to all other ecoregions can be quantified and displayed as a \"representativeness\" map. The representativeness of an existing spatial array of sample locations or study sites can be mapped relative to a set of quantitative ecoregions, suggesting locations for additional samples or sites. In addition, the shape of Hutchinsonian niches in environment space can be defined if a multivariate range map of species occurrence is available. © 2005 Springer Science+Business Media, Inc.","author":[{"dropping-particle":"","family":"Hargrove","given":"William W.","non-dropping-particle":"","parse-names":false,"suffix":""},{"dropping-particle":"","family":"Hoffman","given":"Forrest M.","non-dropping-particle":"","parse-names":false,"suffix":""}],"container-title":"Environmental Management","id":"ITEM-1","issue":"1 SUPPL.","issued":{"date-parts":[["2004"]]},"page":"39-60","title":"Potential of multivariate quantitative methods for delineation and visualization of ecoregions","type":"article-journal","volume":"34"},"uris":["http://www.mendeley.com/documents/?uuid=02bbb77f-a01c-4e1f-8eee-384ae4defbb1"]}],"mendeley":{"formattedCitation":"(Hargrove and Hoffman 2004)","manualFormatting":"Hargrove and Hoffman 2004)","plainTextFormattedCitation":"(Hargrove and Hoffman 2004)","previouslyFormattedCitation":"(Hargrove and Hoffman 2004)"},"properties":{"noteIndex":0},"schema":"https://github.com/citation-style-language/schema/raw/master/csl-citation.json"}</w:instrText>
      </w:r>
      <w:r w:rsidRPr="006F24A8">
        <w:rPr>
          <w:rFonts w:cs="Times New Roman"/>
          <w:szCs w:val="24"/>
        </w:rPr>
        <w:fldChar w:fldCharType="separate"/>
      </w:r>
      <w:r w:rsidRPr="006F24A8">
        <w:rPr>
          <w:rFonts w:cs="Times New Roman"/>
          <w:noProof/>
          <w:szCs w:val="24"/>
        </w:rPr>
        <w:t>Hargrove and Hoffman 2004)</w:t>
      </w:r>
      <w:r w:rsidRPr="006F24A8">
        <w:rPr>
          <w:rFonts w:cs="Times New Roman"/>
          <w:szCs w:val="24"/>
        </w:rPr>
        <w:fldChar w:fldCharType="end"/>
      </w:r>
      <w:r>
        <w:rPr>
          <w:rFonts w:cs="Times New Roman"/>
          <w:szCs w:val="24"/>
        </w:rPr>
        <w:t xml:space="preserve">. </w:t>
      </w:r>
      <w:proofErr w:type="spellStart"/>
      <w:r>
        <w:rPr>
          <w:rFonts w:cs="Times New Roman"/>
          <w:szCs w:val="24"/>
        </w:rPr>
        <w:t>Ecoclimatic</w:t>
      </w:r>
      <w:proofErr w:type="spellEnd"/>
      <w:r>
        <w:rPr>
          <w:rFonts w:cs="Times New Roman"/>
          <w:szCs w:val="24"/>
        </w:rPr>
        <w:t xml:space="preserve"> domains were delineated using multivariate geographic clustering of nine climate variables (</w:t>
      </w:r>
      <w:r w:rsidRPr="006F24A8">
        <w:rPr>
          <w:rFonts w:cs="Times New Roman"/>
          <w:noProof/>
          <w:szCs w:val="24"/>
        </w:rPr>
        <w:t>Hargrove and Hoffman 2004</w:t>
      </w:r>
      <w:r>
        <w:rPr>
          <w:rFonts w:cs="Times New Roman"/>
          <w:noProof/>
          <w:szCs w:val="24"/>
        </w:rPr>
        <w:t>)</w:t>
      </w:r>
      <w:r>
        <w:rPr>
          <w:rFonts w:cs="Times New Roman"/>
          <w:szCs w:val="24"/>
        </w:rPr>
        <w:t xml:space="preserve">. Where possible, we used a NEON </w:t>
      </w:r>
      <w:r w:rsidRPr="006F24A8">
        <w:rPr>
          <w:rFonts w:cs="Times New Roman"/>
          <w:szCs w:val="24"/>
        </w:rPr>
        <w:t>aquatic</w:t>
      </w:r>
      <w:r>
        <w:rPr>
          <w:rFonts w:cs="Times New Roman"/>
          <w:szCs w:val="24"/>
        </w:rPr>
        <w:t xml:space="preserve"> or </w:t>
      </w:r>
      <w:r w:rsidRPr="006F24A8">
        <w:rPr>
          <w:rFonts w:cs="Times New Roman"/>
          <w:szCs w:val="24"/>
        </w:rPr>
        <w:t xml:space="preserve">terrestrial </w:t>
      </w:r>
      <w:r>
        <w:rPr>
          <w:rFonts w:cs="Times New Roman"/>
          <w:szCs w:val="24"/>
        </w:rPr>
        <w:t xml:space="preserve">site to locate a suitable river network within each </w:t>
      </w:r>
      <w:proofErr w:type="spellStart"/>
      <w:r>
        <w:rPr>
          <w:rFonts w:cs="Times New Roman"/>
          <w:szCs w:val="24"/>
        </w:rPr>
        <w:t>ecoclimate</w:t>
      </w:r>
      <w:proofErr w:type="spellEnd"/>
      <w:r>
        <w:rPr>
          <w:rFonts w:cs="Times New Roman"/>
          <w:szCs w:val="24"/>
        </w:rPr>
        <w:t xml:space="preserve"> domain</w:t>
      </w:r>
      <w:r w:rsidRPr="006F24A8">
        <w:rPr>
          <w:rFonts w:cs="Times New Roman"/>
          <w:szCs w:val="24"/>
        </w:rPr>
        <w:t>.</w:t>
      </w:r>
      <w:r>
        <w:rPr>
          <w:rFonts w:cs="Times New Roman"/>
          <w:szCs w:val="24"/>
        </w:rPr>
        <w:t xml:space="preserve"> </w:t>
      </w:r>
      <w:r w:rsidRPr="006F24A8">
        <w:rPr>
          <w:rFonts w:cs="Times New Roman"/>
          <w:szCs w:val="24"/>
        </w:rPr>
        <w:t xml:space="preserve">We handpicked </w:t>
      </w:r>
      <w:r>
        <w:rPr>
          <w:rFonts w:cs="Times New Roman"/>
          <w:szCs w:val="24"/>
        </w:rPr>
        <w:t>sites</w:t>
      </w:r>
      <w:r w:rsidRPr="006F24A8">
        <w:rPr>
          <w:rFonts w:cs="Times New Roman"/>
          <w:szCs w:val="24"/>
        </w:rPr>
        <w:t xml:space="preserve"> in the Southern Pacific</w:t>
      </w:r>
      <w:r>
        <w:rPr>
          <w:rFonts w:cs="Times New Roman"/>
          <w:szCs w:val="24"/>
        </w:rPr>
        <w:t xml:space="preserve"> d</w:t>
      </w:r>
      <w:r w:rsidRPr="006F24A8">
        <w:rPr>
          <w:rFonts w:cs="Times New Roman"/>
          <w:szCs w:val="24"/>
        </w:rPr>
        <w:t>omain (</w:t>
      </w:r>
      <w:r>
        <w:rPr>
          <w:rFonts w:cs="Times New Roman"/>
          <w:szCs w:val="24"/>
        </w:rPr>
        <w:t>17) to represent a</w:t>
      </w:r>
      <w:r w:rsidRPr="006F24A8">
        <w:rPr>
          <w:rFonts w:cs="Times New Roman"/>
          <w:szCs w:val="24"/>
        </w:rPr>
        <w:t xml:space="preserve"> Mediterranean climate </w:t>
      </w:r>
      <w:r>
        <w:rPr>
          <w:rFonts w:cs="Times New Roman"/>
          <w:szCs w:val="24"/>
        </w:rPr>
        <w:t xml:space="preserve">(NEON stream sites in the domain 17 are in the Sierra Nevada mountains, with similar climate to other NEON sites), </w:t>
      </w:r>
      <w:r w:rsidRPr="006F24A8">
        <w:rPr>
          <w:rFonts w:cs="Times New Roman"/>
          <w:szCs w:val="24"/>
        </w:rPr>
        <w:t xml:space="preserve">and </w:t>
      </w:r>
      <w:r>
        <w:rPr>
          <w:rFonts w:cs="Times New Roman"/>
          <w:szCs w:val="24"/>
        </w:rPr>
        <w:t>in the Prairie Peninsula domain (</w:t>
      </w:r>
      <w:r w:rsidRPr="006F24A8">
        <w:rPr>
          <w:rFonts w:cs="Times New Roman"/>
          <w:szCs w:val="24"/>
        </w:rPr>
        <w:t>06) due to</w:t>
      </w:r>
      <w:r>
        <w:rPr>
          <w:rFonts w:cs="Times New Roman"/>
          <w:szCs w:val="24"/>
        </w:rPr>
        <w:t xml:space="preserve"> restrictions in</w:t>
      </w:r>
      <w:r w:rsidRPr="006F24A8">
        <w:rPr>
          <w:rFonts w:cs="Times New Roman"/>
          <w:szCs w:val="24"/>
        </w:rPr>
        <w:t xml:space="preserve"> the </w:t>
      </w:r>
      <w:r w:rsidRPr="006F24A8">
        <w:rPr>
          <w:rFonts w:cs="Times New Roman"/>
          <w:szCs w:val="24"/>
        </w:rPr>
        <w:lastRenderedPageBreak/>
        <w:t xml:space="preserve">availability of </w:t>
      </w:r>
      <w:r>
        <w:rPr>
          <w:rFonts w:cs="Times New Roman"/>
          <w:szCs w:val="24"/>
        </w:rPr>
        <w:t xml:space="preserve">High Resolution National Hydrography Dataset </w:t>
      </w:r>
      <w:r>
        <w:rPr>
          <w:rFonts w:cs="Times New Roman"/>
          <w:szCs w:val="24"/>
        </w:rPr>
        <w:fldChar w:fldCharType="begin" w:fldLock="1"/>
      </w:r>
      <w:r>
        <w:rPr>
          <w:rFonts w:cs="Times New Roman"/>
          <w:szCs w:val="24"/>
        </w:rPr>
        <w:instrText>ADDIN CSL_CITATION {"citationItems":[{"id":"ITEM-1","itemData":{"DOI":"https://doi.org/10.3133/ofr20191096","author":[{"dropping-particle":"","family":"Moore","given":"Richard B.","non-dropping-particle":"","parse-names":false,"suffix":""},{"dropping-particle":"","family":"McKay","given":"Lucinda","non-dropping-particle":"","parse-names":false,"suffix":""},{"dropping-particle":"","family":"Rea","given":"Alan","non-dropping-particle":"","parse-names":false,"suffix":""},{"dropping-particle":"","family":"Bondelid","given":"Timothy","non-dropping-particle":"","parse-names":false,"suffix":""},{"dropping-particle":"","family":"Price","given":"Curtis","non-dropping-particle":"","parse-names":false,"suffix":""},{"dropping-particle":"","family":"Dewald","given":"Thomas","non-dropping-particle":"","parse-names":false,"suffix":""},{"dropping-particle":"","family":"Johnston","given":"Charles","non-dropping-particle":"","parse-names":false,"suffix":""}],"container-title":"U.S. Geological Survey","id":"ITEM-1","issued":{"date-parts":[["2019"]]},"page":"66","title":"User's guide for the national hydrography dataset plus (NHDPlus) high resolution","type":"article-journal","volume":"2019-1096"},"uris":["http://www.mendeley.com/documents/?uuid=e8995e55-f4a3-4cc4-95b6-6c4797a5236e"]},{"id":"ITEM-2","itemData":{"DOI":"10.1111/1752-1688.12429","ISSN":"17521688","author":[{"dropping-particle":"","family":"Viger","given":"Roland J.","non-dropping-particle":"","parse-names":false,"suffix":""},{"dropping-particle":"","family":"Rea","given":"Alan","non-dropping-particle":"","parse-names":false,"suffix":""},{"dropping-particle":"","family":"Simley","given":"Jeffrey D.","non-dropping-particle":"","parse-names":false,"suffix":""},{"dropping-particle":"","family":"Hanson","given":"Karen M.","non-dropping-particle":"","parse-names":false,"suffix":""}],"container-title":"Journal of the American Water Resources Association","id":"ITEM-2","issue":"4","issued":{"date-parts":[["2016"]]},"page":"901-905","title":"NHDPlusHR: A National Geospatial Framework for Surface-Water Information","type":"article-journal","volume":"52"},"uris":["http://www.mendeley.com/documents/?uuid=1050dac0-84f1-4810-adf6-c41afadc0d72"]}],"mendeley":{"formattedCitation":"(Viger et al. 2016; Moore et al. 2019)","manualFormatting":"(NHDHR) at the time of the study (Viger et al. 2016, Moore et al. 2019)","plainTextFormattedCitation":"(Viger et al. 2016; Moore et al. 2019)","previouslyFormattedCitation":"(Viger et al. 2016, Moore et al. 2019)"},"properties":{"noteIndex":0},"schema":"https://github.com/citation-style-language/schema/raw/master/csl-citation.json"}</w:instrText>
      </w:r>
      <w:r>
        <w:rPr>
          <w:rFonts w:cs="Times New Roman"/>
          <w:szCs w:val="24"/>
        </w:rPr>
        <w:fldChar w:fldCharType="separate"/>
      </w:r>
      <w:r w:rsidRPr="008C405E">
        <w:rPr>
          <w:rFonts w:cs="Times New Roman"/>
          <w:noProof/>
          <w:szCs w:val="24"/>
        </w:rPr>
        <w:t>(</w:t>
      </w:r>
      <w:r>
        <w:rPr>
          <w:rFonts w:cs="Times New Roman"/>
          <w:noProof/>
          <w:szCs w:val="24"/>
        </w:rPr>
        <w:t>NHDHR) at the time of the study (</w:t>
      </w:r>
      <w:r w:rsidRPr="008C405E">
        <w:rPr>
          <w:rFonts w:cs="Times New Roman"/>
          <w:noProof/>
          <w:szCs w:val="24"/>
        </w:rPr>
        <w:t>Viger et al. 2016, Moore et al. 2019)</w:t>
      </w:r>
      <w:r>
        <w:rPr>
          <w:rFonts w:cs="Times New Roman"/>
          <w:szCs w:val="24"/>
        </w:rPr>
        <w:fldChar w:fldCharType="end"/>
      </w:r>
      <w:r>
        <w:rPr>
          <w:rFonts w:cs="Times New Roman"/>
          <w:szCs w:val="24"/>
        </w:rPr>
        <w:t>. We also selected two sites in the Ozarks complex (08) and omitted the Atlantic Neotropical domain (04) because of its relatively small spatial coverage in the CONUS (Figure 1).</w:t>
      </w:r>
    </w:p>
    <w:p w14:paraId="418A8B3D" w14:textId="77777777" w:rsidR="00755451" w:rsidRPr="005E06AA" w:rsidRDefault="00755451" w:rsidP="00755451">
      <w:pPr>
        <w:spacing w:line="480" w:lineRule="auto"/>
        <w:ind w:firstLine="720"/>
        <w:contextualSpacing/>
        <w:rPr>
          <w:rFonts w:cs="Times New Roman"/>
          <w:szCs w:val="24"/>
        </w:rPr>
      </w:pPr>
      <w:r>
        <w:rPr>
          <w:rFonts w:cs="Times New Roman"/>
          <w:szCs w:val="24"/>
        </w:rPr>
        <w:t xml:space="preserve">We delineated river networks by associating each site to a digital </w:t>
      </w:r>
      <w:proofErr w:type="spellStart"/>
      <w:r>
        <w:rPr>
          <w:rFonts w:cs="Times New Roman"/>
          <w:szCs w:val="24"/>
        </w:rPr>
        <w:t>flowline</w:t>
      </w:r>
      <w:proofErr w:type="spellEnd"/>
      <w:r>
        <w:rPr>
          <w:rFonts w:cs="Times New Roman"/>
          <w:szCs w:val="24"/>
        </w:rPr>
        <w:t xml:space="preserve"> in the NHDHR and navigating downstream to until reaching a catchment area closest 5,000 km</w:t>
      </w:r>
      <w:r w:rsidRPr="008C405E">
        <w:rPr>
          <w:rFonts w:cs="Times New Roman"/>
          <w:szCs w:val="24"/>
          <w:vertAlign w:val="superscript"/>
        </w:rPr>
        <w:t>2</w:t>
      </w:r>
      <w:r>
        <w:rPr>
          <w:rFonts w:cs="Times New Roman"/>
          <w:szCs w:val="24"/>
          <w:vertAlign w:val="superscript"/>
        </w:rPr>
        <w:t xml:space="preserve"> </w:t>
      </w:r>
      <w:r w:rsidRPr="006F24A8">
        <w:rPr>
          <w:rFonts w:cs="Times New Roman"/>
          <w:szCs w:val="24"/>
        </w:rPr>
        <w:t xml:space="preserve">(range = </w:t>
      </w:r>
      <w:r w:rsidRPr="006F24A8">
        <w:rPr>
          <w:rFonts w:eastAsia="Times New Roman" w:cs="Times New Roman"/>
          <w:color w:val="000000"/>
          <w:szCs w:val="24"/>
        </w:rPr>
        <w:t>364.12 and 5,733.06</w:t>
      </w:r>
      <w:r w:rsidRPr="006F24A8">
        <w:rPr>
          <w:rFonts w:cs="Times New Roman"/>
          <w:szCs w:val="24"/>
        </w:rPr>
        <w:t xml:space="preserve"> km</w:t>
      </w:r>
      <w:r w:rsidRPr="006F24A8">
        <w:rPr>
          <w:rFonts w:cs="Times New Roman"/>
          <w:szCs w:val="24"/>
          <w:vertAlign w:val="superscript"/>
        </w:rPr>
        <w:t>2</w:t>
      </w:r>
      <w:r w:rsidRPr="006F24A8">
        <w:rPr>
          <w:rFonts w:cs="Times New Roman"/>
          <w:szCs w:val="24"/>
        </w:rPr>
        <w:t xml:space="preserve">; </w:t>
      </w:r>
      <w:proofErr w:type="spellStart"/>
      <w:r>
        <w:rPr>
          <w:rFonts w:cs="Times New Roman"/>
          <w:szCs w:val="24"/>
        </w:rPr>
        <w:t>Strahler</w:t>
      </w:r>
      <w:proofErr w:type="spellEnd"/>
      <w:r>
        <w:rPr>
          <w:rFonts w:cs="Times New Roman"/>
          <w:szCs w:val="24"/>
        </w:rPr>
        <w:t xml:space="preserve"> Stream Order </w:t>
      </w:r>
      <w:r w:rsidRPr="006F24A8">
        <w:rPr>
          <w:rFonts w:cs="Times New Roman"/>
          <w:szCs w:val="24"/>
        </w:rPr>
        <w:t>&gt;</w:t>
      </w:r>
      <w:r>
        <w:rPr>
          <w:rFonts w:cs="Times New Roman"/>
          <w:szCs w:val="24"/>
        </w:rPr>
        <w:t xml:space="preserve"> </w:t>
      </w:r>
      <w:r w:rsidRPr="006F24A8">
        <w:rPr>
          <w:rFonts w:cs="Times New Roman"/>
          <w:szCs w:val="24"/>
        </w:rPr>
        <w:t>5</w:t>
      </w:r>
      <w:r>
        <w:rPr>
          <w:rFonts w:cs="Times New Roman"/>
          <w:szCs w:val="24"/>
        </w:rPr>
        <w:t xml:space="preserve">). We extracted all </w:t>
      </w:r>
      <w:proofErr w:type="spellStart"/>
      <w:r>
        <w:rPr>
          <w:rFonts w:cs="Times New Roman"/>
          <w:szCs w:val="24"/>
        </w:rPr>
        <w:t>flowlines</w:t>
      </w:r>
      <w:proofErr w:type="spellEnd"/>
      <w:r>
        <w:rPr>
          <w:rFonts w:cs="Times New Roman"/>
          <w:szCs w:val="24"/>
        </w:rPr>
        <w:t xml:space="preserve"> draining the catchment from the NHDHR and reconditioned them into valley and reach segments. We define a valley segment as a section of the river between a headwater and confluence, or two confluences. Valley segments &lt; 1km were classified as a single reach while valley segments &gt; 1 km were split into reaches of equal length. River reaches typically ranged between 0.5 and 1 km and served as our spatial unit of replication for each river network (1,154 ≤ n ≤ 13,222; Table 1). </w:t>
      </w:r>
    </w:p>
    <w:p w14:paraId="7B0C69E4" w14:textId="77777777" w:rsidR="00755451" w:rsidRDefault="00755451" w:rsidP="00755451">
      <w:pPr>
        <w:spacing w:line="480" w:lineRule="auto"/>
        <w:contextualSpacing/>
        <w:rPr>
          <w:rFonts w:cs="Times New Roman"/>
          <w:i/>
          <w:szCs w:val="24"/>
        </w:rPr>
      </w:pPr>
    </w:p>
    <w:p w14:paraId="26473BA7" w14:textId="77777777" w:rsidR="00755451" w:rsidRPr="006F24A8" w:rsidRDefault="00755451" w:rsidP="00755451">
      <w:pPr>
        <w:spacing w:line="480" w:lineRule="auto"/>
        <w:contextualSpacing/>
        <w:rPr>
          <w:rFonts w:cs="Times New Roman"/>
          <w:szCs w:val="24"/>
        </w:rPr>
      </w:pPr>
      <w:proofErr w:type="spellStart"/>
      <w:r w:rsidRPr="006F24A8">
        <w:rPr>
          <w:rFonts w:cs="Times New Roman"/>
          <w:i/>
          <w:szCs w:val="24"/>
        </w:rPr>
        <w:t>Hydrogeomorphic</w:t>
      </w:r>
      <w:proofErr w:type="spellEnd"/>
      <w:r w:rsidRPr="006F24A8">
        <w:rPr>
          <w:rFonts w:cs="Times New Roman"/>
          <w:i/>
          <w:szCs w:val="24"/>
        </w:rPr>
        <w:t xml:space="preserve"> </w:t>
      </w:r>
      <w:r>
        <w:rPr>
          <w:rFonts w:cs="Times New Roman"/>
          <w:i/>
          <w:szCs w:val="24"/>
        </w:rPr>
        <w:t>and climate v</w:t>
      </w:r>
      <w:r w:rsidRPr="006F24A8">
        <w:rPr>
          <w:rFonts w:cs="Times New Roman"/>
          <w:i/>
          <w:szCs w:val="24"/>
        </w:rPr>
        <w:t>ariables</w:t>
      </w:r>
      <w:r>
        <w:rPr>
          <w:rFonts w:cs="Times New Roman"/>
          <w:i/>
          <w:szCs w:val="24"/>
        </w:rPr>
        <w:t xml:space="preserve">  </w:t>
      </w:r>
    </w:p>
    <w:p w14:paraId="15C837D5" w14:textId="77777777" w:rsidR="00755451" w:rsidRDefault="00755451" w:rsidP="00755451">
      <w:pPr>
        <w:spacing w:line="480" w:lineRule="auto"/>
        <w:ind w:firstLine="720"/>
        <w:contextualSpacing/>
        <w:rPr>
          <w:rFonts w:cs="Times New Roman"/>
          <w:szCs w:val="24"/>
        </w:rPr>
      </w:pPr>
      <w:r w:rsidRPr="006F24A8">
        <w:rPr>
          <w:rFonts w:cs="Times New Roman"/>
          <w:szCs w:val="24"/>
        </w:rPr>
        <w:t>Hydrologic</w:t>
      </w:r>
      <w:r>
        <w:rPr>
          <w:rFonts w:cs="Times New Roman"/>
          <w:szCs w:val="24"/>
        </w:rPr>
        <w:t>, geomorphologic and climatic</w:t>
      </w:r>
      <w:r w:rsidRPr="006F24A8">
        <w:rPr>
          <w:rFonts w:cs="Times New Roman"/>
          <w:szCs w:val="24"/>
        </w:rPr>
        <w:t xml:space="preserve"> variables</w:t>
      </w:r>
      <w:r>
        <w:rPr>
          <w:rFonts w:cs="Times New Roman"/>
          <w:szCs w:val="24"/>
        </w:rPr>
        <w:t xml:space="preserve"> were extracted or derived</w:t>
      </w:r>
      <w:r w:rsidRPr="006F24A8">
        <w:rPr>
          <w:rFonts w:cs="Times New Roman"/>
          <w:szCs w:val="24"/>
        </w:rPr>
        <w:t xml:space="preserve"> </w:t>
      </w:r>
      <w:r>
        <w:rPr>
          <w:rFonts w:cs="Times New Roman"/>
          <w:szCs w:val="24"/>
        </w:rPr>
        <w:t xml:space="preserve">for each reach </w:t>
      </w:r>
      <w:r w:rsidRPr="006F24A8">
        <w:rPr>
          <w:rFonts w:cs="Times New Roman"/>
          <w:szCs w:val="24"/>
        </w:rPr>
        <w:t>from</w:t>
      </w:r>
      <w:r>
        <w:rPr>
          <w:rFonts w:cs="Times New Roman"/>
          <w:szCs w:val="24"/>
        </w:rPr>
        <w:t xml:space="preserve"> several</w:t>
      </w:r>
      <w:r w:rsidRPr="006F24A8">
        <w:rPr>
          <w:rFonts w:cs="Times New Roman"/>
          <w:szCs w:val="24"/>
        </w:rPr>
        <w:t xml:space="preserve"> GIS datasets</w:t>
      </w:r>
      <w:r>
        <w:rPr>
          <w:rFonts w:cs="Times New Roman"/>
          <w:szCs w:val="24"/>
        </w:rPr>
        <w:t xml:space="preserve"> </w:t>
      </w:r>
      <w:r w:rsidRPr="006F24A8">
        <w:rPr>
          <w:rFonts w:cs="Times New Roman"/>
          <w:szCs w:val="24"/>
        </w:rPr>
        <w:fldChar w:fldCharType="begin" w:fldLock="1"/>
      </w:r>
      <w:r>
        <w:rPr>
          <w:rFonts w:cs="Times New Roman"/>
          <w:szCs w:val="24"/>
        </w:rPr>
        <w:instrText>ADDIN CSL_CITATION {"citationItems":[{"id":"ITEM-1","itemData":{"DOI":"10.1016/j.scitotenv.2019.04.394","ISSN":"18791026","abstract":"Rivers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Environment","id":"ITEM-1","issued":{"date-parts":[["2019"]]},"page":"184-193","publisher":"Elsevier B.V.","title":"Communities associated with the Functional Process Zone scale: A case study of stream macroinvertebrates in endorheic drainages","type":"article-journal","volume":"677"},"uris":["http://www.mendeley.com/documents/?uuid=b04a944d-07f1-48e0-bcca-8f4c81320c18"]},{"id":"ITEM-2","itemData":{"DOI":"10.1007/s10661-013-3114-6","ISBN":"01676369 (ISSN)","ISSN":"01676369","PMID":"23435849","abstract":"River systems consist of hydrogeomorphic patches (HPs) that emerge at multiple spatiotemporal scales. Functional process zones (FPZs) are HPs that exist at the river valley scale and are important strata for framing whole-watershed research questions and management plans. Hierarchical classification procedures aid in HP identification by grouping sections of river based on their hydrogeomorphic character; however, collecting data required for such procedures with field-based methods is often impractical. We developed a set of GIS-based tools that facilitate rapid, low cost riverine landscape characterization and FPZ classification. Our tools, termed RESonate, consist of a custom toolbox designed for ESRI ArcGIS®. RESonate automatically extracts 13 hydrogeomorphic variables from readily available geospatial datasets and datasets derived from modeling procedures. An advanced 2D flood model, FLDPLN, designed for MATLAB® is used to determine valley morphology by systematically flooding river networks. When used in conjunction with other modeling procedures, RESonate and FLDPLN can assess the character of large river networks quickly and at very low costs. Here we describe tool and model functions in addition to their benefits, limitations, and applications.","author":[{"dropping-particle":"","family":"Williams","given":"Bradley S.","non-dropping-particle":"","parse-names":false,"suffix":""},{"dropping-particle":"","family":"D'Amico","given":"Ellen","non-dropping-particle":"","parse-names":false,"suffix":""},{"dropping-particle":"","family":"Kastens","given":"Jude H.","non-dropping-particle":"","parse-names":false,"suffix":""},{"dropping-particle":"","family":"Thorp","given":"James H.","non-dropping-particle":"","parse-names":false,"suffix":""},{"dropping-particle":"","family":"Flotemersch","given":"Joseph E.","non-dropping-particle":"","parse-names":false,"suffix":""},{"dropping-particle":"","family":"Thoms","given":"Martin C.","non-dropping-particle":"","parse-names":false,"suffix":""}],"container-title":"Environmental Monitoring and Assessment","id":"ITEM-2","issue":"9","issued":{"date-parts":[["2013"]]},"page":"7485-7499","title":"Automated riverine landscape characterization: GIS-based tools for watershed-scale research, assessment, and management","type":"article-journal","volume":"185"},"uris":["http://www.mendeley.com/documents/?uuid=3254c308-8690-4f1e-9f21-0bbb7355c4fb"]},{"id":"ITEM-3","itemData":{"DOI":"10.1111/1752-1688.12649","ISSN":"17521688","abstract":"Fluvial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Association","id":"ITEM-3","issue":"4","issued":{"date-parts":[["2018"]]},"page":"899-913","title":"Characterization of River Networks: A GIS Approach and Its Applications","type":"article-journal","volume":"54"},"uris":["http://www.mendeley.com/documents/?uuid=f71918bb-cdf0-435d-99e7-f9c3eaae3114"]}],"mendeley":{"formattedCitation":"(Williams et al. 2013; Thoms et al. 2018; Maasri et al. 2019)","manualFormatting":"(Table 2; Williams et al. 2013, Thoms et al. 2018, Maasri et al. 2019)","plainTextFormattedCitation":"(Williams et al. 2013; Thoms et al. 2018; Maasri et al. 2019)","previouslyFormattedCitation":"(Williams et al. 2013, Thoms et al. 2018, Maasri et al. 2019)"},"properties":{"noteIndex":0},"schema":"https://github.com/citation-style-language/schema/raw/master/csl-citation.json"}</w:instrText>
      </w:r>
      <w:r w:rsidRPr="006F24A8">
        <w:rPr>
          <w:rFonts w:cs="Times New Roman"/>
          <w:szCs w:val="24"/>
        </w:rPr>
        <w:fldChar w:fldCharType="separate"/>
      </w:r>
      <w:r w:rsidRPr="006F24A8">
        <w:rPr>
          <w:rFonts w:cs="Times New Roman"/>
          <w:noProof/>
          <w:szCs w:val="24"/>
        </w:rPr>
        <w:t>(Table 2; Williams et al. 2013, Thoms et al. 2018, Maasri et al. 2019)</w:t>
      </w:r>
      <w:r w:rsidRPr="006F24A8">
        <w:rPr>
          <w:rFonts w:cs="Times New Roman"/>
          <w:szCs w:val="24"/>
        </w:rPr>
        <w:fldChar w:fldCharType="end"/>
      </w:r>
      <w:r>
        <w:rPr>
          <w:rFonts w:cs="Times New Roman"/>
          <w:szCs w:val="24"/>
        </w:rPr>
        <w:t>.</w:t>
      </w:r>
      <w:r w:rsidRPr="006F24A8">
        <w:rPr>
          <w:rFonts w:cs="Times New Roman"/>
          <w:szCs w:val="24"/>
        </w:rPr>
        <w:t xml:space="preserve"> </w:t>
      </w:r>
      <w:r>
        <w:rPr>
          <w:rFonts w:cs="Times New Roman"/>
          <w:szCs w:val="24"/>
        </w:rPr>
        <w:t xml:space="preserve">Mean </w:t>
      </w:r>
      <w:r w:rsidRPr="00290EF6">
        <w:rPr>
          <w:rFonts w:cs="Times New Roman"/>
          <w:szCs w:val="24"/>
        </w:rPr>
        <w:t>annual air temperature (˚C) and precipitation (mm)</w:t>
      </w:r>
      <w:r>
        <w:rPr>
          <w:rFonts w:cs="Times New Roman"/>
          <w:szCs w:val="24"/>
        </w:rPr>
        <w:t xml:space="preserve"> </w:t>
      </w:r>
      <w:r w:rsidRPr="006F24A8">
        <w:rPr>
          <w:rFonts w:cs="Times New Roman"/>
          <w:szCs w:val="24"/>
        </w:rPr>
        <w:t xml:space="preserve">were </w:t>
      </w:r>
      <w:r>
        <w:rPr>
          <w:rFonts w:cs="Times New Roman"/>
          <w:szCs w:val="24"/>
        </w:rPr>
        <w:t xml:space="preserve">obtained from the PRISM Climate Group </w:t>
      </w:r>
      <w:r w:rsidRPr="006F24A8">
        <w:rPr>
          <w:rFonts w:cs="Times New Roman"/>
          <w:szCs w:val="24"/>
        </w:rPr>
        <w:t>(</w:t>
      </w:r>
      <w:r>
        <w:rPr>
          <w:rFonts w:cs="Times New Roman"/>
          <w:szCs w:val="24"/>
        </w:rPr>
        <w:t xml:space="preserve">1981-2010; </w:t>
      </w:r>
      <w:hyperlink r:id="rId37" w:history="1">
        <w:r w:rsidRPr="006F24A8">
          <w:rPr>
            <w:rStyle w:val="Hyperlink"/>
            <w:rFonts w:cs="Times New Roman"/>
            <w:szCs w:val="24"/>
          </w:rPr>
          <w:t>https://prism.oregonstate.edu/normals/</w:t>
        </w:r>
      </w:hyperlink>
      <w:r w:rsidRPr="006F24A8">
        <w:rPr>
          <w:rFonts w:cs="Times New Roman"/>
          <w:szCs w:val="24"/>
        </w:rPr>
        <w:t>).</w:t>
      </w:r>
      <w:r>
        <w:rPr>
          <w:rFonts w:cs="Times New Roman"/>
          <w:szCs w:val="24"/>
        </w:rPr>
        <w:t xml:space="preserve"> Whole soil </w:t>
      </w:r>
      <w:proofErr w:type="spellStart"/>
      <w:r>
        <w:rPr>
          <w:rFonts w:cs="Times New Roman"/>
          <w:szCs w:val="24"/>
        </w:rPr>
        <w:t>erodibility</w:t>
      </w:r>
      <w:proofErr w:type="spellEnd"/>
      <w:r>
        <w:rPr>
          <w:rFonts w:cs="Times New Roman"/>
          <w:szCs w:val="24"/>
        </w:rPr>
        <w:t xml:space="preserve"> factor (kw) and pH values we obtained from the Soil Surv</w:t>
      </w:r>
      <w:r w:rsidRPr="008A3542">
        <w:rPr>
          <w:rFonts w:cs="Times New Roman"/>
          <w:szCs w:val="24"/>
        </w:rPr>
        <w:t>ey Geogra</w:t>
      </w:r>
      <w:r>
        <w:rPr>
          <w:rFonts w:cs="Times New Roman"/>
          <w:szCs w:val="24"/>
        </w:rPr>
        <w:t>p</w:t>
      </w:r>
      <w:r w:rsidRPr="008A3542">
        <w:rPr>
          <w:rFonts w:cs="Times New Roman"/>
          <w:szCs w:val="24"/>
        </w:rPr>
        <w:t>hic Database (</w:t>
      </w:r>
      <w:hyperlink r:id="rId38" w:tgtFrame="_blank" w:history="1">
        <w:r w:rsidRPr="008A3542">
          <w:rPr>
            <w:rStyle w:val="Hyperlink"/>
            <w:rFonts w:cs="Times New Roman"/>
            <w:color w:val="005782"/>
            <w:szCs w:val="24"/>
            <w:shd w:val="clear" w:color="auto" w:fill="FFFFFF"/>
          </w:rPr>
          <w:t>https://websoilsurvey.nrcs.usda.gov/</w:t>
        </w:r>
      </w:hyperlink>
      <w:r w:rsidRPr="008A3542">
        <w:rPr>
          <w:rFonts w:cs="Times New Roman"/>
          <w:szCs w:val="24"/>
        </w:rPr>
        <w:t>)</w:t>
      </w:r>
      <w:r>
        <w:rPr>
          <w:rFonts w:cs="Times New Roman"/>
          <w:szCs w:val="24"/>
        </w:rPr>
        <w:t xml:space="preserve"> and classified as low (kw &lt; 0.25, pH &lt; 6.5), medium (0.25 ≤ kw &lt; 0.4, 6.5 ≤ pH &lt; 8.5) and high (kw ≥ 0.4,</w:t>
      </w:r>
      <w:r w:rsidRPr="00DD5F96">
        <w:rPr>
          <w:rFonts w:cs="Times New Roman"/>
          <w:szCs w:val="24"/>
        </w:rPr>
        <w:t xml:space="preserve"> </w:t>
      </w:r>
      <w:r>
        <w:rPr>
          <w:rFonts w:cs="Times New Roman"/>
          <w:szCs w:val="24"/>
        </w:rPr>
        <w:t>pH ≥ 8.5). D</w:t>
      </w:r>
      <w:r w:rsidRPr="00C9132E">
        <w:rPr>
          <w:rFonts w:cs="Times New Roman"/>
          <w:szCs w:val="24"/>
        </w:rPr>
        <w:t xml:space="preserve">epth to </w:t>
      </w:r>
      <w:r w:rsidRPr="00290EF6">
        <w:rPr>
          <w:rFonts w:cs="Times New Roman"/>
          <w:szCs w:val="24"/>
        </w:rPr>
        <w:t>bedrock (cm)</w:t>
      </w:r>
      <w:r>
        <w:rPr>
          <w:rFonts w:cs="Times New Roman"/>
          <w:szCs w:val="24"/>
        </w:rPr>
        <w:t xml:space="preserve"> was obtained from</w:t>
      </w:r>
      <w:r w:rsidRPr="00C9132E">
        <w:rPr>
          <w:rFonts w:cs="Times New Roman"/>
          <w:szCs w:val="24"/>
        </w:rPr>
        <w:t xml:space="preserve"> </w:t>
      </w:r>
      <w:r w:rsidRPr="00C9132E">
        <w:rPr>
          <w:rFonts w:cs="Times New Roman"/>
          <w:szCs w:val="24"/>
        </w:rPr>
        <w:fldChar w:fldCharType="begin" w:fldLock="1"/>
      </w:r>
      <w:r>
        <w:rPr>
          <w:rFonts w:cs="Times New Roman"/>
          <w:szCs w:val="24"/>
        </w:rPr>
        <w:instrText>ADDIN CSL_CITATION {"citationItems":[{"id":"ITEM-1","itemData":{"DOI":"10.1002/2013MS000282.Received","ISBN":"0140917101","ISSN":"19422466","abstract":"Depth to bedrock serves as the lower boundary of land surface models, which controls hydro- logic and biogeochemical processes. This paper presents a framework for global estimation of depth to bedrock (DTB). Observations were extracted from a global compilation of soil profile data (ca. 1,30,000 locations) and borehole data (ca. 1.6 million locations). Additional pseudo-observations generated by expert knowledge were added to fill in large sampling gaps. The model training points were then overlaid on a stack of 155 covariates including DEM-based hydrological and morphological derivatives, lithologic units, MODIS surface reflectance bands and vegetation indices derived from the MODIS land products. Global spatial prediction models were developed using random forest and Gradient Boosting Tree algorithms. The final predictions were generated at the spatial resolution of 250 m as an ensemble prediction of the two independently fitted models. The 10–fold cross-validation shows that the models explain 59% for absolute DTB and 34% for censored DTB (depths deep than 200 cm are predicted as 200 cm). The model for occur- rence of R horizon (bedrock) within 200 cm does a good job. Visual comparisons of predictions in the study areas where more detailed maps of depth to bedrock exist show that there is a general match with spatial patterns from similar local studies. Limitation of the data set and extrapolation in data spare areas should not be ignored in applications. To improve accuracy of spatial prediction, more borehole drilling logs will need to be added to supplement the existing training points in under-represented areas.","author":[{"dropping-particle":"","family":"Shangguan","given":"Wei","non-dropping-particle":"","parse-names":false,"suffix":""},{"dropping-particle":"","family":"Hengl","given":"Tomislav","non-dropping-particle":"","parse-names":false,"suffix":""},{"dropping-particle":"","family":"Mendes de Jesus","given":"Jorge","non-dropping-particle":"","parse-names":false,"suffix":""},{"dropping-particle":"","family":"Yuan","given":"Hua","non-dropping-particle":"","parse-names":false,"suffix":""},{"dropping-particle":"","family":"Yongjiu","given":"Dai","non-dropping-particle":"","parse-names":false,"suffix":""}],"container-title":"Journal of Advances in Modeling Earth Systems","id":"ITEM-1","issued":{"date-parts":[["2017"]]},"page":"65–88","title":"Mapping the global depth to bedrock for land surface modeling","type":"article-journal","volume":"9"},"uris":["http://www.mendeley.com/documents/?uuid=f5a68fe0-859c-4d92-8779-b3d30ed632d0"]}],"mendeley":{"formattedCitation":"(Shangguan et al. 2017)","manualFormatting":"Shangguan et al. (2017)","plainTextFormattedCitation":"(Shangguan et al. 2017)","previouslyFormattedCitation":"(Shangguan et al. 2017)"},"properties":{"noteIndex":0},"schema":"https://github.com/citation-style-language/schema/raw/master/csl-citation.json"}</w:instrText>
      </w:r>
      <w:r w:rsidRPr="00C9132E">
        <w:rPr>
          <w:rFonts w:cs="Times New Roman"/>
          <w:szCs w:val="24"/>
        </w:rPr>
        <w:fldChar w:fldCharType="separate"/>
      </w:r>
      <w:r w:rsidRPr="00C9132E">
        <w:rPr>
          <w:rFonts w:cs="Times New Roman"/>
          <w:noProof/>
          <w:szCs w:val="24"/>
        </w:rPr>
        <w:t xml:space="preserve">Shangguan et al. </w:t>
      </w:r>
      <w:r>
        <w:rPr>
          <w:rFonts w:cs="Times New Roman"/>
          <w:noProof/>
          <w:szCs w:val="24"/>
        </w:rPr>
        <w:t>(</w:t>
      </w:r>
      <w:r w:rsidRPr="00C9132E">
        <w:rPr>
          <w:rFonts w:cs="Times New Roman"/>
          <w:noProof/>
          <w:szCs w:val="24"/>
        </w:rPr>
        <w:t>2017)</w:t>
      </w:r>
      <w:r w:rsidRPr="00C9132E">
        <w:rPr>
          <w:rFonts w:cs="Times New Roman"/>
          <w:szCs w:val="24"/>
        </w:rPr>
        <w:fldChar w:fldCharType="end"/>
      </w:r>
      <w:r>
        <w:rPr>
          <w:rFonts w:cs="Times New Roman"/>
          <w:szCs w:val="24"/>
        </w:rPr>
        <w:t>. Finally, w</w:t>
      </w:r>
      <w:r w:rsidRPr="00DB19CE">
        <w:rPr>
          <w:rFonts w:cs="Times New Roman"/>
          <w:szCs w:val="24"/>
        </w:rPr>
        <w:t xml:space="preserve">e used the digital elevation model provided with the </w:t>
      </w:r>
      <w:r w:rsidRPr="00DB19CE">
        <w:rPr>
          <w:rFonts w:cs="Times New Roman"/>
          <w:szCs w:val="24"/>
        </w:rPr>
        <w:lastRenderedPageBreak/>
        <w:t xml:space="preserve">NHDHR to </w:t>
      </w:r>
      <w:r>
        <w:rPr>
          <w:rFonts w:cs="Times New Roman"/>
          <w:szCs w:val="24"/>
        </w:rPr>
        <w:t>determine the</w:t>
      </w:r>
      <w:r w:rsidRPr="00DB19CE">
        <w:rPr>
          <w:rFonts w:cs="Times New Roman"/>
          <w:szCs w:val="24"/>
        </w:rPr>
        <w:t xml:space="preserve"> elevation (cm)</w:t>
      </w:r>
      <w:r>
        <w:rPr>
          <w:rFonts w:cs="Times New Roman"/>
          <w:szCs w:val="24"/>
        </w:rPr>
        <w:t xml:space="preserve"> of a reach</w:t>
      </w:r>
      <w:r w:rsidRPr="00DB19CE">
        <w:rPr>
          <w:rFonts w:cs="Times New Roman"/>
          <w:szCs w:val="24"/>
        </w:rPr>
        <w:t xml:space="preserve"> and derive a suite of metrics </w:t>
      </w:r>
      <w:r>
        <w:rPr>
          <w:rFonts w:cs="Times New Roman"/>
          <w:szCs w:val="24"/>
        </w:rPr>
        <w:t>t</w:t>
      </w:r>
      <w:r w:rsidRPr="00DB19CE">
        <w:rPr>
          <w:rFonts w:cs="Times New Roman"/>
          <w:szCs w:val="24"/>
        </w:rPr>
        <w:t>o</w:t>
      </w:r>
      <w:r>
        <w:rPr>
          <w:rFonts w:cs="Times New Roman"/>
          <w:szCs w:val="24"/>
        </w:rPr>
        <w:t xml:space="preserve"> quantify</w:t>
      </w:r>
      <w:r w:rsidRPr="00DB19CE">
        <w:rPr>
          <w:rFonts w:cs="Times New Roman"/>
          <w:szCs w:val="24"/>
        </w:rPr>
        <w:t xml:space="preserve"> geomorphologic characteristics (Table 2, Figure S1).</w:t>
      </w:r>
      <w:r w:rsidRPr="00C20BE1">
        <w:rPr>
          <w:rFonts w:cs="Times New Roman"/>
          <w:szCs w:val="24"/>
        </w:rPr>
        <w:t xml:space="preserve"> </w:t>
      </w:r>
    </w:p>
    <w:p w14:paraId="3D12A8C4" w14:textId="77777777" w:rsidR="00755451" w:rsidRDefault="00755451" w:rsidP="00755451">
      <w:pPr>
        <w:spacing w:line="480" w:lineRule="auto"/>
        <w:ind w:firstLine="720"/>
        <w:contextualSpacing/>
        <w:rPr>
          <w:rFonts w:cs="Times New Roman"/>
          <w:szCs w:val="24"/>
        </w:rPr>
      </w:pPr>
      <w:r w:rsidRPr="00DB19CE">
        <w:rPr>
          <w:rFonts w:cs="Times New Roman"/>
          <w:szCs w:val="24"/>
        </w:rPr>
        <w:t>Climate, geology</w:t>
      </w:r>
      <w:r>
        <w:rPr>
          <w:rFonts w:cs="Times New Roman"/>
          <w:szCs w:val="24"/>
        </w:rPr>
        <w:t>,</w:t>
      </w:r>
      <w:r w:rsidRPr="00DB19CE">
        <w:rPr>
          <w:rFonts w:cs="Times New Roman"/>
          <w:szCs w:val="24"/>
        </w:rPr>
        <w:t xml:space="preserve"> and elevation were extracted at the midpoint of each reach</w:t>
      </w:r>
      <w:r w:rsidRPr="00272035">
        <w:rPr>
          <w:rFonts w:cs="Times New Roman"/>
          <w:szCs w:val="24"/>
        </w:rPr>
        <w:t xml:space="preserve"> </w:t>
      </w:r>
      <w:r w:rsidRPr="00DB19CE">
        <w:rPr>
          <w:rFonts w:cs="Times New Roman"/>
          <w:szCs w:val="24"/>
        </w:rPr>
        <w:t xml:space="preserve">and </w:t>
      </w:r>
      <w:r>
        <w:rPr>
          <w:rFonts w:cs="Times New Roman"/>
          <w:szCs w:val="24"/>
        </w:rPr>
        <w:t xml:space="preserve">we established </w:t>
      </w:r>
      <w:r w:rsidRPr="00DB19CE">
        <w:rPr>
          <w:rFonts w:cs="Times New Roman"/>
          <w:szCs w:val="24"/>
        </w:rPr>
        <w:t>transects perpendicular to the river to measure valley-side slope, valley width, and valley floor width</w:t>
      </w:r>
      <w:r>
        <w:rPr>
          <w:rFonts w:cs="Times New Roman"/>
          <w:szCs w:val="24"/>
        </w:rPr>
        <w:t xml:space="preserve"> (Figure S1)</w:t>
      </w:r>
      <w:r w:rsidRPr="00DB19CE">
        <w:rPr>
          <w:rFonts w:cs="Times New Roman"/>
          <w:szCs w:val="24"/>
        </w:rPr>
        <w:t xml:space="preserve">. We used points at the inlet and outlet of the valley segment to measure valley slope. Channel sinuosity and mean meander length were measured using </w:t>
      </w:r>
      <w:r>
        <w:rPr>
          <w:rFonts w:cs="Times New Roman"/>
          <w:szCs w:val="24"/>
        </w:rPr>
        <w:t xml:space="preserve">the </w:t>
      </w:r>
      <w:r w:rsidRPr="00DB19CE">
        <w:rPr>
          <w:rFonts w:cs="Times New Roman"/>
          <w:szCs w:val="24"/>
        </w:rPr>
        <w:t xml:space="preserve">endpoints of each reach. We reconditioned NHDHR </w:t>
      </w:r>
      <w:proofErr w:type="spellStart"/>
      <w:r w:rsidRPr="00DB19CE">
        <w:rPr>
          <w:rFonts w:cs="Times New Roman"/>
          <w:szCs w:val="24"/>
        </w:rPr>
        <w:t>flowlines</w:t>
      </w:r>
      <w:proofErr w:type="spellEnd"/>
      <w:r w:rsidRPr="00DB19CE">
        <w:rPr>
          <w:rFonts w:cs="Times New Roman"/>
          <w:szCs w:val="24"/>
        </w:rPr>
        <w:t>, identified reaches, sampling points</w:t>
      </w:r>
      <w:r>
        <w:rPr>
          <w:rFonts w:cs="Times New Roman"/>
          <w:szCs w:val="24"/>
        </w:rPr>
        <w:t>,</w:t>
      </w:r>
      <w:r w:rsidRPr="00DB19CE">
        <w:rPr>
          <w:rFonts w:cs="Times New Roman"/>
          <w:szCs w:val="24"/>
        </w:rPr>
        <w:t xml:space="preserve"> and transects using </w:t>
      </w:r>
      <w:r>
        <w:rPr>
          <w:rFonts w:cs="Times New Roman"/>
          <w:szCs w:val="24"/>
        </w:rPr>
        <w:t>the</w:t>
      </w:r>
      <w:r w:rsidRPr="00DB19CE">
        <w:rPr>
          <w:rFonts w:cs="Times New Roman"/>
          <w:szCs w:val="24"/>
        </w:rPr>
        <w:t xml:space="preserve"> “create module” R-script</w:t>
      </w:r>
      <w:r>
        <w:rPr>
          <w:rFonts w:cs="Times New Roman"/>
          <w:szCs w:val="24"/>
        </w:rPr>
        <w:t xml:space="preserve">. We assigned </w:t>
      </w:r>
      <w:proofErr w:type="spellStart"/>
      <w:r w:rsidRPr="00DB19CE">
        <w:rPr>
          <w:rFonts w:cs="Times New Roman"/>
          <w:szCs w:val="24"/>
        </w:rPr>
        <w:t>hydrogeomorphic</w:t>
      </w:r>
      <w:proofErr w:type="spellEnd"/>
      <w:r w:rsidRPr="00DB19CE">
        <w:rPr>
          <w:rFonts w:cs="Times New Roman"/>
          <w:szCs w:val="24"/>
        </w:rPr>
        <w:t xml:space="preserve"> variables </w:t>
      </w:r>
      <w:r>
        <w:rPr>
          <w:rFonts w:cs="Times New Roman"/>
          <w:szCs w:val="24"/>
        </w:rPr>
        <w:t xml:space="preserve">to </w:t>
      </w:r>
      <w:r w:rsidRPr="00DB19CE">
        <w:rPr>
          <w:rFonts w:cs="Times New Roman"/>
          <w:szCs w:val="24"/>
        </w:rPr>
        <w:t xml:space="preserve">each reach using the “attribute module” R-script </w:t>
      </w:r>
      <w:r>
        <w:rPr>
          <w:rFonts w:cs="Times New Roman"/>
          <w:szCs w:val="24"/>
        </w:rPr>
        <w:t>(</w:t>
      </w:r>
      <w:r w:rsidRPr="00AD460C">
        <w:rPr>
          <w:rFonts w:cs="Times New Roman"/>
          <w:szCs w:val="24"/>
        </w:rPr>
        <w:t>https://github.com/dkopp3/HydrogeomorphicPatches</w:t>
      </w:r>
      <w:r>
        <w:rPr>
          <w:rFonts w:cs="Times New Roman"/>
          <w:szCs w:val="24"/>
        </w:rPr>
        <w:t>)</w:t>
      </w:r>
      <w:r w:rsidRPr="00DB19CE">
        <w:rPr>
          <w:rFonts w:cs="Times New Roman"/>
          <w:szCs w:val="24"/>
        </w:rPr>
        <w:t>.</w:t>
      </w:r>
      <w:r>
        <w:rPr>
          <w:rFonts w:cs="Times New Roman"/>
          <w:szCs w:val="24"/>
        </w:rPr>
        <w:t xml:space="preserve"> </w:t>
      </w:r>
    </w:p>
    <w:p w14:paraId="0FE13E7F" w14:textId="77777777" w:rsidR="00755451" w:rsidRPr="00801FCE" w:rsidRDefault="00755451" w:rsidP="00755451">
      <w:pPr>
        <w:spacing w:line="480" w:lineRule="auto"/>
        <w:ind w:firstLine="720"/>
        <w:contextualSpacing/>
        <w:rPr>
          <w:rFonts w:cs="Times New Roman"/>
          <w:szCs w:val="24"/>
        </w:rPr>
      </w:pPr>
    </w:p>
    <w:p w14:paraId="4F275910" w14:textId="77777777" w:rsidR="00755451" w:rsidRPr="006F24A8" w:rsidRDefault="00755451" w:rsidP="00755451">
      <w:pPr>
        <w:spacing w:line="480" w:lineRule="auto"/>
        <w:contextualSpacing/>
        <w:rPr>
          <w:rFonts w:cs="Times New Roman"/>
          <w:i/>
          <w:szCs w:val="24"/>
        </w:rPr>
      </w:pPr>
      <w:proofErr w:type="spellStart"/>
      <w:r w:rsidRPr="006F24A8">
        <w:rPr>
          <w:rFonts w:cs="Times New Roman"/>
          <w:i/>
          <w:szCs w:val="24"/>
        </w:rPr>
        <w:t>Hydrogeomorphic</w:t>
      </w:r>
      <w:proofErr w:type="spellEnd"/>
      <w:r w:rsidRPr="006F24A8">
        <w:rPr>
          <w:rFonts w:cs="Times New Roman"/>
          <w:i/>
          <w:szCs w:val="24"/>
        </w:rPr>
        <w:t xml:space="preserve"> </w:t>
      </w:r>
      <w:r>
        <w:rPr>
          <w:rFonts w:cs="Times New Roman"/>
          <w:i/>
          <w:szCs w:val="24"/>
        </w:rPr>
        <w:t>p</w:t>
      </w:r>
      <w:r w:rsidRPr="006F24A8">
        <w:rPr>
          <w:rFonts w:cs="Times New Roman"/>
          <w:i/>
          <w:szCs w:val="24"/>
        </w:rPr>
        <w:t xml:space="preserve">atch </w:t>
      </w:r>
      <w:r>
        <w:rPr>
          <w:rFonts w:cs="Times New Roman"/>
          <w:i/>
          <w:szCs w:val="24"/>
        </w:rPr>
        <w:t>i</w:t>
      </w:r>
      <w:r w:rsidRPr="006F24A8">
        <w:rPr>
          <w:rFonts w:cs="Times New Roman"/>
          <w:i/>
          <w:szCs w:val="24"/>
        </w:rPr>
        <w:t>dentification</w:t>
      </w:r>
    </w:p>
    <w:p w14:paraId="3390AD3B" w14:textId="77777777" w:rsidR="00755451" w:rsidRDefault="00755451" w:rsidP="00755451">
      <w:pPr>
        <w:spacing w:line="480" w:lineRule="auto"/>
        <w:ind w:firstLine="720"/>
        <w:contextualSpacing/>
        <w:rPr>
          <w:rFonts w:cs="Times New Roman"/>
          <w:szCs w:val="24"/>
        </w:rPr>
      </w:pPr>
      <w:proofErr w:type="spellStart"/>
      <w:r>
        <w:rPr>
          <w:rFonts w:cs="Times New Roman"/>
          <w:szCs w:val="24"/>
        </w:rPr>
        <w:t>Hydrogeomorphic</w:t>
      </w:r>
      <w:proofErr w:type="spellEnd"/>
      <w:r>
        <w:rPr>
          <w:rFonts w:cs="Times New Roman"/>
          <w:szCs w:val="24"/>
        </w:rPr>
        <w:t xml:space="preserve"> patches (HGP) were identified using a</w:t>
      </w:r>
      <w:r w:rsidRPr="006F24A8">
        <w:rPr>
          <w:rFonts w:cs="Times New Roman"/>
          <w:szCs w:val="24"/>
        </w:rPr>
        <w:t>gglom</w:t>
      </w:r>
      <w:r>
        <w:rPr>
          <w:rFonts w:cs="Times New Roman"/>
          <w:szCs w:val="24"/>
        </w:rPr>
        <w:t xml:space="preserve">erative hierarchical clustering </w:t>
      </w:r>
      <w:r w:rsidRPr="006F24A8">
        <w:rPr>
          <w:rFonts w:cs="Times New Roman"/>
          <w:szCs w:val="24"/>
        </w:rPr>
        <w:fldChar w:fldCharType="begin" w:fldLock="1"/>
      </w:r>
      <w:r w:rsidRPr="006F24A8">
        <w:rPr>
          <w:rFonts w:cs="Times New Roman"/>
          <w:szCs w:val="24"/>
        </w:rPr>
        <w:instrText>ADDIN CSL_CITATION {"citationItems":[{"id":"ITEM-1","itemData":{"author":[{"dropping-particle":"","family":"Borcard","given":"Daniel","non-dropping-particle":"","parse-names":false,"suffix":""},{"dropping-particle":"","family":"Gillet","given":"Francois","non-dropping-particle":"","parse-names":false,"suffix":""},{"dropping-particle":"","family":"Legendre","given":"Pierre","non-dropping-particle":"","parse-names":false,"suffix":""}],"edition":"second","id":"ITEM-1","issued":{"date-parts":[["2018"]]},"number-of-pages":"435","publisher":"Springer Nature","publisher-place":"Cham, Switzerland","title":"Numerical Ecology with R","type":"book"},"uris":["http://www.mendeley.com/documents/?uuid=2546c28c-2924-4d00-a76d-4c8e05346e2b"]}],"mendeley":{"formattedCitation":"(Borcard et al. 2018)","plainTextFormattedCitation":"(Borcard et al. 2018)","previouslyFormattedCitation":"(Borcard et al. 2018)"},"properties":{"noteIndex":0},"schema":"https://github.com/citation-style-language/schema/raw/master/csl-citation.json"}</w:instrText>
      </w:r>
      <w:r w:rsidRPr="006F24A8">
        <w:rPr>
          <w:rFonts w:cs="Times New Roman"/>
          <w:szCs w:val="24"/>
        </w:rPr>
        <w:fldChar w:fldCharType="separate"/>
      </w:r>
      <w:r w:rsidRPr="006F24A8">
        <w:rPr>
          <w:rFonts w:cs="Times New Roman"/>
          <w:noProof/>
          <w:szCs w:val="24"/>
        </w:rPr>
        <w:t>(Borcard et al. 2018)</w:t>
      </w:r>
      <w:r w:rsidRPr="006F24A8">
        <w:rPr>
          <w:rFonts w:cs="Times New Roman"/>
          <w:szCs w:val="24"/>
        </w:rPr>
        <w:fldChar w:fldCharType="end"/>
      </w:r>
      <w:r>
        <w:rPr>
          <w:rFonts w:cs="Times New Roman"/>
          <w:szCs w:val="24"/>
        </w:rPr>
        <w:t xml:space="preserve">. This approach </w:t>
      </w:r>
      <w:r w:rsidRPr="006F24A8">
        <w:rPr>
          <w:rFonts w:cs="Times New Roman"/>
          <w:szCs w:val="24"/>
        </w:rPr>
        <w:t>successively group</w:t>
      </w:r>
      <w:r>
        <w:rPr>
          <w:rFonts w:cs="Times New Roman"/>
          <w:szCs w:val="24"/>
        </w:rPr>
        <w:t>s</w:t>
      </w:r>
      <w:r w:rsidRPr="006F24A8">
        <w:rPr>
          <w:rFonts w:cs="Times New Roman"/>
          <w:szCs w:val="24"/>
        </w:rPr>
        <w:t xml:space="preserve"> individual </w:t>
      </w:r>
      <w:r>
        <w:rPr>
          <w:rFonts w:cs="Times New Roman"/>
          <w:szCs w:val="24"/>
        </w:rPr>
        <w:t>reaches</w:t>
      </w:r>
      <w:r w:rsidRPr="006F24A8">
        <w:rPr>
          <w:rFonts w:cs="Times New Roman"/>
          <w:szCs w:val="24"/>
        </w:rPr>
        <w:t xml:space="preserve"> into larger </w:t>
      </w:r>
      <w:r>
        <w:rPr>
          <w:rFonts w:cs="Times New Roman"/>
          <w:szCs w:val="24"/>
        </w:rPr>
        <w:t>classes</w:t>
      </w:r>
      <w:r w:rsidRPr="006F24A8">
        <w:rPr>
          <w:rFonts w:cs="Times New Roman"/>
          <w:szCs w:val="24"/>
        </w:rPr>
        <w:t xml:space="preserve"> </w:t>
      </w:r>
      <w:r>
        <w:rPr>
          <w:rFonts w:cs="Times New Roman"/>
          <w:szCs w:val="24"/>
        </w:rPr>
        <w:t>based on the</w:t>
      </w:r>
      <w:r w:rsidRPr="006F24A8">
        <w:rPr>
          <w:rFonts w:cs="Times New Roman"/>
          <w:szCs w:val="24"/>
        </w:rPr>
        <w:t xml:space="preserve"> similarity</w:t>
      </w:r>
      <w:r>
        <w:rPr>
          <w:rFonts w:cs="Times New Roman"/>
          <w:szCs w:val="24"/>
        </w:rPr>
        <w:t xml:space="preserve"> of their </w:t>
      </w:r>
      <w:proofErr w:type="spellStart"/>
      <w:r>
        <w:rPr>
          <w:rFonts w:cs="Times New Roman"/>
          <w:szCs w:val="24"/>
        </w:rPr>
        <w:t>hydrogeomorphic</w:t>
      </w:r>
      <w:proofErr w:type="spellEnd"/>
      <w:r>
        <w:rPr>
          <w:rFonts w:cs="Times New Roman"/>
          <w:szCs w:val="24"/>
        </w:rPr>
        <w:t xml:space="preserve"> characteristics </w:t>
      </w:r>
      <w:r w:rsidRPr="006F24A8">
        <w:rPr>
          <w:rFonts w:cs="Times New Roman"/>
          <w:szCs w:val="24"/>
        </w:rPr>
        <w:fldChar w:fldCharType="begin" w:fldLock="1"/>
      </w:r>
      <w:r>
        <w:rPr>
          <w:rFonts w:cs="Times New Roman"/>
          <w:szCs w:val="24"/>
        </w:rPr>
        <w:instrText>ADDIN CSL_CITATION {"citationItems":[{"id":"ITEM-1","itemData":{"DOI":"10.1016/j.scitotenv.2019.04.394","ISSN":"18791026","abstract":"Rivers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Environment","id":"ITEM-1","issued":{"date-parts":[["2019"]]},"page":"184-193","publisher":"Elsevier B.V.","title":"Communities associated with the Functional Process Zone scale: A case study of stream macroinvertebrates in endorheic drainages","type":"article-journal","volume":"677"},"uris":["http://www.mendeley.com/documents/?uuid=b04a944d-07f1-48e0-bcca-8f4c81320c18"]}],"mendeley":{"formattedCitation":"(Maasri et al. 2019)","manualFormatting":"(Thoms et al. 2018; Maasri et al. 2019)","plainTextFormattedCitation":"(Maasri et al. 2019)","previouslyFormattedCitation":"(Maasri et al. 2019)"},"properties":{"noteIndex":0},"schema":"https://github.com/citation-style-language/schema/raw/master/csl-citation.json"}</w:instrText>
      </w:r>
      <w:r w:rsidRPr="006F24A8">
        <w:rPr>
          <w:rFonts w:cs="Times New Roman"/>
          <w:szCs w:val="24"/>
        </w:rPr>
        <w:fldChar w:fldCharType="separate"/>
      </w:r>
      <w:r w:rsidRPr="006F24A8">
        <w:rPr>
          <w:rFonts w:cs="Times New Roman"/>
          <w:noProof/>
          <w:szCs w:val="24"/>
        </w:rPr>
        <w:t>(</w:t>
      </w:r>
      <w:r>
        <w:rPr>
          <w:rFonts w:cs="Times New Roman"/>
          <w:noProof/>
          <w:szCs w:val="24"/>
        </w:rPr>
        <w:t xml:space="preserve">Thoms et al. 2018; </w:t>
      </w:r>
      <w:r w:rsidRPr="006F24A8">
        <w:rPr>
          <w:rFonts w:cs="Times New Roman"/>
          <w:noProof/>
          <w:szCs w:val="24"/>
        </w:rPr>
        <w:t>Maasri et al. 2019)</w:t>
      </w:r>
      <w:r w:rsidRPr="006F24A8">
        <w:rPr>
          <w:rFonts w:cs="Times New Roman"/>
          <w:szCs w:val="24"/>
        </w:rPr>
        <w:fldChar w:fldCharType="end"/>
      </w:r>
      <w:r w:rsidRPr="006F24A8">
        <w:rPr>
          <w:rFonts w:cs="Times New Roman"/>
          <w:szCs w:val="24"/>
        </w:rPr>
        <w:t xml:space="preserve">. </w:t>
      </w:r>
      <w:r>
        <w:rPr>
          <w:rFonts w:cs="Times New Roman"/>
          <w:szCs w:val="24"/>
        </w:rPr>
        <w:t xml:space="preserve">At the lowest level of the hierarchy, each river reach is an individual class while at the highest level, all reaches are combined into a single class. </w:t>
      </w:r>
      <w:r w:rsidRPr="006F24A8">
        <w:rPr>
          <w:rFonts w:cs="Times New Roman"/>
          <w:szCs w:val="24"/>
        </w:rPr>
        <w:t>We used Gower’s dissimilarity</w:t>
      </w:r>
      <w:r>
        <w:rPr>
          <w:rFonts w:cs="Times New Roman"/>
          <w:szCs w:val="24"/>
        </w:rPr>
        <w:t xml:space="preserve"> index</w:t>
      </w:r>
      <w:r w:rsidRPr="006F24A8">
        <w:rPr>
          <w:rFonts w:cs="Times New Roman"/>
          <w:szCs w:val="24"/>
        </w:rPr>
        <w:t xml:space="preserve"> to measure </w:t>
      </w:r>
      <w:r>
        <w:rPr>
          <w:rFonts w:cs="Times New Roman"/>
          <w:szCs w:val="24"/>
        </w:rPr>
        <w:t xml:space="preserve">pairwise </w:t>
      </w:r>
      <w:r w:rsidRPr="006F24A8">
        <w:rPr>
          <w:rFonts w:cs="Times New Roman"/>
          <w:szCs w:val="24"/>
        </w:rPr>
        <w:t xml:space="preserve">associations between </w:t>
      </w:r>
      <w:r>
        <w:rPr>
          <w:rFonts w:cs="Times New Roman"/>
          <w:szCs w:val="24"/>
        </w:rPr>
        <w:t>reaches</w:t>
      </w:r>
      <w:r w:rsidRPr="006F24A8">
        <w:rPr>
          <w:rFonts w:cs="Times New Roman"/>
          <w:szCs w:val="24"/>
        </w:rPr>
        <w:t xml:space="preserve"> and Ward’s minimum variance to </w:t>
      </w:r>
      <w:r>
        <w:rPr>
          <w:rFonts w:cs="Times New Roman"/>
          <w:szCs w:val="24"/>
        </w:rPr>
        <w:t xml:space="preserve">create hierarchically nested groupings </w:t>
      </w:r>
      <w:r w:rsidRPr="006F24A8">
        <w:rPr>
          <w:rFonts w:cs="Times New Roman"/>
          <w:szCs w:val="24"/>
        </w:rPr>
        <w:fldChar w:fldCharType="begin" w:fldLock="1"/>
      </w:r>
      <w:r>
        <w:rPr>
          <w:rFonts w:cs="Times New Roman"/>
          <w:szCs w:val="24"/>
        </w:rPr>
        <w:instrText>ADDIN CSL_CITATION {"citationItems":[{"id":"ITEM-1","itemData":{"DOI":"10.1016/j.scitotenv.2019.04.394","ISSN":"18791026","abstract":"Rivers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Environment","id":"ITEM-1","issued":{"date-parts":[["2019"]]},"page":"184-193","publisher":"Elsevier B.V.","title":"Communities associated with the Functional Process Zone scale: A case study of stream macroinvertebrates in endorheic drainages","type":"article-journal","volume":"677"},"uris":["http://www.mendeley.com/documents/?uuid=b04a944d-07f1-48e0-bcca-8f4c81320c18"]},{"id":"ITEM-2","itemData":{"author":[{"dropping-particle":"","family":"Borcard","given":"Daniel","non-dropping-particle":"","parse-names":false,"suffix":""},{"dropping-particle":"","family":"Gillet","given":"Francois","non-dropping-particle":"","parse-names":false,"suffix":""},{"dropping-particle":"","family":"Legendre","given":"Pierre","non-dropping-particle":"","parse-names":false,"suffix":""}],"edition":"second","id":"ITEM-2","issued":{"date-parts":[["2018"]]},"number-of-pages":"435","publisher":"Springer Nature","publisher-place":"Cham, Switzerland","title":"Numerical Ecology with R","type":"book"},"uris":["http://www.mendeley.com/documents/?uuid=2546c28c-2924-4d00-a76d-4c8e05346e2b"]}],"mendeley":{"formattedCitation":"(Borcard et al. 2018; Maasri et al. 2019)","plainTextFormattedCitation":"(Borcard et al. 2018; Maasri et al. 2019)","previouslyFormattedCitation":"(Borcard et al. 2018, Maasri et al. 2019)"},"properties":{"noteIndex":0},"schema":"https://github.com/citation-style-language/schema/raw/master/csl-citation.json"}</w:instrText>
      </w:r>
      <w:r w:rsidRPr="006F24A8">
        <w:rPr>
          <w:rFonts w:cs="Times New Roman"/>
          <w:szCs w:val="24"/>
        </w:rPr>
        <w:fldChar w:fldCharType="separate"/>
      </w:r>
      <w:r w:rsidRPr="0047668E">
        <w:rPr>
          <w:rFonts w:cs="Times New Roman"/>
          <w:noProof/>
          <w:szCs w:val="24"/>
        </w:rPr>
        <w:t>(Borcard et al. 2018; Maasri et al. 2019)</w:t>
      </w:r>
      <w:r w:rsidRPr="006F24A8">
        <w:rPr>
          <w:rFonts w:cs="Times New Roman"/>
          <w:szCs w:val="24"/>
        </w:rPr>
        <w:fldChar w:fldCharType="end"/>
      </w:r>
      <w:r w:rsidRPr="006F24A8">
        <w:rPr>
          <w:rFonts w:cs="Times New Roman"/>
          <w:szCs w:val="24"/>
        </w:rPr>
        <w:t xml:space="preserve">. </w:t>
      </w:r>
      <w:r>
        <w:rPr>
          <w:rFonts w:cs="Times New Roman"/>
          <w:szCs w:val="24"/>
        </w:rPr>
        <w:t xml:space="preserve">We objectively identified the optimal </w:t>
      </w:r>
      <w:r w:rsidRPr="006F24A8">
        <w:rPr>
          <w:rFonts w:cs="Times New Roman"/>
          <w:szCs w:val="24"/>
        </w:rPr>
        <w:t xml:space="preserve">number of </w:t>
      </w:r>
      <w:r>
        <w:rPr>
          <w:rFonts w:cs="Times New Roman"/>
          <w:szCs w:val="24"/>
        </w:rPr>
        <w:t xml:space="preserve">HGP types for </w:t>
      </w:r>
      <w:r w:rsidRPr="006F24A8">
        <w:rPr>
          <w:rFonts w:cs="Times New Roman"/>
          <w:szCs w:val="24"/>
        </w:rPr>
        <w:t>each network</w:t>
      </w:r>
      <w:r>
        <w:rPr>
          <w:rFonts w:cs="Times New Roman"/>
          <w:szCs w:val="24"/>
        </w:rPr>
        <w:t xml:space="preserve"> using the maximum average silhouette width </w:t>
      </w:r>
      <w:r w:rsidRPr="006F24A8">
        <w:rPr>
          <w:rFonts w:cs="Times New Roman"/>
          <w:szCs w:val="24"/>
        </w:rPr>
        <w:fldChar w:fldCharType="begin" w:fldLock="1"/>
      </w:r>
      <w:r w:rsidRPr="006F24A8">
        <w:rPr>
          <w:rFonts w:cs="Times New Roman"/>
          <w:szCs w:val="24"/>
        </w:rPr>
        <w:instrText>ADDIN CSL_CITATION {"citationItems":[{"id":"ITEM-1","itemData":{"author":[{"dropping-particle":"","family":"Borcard","given":"Daniel","non-dropping-particle":"","parse-names":false,"suffix":""},{"dropping-particle":"","family":"Gillet","given":"Francois","non-dropping-particle":"","parse-names":false,"suffix":""},{"dropping-particle":"","family":"Legendre","given":"Pierre","non-dropping-particle":"","parse-names":false,"suffix":""}],"edition":"second","id":"ITEM-1","issued":{"date-parts":[["2018"]]},"number-of-pages":"435","publisher":"Springer Nature","publisher-place":"Cham, Switzerland","title":"Numerical Ecology with R","type":"book"},"uris":["http://www.mendeley.com/documents/?uuid=2546c28c-2924-4d00-a76d-4c8e05346e2b"]}],"mendeley":{"formattedCitation":"(Borcard et al. 2018)","plainTextFormattedCitation":"(Borcard et al. 2018)","previouslyFormattedCitation":"(Borcard et al. 2018)"},"properties":{"noteIndex":0},"schema":"https://github.com/citation-style-language/schema/raw/master/csl-citation.json"}</w:instrText>
      </w:r>
      <w:r w:rsidRPr="006F24A8">
        <w:rPr>
          <w:rFonts w:cs="Times New Roman"/>
          <w:szCs w:val="24"/>
        </w:rPr>
        <w:fldChar w:fldCharType="separate"/>
      </w:r>
      <w:r w:rsidRPr="006F24A8">
        <w:rPr>
          <w:rFonts w:cs="Times New Roman"/>
          <w:noProof/>
          <w:szCs w:val="24"/>
        </w:rPr>
        <w:t>(Borcard et al. 2018)</w:t>
      </w:r>
      <w:r w:rsidRPr="006F24A8">
        <w:rPr>
          <w:rFonts w:cs="Times New Roman"/>
          <w:szCs w:val="24"/>
        </w:rPr>
        <w:fldChar w:fldCharType="end"/>
      </w:r>
      <w:r>
        <w:rPr>
          <w:rFonts w:cs="Times New Roman"/>
          <w:szCs w:val="24"/>
        </w:rPr>
        <w:t xml:space="preserve">. Silhouette width is a metric of group similarity at each partition of the </w:t>
      </w:r>
      <w:proofErr w:type="spellStart"/>
      <w:r>
        <w:rPr>
          <w:rFonts w:cs="Times New Roman"/>
          <w:szCs w:val="24"/>
        </w:rPr>
        <w:t>dendrogram</w:t>
      </w:r>
      <w:proofErr w:type="spellEnd"/>
      <w:r>
        <w:rPr>
          <w:rFonts w:cs="Times New Roman"/>
          <w:szCs w:val="24"/>
        </w:rPr>
        <w:t xml:space="preserve"> and the maximum average width corresponds to the partition with the greatest degree of separation among subordinate groups. We used </w:t>
      </w:r>
      <w:r w:rsidRPr="006F24A8">
        <w:rPr>
          <w:rFonts w:cs="Times New Roman"/>
          <w:szCs w:val="24"/>
        </w:rPr>
        <w:t>the “daisy”</w:t>
      </w:r>
      <w:r>
        <w:rPr>
          <w:rFonts w:cs="Times New Roman"/>
          <w:szCs w:val="24"/>
        </w:rPr>
        <w:t xml:space="preserve"> function </w:t>
      </w:r>
      <w:r>
        <w:rPr>
          <w:rFonts w:cs="Times New Roman"/>
          <w:szCs w:val="24"/>
        </w:rPr>
        <w:lastRenderedPageBreak/>
        <w:t>to generate distance matrices</w:t>
      </w:r>
      <w:r w:rsidRPr="006F24A8">
        <w:rPr>
          <w:rFonts w:cs="Times New Roman"/>
          <w:szCs w:val="24"/>
        </w:rPr>
        <w:t xml:space="preserve">, </w:t>
      </w:r>
      <w:r>
        <w:rPr>
          <w:rFonts w:cs="Times New Roman"/>
          <w:szCs w:val="24"/>
        </w:rPr>
        <w:t xml:space="preserve">the </w:t>
      </w:r>
      <w:r w:rsidRPr="006F24A8">
        <w:rPr>
          <w:rFonts w:cs="Times New Roman"/>
          <w:szCs w:val="24"/>
        </w:rPr>
        <w:t>“</w:t>
      </w:r>
      <w:proofErr w:type="spellStart"/>
      <w:r w:rsidRPr="006F24A8">
        <w:rPr>
          <w:rFonts w:cs="Times New Roman"/>
          <w:szCs w:val="24"/>
        </w:rPr>
        <w:t>agnes</w:t>
      </w:r>
      <w:proofErr w:type="spellEnd"/>
      <w:r w:rsidRPr="006F24A8">
        <w:rPr>
          <w:rFonts w:cs="Times New Roman"/>
          <w:szCs w:val="24"/>
        </w:rPr>
        <w:t>”</w:t>
      </w:r>
      <w:r>
        <w:rPr>
          <w:rFonts w:cs="Times New Roman"/>
          <w:szCs w:val="24"/>
        </w:rPr>
        <w:t xml:space="preserve"> function</w:t>
      </w:r>
      <w:r w:rsidRPr="006F24A8">
        <w:rPr>
          <w:rFonts w:cs="Times New Roman"/>
          <w:szCs w:val="24"/>
        </w:rPr>
        <w:t xml:space="preserve"> </w:t>
      </w:r>
      <w:r>
        <w:rPr>
          <w:rFonts w:cs="Times New Roman"/>
          <w:szCs w:val="24"/>
        </w:rPr>
        <w:t>for a</w:t>
      </w:r>
      <w:r w:rsidRPr="006F24A8">
        <w:rPr>
          <w:rFonts w:cs="Times New Roman"/>
          <w:szCs w:val="24"/>
        </w:rPr>
        <w:t>gglom</w:t>
      </w:r>
      <w:r>
        <w:rPr>
          <w:rFonts w:cs="Times New Roman"/>
          <w:szCs w:val="24"/>
        </w:rPr>
        <w:t xml:space="preserve">erative hierarchical clustering </w:t>
      </w:r>
      <w:r w:rsidRPr="006F24A8">
        <w:rPr>
          <w:rFonts w:cs="Times New Roman"/>
          <w:szCs w:val="24"/>
        </w:rPr>
        <w:t>and</w:t>
      </w:r>
      <w:r>
        <w:rPr>
          <w:rFonts w:cs="Times New Roman"/>
          <w:szCs w:val="24"/>
        </w:rPr>
        <w:t xml:space="preserve"> the</w:t>
      </w:r>
      <w:r w:rsidRPr="006F24A8">
        <w:rPr>
          <w:rFonts w:cs="Times New Roman"/>
          <w:szCs w:val="24"/>
        </w:rPr>
        <w:t xml:space="preserve"> “silhouette” function</w:t>
      </w:r>
      <w:r>
        <w:rPr>
          <w:rFonts w:cs="Times New Roman"/>
          <w:szCs w:val="24"/>
        </w:rPr>
        <w:t xml:space="preserve"> to conduct the silhouette analysis (</w:t>
      </w:r>
      <w:proofErr w:type="spellStart"/>
      <w:r w:rsidRPr="006F24A8">
        <w:rPr>
          <w:rFonts w:cs="Times New Roman"/>
          <w:noProof/>
          <w:szCs w:val="24"/>
        </w:rPr>
        <w:t>Maech</w:t>
      </w:r>
      <w:r w:rsidRPr="00DB19CE">
        <w:rPr>
          <w:rFonts w:cs="Times New Roman"/>
          <w:noProof/>
          <w:szCs w:val="24"/>
        </w:rPr>
        <w:t>ler</w:t>
      </w:r>
      <w:proofErr w:type="spellEnd"/>
      <w:r w:rsidRPr="00DB19CE">
        <w:rPr>
          <w:rFonts w:cs="Times New Roman"/>
          <w:noProof/>
          <w:szCs w:val="24"/>
        </w:rPr>
        <w:t xml:space="preserve"> et al. 2019</w:t>
      </w:r>
      <w:r>
        <w:rPr>
          <w:rFonts w:cs="Times New Roman"/>
          <w:noProof/>
          <w:szCs w:val="24"/>
        </w:rPr>
        <w:t>)</w:t>
      </w:r>
      <w:r>
        <w:rPr>
          <w:rFonts w:cs="Times New Roman"/>
          <w:szCs w:val="24"/>
        </w:rPr>
        <w:t>. These functions are embedded within the</w:t>
      </w:r>
      <w:r w:rsidRPr="006F24A8">
        <w:rPr>
          <w:rFonts w:cs="Times New Roman"/>
          <w:szCs w:val="24"/>
        </w:rPr>
        <w:t xml:space="preserve"> </w:t>
      </w:r>
      <w:r w:rsidRPr="006F24A8">
        <w:rPr>
          <w:rFonts w:cs="Times New Roman"/>
          <w:szCs w:val="24"/>
        </w:rPr>
        <w:fldChar w:fldCharType="begin" w:fldLock="1"/>
      </w:r>
      <w:r>
        <w:rPr>
          <w:rFonts w:cs="Times New Roman"/>
          <w:szCs w:val="24"/>
        </w:rPr>
        <w:instrText>ADDIN CSL_CITATION {"citationItems":[{"id":"ITEM-1","itemData":{"ISBN":"0000000191","abstract":"Methods for Cluster analysis. Much extended the original from Peter Rousseeuw, Anja Struyf and Mia Hubert, based on Kaufman and Rousseeuw (1990) \"Finding Groups in Data\".","author":[{"dropping-particle":"","family":"Maechler","given":"Martin","non-dropping-particle":"","parse-names":false,"suffix":""},{"dropping-particle":"","family":"Rousseeuw","given":"Peter","non-dropping-particle":"","parse-names":false,"suffix":""},{"dropping-particle":"","family":"Struyf","given":"Anja","non-dropping-particle":"","parse-names":false,"suffix":""},{"dropping-particle":"","family":"Hubert","given":"Mia","non-dropping-particle":"","parse-names":false,"suffix":""},{"dropping-particle":"","family":"Hornik","given":"Kurt","non-dropping-particle":"","parse-names":false,"suffix":""},{"dropping-particle":"","family":"Studer","given":"Matthias","non-dropping-particle":"","parse-names":false,"suffix":""},{"dropping-particle":"","family":"Roudier","given":"Pierre","non-dropping-particle":"","parse-names":false,"suffix":""},{"dropping-particle":"","family":"Gonzalez","given":"Juan","non-dropping-particle":"","parse-names":false,"suffix":""},{"dropping-particle":"","family":"Kozlowski","given":"Kamil","non-dropping-particle":"","parse-names":false,"suffix":""},{"dropping-particle":"","family":"Schubert","given":"Erich","non-dropping-particle":"","parse-names":false,"suffix":""},{"dropping-particle":"","family":"Murphy","given":"Keefe","non-dropping-particle":"","parse-names":false,"suffix":""}],"container-title":"R package version 2.1.0","id":"ITEM-1","issued":{"date-parts":[["2019"]]},"title":"Package 'cluster' for R: \"Finding Groups in Data\": Cluster Analysis Extended","type":"book"},"uris":["http://www.mendeley.com/documents/?uuid=76de7ee1-3f9b-4d20-bb6a-3aac2a2ea040"]}],"mendeley":{"formattedCitation":"(Maechler et al. 2019)","manualFormatting":" “cluster module” (https://github.com/dkopp3/HydrogeomorphicPatches)","plainTextFormattedCitation":"(Maechler et al. 2019)","previouslyFormattedCitation":"(Maechler et al. 2019)"},"properties":{"noteIndex":0},"schema":"https://github.com/citation-style-language/schema/raw/master/csl-citation.json"}</w:instrText>
      </w:r>
      <w:r w:rsidRPr="006F24A8">
        <w:rPr>
          <w:rFonts w:cs="Times New Roman"/>
          <w:szCs w:val="24"/>
        </w:rPr>
        <w:fldChar w:fldCharType="separate"/>
      </w:r>
      <w:r w:rsidRPr="00DB19CE">
        <w:rPr>
          <w:rFonts w:cs="Times New Roman"/>
          <w:noProof/>
          <w:szCs w:val="24"/>
        </w:rPr>
        <w:t xml:space="preserve"> “cluster module” </w:t>
      </w:r>
      <w:r>
        <w:rPr>
          <w:rFonts w:cs="Times New Roman"/>
          <w:noProof/>
          <w:szCs w:val="24"/>
        </w:rPr>
        <w:t>(</w:t>
      </w:r>
      <w:r w:rsidRPr="00AD460C">
        <w:rPr>
          <w:rFonts w:cs="Times New Roman"/>
          <w:noProof/>
          <w:szCs w:val="24"/>
        </w:rPr>
        <w:t>https://github.com/dkopp3/HydrogeomorphicPatches</w:t>
      </w:r>
      <w:r w:rsidRPr="006F24A8">
        <w:rPr>
          <w:rFonts w:cs="Times New Roman"/>
          <w:noProof/>
          <w:szCs w:val="24"/>
        </w:rPr>
        <w:t>)</w:t>
      </w:r>
      <w:r w:rsidRPr="006F24A8">
        <w:rPr>
          <w:rFonts w:cs="Times New Roman"/>
          <w:szCs w:val="24"/>
        </w:rPr>
        <w:fldChar w:fldCharType="end"/>
      </w:r>
      <w:r>
        <w:rPr>
          <w:rFonts w:cs="Times New Roman"/>
          <w:szCs w:val="24"/>
        </w:rPr>
        <w:t>.</w:t>
      </w:r>
    </w:p>
    <w:p w14:paraId="505271EC" w14:textId="77777777" w:rsidR="00755451" w:rsidRPr="00ED1BD5" w:rsidRDefault="00755451" w:rsidP="00755451">
      <w:pPr>
        <w:spacing w:line="480" w:lineRule="auto"/>
        <w:contextualSpacing/>
        <w:rPr>
          <w:rFonts w:cs="Times New Roman"/>
          <w:szCs w:val="24"/>
        </w:rPr>
      </w:pPr>
      <w:r>
        <w:rPr>
          <w:rFonts w:cs="Times New Roman"/>
          <w:i/>
          <w:szCs w:val="24"/>
        </w:rPr>
        <w:tab/>
      </w:r>
      <w:r>
        <w:rPr>
          <w:rFonts w:cs="Times New Roman"/>
          <w:szCs w:val="24"/>
        </w:rPr>
        <w:t xml:space="preserve"> </w:t>
      </w:r>
    </w:p>
    <w:p w14:paraId="05E93B23" w14:textId="77777777" w:rsidR="00755451" w:rsidRPr="00106DB7" w:rsidRDefault="00755451" w:rsidP="00755451">
      <w:pPr>
        <w:spacing w:line="480" w:lineRule="auto"/>
        <w:contextualSpacing/>
        <w:rPr>
          <w:rFonts w:cs="Times New Roman"/>
          <w:szCs w:val="24"/>
        </w:rPr>
      </w:pPr>
      <w:r>
        <w:rPr>
          <w:rFonts w:cs="Times New Roman"/>
          <w:i/>
          <w:szCs w:val="24"/>
        </w:rPr>
        <w:t>Spatial pattern analysis</w:t>
      </w:r>
    </w:p>
    <w:p w14:paraId="5F8E5D5E" w14:textId="77777777" w:rsidR="00755451" w:rsidRPr="006F24A8" w:rsidRDefault="00755451" w:rsidP="00755451">
      <w:pPr>
        <w:spacing w:line="480" w:lineRule="auto"/>
        <w:ind w:firstLine="720"/>
        <w:contextualSpacing/>
        <w:rPr>
          <w:rFonts w:cs="Times New Roman"/>
          <w:szCs w:val="24"/>
        </w:rPr>
      </w:pPr>
      <w:r w:rsidRPr="00106DB7">
        <w:rPr>
          <w:rFonts w:cs="Times New Roman"/>
          <w:szCs w:val="24"/>
        </w:rPr>
        <w:t>We quantified</w:t>
      </w:r>
      <w:r>
        <w:rPr>
          <w:rFonts w:cs="Times New Roman"/>
          <w:szCs w:val="24"/>
        </w:rPr>
        <w:t xml:space="preserve"> the spatial pattern using four landscape metrics that measure the composition or configuration of HGP </w:t>
      </w:r>
      <w:r>
        <w:rPr>
          <w:rFonts w:cs="Times New Roman"/>
          <w:szCs w:val="24"/>
        </w:rPr>
        <w:fldChar w:fldCharType="begin" w:fldLock="1"/>
      </w:r>
      <w:r>
        <w:rPr>
          <w:rFonts w:cs="Times New Roman"/>
          <w:szCs w:val="24"/>
        </w:rPr>
        <w:instrText>ADDIN CSL_CITATION {"citationItems":[{"id":"ITEM-1","itemData":{"author":[{"dropping-particle":"","family":"McGarigal","given":"K.","non-dropping-particle":"","parse-names":false,"suffix":""},{"dropping-particle":"","family":"Cushman","given":"SA","non-dropping-particle":"","parse-names":false,"suffix":""},{"dropping-particle":"","family":"Ene","given":"E","non-dropping-particle":"","parse-names":false,"suffix":""}],"id":"ITEM-1","issued":{"date-parts":[["2012"]]},"title":"FRAGSTATS v4: Spatial Pattern Analysis Program for Categorical and Continuous Maps.","type":"article"},"uris":["http://www.mendeley.com/documents/?uuid=5bdf9438-dcbf-4746-8db7-5f3f59aed82d"]}],"mendeley":{"formattedCitation":"(McGarigal et al. 2012)","plainTextFormattedCitation":"(McGarigal et al. 2012)","previouslyFormattedCitation":"(McGarigal et al. 2012)"},"properties":{"noteIndex":0},"schema":"https://github.com/citation-style-language/schema/raw/master/csl-citation.json"}</w:instrText>
      </w:r>
      <w:r>
        <w:rPr>
          <w:rFonts w:cs="Times New Roman"/>
          <w:szCs w:val="24"/>
        </w:rPr>
        <w:fldChar w:fldCharType="separate"/>
      </w:r>
      <w:r w:rsidRPr="00AA1AAF">
        <w:rPr>
          <w:rFonts w:cs="Times New Roman"/>
          <w:noProof/>
          <w:szCs w:val="24"/>
        </w:rPr>
        <w:t>(McGarigal et al. 2012)</w:t>
      </w:r>
      <w:r>
        <w:rPr>
          <w:rFonts w:cs="Times New Roman"/>
          <w:szCs w:val="24"/>
        </w:rPr>
        <w:fldChar w:fldCharType="end"/>
      </w:r>
      <w:r>
        <w:rPr>
          <w:rFonts w:cs="Times New Roman"/>
          <w:szCs w:val="24"/>
        </w:rPr>
        <w:t xml:space="preserve">. To measure composition, we combined adjacent stream reaches of the same HGP type and counted the uninterrupted river segments as total number of patches (TP). In addition, we calculated the Shannon Diversity index (SHDI) for each network. The SHDI is commonly used to measure landscape heterogeneity and has recently been applied to riverine landscapes </w:t>
      </w:r>
      <w:r>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Applications","type":"article-journal","volume":"54"},"uris":["http://www.mendeley.com/documents/?uuid=f71918bb-cdf0-435d-99e7-f9c3eaae3114"]},{"id":"ITEM-2","itemData":{"abstract":"Landscape ecology deals with the patterning of ecosystems in space. Methods are needed to quantify aspects of spatial pattern that can be correlated with ecological processes. The present paper develops three indices of pattern derived from information theory and fractal geometry. Using digitized maps, the indices are calcu- lated for 94 quadrangles covering most of the eastern United States. The indices are shown to be reasonably independent of each other and to capture major features of landscape pattern. One of the indices, the fractal dimension, is shown to be correlated with the degree of human manipulation of the landscap","author":[{"dropping-particle":"V","family":"O'Neill","given":"R","non-dropping-particle":"","parse-names":false,"suffix":""},{"dropping-particle":"","family":"Krummel","given":"J R","non-dropping-particle":"","parse-names":false,"suffix":""},{"dropping-particle":"","family":"Gardner","given":"R H","non-dropping-particle":"","parse-names":false,"suffix":""},{"dropping-particle":"","family":"Sugihara","given":"G","non-dropping-particle":"","parse-names":false,"suffix":""},{"dropping-particle":"","family":"Jackson","given":"B","non-dropping-particle":"","parse-names":false,"suffix":""},{"dropping-particle":"","family":"DeAngelis","given":"D L","non-dropping-particle":"","parse-names":false,"suffix":""},{"dropping-particle":"","family":"Milne","given":"B.T.","non-dropping-particle":"","parse-names":false,"suffix":""},{"dropping-particle":"","family":"Turner","given":"M.G.","non-dropping-particle":"","parse-names":false,"suffix":""},{"dropping-particle":"","family":"Zygmunt","given":"B.","non-dropping-particle":"","parse-names":false,"suffix":""},{"dropping-particle":"","family":"Christensen","given":"S.W.","non-dropping-particle":"","parse-names":false,"suffix":""},{"dropping-particle":"","family":"Dale","given":"V.H.","non-dropping-particle":"","parse-names":false,"suffix":""},{"dropping-particle":"","family":"Graham","given":"R.L.","non-dropping-particle":"","parse-names":false,"suffix":""}],"container-title":"Landscape Ecology","id":"ITEM-2","issue":"3","issued":{"date-parts":[["1988"]]},"page":"153-162","title":"Indices of landscape pattern","type":"article-journal","volume":"1"},"uris":["http://www.mendeley.com/documents/?uuid=d8c804f3-e97a-4b2d-ba09-c8b95b195221"]},{"id":"ITEM-3","itemData":{"abstract":"The purpose of this study was to observe the effects of changing the grain (the first level of spatial resolution possible with a given data set) and extent (the total area of the study) of landscape data on observed spatial patterns and to identify some general rules for comparing measures obtained at different scales. Simple random maps, maps with contagion (i.e., clusters of the same land cover type), and actual landscape data from USGS land use (LUDA) data maps were used in the analyses. Landscape patterns were compared using indices measuring diversity (H), dominance (D) and contagion (C). Rare land cover types were lost as grain became coarser. This loss could be predicted analytically for random maps with two land cover types, and it was observed in actual landscapes as grain was increased experimentally. However, the rate of loss was influenced by the spatial pattern. Land cover types that were clumped disappeared slowly or were retained with increasing grain, whereas cover types that were dispersed were lost rapidly. The diversity index decreased linearly with increasing grain size, but dominance and contagion did not show a linear relationship. The indices D and C increased with increasing extent, but H exhibited a variable response. The indices were sensitive to the number (m) of cover types observed in the data set and the fraction of the landscape occupied by each cover type (Pk); both m and Pk varied with grain and extent. Qualitative and quantitative changes in measurements across spatial scales will differ depending on how scale is defined. Characterizing the relationships between ecological measurements and the grain or extent of the data may make it possible to predict or correct for the loss of information with changes in spatial scale.","author":[{"dropping-particle":"","family":"Turner","given":"Monica G.","non-dropping-particle":"","parse-names":false,"suffix":""},{"dropping-particle":"V.","family":"O'Neill","given":"Robert","non-dropping-particle":"","parse-names":false,"suffix":""},{"dropping-particle":"","family":"Gardner","given":"Robert H.","non-dropping-particle":"","parse-names":false,"suffix":""},{"dropping-particle":"","family":"Milne","given":"Bruce T.","non-dropping-particle":"","parse-names":false,"suffix":""}],"container-title":"Landscape Ecology","id":"ITEM-3","issued":{"date-parts":[["1989"]]},"page":"153-162","title":"Effects of changing spatial extent on landscape pattern analysis.","type":"article-journal","volume":"3"},"uris":["http://www.mendeley.com/documents/?uuid=0ca70573-6b90-4986-82d8-5579018a96c0"]}],"mendeley":{"formattedCitation":"(O’Neill et al. 1988; Turner et al. 1989; Thoms et al. 2018)","plainTextFormattedCitation":"(O’Neill et al. 1988; Turner et al. 1989; Thoms et al. 2018)","previouslyFormattedCitation":"(O’Neill et al. 1988, Turner et al. 1989,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(O’Neill et al. 1988; Turner et al. 1989; Thoms et al. 2018)</w:t>
      </w:r>
      <w:r>
        <w:rPr>
          <w:rFonts w:cs="Times New Roman"/>
          <w:szCs w:val="24"/>
        </w:rPr>
        <w:fldChar w:fldCharType="end"/>
      </w:r>
      <w:r>
        <w:rPr>
          <w:rFonts w:cs="Times New Roman"/>
          <w:szCs w:val="24"/>
        </w:rPr>
        <w:t xml:space="preserve">. Following </w:t>
      </w:r>
      <w:proofErr w:type="spellStart"/>
      <w:r>
        <w:rPr>
          <w:rFonts w:cs="Times New Roman"/>
          <w:szCs w:val="24"/>
        </w:rPr>
        <w:t>Thoms</w:t>
      </w:r>
      <w:proofErr w:type="spellEnd"/>
      <w:r>
        <w:rPr>
          <w:rFonts w:cs="Times New Roman"/>
          <w:szCs w:val="24"/>
        </w:rPr>
        <w:t xml:space="preserve"> et al (2018), we calculated SHDI as:</w:t>
      </w:r>
    </w:p>
    <w:p w14:paraId="73A0CD11" w14:textId="77777777" w:rsidR="00755451" w:rsidRPr="006F24A8" w:rsidRDefault="00755451" w:rsidP="00755451">
      <w:pPr>
        <w:spacing w:line="480" w:lineRule="auto"/>
        <w:contextualSpacing/>
        <w:rPr>
          <w:rFonts w:cs="Times New Roman"/>
          <w:szCs w:val="24"/>
        </w:rPr>
      </w:pPr>
      <m:oMathPara>
        <m:oMath>
          <m:r>
            <w:rPr>
              <w:rFonts w:ascii="Cambria Math" w:hAnsi="Cambria Math" w:cs="Times New Roman"/>
              <w:szCs w:val="24"/>
            </w:rPr>
            <m:t>SHDI=-</m:t>
          </m:r>
          <m:nary>
            <m:naryPr>
              <m:chr m:val="∑"/>
              <m:limLoc m:val="undOvr"/>
              <m:subHide m:val="1"/>
              <m:supHide m:val="1"/>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func>
                <m:funcPr>
                  <m:ctrlPr>
                    <w:rPr>
                      <w:rFonts w:ascii="Cambria Math" w:hAnsi="Cambria Math" w:cs="Times New Roman"/>
                      <w:i/>
                      <w:szCs w:val="24"/>
                    </w:rPr>
                  </m:ctrlPr>
                </m:funcPr>
                <m:fName>
                  <m:r>
                    <m:rPr>
                      <m:sty m:val="p"/>
                    </m:rPr>
                    <w:rPr>
                      <w:rFonts w:ascii="Cambria Math" w:hAnsi="Cambria Math" w:cs="Times New Roman"/>
                      <w:szCs w:val="24"/>
                    </w:rPr>
                    <m:t>ln</m:t>
                  </m:r>
                </m:fName>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e>
              </m:func>
            </m:e>
          </m:nary>
        </m:oMath>
      </m:oMathPara>
    </w:p>
    <w:p w14:paraId="7AE7F0EB" w14:textId="77777777" w:rsidR="00755451" w:rsidRPr="00106DB7" w:rsidRDefault="00755451" w:rsidP="00755451">
      <w:pPr>
        <w:spacing w:line="480" w:lineRule="auto"/>
        <w:contextualSpacing/>
        <w:rPr>
          <w:rFonts w:cs="Times New Roman"/>
          <w:szCs w:val="24"/>
        </w:rPr>
      </w:pPr>
      <w:r w:rsidRPr="006F24A8">
        <w:rPr>
          <w:rFonts w:cs="Times New Roman"/>
          <w:szCs w:val="24"/>
        </w:rPr>
        <w:t xml:space="preserve">where </w:t>
      </w:r>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oMath>
      <w:r>
        <w:rPr>
          <w:rFonts w:eastAsiaTheme="minorEastAsia" w:cs="Times New Roman"/>
          <w:szCs w:val="24"/>
        </w:rPr>
        <w:t xml:space="preserve"> is the proportional </w:t>
      </w:r>
      <w:r w:rsidRPr="006F24A8">
        <w:rPr>
          <w:rFonts w:eastAsiaTheme="minorEastAsia" w:cs="Times New Roman"/>
          <w:szCs w:val="24"/>
        </w:rPr>
        <w:t xml:space="preserve">length </w:t>
      </w:r>
      <w:r>
        <w:rPr>
          <w:rFonts w:eastAsiaTheme="minorEastAsia" w:cs="Times New Roman"/>
          <w:szCs w:val="24"/>
        </w:rPr>
        <w:t xml:space="preserve">of </w:t>
      </w:r>
      <w:r w:rsidRPr="006F24A8">
        <w:rPr>
          <w:rFonts w:eastAsiaTheme="minorEastAsia" w:cs="Times New Roman"/>
          <w:szCs w:val="24"/>
        </w:rPr>
        <w:t xml:space="preserve">the </w:t>
      </w:r>
      <m:oMath>
        <m:r>
          <w:rPr>
            <w:rFonts w:ascii="Cambria Math" w:eastAsiaTheme="minorEastAsia" w:hAnsi="Cambria Math" w:cs="Times New Roman"/>
            <w:szCs w:val="24"/>
          </w:rPr>
          <m:t>i</m:t>
        </m:r>
      </m:oMath>
      <w:r w:rsidRPr="006F24A8">
        <w:rPr>
          <w:rFonts w:eastAsiaTheme="minorEastAsia" w:cs="Times New Roman"/>
          <w:szCs w:val="24"/>
        </w:rPr>
        <w:t>th hydrogeomorphic patch</w:t>
      </w:r>
      <w:r>
        <w:rPr>
          <w:rFonts w:eastAsiaTheme="minorEastAsia" w:cs="Times New Roman"/>
          <w:szCs w:val="24"/>
        </w:rPr>
        <w:t xml:space="preserve"> relative to the total length of the river network</w:t>
      </w:r>
      <w:r w:rsidRPr="006F24A8">
        <w:rPr>
          <w:rFonts w:eastAsiaTheme="minorEastAsia" w:cs="Times New Roman"/>
          <w:szCs w:val="24"/>
        </w:rPr>
        <w:t>.</w:t>
      </w:r>
      <w:r>
        <w:rPr>
          <w:rFonts w:cs="Times New Roman"/>
          <w:szCs w:val="24"/>
        </w:rPr>
        <w:t xml:space="preserve"> </w:t>
      </w:r>
    </w:p>
    <w:p w14:paraId="2F126F5E" w14:textId="77777777" w:rsidR="00755451" w:rsidRPr="006F24A8" w:rsidRDefault="00755451" w:rsidP="00755451">
      <w:pPr>
        <w:spacing w:line="480" w:lineRule="auto"/>
        <w:ind w:firstLine="720"/>
        <w:contextualSpacing/>
        <w:rPr>
          <w:rFonts w:cs="Times New Roman"/>
          <w:szCs w:val="24"/>
        </w:rPr>
      </w:pPr>
      <w:r>
        <w:rPr>
          <w:rFonts w:cs="Times New Roman"/>
          <w:szCs w:val="24"/>
        </w:rPr>
        <w:t>To measure the configuration of HGP within each network we calculated the mean distance separating HGP types as mean patch distance (MPD) and used the dendritic connectivity index (DCI) to measure how connected the different HGP types were in each network (</w:t>
      </w:r>
      <w:r>
        <w:rPr>
          <w:rFonts w:cs="Times New Roman"/>
          <w:szCs w:val="24"/>
        </w:rPr>
        <w:fldChar w:fldCharType="begin" w:fldLock="1"/>
      </w:r>
      <w:r>
        <w:rPr>
          <w:rFonts w:cs="Times New Roman"/>
          <w:szCs w:val="24"/>
        </w:rPr>
        <w:instrText>ADDIN CSL_CITATION {"citationItems":[{"id":"ITEM-1","itemData":{"DOI":"10.1007/s10980-008-9283-y","ISBN":"0921-2973","ISSN":"09212973","PMID":"7774","abstract":"Abstract Habitat connectivity is a central factor in shaping aquatic biological communities, but few tools exist to describe and quantify this attribute at a network scale in riverine systems. Here, we develop a new index to quantify longitudinal connectivity of river networks based on the expected probability of an organism being able to move freely between two random points of the network. We apply this index to two fish life histories and evaluate the effects of the number, passability, and placement of barriers on river network connectivity through the use of simulated dendritic ecological networks. We then extend the index to a real world dendritic river system in Newfoundland, Canada. Our results indicate that connectivity in river systems, as represented by our index, is most impacted by the first few barriers added to the system. This is in contrast to terrestrial systems, which are more resilient to low levels of connectivity. The results show a curvilinear relationship between barrier passability and structural connectivity. This suggests that an incremental improvement in passability would result in a greater improvement to river network connectivity for more permeable barriers than for less permeable barriers. Our analysis of the index in simulated and real river networks also showed that barrier placement played an important role in connectivity. Not surprisingly, barriers located near the river mouth have the greatest impact on fish with diadromous life histories while those located near the center of the river network have the most impact on fish with potadromous life histories. The proposed index is conceptually simple and sufficiently flexible to deal with variations in river structure and biological communities. The index will enable researchers to account for connectivity in habitat studies and will also allow resource managers to characterize watersheds, assess cumulative impacts of multiple barriers and determine priorities for restoration.","author":[{"dropping-particle":"","family":"Cote","given":"David","non-dropping-particle":"","parse-names":false,"suffix":""},{"dropping-particle":"","family":"Kehler","given":"Dan G.","non-dropping-particle":"","parse-names":false,"suffix":""},{"dropping-particle":"","family":"Bourne","given":"Christina","non-dropping-particle":"","parse-names":false,"suffix":""},{"dropping-particle":"","family":"Wiersma","given":"Yolanda F.","non-dropping-particle":"","parse-names":false,"suffix":""}],"container-title":"Landscape Ecology","id":"ITEM-1","issue":"1","issued":{"date-parts":[["2009"]]},"page":"101-113","title":"A new measure of longitudinal connectivity for stream networks","type":"article-journal","volume":"24"},"uris":["http://www.mendeley.com/documents/?uuid=e1e32b70-f85b-46d6-9460-21ea5ad563fa"]}],"mendeley":{"formattedCitation":"(Cote et al. 2009)","manualFormatting":"Cote et al. 2009)","plainTextFormattedCitation":"(Cote et al. 2009)","previouslyFormattedCitation":"(Cote et al. 2009)"},"properties":{"noteIndex":0},"schema":"https://github.com/citation-style-language/schema/raw/master/csl-citation.json"}</w:instrText>
      </w:r>
      <w:r>
        <w:rPr>
          <w:rFonts w:cs="Times New Roman"/>
          <w:szCs w:val="24"/>
        </w:rPr>
        <w:fldChar w:fldCharType="separate"/>
      </w:r>
      <w:r w:rsidRPr="0074025F">
        <w:rPr>
          <w:rFonts w:cs="Times New Roman"/>
          <w:noProof/>
          <w:szCs w:val="24"/>
        </w:rPr>
        <w:t>Cote et al. 2009)</w:t>
      </w:r>
      <w:r>
        <w:rPr>
          <w:rFonts w:cs="Times New Roman"/>
          <w:szCs w:val="24"/>
        </w:rPr>
        <w:fldChar w:fldCharType="end"/>
      </w:r>
      <w:r>
        <w:rPr>
          <w:rFonts w:cs="Times New Roman"/>
          <w:szCs w:val="24"/>
        </w:rPr>
        <w:t xml:space="preserve">. DCI is based on the probability that an organism can cross a boundary separating one patch from another: </w:t>
      </w:r>
      <m:oMath>
        <m:r>
          <m:rPr>
            <m:sty m:val="p"/>
          </m:rPr>
          <w:rPr>
            <w:rFonts w:ascii="Cambria Math" w:hAnsi="Cambria Math" w:cs="Times New Roman"/>
            <w:szCs w:val="24"/>
          </w:rPr>
          <w:br/>
        </m:r>
      </m:oMath>
      <m:oMathPara>
        <m:oMath>
          <m:r>
            <w:rPr>
              <w:rFonts w:ascii="Cambria Math" w:hAnsi="Cambria Math" w:cs="Times New Roman"/>
              <w:szCs w:val="24"/>
            </w:rPr>
            <m:t>DCI=</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num>
                    <m:den>
                      <m:r>
                        <w:rPr>
                          <w:rFonts w:ascii="Cambria Math" w:hAnsi="Cambria Math" w:cs="Times New Roman"/>
                          <w:szCs w:val="24"/>
                        </w:rPr>
                        <m:t>L</m:t>
                      </m:r>
                    </m:den>
                  </m:f>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j</m:t>
                          </m:r>
                        </m:sub>
                      </m:sSub>
                    </m:num>
                    <m:den>
                      <m:r>
                        <w:rPr>
                          <w:rFonts w:ascii="Cambria Math" w:hAnsi="Cambria Math" w:cs="Times New Roman"/>
                          <w:szCs w:val="24"/>
                        </w:rPr>
                        <m:t>L</m:t>
                      </m:r>
                    </m:den>
                  </m:f>
                </m:e>
              </m:nary>
            </m:e>
          </m:nary>
          <m:r>
            <w:rPr>
              <w:rFonts w:ascii="Cambria Math" w:eastAsiaTheme="minorEastAsia" w:hAnsi="Cambria Math" w:cs="Times New Roman"/>
              <w:szCs w:val="24"/>
            </w:rPr>
            <m:t>*100</m:t>
          </m:r>
        </m:oMath>
      </m:oMathPara>
    </w:p>
    <w:p w14:paraId="714736B2" w14:textId="77777777" w:rsidR="00755451" w:rsidRDefault="00755451" w:rsidP="00755451">
      <w:pPr>
        <w:spacing w:line="480" w:lineRule="auto"/>
        <w:contextualSpacing/>
        <w:rPr>
          <w:rFonts w:cs="Times New Roman"/>
          <w:szCs w:val="24"/>
        </w:rPr>
      </w:pPr>
      <w:r>
        <w:rPr>
          <w:rFonts w:cs="Times New Roman"/>
          <w:szCs w:val="24"/>
        </w:rPr>
        <w:lastRenderedPageBreak/>
        <w:t xml:space="preserve">where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oMath>
      <w:r>
        <w:rPr>
          <w:rFonts w:eastAsiaTheme="minorEastAsia" w:cs="Times New Roman"/>
          <w:szCs w:val="24"/>
        </w:rPr>
        <w:t xml:space="preserve"> </w:t>
      </w:r>
      <w:r>
        <w:rPr>
          <w:rFonts w:cs="Times New Roman"/>
          <w:szCs w:val="24"/>
        </w:rPr>
        <w:t xml:space="preserve">is probability that an organism can traverse </w:t>
      </w:r>
      <w:r>
        <w:rPr>
          <w:rFonts w:eastAsiaTheme="minorEastAsia" w:cs="Times New Roman"/>
          <w:szCs w:val="24"/>
        </w:rPr>
        <w:t>a boundary</w:t>
      </w:r>
      <w:r>
        <w:rPr>
          <w:rFonts w:cs="Times New Roman"/>
          <w:szCs w:val="24"/>
        </w:rPr>
        <w:t xml:space="preserve"> separating patch </w:t>
      </w:r>
      <m:oMath>
        <m:r>
          <w:rPr>
            <w:rFonts w:ascii="Cambria Math" w:hAnsi="Cambria Math" w:cs="Times New Roman"/>
            <w:szCs w:val="24"/>
          </w:rPr>
          <m:t>i</m:t>
        </m:r>
      </m:oMath>
      <w:r>
        <w:rPr>
          <w:rFonts w:eastAsiaTheme="minorEastAsia" w:cs="Times New Roman"/>
          <w:szCs w:val="24"/>
        </w:rPr>
        <w:t xml:space="preserve"> and </w:t>
      </w:r>
      <m:oMath>
        <m:r>
          <w:rPr>
            <w:rFonts w:ascii="Cambria Math" w:hAnsi="Cambria Math" w:cs="Times New Roman"/>
            <w:szCs w:val="24"/>
          </w:rPr>
          <m:t>j</m:t>
        </m:r>
      </m:oMath>
      <w:r>
        <w:rPr>
          <w:rFonts w:eastAsiaTheme="minorEastAsia" w:cs="Times New Roman"/>
          <w:szCs w:val="24"/>
        </w:rPr>
        <w:t xml:space="preserve">, </w:t>
      </w:r>
      <m:oMath>
        <m:r>
          <w:rPr>
            <w:rFonts w:ascii="Cambria Math" w:hAnsi="Cambria Math" w:cs="Times New Roman"/>
            <w:szCs w:val="24"/>
          </w:rPr>
          <m:t>l</m:t>
        </m:r>
      </m:oMath>
      <w:r w:rsidRPr="006F24A8">
        <w:rPr>
          <w:rFonts w:cs="Times New Roman"/>
          <w:szCs w:val="24"/>
        </w:rPr>
        <w:t xml:space="preserve"> </w:t>
      </w:r>
      <w:r>
        <w:rPr>
          <w:rFonts w:cs="Times New Roman"/>
          <w:szCs w:val="24"/>
        </w:rPr>
        <w:t xml:space="preserve">is the length of patch and </w:t>
      </w:r>
      <m:oMath>
        <m:r>
          <w:rPr>
            <w:rFonts w:ascii="Cambria Math" w:hAnsi="Cambria Math" w:cs="Times New Roman"/>
            <w:szCs w:val="24"/>
          </w:rPr>
          <m:t>L</m:t>
        </m:r>
      </m:oMath>
      <w:r>
        <w:rPr>
          <w:rFonts w:cs="Times New Roman"/>
          <w:szCs w:val="24"/>
        </w:rPr>
        <w:t xml:space="preserve"> is the total length of the network. The index is multiplied by 100 to scale the value between 1 and 100. This index assumes boundaries do not occupy space in the network such that when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r>
          <w:rPr>
            <w:rFonts w:ascii="Cambria Math" w:hAnsi="Cambria Math" w:cs="Times New Roman"/>
            <w:szCs w:val="24"/>
          </w:rPr>
          <m:t>=1</m:t>
        </m:r>
      </m:oMath>
      <w:r>
        <w:rPr>
          <w:rFonts w:eastAsiaTheme="minorEastAsia" w:cs="Times New Roman"/>
          <w:szCs w:val="24"/>
        </w:rPr>
        <w:t xml:space="preserve"> (i.e. complete boundary permeability),</w:t>
      </w:r>
      <w:r>
        <w:rPr>
          <w:rFonts w:cs="Times New Roman"/>
          <w:szCs w:val="24"/>
        </w:rPr>
        <w:t xml:space="preserve"> </w:t>
      </w:r>
      <m:oMath>
        <m:r>
          <w:rPr>
            <w:rFonts w:ascii="Cambria Math" w:hAnsi="Cambria Math" w:cs="Times New Roman"/>
            <w:szCs w:val="24"/>
          </w:rPr>
          <m:t>DCI=1</m:t>
        </m:r>
      </m:oMath>
      <w:r>
        <w:rPr>
          <w:rFonts w:eastAsiaTheme="minorEastAsia" w:cs="Times New Roman"/>
          <w:szCs w:val="24"/>
        </w:rPr>
        <w:t xml:space="preserve"> </w:t>
      </w:r>
      <w:r>
        <w:rPr>
          <w:rFonts w:eastAsiaTheme="minorEastAsia" w:cs="Times New Roman"/>
          <w:szCs w:val="24"/>
        </w:rPr>
        <w:fldChar w:fldCharType="begin" w:fldLock="1"/>
      </w:r>
      <w:r>
        <w:rPr>
          <w:rFonts w:eastAsiaTheme="minorEastAsia" w:cs="Times New Roman"/>
          <w:szCs w:val="24"/>
        </w:rPr>
        <w:instrText>ADDIN CSL_CITATION {"citationItems":[{"id":"ITEM-1","itemData":{"DOI":"10.1007/s10980-008-9283-y","ISBN":"0921-2973","ISSN":"09212973","PMID":"7774","abstract":"Abstract Habitat connectivity is a central factor in shaping aquatic biological communities, but few tools exist to describe and quantify this attribute at a network scale in riverine systems. Here, we develop a new index to quantify longitudinal connectivity of river networks based on the expected probability of an organism being able to move freely between two random points of the network. We apply this index to two fish life histories and evaluate the effects of the number, passability, and placement of barriers on river network connectivity through the use of simulated dendritic ecological networks. We then extend the index to a real world dendritic river system in Newfoundland, Canada. Our results indicate that connectivity in river systems, as represented by our index, is most impacted by the first few barriers added to the system. This is in contrast to terrestrial systems, which are more resilient to low levels of connectivity. The results show a curvilinear relationship between barrier passability and structural connectivity. This suggests that an incremental improvement in passability would result in a greater improvement to river network connectivity for more permeable barriers than for less permeable barriers. Our analysis of the index in simulated and real river networks also showed that barrier placement played an important role in connectivity. Not surprisingly, barriers located near the river mouth have the greatest impact on fish with diadromous life histories while those located near the center of the river network have the most impact on fish with potadromous life histories. The proposed index is conceptually simple and sufficiently flexible to deal with variations in river structure and biological communities. The index will enable researchers to account for connectivity in habitat studies and will also allow resource managers to characterize watersheds, assess cumulative impacts of multiple barriers and determine priorities for restoration.","author":[{"dropping-particle":"","family":"Cote","given":"David","non-dropping-particle":"","parse-names":false,"suffix":""},{"dropping-particle":"","family":"Kehler","given":"Dan G.","non-dropping-particle":"","parse-names":false,"suffix":""},{"dropping-particle":"","family":"Bourne","given":"Christina","non-dropping-particle":"","parse-names":false,"suffix":""},{"dropping-particle":"","family":"Wiersma","given":"Yolanda F.","non-dropping-particle":"","parse-names":false,"suffix":""}],"container-title":"Landscape Ecology","id":"ITEM-1","issue":"1","issued":{"date-parts":[["2009"]]},"page":"101-113","title":"A new measure of longitudinal connectivity for stream networks","type":"article-journal","volume":"24"},"uris":["http://www.mendeley.com/documents/?uuid=e1e32b70-f85b-46d6-9460-21ea5ad563fa"]}],"mendeley":{"formattedCitation":"(Cote et al. 2009)","plainTextFormattedCitation":"(Cote et al. 2009)","previouslyFormattedCitation":"(Cote et al. 2009)"},"properties":{"noteIndex":0},"schema":"https://github.com/citation-style-language/schema/raw/master/csl-citation.json"}</w:instrText>
      </w:r>
      <w:r>
        <w:rPr>
          <w:rFonts w:eastAsiaTheme="minorEastAsia" w:cs="Times New Roman"/>
          <w:szCs w:val="24"/>
        </w:rPr>
        <w:fldChar w:fldCharType="separate"/>
      </w:r>
      <w:r w:rsidRPr="00755FE0">
        <w:rPr>
          <w:rFonts w:eastAsiaTheme="minorEastAsia" w:cs="Times New Roman"/>
          <w:noProof/>
          <w:szCs w:val="24"/>
        </w:rPr>
        <w:t>(Cote et al. 2009)</w:t>
      </w:r>
      <w:r>
        <w:rPr>
          <w:rFonts w:eastAsiaTheme="minorEastAsia" w:cs="Times New Roman"/>
          <w:szCs w:val="24"/>
        </w:rPr>
        <w:fldChar w:fldCharType="end"/>
      </w:r>
      <w:r>
        <w:rPr>
          <w:rFonts w:eastAsiaTheme="minorEastAsia" w:cs="Times New Roman"/>
          <w:szCs w:val="24"/>
        </w:rPr>
        <w:t xml:space="preserve">. Because we expected the connectivity between two HGPs of the same type depends on the distance separating them we modified DCI as: </w:t>
      </w:r>
    </w:p>
    <w:p w14:paraId="540A4ACA" w14:textId="77777777" w:rsidR="00755451" w:rsidRDefault="00B5442B" w:rsidP="00755451">
      <w:pPr>
        <w:spacing w:line="480" w:lineRule="auto"/>
        <w:contextualSpacing/>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DCI</m:t>
              </m:r>
            </m:e>
            <m:sub>
              <m:r>
                <w:rPr>
                  <w:rFonts w:ascii="Cambria Math" w:hAnsi="Cambria Math" w:cs="Times New Roman"/>
                  <w:szCs w:val="24"/>
                </w:rPr>
                <m:t>k</m:t>
              </m:r>
            </m:sub>
          </m:sSub>
          <m:r>
            <w:rPr>
              <w:rFonts w:ascii="Cambria Math" w:hAns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c</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j</m:t>
                          </m:r>
                        </m:sub>
                      </m:sSub>
                    </m:sub>
                  </m:sSub>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l</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sub>
                      </m:sSub>
                    </m:num>
                    <m:den>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k</m:t>
                          </m:r>
                        </m:sub>
                      </m:sSub>
                    </m:den>
                  </m:f>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l</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j</m:t>
                              </m:r>
                            </m:sub>
                          </m:sSub>
                        </m:sub>
                      </m:sSub>
                    </m:num>
                    <m:den>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k</m:t>
                          </m:r>
                        </m:sub>
                      </m:sSub>
                    </m:den>
                  </m:f>
                </m:e>
              </m:nary>
            </m:e>
          </m:nary>
          <m:r>
            <w:rPr>
              <w:rFonts w:ascii="Cambria Math" w:eastAsiaTheme="minorEastAsia" w:hAnsi="Cambria Math" w:cs="Times New Roman"/>
              <w:szCs w:val="24"/>
            </w:rPr>
            <m:t>*100</m:t>
          </m:r>
        </m:oMath>
      </m:oMathPara>
    </w:p>
    <w:p w14:paraId="29E4189A" w14:textId="77777777" w:rsidR="00755451" w:rsidRDefault="00755451" w:rsidP="00755451">
      <w:pPr>
        <w:spacing w:line="480" w:lineRule="auto"/>
        <w:contextualSpacing/>
        <w:rPr>
          <w:rFonts w:cs="Times New Roman"/>
          <w:szCs w:val="24"/>
        </w:rPr>
      </w:pPr>
      <w:r>
        <w:rPr>
          <w:rFonts w:cs="Times New Roman"/>
          <w:szCs w:val="24"/>
        </w:rPr>
        <w:t xml:space="preserve">where </w:t>
      </w:r>
      <m:oMath>
        <m:r>
          <w:rPr>
            <w:rFonts w:ascii="Cambria Math" w:hAnsi="Cambria Math" w:cs="Times New Roman"/>
            <w:szCs w:val="24"/>
          </w:rPr>
          <m:t>k</m:t>
        </m:r>
      </m:oMath>
      <w:r>
        <w:rPr>
          <w:rFonts w:eastAsiaTheme="minorEastAsia" w:cs="Times New Roman"/>
          <w:szCs w:val="24"/>
        </w:rPr>
        <w:t xml:space="preserve"> indexes the HGP type</w:t>
      </w:r>
      <w:r w:rsidRPr="006F24A8">
        <w:rPr>
          <w:rFonts w:cs="Times New Roman"/>
          <w:szCs w:val="24"/>
        </w:rPr>
        <w:t>.</w:t>
      </w:r>
      <w:r>
        <w:rPr>
          <w:rFonts w:cs="Times New Roman"/>
          <w:szCs w:val="24"/>
        </w:rPr>
        <w:t xml:space="preserve"> To specify </w:t>
      </w:r>
      <m:oMath>
        <m:sSub>
          <m:sSubPr>
            <m:ctrlPr>
              <w:rPr>
                <w:rFonts w:ascii="Cambria Math" w:hAnsi="Cambria Math" w:cs="Times New Roman"/>
                <w:i/>
                <w:szCs w:val="24"/>
              </w:rPr>
            </m:ctrlPr>
          </m:sSubPr>
          <m:e>
            <m:r>
              <w:rPr>
                <w:rFonts w:ascii="Cambria Math" w:hAnsi="Cambria Math" w:cs="Times New Roman"/>
                <w:szCs w:val="24"/>
              </w:rPr>
              <m:t>c</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j</m:t>
                </m:r>
              </m:sub>
            </m:sSub>
          </m:sub>
        </m:sSub>
      </m:oMath>
      <w:r>
        <w:rPr>
          <w:rFonts w:eastAsiaTheme="minorEastAsia" w:cs="Times New Roman"/>
          <w:szCs w:val="24"/>
        </w:rPr>
        <w:t xml:space="preserve"> </w:t>
      </w:r>
      <w:r>
        <w:rPr>
          <w:rFonts w:cs="Times New Roman"/>
          <w:szCs w:val="24"/>
        </w:rPr>
        <w:t xml:space="preserve">we consider the dispersal distance of an organism, </w:t>
      </w:r>
      <m:oMath>
        <m:r>
          <w:rPr>
            <w:rFonts w:ascii="Cambria Math" w:hAnsi="Cambria Math" w:cs="Times New Roman"/>
            <w:szCs w:val="24"/>
          </w:rPr>
          <m:t>X,</m:t>
        </m:r>
      </m:oMath>
      <w:r>
        <w:rPr>
          <w:rFonts w:cs="Times New Roman"/>
          <w:szCs w:val="24"/>
        </w:rPr>
        <w:t xml:space="preserve"> as a random variable with a probab</w:t>
      </w:r>
      <w:proofErr w:type="spellStart"/>
      <w:r>
        <w:rPr>
          <w:rFonts w:cs="Times New Roman"/>
          <w:szCs w:val="24"/>
        </w:rPr>
        <w:t>ility</w:t>
      </w:r>
      <w:proofErr w:type="spellEnd"/>
      <w:r>
        <w:rPr>
          <w:rFonts w:cs="Times New Roman"/>
          <w:szCs w:val="24"/>
        </w:rPr>
        <w:t xml:space="preserve"> distribution,</w:t>
      </w:r>
      <m:oMath>
        <m:r>
          <w:rPr>
            <w:rFonts w:ascii="Cambria Math" w:hAnsi="Cambria Math" w:cs="Times New Roman"/>
            <w:szCs w:val="24"/>
          </w:rPr>
          <m:t xml:space="preserve"> X~</m:t>
        </m:r>
        <m:r>
          <m:rPr>
            <m:sty m:val="p"/>
          </m:rPr>
          <w:rPr>
            <w:rFonts w:ascii="Cambria Math" w:hAnsi="Cambria Math" w:cs="Times New Roman"/>
            <w:szCs w:val="24"/>
          </w:rPr>
          <m:t>exp</m:t>
        </m:r>
        <m:r>
          <w:rPr>
            <w:rFonts w:ascii="Cambria Math" w:hAnsi="Cambria Math" w:cs="Times New Roman"/>
            <w:szCs w:val="24"/>
          </w:rPr>
          <m:t>(λ</m:t>
        </m:r>
      </m:oMath>
      <w:r>
        <w:rPr>
          <w:rFonts w:cs="Times New Roman"/>
          <w:szCs w:val="24"/>
        </w:rPr>
        <w:t xml:space="preserve">). We parameterize the probability density function using the median maximum parent-offspring dispersal distance for riverine fishes </w:t>
      </w:r>
      <w:r>
        <w:rPr>
          <w:rFonts w:cs="Times New Roman"/>
          <w:szCs w:val="24"/>
        </w:rPr>
        <w:fldChar w:fldCharType="begin" w:fldLock="1"/>
      </w:r>
      <w:r>
        <w:rPr>
          <w:rFonts w:cs="Times New Roman"/>
          <w:szCs w:val="24"/>
        </w:rPr>
        <w:instrText>ADDIN CSL_CITATION {"citationItems":[{"id":"ITEM-1","itemData":{"DOI":"10.1111/faf.12312","ISSN":"14672979","abstract":"Enhancing our understanding of fish dispersal is central to the success of modern-day conservation efforts in freshwater ecosystems. However, methods seeking to estimate dispersal are diverse; ranging from direct estimation of individual movements, computation of dispersal kernels, to indirect assessment using measures of gene flow across riverscapes. An important question is whether results from these different approaches provide a consistent picture of the spatial scales of dispersal. Here, we performed a review and meta-analysis of the literature reporting both individual movements and genetic data to characterize patterns of dispersal for riverine fishes globally. Across all the studies considered (Ndirect = 206; Nindirect = 205), our results suggest restricted magnitudes of dispersal for riverine fishes, but highlight a large heterogeneity among species, taxonomic orders and geographies. For instance, we found that the maximum parent–offspring dispersal distances varied from 69 m to 1,086 km (median = 12 km; Nspecies = 107), whereas the dispersal spread derived from isolation-by-distance slopes (σIBD) from genetic data ranged from 19 m to 250 km (median = 1 km; Nspecies = 56). Comparisons of species-specific values also revealed significant and positive relationships between direct and indirect estimates of dispersal distances, indicating that organismal movement ability often translates into effective transmission of genes. Finally, this global overview pointed to important geographic and taxonomic disparities in the study of dispersal for riverine fishes. We thus encourage researchers to broaden the taxonomic and geographical scope of future investigations and identify emerging research frontiers where new scientific efforts are needed.","author":[{"dropping-particle":"","family":"Comte","given":"Lise","non-dropping-particle":"","parse-names":false,"suffix":""},{"dropping-particle":"","family":"Olden","given":"Julian D.","non-dropping-particle":"","parse-names":false,"suffix":""}],"container-title":"Fish and Fisheries","id":"ITEM-1","issue":"6","issued":{"date-parts":[["2018"]]},"page":"1063-1077","title":"Fish dispersal in flowing waters: A synthesis of movement- and genetic-based studies","type":"article-journal","volume":"19"},"uris":["http://www.mendeley.com/documents/?uuid=042b6eb2-519c-4d2f-b9ce-33ab50f1f249"]}],"mendeley":{"formattedCitation":"(Comte and Olden 2018)","manualFormatting":"(i.e. λ = 1/12km, Comte and Olden 2018)","plainTextFormattedCitation":"(Comte and Olden 2018)","previouslyFormattedCitation":"(Comte and Olden 2018)"},"properties":{"noteIndex":0},"schema":"https://github.com/citation-style-language/schema/raw/master/csl-citation.json"}</w:instrText>
      </w:r>
      <w:r>
        <w:rPr>
          <w:rFonts w:cs="Times New Roman"/>
          <w:szCs w:val="24"/>
        </w:rPr>
        <w:fldChar w:fldCharType="separate"/>
      </w:r>
      <w:r w:rsidRPr="00652F3F">
        <w:rPr>
          <w:rFonts w:cs="Times New Roman"/>
          <w:noProof/>
          <w:szCs w:val="24"/>
        </w:rPr>
        <w:t>(</w:t>
      </w:r>
      <w:r>
        <w:rPr>
          <w:rFonts w:cs="Times New Roman"/>
          <w:noProof/>
          <w:szCs w:val="24"/>
        </w:rPr>
        <w:t>i.e.</w:t>
      </w:r>
      <m:oMath>
        <m:r>
          <m:rPr>
            <m:sty m:val="p"/>
          </m:rPr>
          <w:rPr>
            <w:rFonts w:ascii="Cambria Math" w:hAnsi="Cambria Math" w:cs="Times New Roman"/>
            <w:noProof/>
            <w:szCs w:val="24"/>
          </w:rPr>
          <m:t xml:space="preserve"> λ</m:t>
        </m:r>
      </m:oMath>
      <w:r w:rsidRPr="00652F3F">
        <w:rPr>
          <w:rFonts w:cs="Times New Roman"/>
          <w:noProof/>
          <w:szCs w:val="24"/>
        </w:rPr>
        <w:t xml:space="preserve"> </w:t>
      </w:r>
      <w:r>
        <w:rPr>
          <w:rFonts w:cs="Times New Roman"/>
          <w:noProof/>
          <w:szCs w:val="24"/>
        </w:rPr>
        <w:t xml:space="preserve">= 1/12km, </w:t>
      </w:r>
      <w:r w:rsidRPr="00652F3F">
        <w:rPr>
          <w:rFonts w:cs="Times New Roman"/>
          <w:noProof/>
          <w:szCs w:val="24"/>
        </w:rPr>
        <w:t>Comte and Olden 2018)</w:t>
      </w:r>
      <w:r>
        <w:rPr>
          <w:rFonts w:cs="Times New Roman"/>
          <w:szCs w:val="24"/>
        </w:rPr>
        <w:fldChar w:fldCharType="end"/>
      </w:r>
      <w:r>
        <w:rPr>
          <w:rFonts w:cs="Times New Roman"/>
          <w:szCs w:val="24"/>
        </w:rPr>
        <w:t xml:space="preserve">. For a parent fish living in </w:t>
      </w:r>
      <w:r>
        <w:rPr>
          <w:rFonts w:eastAsiaTheme="minorEastAsia" w:cs="Times New Roman"/>
          <w:szCs w:val="24"/>
        </w:rPr>
        <w:t xml:space="preserve">patch </w:t>
      </w:r>
      <m:oMath>
        <m:r>
          <w:rPr>
            <w:rFonts w:ascii="Cambria Math" w:hAnsi="Cambria Math" w:cs="Times New Roman"/>
            <w:szCs w:val="24"/>
          </w:rPr>
          <m:t>i</m:t>
        </m:r>
      </m:oMath>
      <w:r>
        <w:rPr>
          <w:rFonts w:eastAsiaTheme="minorEastAsia" w:cs="Times New Roman"/>
          <w:szCs w:val="24"/>
        </w:rPr>
        <w:t xml:space="preserve"> of type </w:t>
      </w:r>
      <m:oMath>
        <m:r>
          <w:rPr>
            <w:rFonts w:ascii="Cambria Math" w:hAnsi="Cambria Math" w:cs="Times New Roman"/>
            <w:szCs w:val="24"/>
          </w:rPr>
          <m:t>k</m:t>
        </m:r>
      </m:oMath>
      <w:r>
        <w:rPr>
          <w:rFonts w:eastAsiaTheme="minorEastAsia"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c</m:t>
            </m:r>
          </m:e>
          <m: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j</m:t>
                </m:r>
              </m:sub>
            </m:sSub>
          </m:sub>
        </m:sSub>
      </m:oMath>
      <w:r>
        <w:rPr>
          <w:rFonts w:eastAsiaTheme="minorEastAsia" w:cs="Times New Roman"/>
          <w:szCs w:val="24"/>
        </w:rPr>
        <w:t xml:space="preserve"> reflects the probability that the offspring of that fish can </w:t>
      </w:r>
      <w:r>
        <w:rPr>
          <w:rFonts w:cs="Times New Roman"/>
          <w:szCs w:val="24"/>
        </w:rPr>
        <w:t>disperse to patch</w:t>
      </w:r>
      <m:oMath>
        <m:r>
          <w:rPr>
            <w:rFonts w:ascii="Cambria Math" w:hAnsi="Cambria Math" w:cs="Times New Roman"/>
            <w:szCs w:val="24"/>
          </w:rPr>
          <m:t xml:space="preserve"> j</m:t>
        </m:r>
      </m:oMath>
      <w:r>
        <w:rPr>
          <w:rFonts w:eastAsiaTheme="minorEastAsia" w:cs="Times New Roman"/>
          <w:szCs w:val="24"/>
        </w:rPr>
        <w:t xml:space="preserve">. </w:t>
      </w:r>
      <w:r>
        <w:rPr>
          <w:rFonts w:cs="Times New Roman"/>
          <w:szCs w:val="24"/>
        </w:rPr>
        <w:t xml:space="preserve">We used the mean of </w:t>
      </w:r>
      <m:oMath>
        <m:sSub>
          <m:sSubPr>
            <m:ctrlPr>
              <w:rPr>
                <w:rFonts w:ascii="Cambria Math" w:hAnsi="Cambria Math" w:cs="Times New Roman"/>
                <w:i/>
                <w:szCs w:val="24"/>
              </w:rPr>
            </m:ctrlPr>
          </m:sSubPr>
          <m:e>
            <m:r>
              <w:rPr>
                <w:rFonts w:ascii="Cambria Math" w:hAnsi="Cambria Math" w:cs="Times New Roman"/>
                <w:szCs w:val="24"/>
              </w:rPr>
              <m:t>DCI</m:t>
            </m:r>
          </m:e>
          <m:sub>
            <m:r>
              <w:rPr>
                <w:rFonts w:ascii="Cambria Math" w:hAnsi="Cambria Math" w:cs="Times New Roman"/>
                <w:szCs w:val="24"/>
              </w:rPr>
              <m:t>k</m:t>
            </m:r>
          </m:sub>
        </m:sSub>
      </m:oMath>
      <w:r>
        <w:rPr>
          <w:rFonts w:eastAsiaTheme="minorEastAsia" w:cs="Times New Roman"/>
          <w:szCs w:val="24"/>
        </w:rPr>
        <w:t xml:space="preserve"> to aggregate </w:t>
      </w:r>
      <w:r w:rsidRPr="00DB19CE">
        <w:rPr>
          <w:rFonts w:eastAsiaTheme="minorEastAsia" w:cs="Times New Roman"/>
          <w:szCs w:val="24"/>
        </w:rPr>
        <w:t xml:space="preserve">the connectivity between </w:t>
      </w:r>
      <m:oMath>
        <m:r>
          <w:rPr>
            <w:rFonts w:ascii="Cambria Math" w:hAnsi="Cambria Math" w:cs="Times New Roman"/>
            <w:szCs w:val="24"/>
          </w:rPr>
          <m:t>k</m:t>
        </m:r>
      </m:oMath>
      <w:r w:rsidRPr="00DB19CE">
        <w:rPr>
          <w:rFonts w:eastAsiaTheme="minorEastAsia" w:cs="Times New Roman"/>
          <w:szCs w:val="24"/>
        </w:rPr>
        <w:t xml:space="preserve"> patch types to the landscape level</w:t>
      </w:r>
      <w:r>
        <w:rPr>
          <w:rFonts w:eastAsiaTheme="minorEastAsia" w:cs="Times New Roman"/>
          <w:szCs w:val="24"/>
        </w:rPr>
        <w:t xml:space="preserve"> (i.e. </w:t>
      </w:r>
      <m:oMath>
        <m:acc>
          <m:accPr>
            <m:chr m:val="̅"/>
            <m:ctrlPr>
              <w:rPr>
                <w:rFonts w:ascii="Cambria Math" w:eastAsiaTheme="minorEastAsia" w:hAnsi="Cambria Math" w:cs="Times New Roman"/>
                <w:i/>
                <w:szCs w:val="24"/>
              </w:rPr>
            </m:ctrlPr>
          </m:acc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DCI</m:t>
                </m:r>
              </m:e>
              <m:sub>
                <m:r>
                  <w:rPr>
                    <w:rFonts w:ascii="Cambria Math" w:eastAsiaTheme="minorEastAsia" w:hAnsi="Cambria Math" w:cs="Times New Roman"/>
                    <w:szCs w:val="24"/>
                  </w:rPr>
                  <m:t>k</m:t>
                </m:r>
              </m:sub>
            </m:sSub>
          </m:e>
        </m:acc>
        <m:r>
          <w:rPr>
            <w:rFonts w:ascii="Cambria Math" w:eastAsiaTheme="minorEastAsia" w:hAnsi="Cambria Math" w:cs="Times New Roman"/>
            <w:szCs w:val="24"/>
          </w:rPr>
          <m:t>)</m:t>
        </m:r>
      </m:oMath>
      <w:r w:rsidRPr="00DB19CE">
        <w:rPr>
          <w:rFonts w:eastAsiaTheme="minorEastAsia" w:cs="Times New Roman"/>
          <w:szCs w:val="24"/>
        </w:rPr>
        <w:t>. Landscape metrics were calculated using the</w:t>
      </w:r>
      <w:r w:rsidRPr="00DB19CE">
        <w:rPr>
          <w:rFonts w:cs="Times New Roman"/>
          <w:szCs w:val="24"/>
        </w:rPr>
        <w:t xml:space="preserve"> “landscape metrics” module (</w:t>
      </w:r>
      <w:r w:rsidRPr="00AD460C">
        <w:rPr>
          <w:rFonts w:cs="Times New Roman"/>
          <w:szCs w:val="24"/>
        </w:rPr>
        <w:t>https://github.com/dkopp3/HydrogeomorphicPatches</w:t>
      </w:r>
      <w:r>
        <w:rPr>
          <w:rFonts w:cs="Times New Roman"/>
          <w:szCs w:val="24"/>
        </w:rPr>
        <w:t xml:space="preserve">).  </w:t>
      </w:r>
    </w:p>
    <w:p w14:paraId="2E909108" w14:textId="77777777" w:rsidR="00755451" w:rsidRDefault="00755451" w:rsidP="00755451">
      <w:pPr>
        <w:spacing w:line="480" w:lineRule="auto"/>
        <w:contextualSpacing/>
        <w:rPr>
          <w:rFonts w:cs="Times New Roman"/>
          <w:i/>
          <w:szCs w:val="24"/>
        </w:rPr>
      </w:pPr>
    </w:p>
    <w:p w14:paraId="7B18A583" w14:textId="77777777" w:rsidR="00755451" w:rsidRDefault="00755451" w:rsidP="00755451">
      <w:pPr>
        <w:spacing w:line="480" w:lineRule="auto"/>
        <w:contextualSpacing/>
        <w:rPr>
          <w:rFonts w:cs="Times New Roman"/>
          <w:i/>
          <w:szCs w:val="24"/>
        </w:rPr>
      </w:pPr>
      <w:r>
        <w:rPr>
          <w:rFonts w:cs="Times New Roman"/>
          <w:i/>
          <w:szCs w:val="24"/>
        </w:rPr>
        <w:t>Statistical Analysis</w:t>
      </w:r>
    </w:p>
    <w:p w14:paraId="7B9288F9" w14:textId="77777777" w:rsidR="00755451" w:rsidRDefault="00755451" w:rsidP="00755451">
      <w:pPr>
        <w:spacing w:line="480" w:lineRule="auto"/>
        <w:ind w:firstLine="720"/>
        <w:contextualSpacing/>
        <w:rPr>
          <w:rFonts w:cs="Times New Roman"/>
          <w:szCs w:val="24"/>
        </w:rPr>
      </w:pPr>
      <w:r>
        <w:rPr>
          <w:rFonts w:cs="Times New Roman"/>
          <w:szCs w:val="24"/>
        </w:rPr>
        <w:t>Within each river network w</w:t>
      </w:r>
      <w:r w:rsidRPr="006F24A8">
        <w:rPr>
          <w:rFonts w:cs="Times New Roman"/>
          <w:szCs w:val="24"/>
        </w:rPr>
        <w:t xml:space="preserve">e </w:t>
      </w:r>
      <w:r>
        <w:rPr>
          <w:rFonts w:cs="Times New Roman"/>
          <w:szCs w:val="24"/>
        </w:rPr>
        <w:t xml:space="preserve">evaluated how HGP spatial patterns change with spatial extent, spatial grain, and thematic resolution. In rivers, spatial extent is represented by watershed area, or the surface area contributing runoff to a river channel during precipitation events. We changed spatial extent by </w:t>
      </w:r>
      <w:r w:rsidRPr="006F24A8">
        <w:rPr>
          <w:rFonts w:cs="Times New Roman"/>
          <w:szCs w:val="24"/>
        </w:rPr>
        <w:t>randomly identif</w:t>
      </w:r>
      <w:r>
        <w:rPr>
          <w:rFonts w:cs="Times New Roman"/>
          <w:szCs w:val="24"/>
        </w:rPr>
        <w:t>ying</w:t>
      </w:r>
      <w:r w:rsidRPr="006F24A8">
        <w:rPr>
          <w:rFonts w:cs="Times New Roman"/>
          <w:szCs w:val="24"/>
        </w:rPr>
        <w:t xml:space="preserve"> sub-networks at 10</w:t>
      </w:r>
      <w:r>
        <w:rPr>
          <w:rFonts w:cs="Times New Roman"/>
          <w:szCs w:val="24"/>
        </w:rPr>
        <w:t xml:space="preserve"> </w:t>
      </w:r>
      <w:r w:rsidRPr="006F24A8">
        <w:rPr>
          <w:rFonts w:cs="Times New Roman"/>
          <w:szCs w:val="24"/>
        </w:rPr>
        <w:t>km</w:t>
      </w:r>
      <w:r w:rsidRPr="006F24A8">
        <w:rPr>
          <w:rFonts w:cs="Times New Roman"/>
          <w:szCs w:val="24"/>
          <w:vertAlign w:val="superscript"/>
        </w:rPr>
        <w:t>2</w:t>
      </w:r>
      <w:r w:rsidRPr="006F24A8">
        <w:rPr>
          <w:rFonts w:cs="Times New Roman"/>
          <w:szCs w:val="24"/>
        </w:rPr>
        <w:t xml:space="preserve"> increments of </w:t>
      </w:r>
      <w:r>
        <w:rPr>
          <w:rFonts w:cs="Times New Roman"/>
          <w:szCs w:val="24"/>
        </w:rPr>
        <w:t>increasing catchment</w:t>
      </w:r>
      <w:r w:rsidRPr="006F24A8">
        <w:rPr>
          <w:rFonts w:cs="Times New Roman"/>
          <w:szCs w:val="24"/>
        </w:rPr>
        <w:t xml:space="preserve"> area</w:t>
      </w:r>
      <w:r>
        <w:rPr>
          <w:rFonts w:cs="Times New Roman"/>
          <w:szCs w:val="24"/>
        </w:rPr>
        <w:t xml:space="preserve"> (Figure 2). We assessed between 25 and 234 values of spatial extent depending </w:t>
      </w:r>
      <w:r>
        <w:rPr>
          <w:rFonts w:cs="Times New Roman"/>
          <w:szCs w:val="24"/>
        </w:rPr>
        <w:lastRenderedPageBreak/>
        <w:t xml:space="preserve">on the size of the network. We manipulated the spatial grain of a stream network by increasing the minimum channel length represented in the network (Figure 2). Each interval coarsened or “pruned” the river network, to provide a range of 24 to 94 values of spatial grain in our analysis. Finally, we manipulated the thematic resolution by decreasing the level of dissimilarity among HGP types beginning at the level specified during the silhouette analysis (i.e. 4-8 HGP types) up to 30 HGP types for each network (Figure 2).  </w:t>
      </w:r>
    </w:p>
    <w:p w14:paraId="3F9DB85C" w14:textId="77777777" w:rsidR="00755451" w:rsidRDefault="00755451" w:rsidP="00755451">
      <w:pPr>
        <w:spacing w:line="480" w:lineRule="auto"/>
        <w:ind w:firstLine="720"/>
        <w:contextualSpacing/>
        <w:rPr>
          <w:rFonts w:cs="Times New Roman"/>
          <w:szCs w:val="24"/>
        </w:rPr>
      </w:pPr>
      <w:r>
        <w:rPr>
          <w:rFonts w:cs="Times New Roman"/>
          <w:szCs w:val="24"/>
        </w:rPr>
        <w:t xml:space="preserve">We visually inspected the </w:t>
      </w:r>
      <w:proofErr w:type="spellStart"/>
      <w:r>
        <w:rPr>
          <w:rFonts w:cs="Times New Roman"/>
          <w:szCs w:val="24"/>
        </w:rPr>
        <w:t>scaleograms</w:t>
      </w:r>
      <w:proofErr w:type="spellEnd"/>
      <w:r>
        <w:rPr>
          <w:rFonts w:cs="Times New Roman"/>
          <w:szCs w:val="24"/>
        </w:rPr>
        <w:t xml:space="preserve"> for each river network prior to fitting </w:t>
      </w:r>
      <w:r w:rsidRPr="006F24A8">
        <w:rPr>
          <w:rFonts w:cs="Times New Roman"/>
          <w:szCs w:val="24"/>
        </w:rPr>
        <w:t>linear, power</w:t>
      </w:r>
      <w:r>
        <w:rPr>
          <w:rFonts w:cs="Times New Roman"/>
          <w:szCs w:val="24"/>
        </w:rPr>
        <w:t>,</w:t>
      </w:r>
      <w:r w:rsidRPr="006F24A8">
        <w:rPr>
          <w:rFonts w:cs="Times New Roman"/>
          <w:szCs w:val="24"/>
        </w:rPr>
        <w:t xml:space="preserve"> </w:t>
      </w:r>
      <w:r>
        <w:rPr>
          <w:rFonts w:cs="Times New Roman"/>
          <w:szCs w:val="24"/>
        </w:rPr>
        <w:t xml:space="preserve">and </w:t>
      </w:r>
      <w:r w:rsidRPr="006F24A8">
        <w:rPr>
          <w:rFonts w:cs="Times New Roman"/>
          <w:szCs w:val="24"/>
        </w:rPr>
        <w:t>logarithmic function</w:t>
      </w:r>
      <w:r>
        <w:rPr>
          <w:rFonts w:cs="Times New Roman"/>
          <w:szCs w:val="24"/>
        </w:rPr>
        <w:t>s. This allowed us to classify each relationship as “predictable”, if the functions could provide a reasonable approximation for the data, or “unpredictable” if the relationship was better characterized by staircase-like patterns or behaved erratically (</w:t>
      </w:r>
      <w:r>
        <w:rPr>
          <w:rFonts w:cs="Times New Roman"/>
          <w:szCs w:val="24"/>
        </w:rPr>
        <w:fldChar w:fldCharType="begin" w:fldLock="1"/>
      </w:r>
      <w:r>
        <w:rPr>
          <w:rFonts w:cs="Times New Roman"/>
          <w:szCs w:val="24"/>
        </w:rPr>
        <w:instrText>ADDIN CSL_CITATION {"citationItems":[{"id":"ITEM-1","itemData":{"DOI":"10.1023/A","ISSN":"00138703","abstract":"While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Ecology","id":"ITEM-1","issue":"3","issued":{"date-parts":[["2002"]]},"page":"761-782","title":"Empirical patterns of the effects of changing scale on landscape metrics","type":"article-journal","volume":"17"},"uris":["http://www.mendeley.com/documents/?uuid=0a890e40-e3a8-4e9e-b52a-8e00af91cd6c"]}],"mendeley":{"formattedCitation":"(Wu et al. 2002)","manualFormatting":"Wu et al. 2002)","plainTextFormattedCitation":"(Wu et al. 2002)","previouslyFormattedCitation":"(Wu et al. 2002)"},"properties":{"noteIndex":0},"schema":"https://github.com/citation-style-language/schema/raw/master/csl-citation.json"}</w:instrText>
      </w:r>
      <w:r>
        <w:rPr>
          <w:rFonts w:cs="Times New Roman"/>
          <w:szCs w:val="24"/>
        </w:rPr>
        <w:fldChar w:fldCharType="separate"/>
      </w:r>
      <w:r w:rsidRPr="004A4173">
        <w:rPr>
          <w:rFonts w:cs="Times New Roman"/>
          <w:noProof/>
          <w:szCs w:val="24"/>
        </w:rPr>
        <w:t>Wu et al. 2002)</w:t>
      </w:r>
      <w:r>
        <w:rPr>
          <w:rFonts w:cs="Times New Roman"/>
          <w:szCs w:val="24"/>
        </w:rPr>
        <w:fldChar w:fldCharType="end"/>
      </w:r>
      <w:r>
        <w:rPr>
          <w:rFonts w:cs="Times New Roman"/>
          <w:szCs w:val="24"/>
        </w:rPr>
        <w:t xml:space="preserve">. For predictable relationships, we fit each function to the data and used the coefficient of determination (i.e. </w:t>
      </w:r>
      <w:r w:rsidRPr="006F24A8">
        <w:rPr>
          <w:rFonts w:cs="Times New Roman"/>
          <w:szCs w:val="24"/>
        </w:rPr>
        <w:t>R</w:t>
      </w:r>
      <w:r w:rsidRPr="006F24A8">
        <w:rPr>
          <w:rFonts w:cs="Times New Roman"/>
          <w:szCs w:val="24"/>
          <w:vertAlign w:val="superscript"/>
        </w:rPr>
        <w:t>2</w:t>
      </w:r>
      <w:r>
        <w:rPr>
          <w:rFonts w:cs="Times New Roman"/>
          <w:szCs w:val="24"/>
        </w:rPr>
        <w:t>) to identify the strongest relationship (</w:t>
      </w:r>
      <w:r w:rsidRPr="006F24A8">
        <w:rPr>
          <w:rFonts w:cs="Times New Roman"/>
          <w:szCs w:val="24"/>
        </w:rPr>
        <w:fldChar w:fldCharType="begin" w:fldLock="1"/>
      </w:r>
      <w:r>
        <w:rPr>
          <w:rFonts w:cs="Times New Roman"/>
          <w:szCs w:val="24"/>
        </w:rPr>
        <w:instrText>ADDIN CSL_CITATION {"citationItems":[{"id":"ITEM-1","itemData":{"DOI":"10.1007/s10980-015-0289-y","ISBN":"0921-2973","ISSN":"15729761","abstract":"Context Spatial scaling of ecological processes is facilitated by quantifying underlying habitat attributes. Physical and ecological patterns are often measured at disparate spatial scales limiting our ability to quantify ecological processes at broader spatial scales using physical attributes. Objective We characterized variation of physical stream attributes during periods of high biological activity (i.e., baseflow) to match physical and ecological measurements and to identify the spatial scales exhibiting and predicting heterogeneity. Methods We measured canopy cover, wetted width, water depth, and sediment size along transects of 1st–5th order reaches in five stream networks located in biomes from tropical forest to arctic tundra. We used hierarchical analysis of variance with three nested scales (watersheds, stream orders, reaches) to identify scales exhibiting significant heterogeneity in attributes and regression analyses to characterize gradients within and across stream networks. Results Heterogeneity was evident at one or multiple spatial scales: canopy cover and water depth varied significantly at all three spatial scales while wetted width varied at two scales (stream order and reach) and sediment size remained largely unexplained. Similarly, prediction by drainage area depended on the attribute considered: depending on the watershed, increases in wetted width and water depth with drainage area were best fit with a linear, logarithmic, or power function. Variation in sediment size was independent of drainage area. Conclusions The scaling of ecologically relevant baseflow physical characteristics will require study beyond the traditional bankfull geomorphology since predictions of baseflow physical attributes by drainage area were not always best explained by geomorphic power laws.","author":[{"dropping-particle":"","family":"Rüegg","given":"Janine","non-dropping-particle":"","parse-names":false,"suffix":""},{"dropping-particle":"","family":"Dodds","given":"Walter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Ecology","id":"ITEM-1","issue":"1","issued":{"date-parts":[["2016"]]},"page":"119-136","title":"Baseflow physical characteristics differ at multiple spatial scales in stream networks across diverse biomes","type":"article-journal","volume":"31"},"uris":["http://www.mendeley.com/documents/?uuid=061b283b-0a0a-413b-a363-259cb2b3597f"]}],"mendeley":{"formattedCitation":"(Rüegg et al. 2016)","manualFormatting":"Rüegg et al. 2016)","plainTextFormattedCitation":"(Rüegg et al. 2016)","previouslyFormattedCitation":"(Rüegg et al. 2016)"},"properties":{"noteIndex":0},"schema":"https://github.com/citation-style-language/schema/raw/master/csl-citation.json"}</w:instrText>
      </w:r>
      <w:r w:rsidRPr="006F24A8">
        <w:rPr>
          <w:rFonts w:cs="Times New Roman"/>
          <w:szCs w:val="24"/>
        </w:rPr>
        <w:fldChar w:fldCharType="separate"/>
      </w:r>
      <w:r w:rsidRPr="006F24A8">
        <w:rPr>
          <w:rFonts w:cs="Times New Roman"/>
          <w:noProof/>
          <w:szCs w:val="24"/>
        </w:rPr>
        <w:t>Rüegg et al. 2016)</w:t>
      </w:r>
      <w:r w:rsidRPr="006F24A8">
        <w:rPr>
          <w:rFonts w:cs="Times New Roman"/>
          <w:szCs w:val="24"/>
        </w:rPr>
        <w:fldChar w:fldCharType="end"/>
      </w:r>
      <w:r>
        <w:rPr>
          <w:rFonts w:cs="Times New Roman"/>
          <w:szCs w:val="24"/>
        </w:rPr>
        <w:t xml:space="preserve">. </w:t>
      </w:r>
    </w:p>
    <w:p w14:paraId="20B67DA9" w14:textId="77777777" w:rsidR="00755451" w:rsidRPr="006F24A8" w:rsidRDefault="00755451" w:rsidP="00755451">
      <w:pPr>
        <w:spacing w:line="480" w:lineRule="auto"/>
        <w:ind w:firstLine="720"/>
        <w:contextualSpacing/>
        <w:rPr>
          <w:rFonts w:cs="Times New Roman"/>
          <w:szCs w:val="24"/>
        </w:rPr>
      </w:pPr>
      <w:r>
        <w:rPr>
          <w:rFonts w:cs="Times New Roman"/>
          <w:szCs w:val="24"/>
        </w:rPr>
        <w:t xml:space="preserve">We used a regression analysis to test whether river network length, total catchment area or drainage density explained variation in spatial pattern among river networks in different </w:t>
      </w:r>
      <w:proofErr w:type="spellStart"/>
      <w:r>
        <w:rPr>
          <w:rFonts w:cs="Times New Roman"/>
          <w:szCs w:val="24"/>
        </w:rPr>
        <w:t>ecoclimatic</w:t>
      </w:r>
      <w:proofErr w:type="spellEnd"/>
      <w:r>
        <w:rPr>
          <w:rFonts w:cs="Times New Roman"/>
          <w:szCs w:val="24"/>
        </w:rPr>
        <w:t xml:space="preserve"> regions. Network length is the </w:t>
      </w:r>
      <w:r w:rsidRPr="0048206F">
        <w:rPr>
          <w:rFonts w:cs="Times New Roman"/>
          <w:szCs w:val="24"/>
        </w:rPr>
        <w:t xml:space="preserve">total length of streams in </w:t>
      </w:r>
      <w:r>
        <w:rPr>
          <w:rFonts w:cs="Times New Roman"/>
          <w:szCs w:val="24"/>
        </w:rPr>
        <w:t>a</w:t>
      </w:r>
      <w:r w:rsidRPr="0048206F">
        <w:rPr>
          <w:rFonts w:cs="Times New Roman"/>
          <w:szCs w:val="24"/>
        </w:rPr>
        <w:t xml:space="preserve"> network</w:t>
      </w:r>
      <w:r>
        <w:rPr>
          <w:rFonts w:cs="Times New Roman"/>
          <w:szCs w:val="24"/>
        </w:rPr>
        <w:t xml:space="preserve">; catchment area is the surface area that contributes overland runoff to a river network; and </w:t>
      </w:r>
      <w:r w:rsidRPr="0048206F">
        <w:rPr>
          <w:rFonts w:cs="Times New Roman"/>
          <w:szCs w:val="24"/>
        </w:rPr>
        <w:t xml:space="preserve">drainage density </w:t>
      </w:r>
      <w:r>
        <w:rPr>
          <w:rFonts w:cs="Times New Roman"/>
          <w:szCs w:val="24"/>
        </w:rPr>
        <w:t>is the network length divided by the catchment area.</w:t>
      </w:r>
      <w:r w:rsidRPr="0048206F">
        <w:rPr>
          <w:rFonts w:cs="Times New Roman"/>
          <w:szCs w:val="24"/>
        </w:rPr>
        <w:t xml:space="preserve"> </w:t>
      </w:r>
      <w:r>
        <w:rPr>
          <w:rFonts w:cs="Times New Roman"/>
          <w:szCs w:val="24"/>
        </w:rPr>
        <w:t xml:space="preserve">We fit linear, power, and logarithmic models to each pairwise combination of spatial pattern and river network characteristic. </w:t>
      </w:r>
    </w:p>
    <w:p w14:paraId="13FF86E0" w14:textId="77777777" w:rsidR="00755451" w:rsidRDefault="00755451" w:rsidP="00755451">
      <w:pPr>
        <w:spacing w:line="480" w:lineRule="auto"/>
        <w:ind w:firstLine="720"/>
        <w:contextualSpacing/>
        <w:rPr>
          <w:rFonts w:cs="Times New Roman"/>
          <w:szCs w:val="24"/>
        </w:rPr>
      </w:pPr>
      <w:r>
        <w:rPr>
          <w:rFonts w:cs="Times New Roman"/>
          <w:szCs w:val="24"/>
        </w:rPr>
        <w:t xml:space="preserve">To investigate which variables were most important in differentiating HGP types within river networks we used an Analysis of Similarity (ANOSIM) followed by Similarity Percentage Analysis (SIMPER) </w:t>
      </w:r>
      <w:r>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Applications","type":"article-journal","volume":"54"},"uris":["http://www.mendeley.com/documents/?uuid=f71918bb-cdf0-435d-99e7-f9c3eaae3114"]},{"id":"ITEM-2","itemData":{"abstract":"Depends permute (&gt;= 0.9-0), lattice, R (&gt;= 3.2.0) Suggests parallel, tcltk, knitr Imports MASS, cluster, mgcv VignetteBuilder utils, knitr Description Ordination methods, diversity analysis and other functions for community and vegetation ecologists. License GPL-2","author":[{"dropping-particle":"","family":"Oksanen","given":"Jari","non-dropping-particle":"","parse-names":false,"suffix":""},{"dropping-particle":"","family":"Blanchet","given":"F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Henry","given":"M","non-dropping-particle":"","parse-names":false,"suffix":""},{"dropping-particle":"","family":"Stevens","given":"H","non-dropping-particle":"","parse-names":false,"suffix":""},{"dropping-particle":"","family":"Szoecs","given":"Eduard","non-dropping-particle":"","parse-names":false,"suffix":""},{"dropping-particle":"","family":"Maintainer","given":"Helene Wagner","non-dropping-particle":"","parse-names":false,"suffix":""}],"container-title":"R package","id":"ITEM-2","issued":{"date-parts":[["2019"]]},"title":"Package 'vegan' Community Ecology Package","type":"article-journal"},"uris":["http://www.mendeley.com/documents/?uuid=f11bf787-03f6-4ad7-99af-eedf5d203add"]},{"id":"ITEM-3","itemData":{"ISBN":"9781901502992","ISSN":"01447815","abstract":"Stream ordering approaches to the study of entire stream networks are relatively simple and provide only crude estimations of the physical makeup of river ecosystems. These fail to acknowledge the importance of the hierarchical organisation of rivers and consequently use very crude variables when characterising stream networks. We provide an alternative typology for characterising the physical structure of rivers, which focuses on a specific level within the geomorphic river hierarchy, and employs a set of regional, catchment and valley criteria for developing a quantitative river characterisation scheme. Fifteen geomorphic variables were extracted from digital data using automated geographic information system modules and evaluated using a series of multivariate analyses. This allowed distinct river types within a stream network to emerge. Our approach was demonstrated in the Ovens River, Australia. The physical structure of the Ovens River stream network was further analysed using a series of community metrics: richness, composition and diversity of river types. Copyright © IAHS Press.","author":[{"dropping-particle":"","family":"Harris","given":"Celeste","non-dropping-particle":"","parse-names":false,"suffix":""},{"dropping-particle":"","family":"Thoms","given":"Martin","non-dropping-particle":"","parse-names":false,"suffix":""},{"dropping-particle":"","family":"Scown","given":"Murray","non-dropping-particle":"","parse-names":false,"suffix":""}],"container-title":"Ecohydrology of Surface and Groundwater Dependent Systems: Concepts, Methods and Recent Developments","id":"ITEM-3","issued":{"date-parts":[["2009"]]},"page":"127-136","title":"The ecohydrology of stream networks","type":"article-journal","volume":"328"},"uris":["http://www.mendeley.com/documents/?uuid=420a5366-0894-40bd-9e58-be1acf65abe0"]}],"mendeley":{"formattedCitation":"(Harris et al. 2009; Thoms et al. 2018; Oksanen et al. 2019)","plainTextFormattedCitation":"(Harris et al. 2009; Thoms et al. 2018; Oksanen et al. 2019)","previouslyFormattedCitation":"(Harris et al. 2009, Thoms et al. 2018, Oksanen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(Harris et al. 2009; Thoms et al. 2018; Oksanen et al. 2019)</w:t>
      </w:r>
      <w:r>
        <w:rPr>
          <w:rFonts w:cs="Times New Roman"/>
          <w:szCs w:val="24"/>
        </w:rPr>
        <w:fldChar w:fldCharType="end"/>
      </w:r>
      <w:r>
        <w:rPr>
          <w:rFonts w:cs="Times New Roman"/>
          <w:szCs w:val="24"/>
        </w:rPr>
        <w:t xml:space="preserve">. ANOSIM confirmed a statistical difference among HGP types within each river network and SIMPER identified the single variable that was most dissimilar for each pairwise combination. We used </w:t>
      </w:r>
      <w:r>
        <w:rPr>
          <w:rFonts w:cs="Times New Roman"/>
          <w:szCs w:val="24"/>
        </w:rPr>
        <w:lastRenderedPageBreak/>
        <w:t xml:space="preserve">the aggregated list of variables for each river network to describe the suite of climatic, hydrologic, and geomorphic variables that contribute most to the differentiation of HGP types for each river network. </w:t>
      </w:r>
    </w:p>
    <w:p w14:paraId="68F3BBEC" w14:textId="77777777" w:rsidR="00333AA3" w:rsidRDefault="00333AA3" w:rsidP="00665B56">
      <w:pPr>
        <w:pStyle w:val="Heading2"/>
        <w:spacing w:line="480" w:lineRule="auto"/>
        <w:contextualSpacing/>
      </w:pPr>
      <w:r w:rsidRPr="006F24A8">
        <w:t>Results</w:t>
      </w:r>
      <w:bookmarkEnd w:id="95"/>
    </w:p>
    <w:p w14:paraId="0A220424" w14:textId="77777777" w:rsidR="00755451" w:rsidRDefault="00333AA3" w:rsidP="00755451">
      <w:pPr>
        <w:spacing w:line="480" w:lineRule="auto"/>
        <w:contextualSpacing/>
        <w:rPr>
          <w:rFonts w:cs="Times New Roman"/>
          <w:szCs w:val="24"/>
        </w:rPr>
      </w:pPr>
      <w:r>
        <w:rPr>
          <w:rFonts w:cs="Times New Roman"/>
          <w:szCs w:val="24"/>
        </w:rPr>
        <w:tab/>
      </w:r>
      <w:r w:rsidR="00755451">
        <w:rPr>
          <w:rFonts w:cs="Times New Roman"/>
          <w:szCs w:val="24"/>
        </w:rPr>
        <w:t>Effects of scale on spatial pattern of HGP depended on the component of scale and the landscape metric</w:t>
      </w:r>
      <w:r w:rsidR="00755451" w:rsidRPr="006F24A8">
        <w:rPr>
          <w:rFonts w:cs="Times New Roman"/>
          <w:szCs w:val="24"/>
        </w:rPr>
        <w:t xml:space="preserve">. </w:t>
      </w:r>
      <w:r w:rsidR="00755451">
        <w:rPr>
          <w:rFonts w:cs="Times New Roman"/>
          <w:szCs w:val="24"/>
        </w:rPr>
        <w:t>For composition metrics, we found a logarithmic function consistently explained the relationship between Shannon diversity index (SHDI) and spatial extent in five river networks (</w:t>
      </w:r>
      <w:r w:rsidR="00755451" w:rsidRPr="00C849BB">
        <w:rPr>
          <w:rFonts w:cs="Times New Roman"/>
          <w:szCs w:val="24"/>
        </w:rPr>
        <w:t>Table 3</w:t>
      </w:r>
      <w:r w:rsidR="00755451">
        <w:rPr>
          <w:rFonts w:cs="Times New Roman"/>
          <w:szCs w:val="24"/>
        </w:rPr>
        <w:t>, R</w:t>
      </w:r>
      <w:r w:rsidR="00755451" w:rsidRPr="00BC6D56">
        <w:rPr>
          <w:rFonts w:cs="Times New Roman"/>
          <w:szCs w:val="24"/>
          <w:vertAlign w:val="superscript"/>
        </w:rPr>
        <w:t>2</w:t>
      </w:r>
      <w:r w:rsidR="00755451">
        <w:rPr>
          <w:rFonts w:cs="Times New Roman"/>
          <w:szCs w:val="24"/>
          <w:vertAlign w:val="superscript"/>
        </w:rPr>
        <w:t xml:space="preserve"> </w:t>
      </w:r>
      <w:r w:rsidR="00755451">
        <w:rPr>
          <w:rFonts w:cs="Times New Roman"/>
          <w:szCs w:val="24"/>
        </w:rPr>
        <w:t xml:space="preserve">range: 0.61 - 0.77). The relationship between SHDI and spatial grain on the other hand, often followed a staircase-like pattern and was not reasonably represented by simple functions we considered in our </w:t>
      </w:r>
      <w:r w:rsidR="00755451" w:rsidRPr="008607E5">
        <w:rPr>
          <w:rFonts w:cs="Times New Roman"/>
          <w:szCs w:val="24"/>
        </w:rPr>
        <w:t>analysis</w:t>
      </w:r>
      <w:r w:rsidR="00755451">
        <w:rPr>
          <w:rFonts w:cs="Times New Roman"/>
          <w:szCs w:val="24"/>
        </w:rPr>
        <w:t xml:space="preserve"> </w:t>
      </w:r>
      <w:r w:rsidR="00755451" w:rsidRPr="00354C3C">
        <w:rPr>
          <w:rFonts w:cs="Times New Roman"/>
          <w:szCs w:val="24"/>
        </w:rPr>
        <w:t xml:space="preserve">(Table </w:t>
      </w:r>
      <w:r w:rsidR="00755451">
        <w:rPr>
          <w:rFonts w:cs="Times New Roman"/>
          <w:szCs w:val="24"/>
        </w:rPr>
        <w:t>3</w:t>
      </w:r>
      <w:r w:rsidR="00755451" w:rsidRPr="00354C3C">
        <w:rPr>
          <w:rFonts w:cs="Times New Roman"/>
          <w:szCs w:val="24"/>
        </w:rPr>
        <w:t xml:space="preserve">, Figure </w:t>
      </w:r>
      <w:r w:rsidR="00755451">
        <w:rPr>
          <w:rFonts w:cs="Times New Roman"/>
          <w:szCs w:val="24"/>
        </w:rPr>
        <w:t>S2</w:t>
      </w:r>
      <w:r w:rsidR="00755451" w:rsidRPr="008607E5">
        <w:rPr>
          <w:rFonts w:cs="Times New Roman"/>
          <w:szCs w:val="24"/>
        </w:rPr>
        <w:t xml:space="preserve">). </w:t>
      </w:r>
      <w:r w:rsidR="00755451">
        <w:rPr>
          <w:rFonts w:cs="Times New Roman"/>
          <w:szCs w:val="24"/>
        </w:rPr>
        <w:t>Total patches (</w:t>
      </w:r>
      <w:r w:rsidR="00755451" w:rsidRPr="008607E5">
        <w:rPr>
          <w:rFonts w:cs="Times New Roman"/>
          <w:szCs w:val="24"/>
        </w:rPr>
        <w:t>TP</w:t>
      </w:r>
      <w:r w:rsidR="00755451">
        <w:rPr>
          <w:rFonts w:cs="Times New Roman"/>
          <w:szCs w:val="24"/>
        </w:rPr>
        <w:t>)</w:t>
      </w:r>
      <w:r w:rsidR="00755451" w:rsidRPr="008607E5">
        <w:rPr>
          <w:rFonts w:cs="Times New Roman"/>
          <w:szCs w:val="24"/>
        </w:rPr>
        <w:t xml:space="preserve"> had a consistently strong linear relationship with spatial extent in 12 stream networks (R</w:t>
      </w:r>
      <w:r w:rsidR="00755451" w:rsidRPr="008607E5">
        <w:rPr>
          <w:rFonts w:cs="Times New Roman"/>
          <w:szCs w:val="24"/>
          <w:vertAlign w:val="superscript"/>
        </w:rPr>
        <w:t>2</w:t>
      </w:r>
      <w:r w:rsidR="00755451">
        <w:rPr>
          <w:rFonts w:cs="Times New Roman"/>
          <w:szCs w:val="24"/>
        </w:rPr>
        <w:t xml:space="preserve"> &gt; 0.93) and followed a power relationship with spatial grain in three networks </w:t>
      </w:r>
      <w:r w:rsidR="00755451" w:rsidRPr="008607E5">
        <w:rPr>
          <w:rFonts w:cs="Times New Roman"/>
          <w:szCs w:val="24"/>
        </w:rPr>
        <w:t>(R</w:t>
      </w:r>
      <w:r w:rsidR="00755451" w:rsidRPr="008607E5">
        <w:rPr>
          <w:rFonts w:cs="Times New Roman"/>
          <w:szCs w:val="24"/>
          <w:vertAlign w:val="superscript"/>
        </w:rPr>
        <w:t>2</w:t>
      </w:r>
      <w:r w:rsidR="00755451">
        <w:rPr>
          <w:rFonts w:cs="Times New Roman"/>
          <w:szCs w:val="24"/>
        </w:rPr>
        <w:t xml:space="preserve"> &gt; 0.93, </w:t>
      </w:r>
      <w:r w:rsidR="00755451" w:rsidRPr="00354C3C">
        <w:rPr>
          <w:rFonts w:cs="Times New Roman"/>
          <w:szCs w:val="24"/>
        </w:rPr>
        <w:t xml:space="preserve">Figure </w:t>
      </w:r>
      <w:r w:rsidR="00755451">
        <w:rPr>
          <w:rFonts w:cs="Times New Roman"/>
          <w:szCs w:val="24"/>
        </w:rPr>
        <w:t>S2</w:t>
      </w:r>
      <w:r w:rsidR="00755451" w:rsidRPr="00354C3C">
        <w:rPr>
          <w:rFonts w:cs="Times New Roman"/>
          <w:szCs w:val="24"/>
        </w:rPr>
        <w:t>).</w:t>
      </w:r>
      <w:r w:rsidR="00755451" w:rsidRPr="008607E5">
        <w:rPr>
          <w:rFonts w:cs="Times New Roman"/>
          <w:szCs w:val="24"/>
        </w:rPr>
        <w:t xml:space="preserve"> </w:t>
      </w:r>
      <w:r w:rsidR="00755451">
        <w:rPr>
          <w:rFonts w:cs="Times New Roman"/>
          <w:szCs w:val="24"/>
        </w:rPr>
        <w:t>Finally, thematic resolution was almost perfectly related to both SHDI</w:t>
      </w:r>
      <w:r w:rsidR="00755451" w:rsidRPr="008607E5">
        <w:rPr>
          <w:rFonts w:cs="Times New Roman"/>
          <w:szCs w:val="24"/>
        </w:rPr>
        <w:t xml:space="preserve"> (R</w:t>
      </w:r>
      <w:r w:rsidR="00755451" w:rsidRPr="008607E5">
        <w:rPr>
          <w:rFonts w:cs="Times New Roman"/>
          <w:szCs w:val="24"/>
          <w:vertAlign w:val="superscript"/>
        </w:rPr>
        <w:t>2</w:t>
      </w:r>
      <w:r w:rsidR="00755451" w:rsidRPr="008607E5">
        <w:rPr>
          <w:rFonts w:cs="Times New Roman"/>
          <w:szCs w:val="24"/>
        </w:rPr>
        <w:t xml:space="preserve"> &gt; 0.98)</w:t>
      </w:r>
      <w:r w:rsidR="00755451">
        <w:rPr>
          <w:rFonts w:cs="Times New Roman"/>
          <w:szCs w:val="24"/>
        </w:rPr>
        <w:t xml:space="preserve"> and TP (R</w:t>
      </w:r>
      <w:r w:rsidR="00755451" w:rsidRPr="00BC6D56">
        <w:rPr>
          <w:rFonts w:cs="Times New Roman"/>
          <w:szCs w:val="24"/>
          <w:vertAlign w:val="superscript"/>
        </w:rPr>
        <w:t>2</w:t>
      </w:r>
      <w:r w:rsidR="00755451">
        <w:rPr>
          <w:rFonts w:cs="Times New Roman"/>
          <w:szCs w:val="24"/>
        </w:rPr>
        <w:t xml:space="preserve"> &gt; 0.96) by either, l</w:t>
      </w:r>
      <w:r w:rsidR="00755451" w:rsidRPr="008607E5">
        <w:rPr>
          <w:rFonts w:cs="Times New Roman"/>
          <w:szCs w:val="24"/>
        </w:rPr>
        <w:t xml:space="preserve">ogarithmic or power </w:t>
      </w:r>
      <w:r w:rsidR="00755451" w:rsidRPr="008D4D77">
        <w:rPr>
          <w:rFonts w:cs="Times New Roman"/>
          <w:szCs w:val="24"/>
        </w:rPr>
        <w:t xml:space="preserve">functions </w:t>
      </w:r>
      <w:r w:rsidR="00755451" w:rsidRPr="00354C3C">
        <w:rPr>
          <w:rFonts w:cs="Times New Roman"/>
          <w:szCs w:val="24"/>
        </w:rPr>
        <w:t xml:space="preserve">(Table </w:t>
      </w:r>
      <w:r w:rsidR="00755451">
        <w:rPr>
          <w:rFonts w:cs="Times New Roman"/>
          <w:szCs w:val="24"/>
        </w:rPr>
        <w:t>3</w:t>
      </w:r>
      <w:r w:rsidR="00755451" w:rsidRPr="00354C3C">
        <w:rPr>
          <w:rFonts w:cs="Times New Roman"/>
          <w:szCs w:val="24"/>
        </w:rPr>
        <w:t>).</w:t>
      </w:r>
    </w:p>
    <w:p w14:paraId="56059B77" w14:textId="77777777" w:rsidR="00755451" w:rsidRPr="00C9132E" w:rsidRDefault="00755451" w:rsidP="00755451">
      <w:pPr>
        <w:spacing w:line="480" w:lineRule="auto"/>
        <w:contextualSpacing/>
        <w:rPr>
          <w:rFonts w:cs="Times New Roman"/>
          <w:szCs w:val="24"/>
        </w:rPr>
      </w:pPr>
      <w:r>
        <w:rPr>
          <w:rFonts w:cs="Times New Roman"/>
          <w:szCs w:val="24"/>
        </w:rPr>
        <w:tab/>
        <w:t>In general, scaling relationships for the configuration metrics were different from composition metrics (Table 3). For example, scaling the modified dendritic connectivity index (</w:t>
      </w:r>
      <m:oMath>
        <m:acc>
          <m:accPr>
            <m:chr m:val="̅"/>
            <m:ctrlPr>
              <w:rPr>
                <w:rFonts w:ascii="Cambria Math" w:eastAsiaTheme="minorEastAsia" w:hAnsi="Cambria Math" w:cs="Times New Roman"/>
                <w:i/>
                <w:szCs w:val="24"/>
              </w:rPr>
            </m:ctrlPr>
          </m:acc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DCI</m:t>
                </m:r>
              </m:e>
              <m:sub>
                <m:r>
                  <w:rPr>
                    <w:rFonts w:ascii="Cambria Math" w:eastAsiaTheme="minorEastAsia" w:hAnsi="Cambria Math" w:cs="Times New Roman"/>
                    <w:szCs w:val="24"/>
                  </w:rPr>
                  <m:t>k</m:t>
                </m:r>
              </m:sub>
            </m:sSub>
          </m:e>
        </m:acc>
        <m:r>
          <w:rPr>
            <w:rFonts w:ascii="Cambria Math" w:eastAsiaTheme="minorEastAsia" w:hAnsi="Cambria Math" w:cs="Times New Roman"/>
            <w:szCs w:val="24"/>
          </w:rPr>
          <m:t>)</m:t>
        </m:r>
      </m:oMath>
      <w:r>
        <w:rPr>
          <w:rFonts w:cs="Times New Roman"/>
          <w:szCs w:val="24"/>
        </w:rPr>
        <w:t xml:space="preserve"> with spatial extent followed linear, power, or logarithmic functions in 12 networks (R</w:t>
      </w:r>
      <w:r w:rsidRPr="00BC6D56">
        <w:rPr>
          <w:rFonts w:cs="Times New Roman"/>
          <w:szCs w:val="24"/>
          <w:vertAlign w:val="superscript"/>
        </w:rPr>
        <w:t>2</w:t>
      </w:r>
      <w:r>
        <w:rPr>
          <w:rFonts w:cs="Times New Roman"/>
          <w:szCs w:val="24"/>
        </w:rPr>
        <w:t xml:space="preserve"> range: 0.66 - 0.94, Table 3) and scaling with thematic resolution followed linear or power functions in 8 networks (R</w:t>
      </w:r>
      <w:r w:rsidRPr="00BC6D56">
        <w:rPr>
          <w:rFonts w:cs="Times New Roman"/>
          <w:szCs w:val="24"/>
          <w:vertAlign w:val="superscript"/>
        </w:rPr>
        <w:t>2</w:t>
      </w:r>
      <w:r>
        <w:rPr>
          <w:rFonts w:cs="Times New Roman"/>
          <w:szCs w:val="24"/>
          <w:vertAlign w:val="superscript"/>
        </w:rPr>
        <w:t xml:space="preserve"> </w:t>
      </w:r>
      <w:r>
        <w:rPr>
          <w:rFonts w:cs="Times New Roman"/>
          <w:szCs w:val="24"/>
        </w:rPr>
        <w:t xml:space="preserve">range: 0.69 - 0.92). When mean patch distance (MPD) was predictable, it also scaled with extent and thematic resolution following linear, power, or logarithmic functions. The effect of changing grain on </w:t>
      </w:r>
      <m:oMath>
        <m:acc>
          <m:accPr>
            <m:chr m:val="̅"/>
            <m:ctrlPr>
              <w:rPr>
                <w:rFonts w:ascii="Cambria Math" w:eastAsiaTheme="minorEastAsia" w:hAnsi="Cambria Math" w:cs="Times New Roman"/>
                <w:i/>
                <w:szCs w:val="24"/>
              </w:rPr>
            </m:ctrlPr>
          </m:acc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DCI</m:t>
                </m:r>
              </m:e>
              <m:sub>
                <m:r>
                  <w:rPr>
                    <w:rFonts w:ascii="Cambria Math" w:eastAsiaTheme="minorEastAsia" w:hAnsi="Cambria Math" w:cs="Times New Roman"/>
                    <w:szCs w:val="24"/>
                  </w:rPr>
                  <m:t>k</m:t>
                </m:r>
              </m:sub>
            </m:sSub>
          </m:e>
        </m:acc>
      </m:oMath>
      <w:r>
        <w:rPr>
          <w:rFonts w:cs="Times New Roman"/>
          <w:szCs w:val="24"/>
        </w:rPr>
        <w:t xml:space="preserve"> </w:t>
      </w:r>
      <w:r w:rsidRPr="008607E5">
        <w:rPr>
          <w:rFonts w:cs="Times New Roman"/>
          <w:szCs w:val="24"/>
        </w:rPr>
        <w:t>w</w:t>
      </w:r>
      <w:r>
        <w:rPr>
          <w:rFonts w:cs="Times New Roman"/>
          <w:szCs w:val="24"/>
        </w:rPr>
        <w:t>ere</w:t>
      </w:r>
      <w:r w:rsidRPr="008607E5">
        <w:rPr>
          <w:rFonts w:cs="Times New Roman"/>
          <w:szCs w:val="24"/>
        </w:rPr>
        <w:t xml:space="preserve"> predictable in 6 networks </w:t>
      </w:r>
      <w:r>
        <w:rPr>
          <w:rFonts w:cs="Times New Roman"/>
          <w:szCs w:val="24"/>
        </w:rPr>
        <w:t xml:space="preserve">using </w:t>
      </w:r>
      <w:r w:rsidRPr="008607E5">
        <w:rPr>
          <w:rFonts w:cs="Times New Roman"/>
          <w:szCs w:val="24"/>
        </w:rPr>
        <w:t>linear function</w:t>
      </w:r>
      <w:r>
        <w:rPr>
          <w:rFonts w:cs="Times New Roman"/>
          <w:szCs w:val="24"/>
        </w:rPr>
        <w:t>s</w:t>
      </w:r>
      <w:r w:rsidRPr="008607E5">
        <w:rPr>
          <w:rFonts w:cs="Times New Roman"/>
          <w:szCs w:val="24"/>
        </w:rPr>
        <w:t xml:space="preserve"> (R</w:t>
      </w:r>
      <w:r w:rsidRPr="008607E5">
        <w:rPr>
          <w:rFonts w:cs="Times New Roman"/>
          <w:szCs w:val="24"/>
          <w:vertAlign w:val="superscript"/>
        </w:rPr>
        <w:t>2</w:t>
      </w:r>
      <w:r>
        <w:rPr>
          <w:rFonts w:cs="Times New Roman"/>
          <w:szCs w:val="24"/>
          <w:vertAlign w:val="superscript"/>
        </w:rPr>
        <w:t xml:space="preserve"> </w:t>
      </w:r>
      <w:r>
        <w:rPr>
          <w:rFonts w:cs="Times New Roman"/>
          <w:szCs w:val="24"/>
        </w:rPr>
        <w:t xml:space="preserve">range: </w:t>
      </w:r>
      <w:r w:rsidRPr="008607E5">
        <w:rPr>
          <w:rFonts w:cs="Times New Roman"/>
          <w:szCs w:val="24"/>
        </w:rPr>
        <w:t>0.80</w:t>
      </w:r>
      <w:r>
        <w:rPr>
          <w:rFonts w:cs="Times New Roman"/>
          <w:szCs w:val="24"/>
        </w:rPr>
        <w:t xml:space="preserve"> -</w:t>
      </w:r>
      <w:r w:rsidRPr="008607E5">
        <w:rPr>
          <w:rFonts w:cs="Times New Roman"/>
          <w:szCs w:val="24"/>
        </w:rPr>
        <w:t xml:space="preserve"> 0.97)</w:t>
      </w:r>
      <w:r>
        <w:rPr>
          <w:rFonts w:cs="Times New Roman"/>
          <w:szCs w:val="24"/>
        </w:rPr>
        <w:t xml:space="preserve"> but</w:t>
      </w:r>
      <w:r w:rsidRPr="008607E5">
        <w:rPr>
          <w:rFonts w:cs="Times New Roman"/>
          <w:szCs w:val="24"/>
        </w:rPr>
        <w:t xml:space="preserve"> was unpredictable for MPD </w:t>
      </w:r>
      <w:r>
        <w:rPr>
          <w:rFonts w:cs="Times New Roman"/>
          <w:szCs w:val="24"/>
        </w:rPr>
        <w:t xml:space="preserve">where the relationships were characterized as either </w:t>
      </w:r>
      <w:r w:rsidRPr="008607E5">
        <w:rPr>
          <w:rFonts w:cs="Times New Roman"/>
          <w:szCs w:val="24"/>
        </w:rPr>
        <w:t xml:space="preserve">chaotic or staircase-like (Figure </w:t>
      </w:r>
      <w:r>
        <w:rPr>
          <w:rFonts w:cs="Times New Roman"/>
          <w:szCs w:val="24"/>
        </w:rPr>
        <w:t>S2</w:t>
      </w:r>
      <w:r w:rsidRPr="008607E5">
        <w:rPr>
          <w:rFonts w:cs="Times New Roman"/>
          <w:szCs w:val="24"/>
        </w:rPr>
        <w:t>).</w:t>
      </w:r>
    </w:p>
    <w:p w14:paraId="3029FB86" w14:textId="77777777" w:rsidR="00755451" w:rsidRDefault="00755451" w:rsidP="00755451">
      <w:pPr>
        <w:spacing w:line="480" w:lineRule="auto"/>
        <w:ind w:firstLine="720"/>
        <w:contextualSpacing/>
        <w:rPr>
          <w:rFonts w:cs="Times New Roman"/>
          <w:szCs w:val="24"/>
        </w:rPr>
      </w:pPr>
      <w:r>
        <w:rPr>
          <w:rFonts w:cs="Times New Roman"/>
          <w:szCs w:val="24"/>
        </w:rPr>
        <w:lastRenderedPageBreak/>
        <w:t xml:space="preserve">We identified between 4 and 8 HGP types in each river network (ANOSIM global R range: 0.4, 0.95, p &lt; 0.001 for all networks; Table 4) and found the variation in spatial pattern among them was </w:t>
      </w:r>
      <w:r w:rsidRPr="002371F3">
        <w:rPr>
          <w:rFonts w:cs="Times New Roman"/>
          <w:szCs w:val="24"/>
        </w:rPr>
        <w:t xml:space="preserve">related </w:t>
      </w:r>
      <w:r>
        <w:rPr>
          <w:rFonts w:cs="Times New Roman"/>
          <w:szCs w:val="24"/>
        </w:rPr>
        <w:t>to network length, catchment area and drainage density (Figure 3</w:t>
      </w:r>
      <w:r w:rsidRPr="002371F3">
        <w:rPr>
          <w:rFonts w:cs="Times New Roman"/>
          <w:szCs w:val="24"/>
        </w:rPr>
        <w:t xml:space="preserve">). </w:t>
      </w:r>
      <w:r>
        <w:rPr>
          <w:rFonts w:cs="Times New Roman"/>
          <w:szCs w:val="24"/>
        </w:rPr>
        <w:t xml:space="preserve">Catchment area and </w:t>
      </w:r>
      <w:r w:rsidRPr="002371F3">
        <w:rPr>
          <w:rFonts w:cs="Times New Roman"/>
          <w:szCs w:val="24"/>
        </w:rPr>
        <w:t>total length of the stream network w</w:t>
      </w:r>
      <w:r>
        <w:rPr>
          <w:rFonts w:cs="Times New Roman"/>
          <w:szCs w:val="24"/>
        </w:rPr>
        <w:t>ere</w:t>
      </w:r>
      <w:r w:rsidRPr="002371F3">
        <w:rPr>
          <w:rFonts w:cs="Times New Roman"/>
          <w:szCs w:val="24"/>
        </w:rPr>
        <w:t xml:space="preserve"> positively associated </w:t>
      </w:r>
      <w:r>
        <w:rPr>
          <w:rFonts w:cs="Times New Roman"/>
          <w:szCs w:val="24"/>
        </w:rPr>
        <w:t>with TP</w:t>
      </w:r>
      <w:r w:rsidRPr="002371F3">
        <w:rPr>
          <w:rFonts w:cs="Times New Roman"/>
          <w:szCs w:val="24"/>
        </w:rPr>
        <w:t xml:space="preserve"> (R</w:t>
      </w:r>
      <w:r w:rsidRPr="002371F3">
        <w:rPr>
          <w:rFonts w:cs="Times New Roman"/>
          <w:szCs w:val="24"/>
          <w:vertAlign w:val="superscript"/>
        </w:rPr>
        <w:t>2</w:t>
      </w:r>
      <w:r w:rsidRPr="002371F3">
        <w:rPr>
          <w:rFonts w:cs="Times New Roman"/>
          <w:szCs w:val="24"/>
        </w:rPr>
        <w:t xml:space="preserve"> =</w:t>
      </w:r>
      <w:r>
        <w:rPr>
          <w:rFonts w:cs="Times New Roman"/>
          <w:szCs w:val="24"/>
        </w:rPr>
        <w:t xml:space="preserve"> </w:t>
      </w:r>
      <w:r w:rsidRPr="002371F3">
        <w:rPr>
          <w:rFonts w:cs="Times New Roman"/>
          <w:szCs w:val="24"/>
        </w:rPr>
        <w:t>0.</w:t>
      </w:r>
      <w:r>
        <w:rPr>
          <w:rFonts w:cs="Times New Roman"/>
          <w:szCs w:val="24"/>
        </w:rPr>
        <w:t>2</w:t>
      </w:r>
      <w:r w:rsidRPr="002371F3">
        <w:rPr>
          <w:rFonts w:cs="Times New Roman"/>
          <w:szCs w:val="24"/>
        </w:rPr>
        <w:t>9</w:t>
      </w:r>
      <w:r>
        <w:rPr>
          <w:rFonts w:cs="Times New Roman"/>
          <w:szCs w:val="24"/>
        </w:rPr>
        <w:t>,</w:t>
      </w:r>
      <w:r w:rsidRPr="002371F3">
        <w:rPr>
          <w:rFonts w:cs="Times New Roman"/>
          <w:szCs w:val="24"/>
        </w:rPr>
        <w:t xml:space="preserve"> P</w:t>
      </w:r>
      <w:r>
        <w:rPr>
          <w:rFonts w:cs="Times New Roman"/>
          <w:szCs w:val="24"/>
        </w:rPr>
        <w:t xml:space="preserve"> </w:t>
      </w:r>
      <w:r w:rsidRPr="002371F3">
        <w:rPr>
          <w:rFonts w:cs="Times New Roman"/>
          <w:szCs w:val="24"/>
        </w:rPr>
        <w:t>&lt;</w:t>
      </w:r>
      <w:r>
        <w:rPr>
          <w:rFonts w:cs="Times New Roman"/>
          <w:szCs w:val="24"/>
        </w:rPr>
        <w:t xml:space="preserve"> </w:t>
      </w:r>
      <w:r w:rsidRPr="002371F3">
        <w:rPr>
          <w:rFonts w:cs="Times New Roman"/>
          <w:szCs w:val="24"/>
        </w:rPr>
        <w:t>0.001</w:t>
      </w:r>
      <w:r>
        <w:rPr>
          <w:rFonts w:cs="Times New Roman"/>
          <w:szCs w:val="24"/>
        </w:rPr>
        <w:t xml:space="preserve">; </w:t>
      </w:r>
      <w:r w:rsidRPr="002371F3">
        <w:rPr>
          <w:rFonts w:cs="Times New Roman"/>
          <w:szCs w:val="24"/>
        </w:rPr>
        <w:t>R</w:t>
      </w:r>
      <w:r w:rsidRPr="002371F3">
        <w:rPr>
          <w:rFonts w:cs="Times New Roman"/>
          <w:szCs w:val="24"/>
          <w:vertAlign w:val="superscript"/>
        </w:rPr>
        <w:t>2</w:t>
      </w:r>
      <w:r>
        <w:rPr>
          <w:rFonts w:cs="Times New Roman"/>
          <w:szCs w:val="24"/>
        </w:rPr>
        <w:t xml:space="preserve"> = 0.59,</w:t>
      </w:r>
      <w:r w:rsidRPr="002371F3">
        <w:rPr>
          <w:rFonts w:cs="Times New Roman"/>
          <w:szCs w:val="24"/>
        </w:rPr>
        <w:t xml:space="preserve"> P&lt;0.001</w:t>
      </w:r>
      <w:r>
        <w:rPr>
          <w:rFonts w:cs="Times New Roman"/>
          <w:szCs w:val="24"/>
        </w:rPr>
        <w:t>, respectively</w:t>
      </w:r>
      <w:r w:rsidRPr="002371F3">
        <w:rPr>
          <w:rFonts w:cs="Times New Roman"/>
          <w:szCs w:val="24"/>
        </w:rPr>
        <w:t xml:space="preserve">), and </w:t>
      </w:r>
      <w:r>
        <w:rPr>
          <w:rFonts w:cs="Times New Roman"/>
          <w:szCs w:val="24"/>
        </w:rPr>
        <w:t>MPD</w:t>
      </w:r>
      <w:r w:rsidRPr="002371F3">
        <w:rPr>
          <w:rFonts w:cs="Times New Roman"/>
          <w:szCs w:val="24"/>
        </w:rPr>
        <w:t xml:space="preserve"> (R</w:t>
      </w:r>
      <w:r w:rsidRPr="002371F3">
        <w:rPr>
          <w:rFonts w:cs="Times New Roman"/>
          <w:szCs w:val="24"/>
          <w:vertAlign w:val="superscript"/>
        </w:rPr>
        <w:t>2</w:t>
      </w:r>
      <w:r w:rsidRPr="002371F3">
        <w:rPr>
          <w:rFonts w:cs="Times New Roman"/>
          <w:szCs w:val="24"/>
        </w:rPr>
        <w:t xml:space="preserve"> =</w:t>
      </w:r>
      <w:r>
        <w:rPr>
          <w:rFonts w:cs="Times New Roman"/>
          <w:szCs w:val="24"/>
        </w:rPr>
        <w:t xml:space="preserve"> </w:t>
      </w:r>
      <w:r w:rsidRPr="002371F3">
        <w:rPr>
          <w:rFonts w:cs="Times New Roman"/>
          <w:szCs w:val="24"/>
        </w:rPr>
        <w:t>0.</w:t>
      </w:r>
      <w:r>
        <w:rPr>
          <w:rFonts w:cs="Times New Roman"/>
          <w:szCs w:val="24"/>
        </w:rPr>
        <w:t>80,</w:t>
      </w:r>
      <w:r w:rsidRPr="002371F3">
        <w:rPr>
          <w:rFonts w:cs="Times New Roman"/>
          <w:szCs w:val="24"/>
        </w:rPr>
        <w:t xml:space="preserve"> P</w:t>
      </w:r>
      <w:r>
        <w:rPr>
          <w:rFonts w:cs="Times New Roman"/>
          <w:szCs w:val="24"/>
        </w:rPr>
        <w:t xml:space="preserve"> </w:t>
      </w:r>
      <w:r w:rsidRPr="002371F3">
        <w:rPr>
          <w:rFonts w:cs="Times New Roman"/>
          <w:szCs w:val="24"/>
        </w:rPr>
        <w:t>&lt;</w:t>
      </w:r>
      <w:r>
        <w:rPr>
          <w:rFonts w:cs="Times New Roman"/>
          <w:szCs w:val="24"/>
        </w:rPr>
        <w:t xml:space="preserve"> </w:t>
      </w:r>
      <w:r w:rsidRPr="002371F3">
        <w:rPr>
          <w:rFonts w:cs="Times New Roman"/>
          <w:szCs w:val="24"/>
        </w:rPr>
        <w:t>0.001</w:t>
      </w:r>
      <w:r>
        <w:rPr>
          <w:rFonts w:cs="Times New Roman"/>
          <w:szCs w:val="24"/>
        </w:rPr>
        <w:t xml:space="preserve">; </w:t>
      </w:r>
      <w:r w:rsidRPr="002371F3">
        <w:rPr>
          <w:rFonts w:cs="Times New Roman"/>
          <w:szCs w:val="24"/>
        </w:rPr>
        <w:t>R</w:t>
      </w:r>
      <w:r w:rsidRPr="002371F3">
        <w:rPr>
          <w:rFonts w:cs="Times New Roman"/>
          <w:szCs w:val="24"/>
          <w:vertAlign w:val="superscript"/>
        </w:rPr>
        <w:t>2</w:t>
      </w:r>
      <w:r>
        <w:rPr>
          <w:rFonts w:cs="Times New Roman"/>
          <w:szCs w:val="24"/>
        </w:rPr>
        <w:t xml:space="preserve"> = 0.90,</w:t>
      </w:r>
      <w:r w:rsidRPr="002371F3">
        <w:rPr>
          <w:rFonts w:cs="Times New Roman"/>
          <w:szCs w:val="24"/>
        </w:rPr>
        <w:t xml:space="preserve"> P</w:t>
      </w:r>
      <w:r>
        <w:rPr>
          <w:rFonts w:cs="Times New Roman"/>
          <w:szCs w:val="24"/>
        </w:rPr>
        <w:t xml:space="preserve"> </w:t>
      </w:r>
      <w:r w:rsidRPr="002371F3">
        <w:rPr>
          <w:rFonts w:cs="Times New Roman"/>
          <w:szCs w:val="24"/>
        </w:rPr>
        <w:t>&lt;</w:t>
      </w:r>
      <w:r>
        <w:rPr>
          <w:rFonts w:cs="Times New Roman"/>
          <w:szCs w:val="24"/>
        </w:rPr>
        <w:t xml:space="preserve"> </w:t>
      </w:r>
      <w:r w:rsidRPr="002371F3">
        <w:rPr>
          <w:rFonts w:cs="Times New Roman"/>
          <w:szCs w:val="24"/>
        </w:rPr>
        <w:t>0.001</w:t>
      </w:r>
      <w:r>
        <w:rPr>
          <w:rFonts w:cs="Times New Roman"/>
          <w:szCs w:val="24"/>
        </w:rPr>
        <w:t>, respectively</w:t>
      </w:r>
      <w:r w:rsidRPr="002371F3">
        <w:rPr>
          <w:rFonts w:cs="Times New Roman"/>
          <w:szCs w:val="24"/>
        </w:rPr>
        <w:t>)</w:t>
      </w:r>
      <w:r>
        <w:rPr>
          <w:rFonts w:cs="Times New Roman"/>
          <w:szCs w:val="24"/>
        </w:rPr>
        <w:t xml:space="preserve">. In addition, total network length was </w:t>
      </w:r>
      <w:r w:rsidRPr="002371F3">
        <w:rPr>
          <w:rFonts w:cs="Times New Roman"/>
          <w:szCs w:val="24"/>
        </w:rPr>
        <w:t xml:space="preserve">negatively associated with </w:t>
      </w:r>
      <w:r>
        <w:rPr>
          <w:rFonts w:cs="Times New Roman"/>
          <w:szCs w:val="24"/>
        </w:rPr>
        <w:t xml:space="preserve"> </w:t>
      </w:r>
      <m:oMath>
        <m:acc>
          <m:accPr>
            <m:chr m:val="̅"/>
            <m:ctrlPr>
              <w:rPr>
                <w:rFonts w:ascii="Cambria Math" w:eastAsiaTheme="minorEastAsia" w:hAnsi="Cambria Math" w:cs="Times New Roman"/>
                <w:i/>
                <w:szCs w:val="24"/>
              </w:rPr>
            </m:ctrlPr>
          </m:acc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DCI</m:t>
                </m:r>
              </m:e>
              <m:sub>
                <m:r>
                  <w:rPr>
                    <w:rFonts w:ascii="Cambria Math" w:eastAsiaTheme="minorEastAsia" w:hAnsi="Cambria Math" w:cs="Times New Roman"/>
                    <w:szCs w:val="24"/>
                  </w:rPr>
                  <m:t>k</m:t>
                </m:r>
              </m:sub>
            </m:sSub>
          </m:e>
        </m:acc>
      </m:oMath>
      <w:r>
        <w:rPr>
          <w:rFonts w:cs="Times New Roman"/>
          <w:szCs w:val="24"/>
        </w:rPr>
        <w:t xml:space="preserve"> </w:t>
      </w:r>
      <w:r w:rsidRPr="002371F3">
        <w:rPr>
          <w:rFonts w:cs="Times New Roman"/>
          <w:szCs w:val="24"/>
        </w:rPr>
        <w:t>(R</w:t>
      </w:r>
      <w:r w:rsidRPr="002371F3">
        <w:rPr>
          <w:rFonts w:cs="Times New Roman"/>
          <w:szCs w:val="24"/>
          <w:vertAlign w:val="superscript"/>
        </w:rPr>
        <w:t>2</w:t>
      </w:r>
      <w:r w:rsidRPr="002371F3">
        <w:rPr>
          <w:rFonts w:cs="Times New Roman"/>
          <w:szCs w:val="24"/>
        </w:rPr>
        <w:t xml:space="preserve"> =</w:t>
      </w:r>
      <w:r>
        <w:rPr>
          <w:rFonts w:cs="Times New Roman"/>
          <w:szCs w:val="24"/>
        </w:rPr>
        <w:t xml:space="preserve"> </w:t>
      </w:r>
      <w:r w:rsidRPr="002371F3">
        <w:rPr>
          <w:rFonts w:cs="Times New Roman"/>
          <w:szCs w:val="24"/>
        </w:rPr>
        <w:t>0.32</w:t>
      </w:r>
      <w:r>
        <w:rPr>
          <w:rFonts w:cs="Times New Roman"/>
          <w:szCs w:val="24"/>
        </w:rPr>
        <w:t>,</w:t>
      </w:r>
      <w:r w:rsidRPr="002371F3">
        <w:rPr>
          <w:rFonts w:cs="Times New Roman"/>
          <w:szCs w:val="24"/>
        </w:rPr>
        <w:t xml:space="preserve"> P</w:t>
      </w:r>
      <w:r>
        <w:rPr>
          <w:rFonts w:cs="Times New Roman"/>
          <w:szCs w:val="24"/>
        </w:rPr>
        <w:t xml:space="preserve"> </w:t>
      </w:r>
      <w:r w:rsidRPr="002371F3">
        <w:rPr>
          <w:rFonts w:cs="Times New Roman"/>
          <w:szCs w:val="24"/>
        </w:rPr>
        <w:t>&lt;</w:t>
      </w:r>
      <w:r>
        <w:rPr>
          <w:rFonts w:cs="Times New Roman"/>
          <w:szCs w:val="24"/>
        </w:rPr>
        <w:t xml:space="preserve"> </w:t>
      </w:r>
      <w:r w:rsidRPr="002371F3">
        <w:rPr>
          <w:rFonts w:cs="Times New Roman"/>
          <w:szCs w:val="24"/>
        </w:rPr>
        <w:t xml:space="preserve">0.05). </w:t>
      </w:r>
      <w:r>
        <w:rPr>
          <w:rFonts w:cs="Times New Roman"/>
          <w:szCs w:val="24"/>
        </w:rPr>
        <w:t>Lastly, drainage density was negatively associated with SHDI</w:t>
      </w:r>
      <w:r w:rsidRPr="002371F3">
        <w:rPr>
          <w:rFonts w:cs="Times New Roman"/>
          <w:szCs w:val="24"/>
        </w:rPr>
        <w:t xml:space="preserve"> (R</w:t>
      </w:r>
      <w:r w:rsidRPr="002371F3">
        <w:rPr>
          <w:rFonts w:cs="Times New Roman"/>
          <w:szCs w:val="24"/>
          <w:vertAlign w:val="superscript"/>
        </w:rPr>
        <w:t>2</w:t>
      </w:r>
      <w:r>
        <w:rPr>
          <w:rFonts w:cs="Times New Roman"/>
          <w:szCs w:val="24"/>
        </w:rPr>
        <w:t xml:space="preserve"> = 0.24, P &lt; 0.05) and MPD (</w:t>
      </w:r>
      <w:r w:rsidRPr="002371F3">
        <w:rPr>
          <w:rFonts w:cs="Times New Roman"/>
          <w:szCs w:val="24"/>
        </w:rPr>
        <w:t>R</w:t>
      </w:r>
      <w:r w:rsidRPr="002371F3">
        <w:rPr>
          <w:rFonts w:cs="Times New Roman"/>
          <w:szCs w:val="24"/>
          <w:vertAlign w:val="superscript"/>
        </w:rPr>
        <w:t>2</w:t>
      </w:r>
      <w:r>
        <w:rPr>
          <w:rFonts w:cs="Times New Roman"/>
          <w:szCs w:val="24"/>
        </w:rPr>
        <w:t xml:space="preserve"> = 0.26, P &lt; 0.05). </w:t>
      </w:r>
    </w:p>
    <w:p w14:paraId="55A30E9B" w14:textId="77777777" w:rsidR="00755451" w:rsidRDefault="00755451" w:rsidP="00755451">
      <w:pPr>
        <w:spacing w:line="480" w:lineRule="auto"/>
        <w:ind w:firstLine="720"/>
        <w:contextualSpacing/>
        <w:rPr>
          <w:rFonts w:cs="Times New Roman"/>
          <w:szCs w:val="24"/>
        </w:rPr>
      </w:pPr>
      <w:r>
        <w:rPr>
          <w:rFonts w:cs="Times New Roman"/>
          <w:szCs w:val="24"/>
        </w:rPr>
        <w:t xml:space="preserve">For each network, we characterized the suite of variables that contributed to the differentiation of HGPs (Table 4). In general, HGPs in different river networks were characterized by different suites of </w:t>
      </w:r>
      <w:proofErr w:type="spellStart"/>
      <w:r>
        <w:rPr>
          <w:rFonts w:cs="Times New Roman"/>
          <w:szCs w:val="24"/>
        </w:rPr>
        <w:t>hydrogeomorphic</w:t>
      </w:r>
      <w:proofErr w:type="spellEnd"/>
      <w:r>
        <w:rPr>
          <w:rFonts w:cs="Times New Roman"/>
          <w:szCs w:val="24"/>
        </w:rPr>
        <w:t xml:space="preserve"> and climate variables. However, many networks shared at least a single variable. For example, soil </w:t>
      </w:r>
      <w:proofErr w:type="spellStart"/>
      <w:r>
        <w:rPr>
          <w:rFonts w:cs="Times New Roman"/>
          <w:szCs w:val="24"/>
        </w:rPr>
        <w:t>erodibility</w:t>
      </w:r>
      <w:proofErr w:type="spellEnd"/>
      <w:r>
        <w:rPr>
          <w:rFonts w:cs="Times New Roman"/>
          <w:szCs w:val="24"/>
        </w:rPr>
        <w:t xml:space="preserve"> was an important factor driving dissimilarity between HGP types in 13 networks and valley-floor ratio was important for 9 networks. River networks that shared similar </w:t>
      </w:r>
      <w:proofErr w:type="spellStart"/>
      <w:r>
        <w:rPr>
          <w:rFonts w:cs="Times New Roman"/>
          <w:szCs w:val="24"/>
        </w:rPr>
        <w:t>hydrogeomorphic</w:t>
      </w:r>
      <w:proofErr w:type="spellEnd"/>
      <w:r>
        <w:rPr>
          <w:rFonts w:cs="Times New Roman"/>
          <w:szCs w:val="24"/>
        </w:rPr>
        <w:t xml:space="preserve"> variables were typically located in different </w:t>
      </w:r>
      <w:proofErr w:type="spellStart"/>
      <w:r>
        <w:rPr>
          <w:rFonts w:cs="Times New Roman"/>
          <w:szCs w:val="24"/>
        </w:rPr>
        <w:t>ecoclimate</w:t>
      </w:r>
      <w:proofErr w:type="spellEnd"/>
      <w:r>
        <w:rPr>
          <w:rFonts w:cs="Times New Roman"/>
          <w:szCs w:val="24"/>
        </w:rPr>
        <w:t xml:space="preserve"> regions (Table 4). </w:t>
      </w:r>
    </w:p>
    <w:p w14:paraId="34AFDA45" w14:textId="6B7442B9" w:rsidR="00333AA3" w:rsidRPr="00C9132E" w:rsidRDefault="00333AA3" w:rsidP="00755451">
      <w:pPr>
        <w:spacing w:line="480" w:lineRule="auto"/>
        <w:contextualSpacing/>
        <w:rPr>
          <w:rFonts w:cs="Times New Roman"/>
          <w:szCs w:val="24"/>
        </w:rPr>
      </w:pPr>
    </w:p>
    <w:p w14:paraId="595558B7" w14:textId="77777777" w:rsidR="00333AA3" w:rsidRDefault="00333AA3" w:rsidP="00665B56">
      <w:pPr>
        <w:pStyle w:val="Heading2"/>
        <w:spacing w:line="480" w:lineRule="auto"/>
        <w:contextualSpacing/>
      </w:pPr>
      <w:bookmarkStart w:id="96" w:name="_Toc60841239"/>
      <w:r>
        <w:t>Discussion</w:t>
      </w:r>
      <w:bookmarkEnd w:id="96"/>
      <w:r>
        <w:t xml:space="preserve"> </w:t>
      </w:r>
    </w:p>
    <w:p w14:paraId="7CB56420" w14:textId="77777777" w:rsidR="00755451" w:rsidRDefault="00755451" w:rsidP="00755451">
      <w:pPr>
        <w:spacing w:line="480" w:lineRule="auto"/>
        <w:ind w:firstLine="720"/>
        <w:contextualSpacing/>
        <w:rPr>
          <w:rFonts w:cs="Times New Roman"/>
          <w:szCs w:val="24"/>
        </w:rPr>
      </w:pPr>
      <w:bookmarkStart w:id="97" w:name="_Toc60841240"/>
      <w:r>
        <w:rPr>
          <w:rFonts w:cs="Times New Roman"/>
          <w:szCs w:val="24"/>
        </w:rPr>
        <w:t xml:space="preserve">Understanding scale dependencies in spatial patterns can elucidate the operational scale of an ecological process </w:t>
      </w:r>
      <w:r>
        <w:rPr>
          <w:rFonts w:cs="Times New Roman"/>
          <w:szCs w:val="24"/>
        </w:rPr>
        <w:fldChar w:fldCharType="begin" w:fldLock="1"/>
      </w:r>
      <w:r>
        <w:rPr>
          <w:rFonts w:cs="Times New Roman"/>
          <w:szCs w:val="24"/>
        </w:rPr>
        <w:instrText>ADDIN CSL_CITATION {"citationItems":[{"id":"ITEM-1","itemData":{"DOI":"10.1023/A","ISSN":"00138703","abstract":"While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Ecology","id":"ITEM-1","issue":"3","issued":{"date-parts":[["2002"]]},"page":"761-782","title":"Empirical patterns of the effects of changing scale on landscape metrics","type":"article-journal","volume":"17"},"uris":["http://www.mendeley.com/documents/?uuid=0a890e40-e3a8-4e9e-b52a-8e00af91cd6c"]},{"id":"ITEM-2","itemData":{"DOI":"10.1111/geb.12233","ISSN":"14668238","abstract":"Aim: The spatial extent (scale) at which landscape attributes are measured has a strong impact on inferred species-landscape relationships. Consequently, researchers commonly measure landscape variables at multiple scales to select one scale (the 'scale of effect') that yields the strongest species-landscape relationship. Scales of effect observed in multiscale studies may not be true scales of effect if scales are arbitrarily selected and/or are too narrow in range. Miscalculation of the scale of effect may explain why the theoretical relationship between scale of effect and species traits, e.g. dispersal distance, is not empirically well supported. Location: World-wide. Methods: Using data from 583 species in 71 studies we conducted a quantitative review of multiscale studies to evaluate whether research has been conducted at the true scale of effect. Results: Multiple lines of evidence indicated that multiscale studies are often conducted at suboptimal scales. We did not find convincing evidence of a relationship between observed scale of effect and any of 29 species traits. Instead, observed scales of effect were strongly positively predicted by the smallest and largest scales evaluated by researchers. Only 29% of studies reported biological reasons for the scales evaluated. Scales tended to be narrow in range (the mean range is 0.9 orders of magnitude) and few (the mean number of scales evaluated is four). Many species (44%) had observed scales of effect equal to the smallest or largest scale evaluated, suggesting a better scale was outside that range. Increasing the range of scales evaluated decreased the proportion of species with scales of effect equal to the smallest or largest scale evaluated. Main conclusions: To ensure that species-landscape relationships are well estimated, we recommend that the scales at which landscape variables are measured range widely, from the size of a single territory to well above the average dispersal distance.","author":[{"dropping-particle":"","family":"Jackson","given":"Heather Bird","non-dropping-particle":"","parse-names":false,"suffix":""},{"dropping-particle":"","family":"Fahrig","given":"Lenore","non-dropping-particle":"","parse-names":false,"suffix":""}],"container-title":"Global Ecology and Biogeography","id":"ITEM-2","issue":"1","issued":{"date-parts":[["2015"]]},"page":"52-63","title":"Are ecologists conducting research at the optimal scale?","type":"article-journal","volume":"24"},"uris":["http://www.mendeley.com/documents/?uuid=675e98e4-6707-4208-84cd-7eff5d6e934c"]}],"mendeley":{"formattedCitation":"(Wu et al. 2002; Jackson and Fahrig 2015)","plainTextFormattedCitation":"(Wu et al. 2002; Jackson and Fahrig 2015)","previouslyFormattedCitation":"(Wu et al. 2002, Jackson and Fahrig 2015)"},"properties":{"noteIndex":0},"schema":"https://github.com/citation-style-language/schema/raw/master/csl-citation.json"}</w:instrText>
      </w:r>
      <w:r>
        <w:rPr>
          <w:rFonts w:cs="Times New Roman"/>
          <w:szCs w:val="24"/>
        </w:rPr>
        <w:fldChar w:fldCharType="separate"/>
      </w:r>
      <w:r w:rsidRPr="0047668E">
        <w:rPr>
          <w:rFonts w:cs="Times New Roman"/>
          <w:noProof/>
          <w:szCs w:val="24"/>
        </w:rPr>
        <w:t>(Wu et al. 2002; Jackson and Fahrig 2015)</w:t>
      </w:r>
      <w:r>
        <w:rPr>
          <w:rFonts w:cs="Times New Roman"/>
          <w:szCs w:val="24"/>
        </w:rPr>
        <w:fldChar w:fldCharType="end"/>
      </w:r>
      <w:r>
        <w:rPr>
          <w:rFonts w:cs="Times New Roman"/>
          <w:szCs w:val="24"/>
        </w:rPr>
        <w:t xml:space="preserve">. Increasingly, spatial pattern is quantified within river networks to understand the physical and ecological characteristics of the entire ecosystem </w:t>
      </w:r>
      <w:r>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Environment","id":"ITEM-2","issued":{"date-parts":[["2019"]]},"page":"184-193","publisher":"Elsevier B.V.","title":"Communities associated with the Functional Process Zone scale: A case study of stream macroinvertebrates in endorheic drainages","type":"article-journal","volume":"677"},"uris":["http://www.mendeley.com/documents/?uuid=b04a944d-07f1-48e0-bcca-8f4c81320c18"]}],"mendeley":{"formattedCitation":"(Thoms et al. 2018; Maasri et al. 2019)","plainTextFormattedCitation":"(Thoms et al. 2018; Maasri et al. 2019)","previouslyFormattedCitation":"(Thoms et al. 2018, Maasri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(Thoms et al. 2018; Maasri et al. 2019)</w:t>
      </w:r>
      <w:r>
        <w:rPr>
          <w:rFonts w:cs="Times New Roman"/>
          <w:szCs w:val="24"/>
        </w:rPr>
        <w:fldChar w:fldCharType="end"/>
      </w:r>
      <w:r>
        <w:rPr>
          <w:rFonts w:cs="Times New Roman"/>
          <w:szCs w:val="24"/>
        </w:rPr>
        <w:t xml:space="preserve">. However, river networks vary in their spatial extent, spatial grain, and thematic detail </w:t>
      </w:r>
      <w:r>
        <w:rPr>
          <w:rFonts w:cs="Times New Roman"/>
          <w:szCs w:val="24"/>
        </w:rPr>
        <w:fldChar w:fldCharType="begin" w:fldLock="1"/>
      </w:r>
      <w:r>
        <w:rPr>
          <w:rFonts w:cs="Times New Roman"/>
          <w:szCs w:val="24"/>
        </w:rPr>
        <w:instrText>ADDIN CSL_CITATION {"citationItems":[{"id":"ITEM-1","itemData":{"DOI":"10.1007/s10980-015-0289-y","ISBN":"0921-2973","ISSN":"15729761","abstract":"Context Spatial scaling of ecological processes is facilitated by quantifying underlying habitat attributes. Physical and ecological patterns are often measured at disparate spatial scales limiting our ability to quantify ecological processes at broader spatial scales using physical attributes. Objective We characterized variation of physical stream attributes during periods of high biological activity (i.e., baseflow) to match physical and ecological measurements and to identify the spatial scales exhibiting and predicting heterogeneity. Methods We measured canopy cover, wetted width, water depth, and sediment size along transects of 1st–5th order reaches in five stream networks located in biomes from tropical forest to arctic tundra. We used hierarchical analysis of variance with three nested scales (watersheds, stream orders, reaches) to identify scales exhibiting significant heterogeneity in attributes and regression analyses to characterize gradients within and across stream networks. Results Heterogeneity was evident at one or multiple spatial scales: canopy cover and water depth varied significantly at all three spatial scales while wetted width varied at two scales (stream order and reach) and sediment size remained largely unexplained. Similarly, prediction by drainage area depended on the attribute considered: depending on the watershed, increases in wetted width and water depth with drainage area were best fit with a linear, logarithmic, or power function. Variation in sediment size was independent of drainage area. Conclusions The scaling of ecologically relevant baseflow physical characteristics will require study beyond the traditional bankfull geomorphology since predictions of baseflow physical attributes by drainage area were not always best explained by geomorphic power laws.","author":[{"dropping-particle":"","family":"Rüegg","given":"Janine","non-dropping-particle":"","parse-names":false,"suffix":""},{"dropping-particle":"","family":"Dodds","given":"Walter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Ecology","id":"ITEM-1","issue":"1","issued":{"date-parts":[["2016"]]},"page":"119-136","title":"Baseflow physical characteristics differ at multiple spatial scales in stream networks across diverse biomes","type":"article-journal","volume":"31"},"uris":["http://www.mendeley.com/documents/?uuid=061b283b-0a0a-413b-a363-259cb2b3597f"]},{"id":"ITEM-2","itemData":{"DOI":"10.1038/ngeo1593","ISBN":"1752-0894\\r1752-0908","ISSN":"1752-0894","abstract":"Nature Geoscience 5, 678 (2012). doi:10.1038/ngeo1593","author":[{"dropping-particle":"","family":"Benstead","given":"Jonathan P.","non-dropping-particle":"","parse-names":false,"suffix":""},{"dropping-particle":"","family":"Leigh","given":"David S.","non-dropping-particle":"","parse-names":false,"suffix":""}],"container-title":"Nature Geoscience","id":"ITEM-2","issue":"10","issued":{"date-parts":[["2012"]]},"page":"678-679","publisher":"Nature Publishing Group","title":"An expanded role for river networks","type":"article-journal","volume":"5"},"uris":["http://www.mendeley.com/documents/?uuid=6ddf97a8-b744-4ed1-aa65-e1bad6052a78"]}],"mendeley":{"formattedCitation":"(Benstead and Leigh 2012; Rüegg et al. 2016)","plainTextFormattedCitation":"(Benstead and Leigh 2012; Rüegg et al. 2016)","previouslyFormattedCitation":"(Benstead and Leigh 2012, Rüegg et al. 2016)"},"properties":{"noteIndex":0},"schema":"https://github.com/citation-style-language/schema/raw/master/csl-citation.json"}</w:instrText>
      </w:r>
      <w:r>
        <w:rPr>
          <w:rFonts w:cs="Times New Roman"/>
          <w:szCs w:val="24"/>
        </w:rPr>
        <w:fldChar w:fldCharType="separate"/>
      </w:r>
      <w:r w:rsidRPr="0047668E">
        <w:rPr>
          <w:rFonts w:cs="Times New Roman"/>
          <w:noProof/>
          <w:szCs w:val="24"/>
        </w:rPr>
        <w:t>(Benstead and Leigh 2012; Rüegg et al. 2016)</w:t>
      </w:r>
      <w:r>
        <w:rPr>
          <w:rFonts w:cs="Times New Roman"/>
          <w:szCs w:val="24"/>
        </w:rPr>
        <w:fldChar w:fldCharType="end"/>
      </w:r>
      <w:r>
        <w:rPr>
          <w:rFonts w:cs="Times New Roman"/>
          <w:szCs w:val="24"/>
        </w:rPr>
        <w:t xml:space="preserve">, which could hinder opportunities for synthesis or mask important relationships. We </w:t>
      </w:r>
      <w:r>
        <w:rPr>
          <w:rFonts w:cs="Times New Roman"/>
          <w:szCs w:val="24"/>
        </w:rPr>
        <w:lastRenderedPageBreak/>
        <w:t>extended the framework developed by Wu et al. (2002) and found scaling relationships in river networks vary across a broad geographic area. The effect of thematic resolution was most predictable for composition metrics while the effect of spatial extent was most predictable for configuration metrics</w:t>
      </w:r>
      <w:r w:rsidRPr="00044CD9">
        <w:rPr>
          <w:rFonts w:cs="Times New Roman"/>
          <w:szCs w:val="24"/>
        </w:rPr>
        <w:t>. We also found that the effects of changing spatial grain are least predictable, possibly owing to the dendritic structure of river networks</w:t>
      </w:r>
      <w:r>
        <w:rPr>
          <w:rFonts w:cs="Times New Roman"/>
          <w:szCs w:val="24"/>
        </w:rPr>
        <w:t xml:space="preserve"> and the method used to manipulate grain size (i.e. minimum mapping unit)</w:t>
      </w:r>
      <w:r w:rsidRPr="00044CD9">
        <w:rPr>
          <w:rFonts w:cs="Times New Roman"/>
          <w:szCs w:val="24"/>
        </w:rPr>
        <w:t>. Importantl</w:t>
      </w:r>
      <w:r>
        <w:rPr>
          <w:rFonts w:cs="Times New Roman"/>
          <w:szCs w:val="24"/>
        </w:rPr>
        <w:t xml:space="preserve">y, this work demonstrates that spatial pattern in some river networks changes predictably with scale which could facilitate the transfer of information obtained at one scale to another. </w:t>
      </w:r>
    </w:p>
    <w:p w14:paraId="55CF0EF8" w14:textId="77777777" w:rsidR="00755451" w:rsidRDefault="00755451" w:rsidP="00755451">
      <w:pPr>
        <w:spacing w:line="480" w:lineRule="auto"/>
        <w:ind w:firstLine="720"/>
        <w:contextualSpacing/>
        <w:rPr>
          <w:rFonts w:cs="Times New Roman"/>
          <w:szCs w:val="24"/>
        </w:rPr>
      </w:pPr>
    </w:p>
    <w:p w14:paraId="037E16F1" w14:textId="77777777" w:rsidR="00755451" w:rsidRPr="00B63CE4" w:rsidRDefault="00755451" w:rsidP="00755451">
      <w:pPr>
        <w:spacing w:line="480" w:lineRule="auto"/>
        <w:contextualSpacing/>
        <w:rPr>
          <w:rFonts w:cs="Times New Roman"/>
          <w:i/>
          <w:szCs w:val="24"/>
        </w:rPr>
      </w:pPr>
      <w:r w:rsidRPr="00B63CE4">
        <w:rPr>
          <w:rFonts w:cs="Times New Roman"/>
          <w:i/>
          <w:szCs w:val="24"/>
        </w:rPr>
        <w:t xml:space="preserve">Scaling </w:t>
      </w:r>
      <w:r>
        <w:rPr>
          <w:rFonts w:cs="Times New Roman"/>
          <w:i/>
          <w:szCs w:val="24"/>
        </w:rPr>
        <w:t>r</w:t>
      </w:r>
      <w:r w:rsidRPr="00B63CE4">
        <w:rPr>
          <w:rFonts w:cs="Times New Roman"/>
          <w:i/>
          <w:szCs w:val="24"/>
        </w:rPr>
        <w:t>elationships</w:t>
      </w:r>
      <w:r>
        <w:rPr>
          <w:rFonts w:cs="Times New Roman"/>
          <w:i/>
          <w:szCs w:val="24"/>
        </w:rPr>
        <w:t xml:space="preserve"> in riverine landscapes</w:t>
      </w:r>
    </w:p>
    <w:p w14:paraId="1742BCAC" w14:textId="77777777" w:rsidR="00755451" w:rsidRDefault="00755451" w:rsidP="00755451">
      <w:pPr>
        <w:spacing w:line="480" w:lineRule="auto"/>
        <w:ind w:firstLine="720"/>
        <w:contextualSpacing/>
        <w:rPr>
          <w:rFonts w:cs="Times New Roman"/>
          <w:szCs w:val="24"/>
        </w:rPr>
      </w:pPr>
      <w:r>
        <w:rPr>
          <w:rFonts w:cs="Times New Roman"/>
          <w:szCs w:val="24"/>
        </w:rPr>
        <w:t>We assessed how spatial patterns of HGP are influenced by three different components of scale and, similar to other landscapes, found that landscape metrics could change either predictably (i.e. following simple scaling functions), or unpredictably (i.e. exhibiting staircase-like or chaotic patterns).</w:t>
      </w:r>
      <w:r w:rsidRPr="002D6BD9">
        <w:rPr>
          <w:rFonts w:cs="Times New Roman"/>
          <w:szCs w:val="24"/>
        </w:rPr>
        <w:t xml:space="preserve"> </w:t>
      </w:r>
      <w:r>
        <w:rPr>
          <w:rFonts w:cs="Times New Roman"/>
          <w:szCs w:val="24"/>
        </w:rPr>
        <w:t xml:space="preserve">In general, the effects of changing spatial extent were more predictable than the effects of changing grain size. Indeed others have found that changing spatial extent is less predictable than change grain size </w:t>
      </w:r>
      <w:r>
        <w:rPr>
          <w:rFonts w:cs="Times New Roman"/>
          <w:szCs w:val="24"/>
        </w:rPr>
        <w:fldChar w:fldCharType="begin" w:fldLock="1"/>
      </w:r>
      <w:r>
        <w:rPr>
          <w:rFonts w:cs="Times New Roman"/>
          <w:szCs w:val="24"/>
        </w:rPr>
        <w:instrText>ADDIN CSL_CITATION {"citationItems":[{"id":"ITEM-1","itemData":{"DOI":"10.1023/B:LAND.0000021711.40074.ae","ISSN":"09212973","abstract":"Landscape pattern is spatially correlated and scale-dependent. Thus, understanding landscape structure and functioning requires multiscale information, and scaling functions are the most precise and concise way of quantifying multiscale characteristics explicitly. The major objective of this study was to explore if there are any scaling relations for landscape pattern when it is measured over a range of scales (grain size and extent). The results showed that the responses of landscape metrics to changing scale fell into two categories when computed at the class level (i.e., for individual land cover types): simple scaling functions and unpredictable behavior. Similarly, three categories were found at the landscape level, with the third being staircase pattern, in a previous study when all land cover types were combined together. In general, scaling relations were more variable at the class level than at the landscape level, and more consistent and predictable with changing grain size than with changing extent at both levels. Considering that the landscapes under study were quite diverse in terms of both composition and configuration, these results seem robust. This study highlights the need for multiscale analysis in order to adequately characterize and monitor landscape heterogeneity, and provides insights into the scaling of landscape patterns.","author":[{"dropping-particle":"","family":"Wu","given":"Jianguo","non-dropping-particle":"","parse-names":false,"suffix":""}],"container-title":"Landscape Ecology","id":"ITEM-1","issue":"2","issued":{"date-parts":[["2004"]]},"page":"125-138","title":"Effects of changing scale on landscape pattern analysis: Scaling relations","type":"article-journal","volume":"19"},"uris":["http://www.mendeley.com/documents/?uuid=7b3712cb-ac69-4219-98d1-c58b684f8c74"]},{"id":"ITEM-2","itemData":{"DOI":"10.1023/A","ISSN":"00138703","abstract":"While ecologists are well aware that spatial heterogeneity is scale-dependent, a general understanding of scaling relationships of spatial pattern is still lacking. One way to improve this understanding is to systematically ex- amine how pattern indices change with scale in real landscapes of different kinds. This study, therefore, was designed to investigate how a suite of commonly used landscape metrics respond to changing grain size, extent, and the direction of analysis (or sampling) using several different landscapes in North America. Our results showed that the responses of the 19 landscape metrics fell into three general categories: Type I metrics showed predictable responses with changing scale, and their scaling relations could be represented by simple scaling equations (linear, power-law, or logarithmic functions); Type II metrics exhibited staircase-like responses that were less predictable; and Type III metrics behaved erratically in response to changing scale, suggesting no con- sistent scaling relations. In general, the effect of changing grain size was more predictable than that of changing extent. Type I metrics represent those landscape features that can be readily and accurately extrapolated or in- terpolated across spatial scales, whereas Type II and III metrics represent those that require more explicit con- sideration of idiosyncratic details for successful scaling. To adequately quantify spatial heterogeneity, the metric- scalograms (the response curves of metrics to changing scale), instead of single-scale measures, seem necessary","author":[{"dropping-particle":"","family":"Wu","given":"Jianguo","non-dropping-particle":"","parse-names":false,"suffix":""},{"dropping-particle":"","family":"Shen","given":"Weijun","non-dropping-particle":"","parse-names":false,"suffix":""},{"dropping-particle":"","family":"Sun","given":"Weizhong","non-dropping-particle":"","parse-names":false,"suffix":""},{"dropping-particle":"","family":"Tueller","given":"Paul T.","non-dropping-particle":"","parse-names":false,"suffix":""}],"container-title":"Landscape Ecology","id":"ITEM-2","issue":"3","issued":{"date-parts":[["2002"]]},"page":"761-782","title":"Empirical patterns of the effects of changing scale on landscape metrics","type":"article-journal","volume":"17"},"uris":["http://www.mendeley.com/documents/?uuid=0a890e40-e3a8-4e9e-b52a-8e00af91cd6c"]}],"mendeley":{"formattedCitation":"(Wu et al. 2002; Wu 2004)","plainTextFormattedCitation":"(Wu et al. 2002; Wu 2004)","previouslyFormattedCitation":"(Wu et al. 2002, Wu 2004)"},"properties":{"noteIndex":0},"schema":"https://github.com/citation-style-language/schema/raw/master/csl-citation.json"}</w:instrText>
      </w:r>
      <w:r>
        <w:rPr>
          <w:rFonts w:cs="Times New Roman"/>
          <w:szCs w:val="24"/>
        </w:rPr>
        <w:fldChar w:fldCharType="separate"/>
      </w:r>
      <w:r w:rsidRPr="0047668E">
        <w:rPr>
          <w:rFonts w:cs="Times New Roman"/>
          <w:noProof/>
          <w:szCs w:val="24"/>
        </w:rPr>
        <w:t>(Wu et al. 2002; Wu 2004)</w:t>
      </w:r>
      <w:r>
        <w:rPr>
          <w:rFonts w:cs="Times New Roman"/>
          <w:szCs w:val="24"/>
        </w:rPr>
        <w:fldChar w:fldCharType="end"/>
      </w:r>
      <w:r>
        <w:rPr>
          <w:rFonts w:cs="Times New Roman"/>
          <w:szCs w:val="24"/>
        </w:rPr>
        <w:t xml:space="preserve">. Together, these patterns could support the notion that the method used to manipulate spatial grain influences the scaling relationships that emerge from analyses </w:t>
      </w:r>
      <w:r>
        <w:rPr>
          <w:rFonts w:cs="Times New Roman"/>
          <w:szCs w:val="24"/>
        </w:rPr>
        <w:fldChar w:fldCharType="begin" w:fldLock="1"/>
      </w:r>
      <w:r>
        <w:rPr>
          <w:rFonts w:cs="Times New Roman"/>
          <w:szCs w:val="24"/>
        </w:rPr>
        <w:instrText>ADDIN CSL_CITATION {"citationItems":[{"id":"ITEM-1","itemData":{"author":[{"dropping-particle":"","family":"Turner","given":"M.G.","non-dropping-particle":"","parse-names":false,"suffix":""},{"dropping-particle":"","family":"Gardner","given":"R.H.","non-dropping-particle":"","parse-names":false,"suffix":""}],"edition":"Second","id":"ITEM-1","issued":{"date-parts":[["2015"]]},"publisher":"Springer-Verlag","publisher-place":"New York","title":"Landscape Ecology in Theory and Practice","type":"book"},"uris":["http://www.mendeley.com/documents/?uuid=5c45c650-62ad-4930-9823-a07d625f599f"]},{"id":"ITEM-2","itemData":{"DOI":"10.1007/s10980-019-00937-1","ISBN":"0123456789","ISSN":"15729761","abstract":"Context: Spatial heterogeneity is scale-dependent. Understanding the scaling rules of spatial features across wide ranges of scale is a major challenge in landscape ecology. The lack of scientific justification in choosing proper scale may lead to unexpected outcomes in landscape pattern analysis and result in biases in subsequent process analysis. Objectives: The goal is to provide an extensive analysis on scaling relationships for a variety of landscape metrics as functions of grain size and extent. Specific research objectives are to: (1) identify scaling relationships of landscape metrics as functions of grain size, (2) define scale domains of these scaling relationships, and (3) explore how scaling relations of landscape metrics with respect to grain size would change with spatial extent. Methods: Expanding the approach of Wu and Hobbs (Landsc Ecol 17:355–365, 2002) and Wu (Landsc Ecol 19:125–138, 2004) using a much bigger dataset and covering a wider range of scales, we examined the patterns of scalograms of 38 landscape metrics within 96 sampled landscapes ranging from 25 to 221 km2 in the conterminous United States. Scaling models were derived from the scalograms as a function of grain size, and the scale domains of these models were identified as the critical scales along the dimensions of grain size and spatial extent where the performance of the models fell below a given error limit. Results: The responses of landscape metrics with respect to changing resolutions fall into three categories: predictable across the whole spectrum of grain size investigated (Type I), predictable in a limited range of grain size (Type II), and unpredictable (Type III). For Type II metrics, the critical aggregation resolutions were identified based on the predefined error limit, and scale-invariant power-law scaling relationships were found between critical resolutions and spatial extents. All the scaling exponents are positive, suggesting that critical aggregation resolutions can be relaxed as the spatial extent expands. Furthermore, the coefficients of scaling relations for Type I and II metrics vary with spatial extents, and robust scaling functions between the coefficients and the extent can be observed for some metrics. Conclusions: This study addresses a fundamental scale issue in landscape ecology: how a particular spatial pattern would change with scale and how information could be adequately transferred from one scale to another. A variety of scaling rela…","author":[{"dropping-particle":"","family":"Xu","given":"Chunxue","non-dropping-particle":"","parse-names":false,"suffix":""},{"dropping-particle":"","family":"Zhao","given":"Shuqing","non-dropping-particle":"","parse-names":false,"suffix":""},{"dropping-particle":"","family":"Liu","given":"Shuguang","non-dropping-particle":"","parse-names":false,"suffix":""}],"container-title":"Landscape Ecology","id":"ITEM-2","issue":"1","issued":{"date-parts":[["2020"]]},"page":"223-247","publisher":"Springer Netherlands","title":"Spatial scaling of multiple landscape features in the conterminous United States","type":"article-journal","volume":"35"},"uris":["http://www.mendeley.com/documents/?uuid=ce7a976d-a405-43db-8004-cdf3c3df9e2c"]}],"mendeley":{"formattedCitation":"(Turner and Gardner 2015; Xu et al. 2020)","plainTextFormattedCitation":"(Turner and Gardner 2015; Xu et al. 2020)","previouslyFormattedCitation":"(Turner and Gardner 2015, Xu et al. 2020)"},"properties":{"noteIndex":0},"schema":"https://github.com/citation-style-language/schema/raw/master/csl-citation.json"}</w:instrText>
      </w:r>
      <w:r>
        <w:rPr>
          <w:rFonts w:cs="Times New Roman"/>
          <w:szCs w:val="24"/>
        </w:rPr>
        <w:fldChar w:fldCharType="separate"/>
      </w:r>
      <w:r w:rsidRPr="0047668E">
        <w:rPr>
          <w:rFonts w:cs="Times New Roman"/>
          <w:noProof/>
          <w:szCs w:val="24"/>
        </w:rPr>
        <w:t>(Turner and Gardner 2015; Xu et al. 2020)</w:t>
      </w:r>
      <w:r>
        <w:rPr>
          <w:rFonts w:cs="Times New Roman"/>
          <w:szCs w:val="24"/>
        </w:rPr>
        <w:fldChar w:fldCharType="end"/>
      </w:r>
      <w:r>
        <w:rPr>
          <w:rFonts w:cs="Times New Roman"/>
          <w:szCs w:val="24"/>
        </w:rPr>
        <w:t>. For example, data stored as raster images</w:t>
      </w:r>
      <w:r w:rsidRPr="00CB58C8">
        <w:rPr>
          <w:rFonts w:cs="Times New Roman"/>
          <w:szCs w:val="24"/>
        </w:rPr>
        <w:t xml:space="preserve"> </w:t>
      </w:r>
      <w:r>
        <w:rPr>
          <w:rFonts w:cs="Times New Roman"/>
          <w:szCs w:val="24"/>
        </w:rPr>
        <w:t xml:space="preserve">is commonly </w:t>
      </w:r>
      <w:proofErr w:type="spellStart"/>
      <w:r>
        <w:rPr>
          <w:rFonts w:cs="Times New Roman"/>
          <w:szCs w:val="24"/>
        </w:rPr>
        <w:t>upscaled</w:t>
      </w:r>
      <w:proofErr w:type="spellEnd"/>
      <w:r>
        <w:rPr>
          <w:rFonts w:cs="Times New Roman"/>
          <w:szCs w:val="24"/>
        </w:rPr>
        <w:t xml:space="preserve"> by aggregating smaller pixels via majority rules </w:t>
      </w:r>
      <w:r>
        <w:rPr>
          <w:rFonts w:cs="Times New Roman"/>
          <w:szCs w:val="24"/>
        </w:rPr>
        <w:fldChar w:fldCharType="begin" w:fldLock="1"/>
      </w:r>
      <w:r>
        <w:rPr>
          <w:rFonts w:cs="Times New Roman"/>
          <w:szCs w:val="24"/>
        </w:rPr>
        <w:instrText>ADDIN CSL_CITATION {"citationItems":[{"id":"ITEM-1","itemData":{"DOI":"10.1007/1-4020-4663-4_1","ISBN":"1402046642","abstract":"The relationship between pattern and process is of great interest in all natural and social sciences, and scale is an integral part of this relationship. It is now well documented that biophysical and socioeconomic patterns and processes operate on a wide range of spatial and temporal scales. In particular, the scale multiplicity and scale dependence of pattern, process, and their relationships have become a central topic in ecology (Levin 1992, Wu and Loucks 1995, Peterson and Parker 1998). Perspectives centering on scale and scaling began to surge in the mid-1980's and are pervasive in all areas of ecology today (Figure 1.1). A similar trend of increasing emphasis on scale and scaling is also evident in other natural and social sciences (e.g., Bl?schl and Sivapalan 1995, Marceau 1999, Meadowcroft 2002). Scale usually refers to the spatial or temporal dimension of a phenomenon, and scaling is the transfer of information between scales (more detail below). Three distinctive but interrelated issues of scale have frequently been discussed in the literature: (1) characteristic scales, (2) scale effects, and (3) scaling (and associated uncertainty analysis and accuracy assessment). The concept of characteristic scale implies that many, if not most, natural phenomena have their own distinctive scales (or ranges of scales) that characterize their behavior (e.g., typical spatial extent or event frequency). Characteristic scales are intrinsic to the phenomena of concern, but detected characteristic scales with the involvement of the observer may be tinted with subjectivity (Wu 1999). Conceptually, characteristic scales may be perceived as the levels in a hierarchy, and associated with scale breaks (O'Neill et al. 1991, Wu 1999). Ecological patterns and processes have been shown to have distinctive characteristic scales on which their dynamics can be most effectively studied (Clark 1985, Delcourt and Delcourt 1988, Wu 1999). Thus, identifying characteristic scales provides a key to profound understanding and enlightened scaling. Scale effects usually refer to the changes in the result of a study due to a change in the scale at which the study is conducted. Effects of changing scale on sampling and experimental design, statistical analyses, and modeling have been well documented in ecology and geography (e.g., Turner et al. 1989b, White and Running 1994, Wu and Levin 1994, Pierce and Running 1995, Jelinski and Wu 1996, Dungan et al. 2002, Wu 2004). In geography, …","author":[{"dropping-particle":"","family":"Wu","given":"Jianguo","non-dropping-particle":"","parse-names":false,"suffix":""},{"dropping-particle":"","family":"Li","given":"Harbin","non-dropping-particle":"","parse-names":false,"suffix":""}],"container-title":"Scaling and Uncertainty Analysis in Ecology: Methods and Applications","id":"ITEM-1","issued":{"date-parts":[["2006"]]},"page":"3-15","title":"Concepts of scale and scaling","type":"article-journal"},"uris":["http://www.mendeley.com/documents/?uuid=ec5d18f3-56b1-4c1a-bd8d-9c4cc26a4666"]},{"id":"ITEM-2","itemData":{"DOI":"10.1111/geb.12889","ISSN":"14668238","abstract":"Aim: The aim was to assess whether and to what extent the role of local landscape attributes in shaping macroscopic biodiversity patterns is sensitive to spatial and thematic resolutions of land cover data. Location: Sub-Saharan Africa and continental China. Time period: Early 21st century. Taxa studied: Terrestrial mammals. Methods: We conducted spatial and thematic scaling analyses to generate land cover datasets of different spatial (0.3, 0.5, 1.0 and 9.0 km) and thematic (two, three and five classes) resolutions. We calculated landscape metrics based on the resulting land cover maps and examined the power of landscape metrics for explaining species richness patterns, using non-spatial (OLS) and spatial (SAR) linear models and random forest (RF) models. We systematically assessed the resolution dependence of explanatory power for different geographical regions, different scaling approaches and different model types. We also compared the explanatory power of landscape attributes with that of macroclimate. Results: Collectively, local landscape attributes generally had strong explanatory power for species richness. For the African system, the largest explanatory power was c. 60% based on the OLS models and random forest models and c. 30% based on the non-spatial components of the SAR models. For the Chinese system, the largest explanatory power was c. 35% based on the OLS models and c. 40% based on the SAR and random forest models. We observed a linear scaling relationship, which is robust to studied systems, scaling approaches and model types. In contrast, the scaling relationship varies substantially among single landscape metrics. At coarse resolutions, the addition of landscape attributes collectively would not improve climate-envelope models significantly, whereas at finer resolutions, landscape attributes collectively have explanatory power that is close to or even exceeds climate. Main conclusions: Local landscape attributes play an important role in shaping macroscopic biodiversity patterns. However, their strength is highly sensitive to both spatial and thematic resolutions of land cover data, with stronger explanatory power detected at finer resolutions. Strong sensitivity to spatial and thematic resolutions makes landscape attributes highly plastic determinants, leading to contrasting conclusions if based on greatly different resolutions of land cover data. Scaling analyses are needed to examine such cross-scale effects of macroecological de…","author":[{"dropping-particle":"","family":"Qiu","given":"Yanning","non-dropping-particle":"","parse-names":false,"suffix":""},{"dropping-particle":"","family":"Teng","given":"Shuqing N.","non-dropping-particle":"","parse-names":false,"suffix":""},{"dropping-particle":"","family":"Zhang","given":"Yong","non-dropping-particle":"","parse-names":false,"suffix":""},{"dropping-particle":"","family":"Santana","given":"Joana","non-dropping-particle":"","parse-names":false,"suffix":""},{"dropping-particle":"","family":"Svenning","given":"Jens Christian","non-dropping-particle":"","parse-names":false,"suffix":""},{"dropping-particle":"","family":"Reino","given":"Luís","non-dropping-particle":"","parse-names":false,"suffix":""},{"dropping-particle":"","family":"Abades","given":"Sabastián","non-dropping-particle":"","parse-names":false,"suffix":""},{"dropping-particle":"","family":"Ma","given":"Haozhi","non-dropping-particle":"","parse-names":false,"suffix":""},{"dropping-particle":"","family":"Yang","given":"Luojun","non-dropping-particle":"","parse-names":false,"suffix":""},{"dropping-particle":"","family":"Wu","given":"Yiqian","non-dropping-particle":"","parse-names":false,"suffix":""},{"dropping-particle":"","family":"Huang","given":"Zheng Y.X.","non-dropping-particle":"","parse-names":false,"suffix":""},{"dropping-particle":"","family":"Xu","given":"Chi","non-dropping-particle":"","parse-names":false,"suffix":""}],"container-title":"Global Ecology and Biogeography","id":"ITEM-2","issue":"6","issued":{"date-parts":[["2019"]]},"page":"767-778","title":"The resolution-dependent role of landscape attributes in shaping macro-scale biodiversity patterns","type":"article-journal","volume":"28"},"uris":["http://www.mendeley.com/documents/?uuid=2efb39f1-7edc-4497-9c18-4e3dc297b8f5"]}],"mendeley":{"formattedCitation":"(Wu and Li 2006; Qiu et al. 2019)","plainTextFormattedCitation":"(Wu and Li 2006; Qiu et al. 2019)","previouslyFormattedCitation":"(Wu and Li 2006, Qiu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(Wu and Li 2006; Qiu et al. 2019)</w:t>
      </w:r>
      <w:r>
        <w:rPr>
          <w:rFonts w:cs="Times New Roman"/>
          <w:szCs w:val="24"/>
        </w:rPr>
        <w:fldChar w:fldCharType="end"/>
      </w:r>
      <w:r>
        <w:rPr>
          <w:rFonts w:cs="Times New Roman"/>
          <w:szCs w:val="24"/>
        </w:rPr>
        <w:t>. River networks on the other hand, are often represented as vector data</w:t>
      </w:r>
      <w:r w:rsidRPr="001E54D1">
        <w:rPr>
          <w:rFonts w:cs="Times New Roman"/>
          <w:szCs w:val="24"/>
        </w:rPr>
        <w:t xml:space="preserve"> </w:t>
      </w:r>
      <w:r>
        <w:rPr>
          <w:rFonts w:cs="Times New Roman"/>
          <w:szCs w:val="24"/>
        </w:rPr>
        <w:t xml:space="preserve">because of their dendritic structure. Accordingly, we manipulated spatial grain by changing the minimum mapping unit (i.e. iteratively pruning the river networks) such that coarsening grain can result in the removal of HGP types. Indeed, the addition or removal of </w:t>
      </w:r>
      <w:r>
        <w:rPr>
          <w:rFonts w:cs="Times New Roman"/>
          <w:szCs w:val="24"/>
        </w:rPr>
        <w:lastRenderedPageBreak/>
        <w:t xml:space="preserve">habitat patches is known to reduce the predictability of scaling relationships </w:t>
      </w:r>
      <w:r>
        <w:rPr>
          <w:rFonts w:cs="Times New Roman"/>
          <w:szCs w:val="24"/>
        </w:rPr>
        <w:fldChar w:fldCharType="begin" w:fldLock="1"/>
      </w:r>
      <w:r>
        <w:rPr>
          <w:rFonts w:cs="Times New Roman"/>
          <w:szCs w:val="24"/>
        </w:rPr>
        <w:instrText>ADDIN CSL_CITATION {"citationItems":[{"id":"ITEM-1","itemData":{"DOI":"10.1111/j.0906-7590.2004.03799.x","ISSN":"09067590","abstract":"Landscape patterns demonstrate scale-dependent properties that have been parsimoniously described by empirical scaling functions. These functions, derived from multiple-scale analysis of real landscapes, are evaluated here for their generality and robustness via a series of simulated landscapes with known landscape patterns. A factorial design was used to generate these landscapes, varying the number of classes, class abundance distribution, and patch dispersion. The results confirm that the three types of scaling relations were both general and robust. Type I metrics were predictable with simple scaling functions (e.g. power laws or linear functions); Type II metrics showed stair-case like response patterns and were essentially not predictable; Type III metrics exhibited erratic response patterns that were unpredictable in most cases. However, significant differences were found between real and simulated landscapes when landscape extent was increased. Systematic changes in grain size show that the predictability of scaling relations increases with the number of classes, the evenness of class abundance distribution, and the aggregation of patch dispersion. However, random patch dispersion seemed to enhance the predictability of scaling relations when changing spatial extent.","author":[{"dropping-particle":"","family":"Shen","given":"Weijun","non-dropping-particle":"","parse-names":false,"suffix":""},{"dropping-particle":"","family":"Jenerette","given":"G. Darrel","non-dropping-particle":"","parse-names":false,"suffix":""},{"dropping-particle":"","family":"Wu","given":"Jianguo","non-dropping-particle":"","parse-names":false,"suffix":""},{"dropping-particle":"","family":"Gardner","given":"Robert H.","non-dropping-particle":"","parse-names":false,"suffix":""}],"container-title":"Ecography","id":"ITEM-1","issue":"4","issued":{"date-parts":[["2004"]]},"page":"459-469","title":"Evaluating empirical scaling relations of pattern metrics with simulated landscapes","type":"article-journal","volume":"27"},"uris":["http://www.mendeley.com/documents/?uuid=db637931-29c4-4a3a-8ff5-bb345a6b19d4"]}],"mendeley":{"formattedCitation":"(Shen et al. 2004)","plainTextFormattedCitation":"(Shen et al. 2004)","previouslyFormattedCitation":"(Shen et al. 2004)"},"properties":{"noteIndex":0},"schema":"https://github.com/citation-style-language/schema/raw/master/csl-citation.json"}</w:instrText>
      </w:r>
      <w:r>
        <w:rPr>
          <w:rFonts w:cs="Times New Roman"/>
          <w:szCs w:val="24"/>
        </w:rPr>
        <w:fldChar w:fldCharType="separate"/>
      </w:r>
      <w:r w:rsidRPr="002A0DBA">
        <w:rPr>
          <w:rFonts w:cs="Times New Roman"/>
          <w:noProof/>
          <w:szCs w:val="24"/>
        </w:rPr>
        <w:t>(Shen et al. 2004)</w:t>
      </w:r>
      <w:r>
        <w:rPr>
          <w:rFonts w:cs="Times New Roman"/>
          <w:szCs w:val="24"/>
        </w:rPr>
        <w:fldChar w:fldCharType="end"/>
      </w:r>
      <w:r>
        <w:rPr>
          <w:rFonts w:cs="Times New Roman"/>
          <w:szCs w:val="24"/>
        </w:rPr>
        <w:t>. Thus our results may suggest that there are more opportunities to transfer values of spatial pattern between different spatial extents than hydrography datasets that differ in their spatial resolution</w:t>
      </w:r>
      <w:r w:rsidRPr="001C7101">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author":[{"dropping-particle":"","family":"McKay","given":"L.","non-dropping-particle":"","parse-names":false,"suffix":""},{"dropping-particle":"","family":"Bondelid","given":"T.","non-dropping-particle":"","parse-names":false,"suffix":""},{"dropping-particle":"","family":"Dewald","given":"T.","non-dropping-particle":"","parse-names":false,"suffix":""},{"dropping-particle":"","family":"Johnston","given":"J.","non-dropping-particle":"","parse-names":false,"suffix":""},{"dropping-particle":"","family":"Moore","given":"R.","non-dropping-particle":"","parse-names":false,"suffix":""},{"dropping-particle":"","family":"Rea","given":"A.","non-dropping-particle":"","parse-names":false,"suffix":""}],"id":"ITEM-1","issued":{"date-parts":[["2012"]]},"page":"1-179","title":"NHD Plus Version 2: User Guide","type":"article"},"uris":["http://www.mendeley.com/documents/?uuid=2eacd0aa-0fb0-448e-b8cc-991c6eb293fe"]},{"id":"ITEM-2","itemData":{"DOI":"https://doi.org/10.3133/ofr20191096","author":[{"dropping-particle":"","family":"Moore","given":"Richard B.","non-dropping-particle":"","parse-names":false,"suffix":""},{"dropping-particle":"","family":"McKay","given":"Lucinda","non-dropping-particle":"","parse-names":false,"suffix":""},{"dropping-particle":"","family":"Rea","given":"Alan","non-dropping-particle":"","parse-names":false,"suffix":""},{"dropping-particle":"","family":"Bondelid","given":"Timothy","non-dropping-particle":"","parse-names":false,"suffix":""},{"dropping-particle":"","family":"Price","given":"Curtis","non-dropping-particle":"","parse-names":false,"suffix":""},{"dropping-particle":"","family":"Dewald","given":"Thomas","non-dropping-particle":"","parse-names":false,"suffix":""},{"dropping-particle":"","family":"Johnston","given":"Charles","non-dropping-particle":"","parse-names":false,"suffix":""}],"container-title":"U.S. Geological Survey","id":"ITEM-2","issued":{"date-parts":[["2019"]]},"page":"66","title":"User's guide for the national hydrography dataset plus (NHDPlus) high resolution","type":"article-journal","volume":"2019-1096"},"uris":["http://www.mendeley.com/documents/?uuid=e8995e55-f4a3-4cc4-95b6-6c4797a5236e"]},{"id":"ITEM-3","itemData":{"author":[{"dropping-particle":"","family":"Lehner","given":"B","non-dropping-particle":"","parse-names":false,"suffix":""},{"dropping-particle":"","family":"Verdin","given":"K","non-dropping-particle":"","parse-names":false,"suffix":""},{"dropping-particle":"","family":"Jarvis","given":"A","non-dropping-particle":"","parse-names":false,"suffix":""}],"container-title":"Eos Transactions","id":"ITEM-3","issue":"89","issued":{"date-parts":[["2008"]]},"page":"94-94","title":"New global Hydrography derived from spaceborne elevation data","type":"article-journal"},"uris":["http://www.mendeley.com/documents/?uuid=cc83d107-7735-46d6-9460-db51eb8d7af9"]}],"mendeley":{"formattedCitation":"(Lehner et al. 2008; McKay et al. 2012; Moore et al. 2019)","plainTextFormattedCitation":"(Lehner et al. 2008; McKay et al. 2012; Moore et al. 2019)","previouslyFormattedCitation":"(Lehner et al. 2008, McKay et al. 2012, Moore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(Lehner et al. 2008; McKay et al. 2012; Moore et al. 2019)</w:t>
      </w:r>
      <w:r>
        <w:rPr>
          <w:rFonts w:cs="Times New Roman"/>
          <w:szCs w:val="24"/>
        </w:rPr>
        <w:fldChar w:fldCharType="end"/>
      </w:r>
      <w:r>
        <w:rPr>
          <w:rFonts w:cs="Times New Roman"/>
          <w:szCs w:val="24"/>
        </w:rPr>
        <w:t>.</w:t>
      </w:r>
    </w:p>
    <w:p w14:paraId="764CD0E6" w14:textId="77777777" w:rsidR="00755451" w:rsidRDefault="00755451" w:rsidP="00755451">
      <w:pPr>
        <w:spacing w:line="480" w:lineRule="auto"/>
        <w:ind w:firstLine="720"/>
        <w:contextualSpacing/>
        <w:rPr>
          <w:rFonts w:cs="Times New Roman"/>
          <w:szCs w:val="24"/>
        </w:rPr>
      </w:pPr>
      <w:r>
        <w:rPr>
          <w:rFonts w:cs="Times New Roman"/>
          <w:szCs w:val="24"/>
        </w:rPr>
        <w:t>E</w:t>
      </w:r>
      <w:r w:rsidRPr="004F1013">
        <w:rPr>
          <w:rFonts w:cs="Times New Roman"/>
          <w:szCs w:val="24"/>
        </w:rPr>
        <w:t>ffects of thematic resolution</w:t>
      </w:r>
      <w:r>
        <w:rPr>
          <w:rFonts w:cs="Times New Roman"/>
          <w:szCs w:val="24"/>
        </w:rPr>
        <w:t xml:space="preserve"> are</w:t>
      </w:r>
      <w:r w:rsidRPr="004F1013">
        <w:rPr>
          <w:rFonts w:cs="Times New Roman"/>
          <w:szCs w:val="24"/>
        </w:rPr>
        <w:t xml:space="preserve"> expected to be similar to</w:t>
      </w:r>
      <w:r>
        <w:rPr>
          <w:rFonts w:cs="Times New Roman"/>
          <w:szCs w:val="24"/>
        </w:rPr>
        <w:t xml:space="preserve"> those of</w:t>
      </w:r>
      <w:r w:rsidRPr="004F1013">
        <w:rPr>
          <w:rFonts w:cs="Times New Roman"/>
          <w:szCs w:val="24"/>
        </w:rPr>
        <w:t xml:space="preserve"> spatial grain</w:t>
      </w:r>
      <w:r>
        <w:rPr>
          <w:rFonts w:cs="Times New Roman"/>
          <w:szCs w:val="24"/>
        </w:rPr>
        <w:t xml:space="preserve"> </w:t>
      </w:r>
      <w:r w:rsidRPr="004F1013">
        <w:rPr>
          <w:rFonts w:cs="Times New Roman"/>
          <w:szCs w:val="24"/>
        </w:rPr>
        <w:fldChar w:fldCharType="begin" w:fldLock="1"/>
      </w:r>
      <w:r>
        <w:rPr>
          <w:rFonts w:cs="Times New Roman"/>
          <w:szCs w:val="24"/>
        </w:rPr>
        <w:instrText>ADDIN CSL_CITATION {"citationItems":[{"id":"ITEM-1","itemData":{"DOI":"10.1007/s10980-006-9010-5","ISSN":"09212973","abstract":"The thematic resolution of mapped data determines the amount of detail of geospatial information, and influences various aspects of landscape classification and the relevance of derived pattern attributes to particular ecological questions. Here we show that changing thematic resolution may significantly affect landscape metrics and in turn their ability to detect landscape changes. The effects of thematic resolution on many landscape metrics tend to show consistent general patterns, but the details of these patterns are likely to be dependent on specific landscape patterns and classification criteria. Thus, the effects of thematic resolution, like those with regard to grain and extent, must be considered in landscape pattern analysis. © 2006 Springer Science+Business Media B.V.","author":[{"dropping-particle":"","family":"Buyantuyev","given":"Alexander","non-dropping-particle":"","parse-names":false,"suffix":""},{"dropping-particle":"","family":"Wu","given":"Jianguo","non-dropping-particle":"","parse-names":false,"suffix":""}],"container-title":"Landscape Ecology","id":"ITEM-1","issue":"1","issued":{"date-parts":[["2007"]]},"page":"7-13","title":"Effects of thematic resolution on landscape pattern analysis","type":"article-journal","volume":"22"},"uris":["http://www.mendeley.com/documents/?uuid=fb40bdb5-3c41-47be-8063-241bfaddc47a"]}],"mendeley":{"formattedCitation":"(Buyantuyev and Wu 2007)","plainTextFormattedCitation":"(Buyantuyev and Wu 2007)","previouslyFormattedCitation":"(Buyantuyev and Wu 2007)"},"properties":{"noteIndex":0},"schema":"https://github.com/citation-style-language/schema/raw/master/csl-citation.json"}</w:instrText>
      </w:r>
      <w:r w:rsidRPr="004F1013">
        <w:rPr>
          <w:rFonts w:cs="Times New Roman"/>
          <w:szCs w:val="24"/>
        </w:rPr>
        <w:fldChar w:fldCharType="separate"/>
      </w:r>
      <w:r w:rsidRPr="004F1013">
        <w:rPr>
          <w:rFonts w:cs="Times New Roman"/>
          <w:noProof/>
          <w:szCs w:val="24"/>
        </w:rPr>
        <w:t>(Buyantuyev and Wu 2007)</w:t>
      </w:r>
      <w:r w:rsidRPr="004F1013">
        <w:rPr>
          <w:rFonts w:cs="Times New Roman"/>
          <w:szCs w:val="24"/>
        </w:rPr>
        <w:fldChar w:fldCharType="end"/>
      </w:r>
      <w:r>
        <w:rPr>
          <w:rFonts w:cs="Times New Roman"/>
          <w:szCs w:val="24"/>
        </w:rPr>
        <w:t xml:space="preserve">. In general, we found that these effects were more predictable than those of spatial grain for composition metrics and less predictable for configuration metrics. The relationship between thematic resolution and spatial pattern for the composition metrics is unsurprising because increasing the number of HGP types simultaneously increases richness and fragmentation. Configuration metrics on the other hand, were less predictable and often behaved erratically. Indeed, changing thematic resolution may combine, or separate, spatially distant patches and lead to unpredictable scaling relationships </w:t>
      </w:r>
      <w:r>
        <w:rPr>
          <w:rFonts w:cs="Times New Roman"/>
          <w:szCs w:val="24"/>
        </w:rPr>
        <w:fldChar w:fldCharType="begin" w:fldLock="1"/>
      </w:r>
      <w:r>
        <w:rPr>
          <w:rFonts w:cs="Times New Roman"/>
          <w:szCs w:val="24"/>
        </w:rPr>
        <w:instrText>ADDIN CSL_CITATION {"citationItems":[{"id":"ITEM-1","itemData":{"DOI":"10.1007/s10980-006-9010-5","ISSN":"09212973","abstract":"The thematic resolution of mapped data determines the amount of detail of geospatial information, and influences various aspects of landscape classification and the relevance of derived pattern attributes to particular ecological questions. Here we show that changing thematic resolution may significantly affect landscape metrics and in turn their ability to detect landscape changes. The effects of thematic resolution on many landscape metrics tend to show consistent general patterns, but the details of these patterns are likely to be dependent on specific landscape patterns and classification criteria. Thus, the effects of thematic resolution, like those with regard to grain and extent, must be considered in landscape pattern analysis. © 2006 Springer Science+Business Media B.V.","author":[{"dropping-particle":"","family":"Buyantuyev","given":"Alexander","non-dropping-particle":"","parse-names":false,"suffix":""},{"dropping-particle":"","family":"Wu","given":"Jianguo","non-dropping-particle":"","parse-names":false,"suffix":""}],"container-title":"Landscape Ecology","id":"ITEM-1","issue":"1","issued":{"date-parts":[["2007"]]},"page":"7-13","title":"Effects of thematic resolution on landscape pattern analysis","type":"article-journal","volume":"22"},"uris":["http://www.mendeley.com/documents/?uuid=fb40bdb5-3c41-47be-8063-241bfaddc47a"]}],"mendeley":{"formattedCitation":"(Buyantuyev and Wu 2007)","plainTextFormattedCitation":"(Buyantuyev and Wu 2007)","previouslyFormattedCitation":"(Buyantuyev and Wu 2007)"},"properties":{"noteIndex":0},"schema":"https://github.com/citation-style-language/schema/raw/master/csl-citation.json"}</w:instrText>
      </w:r>
      <w:r>
        <w:rPr>
          <w:rFonts w:cs="Times New Roman"/>
          <w:szCs w:val="24"/>
        </w:rPr>
        <w:fldChar w:fldCharType="separate"/>
      </w:r>
      <w:r w:rsidRPr="00DC7F49">
        <w:rPr>
          <w:rFonts w:cs="Times New Roman"/>
          <w:noProof/>
          <w:szCs w:val="24"/>
        </w:rPr>
        <w:t>(Buyantuyev and Wu 2007)</w:t>
      </w:r>
      <w:r>
        <w:rPr>
          <w:rFonts w:cs="Times New Roman"/>
          <w:szCs w:val="24"/>
        </w:rPr>
        <w:fldChar w:fldCharType="end"/>
      </w:r>
      <w:r>
        <w:rPr>
          <w:rFonts w:cs="Times New Roman"/>
          <w:szCs w:val="24"/>
        </w:rPr>
        <w:t xml:space="preserve">. </w:t>
      </w:r>
    </w:p>
    <w:p w14:paraId="7BF6ED27" w14:textId="77777777" w:rsidR="00755451" w:rsidRDefault="00755451" w:rsidP="00755451">
      <w:pPr>
        <w:spacing w:line="480" w:lineRule="auto"/>
        <w:ind w:firstLine="720"/>
        <w:contextualSpacing/>
        <w:rPr>
          <w:rFonts w:cs="Times New Roman"/>
          <w:szCs w:val="24"/>
        </w:rPr>
      </w:pPr>
      <w:r>
        <w:rPr>
          <w:rFonts w:cs="Times New Roman"/>
          <w:szCs w:val="24"/>
        </w:rPr>
        <w:t xml:space="preserve">Lotic ecosystems are known vary geographically </w:t>
      </w:r>
      <w:r w:rsidRPr="00331684">
        <w:rPr>
          <w:rFonts w:cs="Times New Roman"/>
          <w:szCs w:val="24"/>
        </w:rPr>
        <w:t xml:space="preserve">as a result of </w:t>
      </w:r>
      <w:r>
        <w:rPr>
          <w:rFonts w:cs="Times New Roman"/>
          <w:szCs w:val="24"/>
        </w:rPr>
        <w:t xml:space="preserve">regional differences in </w:t>
      </w:r>
      <w:r w:rsidRPr="00331684">
        <w:rPr>
          <w:rFonts w:cs="Times New Roman"/>
          <w:szCs w:val="24"/>
        </w:rPr>
        <w:t xml:space="preserve">climate and </w:t>
      </w:r>
      <w:r>
        <w:rPr>
          <w:rFonts w:cs="Times New Roman"/>
          <w:szCs w:val="24"/>
        </w:rPr>
        <w:t xml:space="preserve">geomorphology </w:t>
      </w:r>
      <w:r>
        <w:rPr>
          <w:rFonts w:cs="Times New Roman"/>
          <w:szCs w:val="24"/>
        </w:rPr>
        <w:fldChar w:fldCharType="begin" w:fldLock="1"/>
      </w:r>
      <w:r>
        <w:rPr>
          <w:rFonts w:cs="Times New Roman"/>
          <w:szCs w:val="24"/>
        </w:rPr>
        <w:instrText>ADDIN CSL_CITATION {"citationItems":[{"id":"ITEM-1","itemData":{"DOI":"10.1002/ecs2.2786","ISSN":"21508925","abstract":"Understanding global ecological patterns and processes, from biogeochemical to biogeographical, requires broad-scale macrosystems context for comparing and contrasting ecosystems. Climate gradients (precipitation and temperature) and other continental-scale patterns shape freshwater environments due to their influences on terrestrial environments and their direct and indirect effects on the abiotic and biotic characteristics of lakes, streams, and wetlands. We combined literature review, analyses of open access data, and logical argument to assess abiotic and biotic characters of freshwater systems across gradients of latitude and elevation that drive precipitation, temperature, and other variability. We explored the predictive value of analyzing patterns in freshwater ecosystems at the global macrosystems scale. We found many patterns based on climate, particularly those dependent upon hydrologic characteristics and linked to characteristics of terrestrial biomes. For example, continental waters of dry areas will generally be widely dispersed and have higher probability of drying and network disconnection, greater temperatures, greater inorganic turbidity, greater salinity, and lower riparian canopy cover relative to areas with high precipitation. These factors will influence local community composition and ecosystem rates. Enough studies are now available at the continental or global scale to start to characterize patterns under a coherent conceptual framework, though considerable gaps exist in the tropics and less developed regions. We present illustrative global-scale trends of abiotic, biotic, and anthropogenic impacts in freshwater ecosystems across gradients of precipitation and temperature to further understanding of broadscale trends and to aid prediction in the face of global change. We view freshwater systems as occurring across arrays of multiple gradients (including latitude, altitude, and precipitation) rather than areas with specific boundaries. While terrestrial biomes capture some variability along these gradients that influence freshwaters, other features such as, slope, geology, and historical glaciation also influence freshwaters. Our conceptual framework is not so much a single hypothesis as a way to logically characterize patterns in freshwaters at scales relevant to (1) evolutionary processes that give rise to freshwater biodiversity, (2) regulatory units that influence freshwater ecosystems, and (3) the current scope of anthropog…","author":[{"dropping-particle":"","family":"Dodds","given":"Walter K.","non-dropping-particle":"","parse-names":false,"suffix":""},{"dropping-particle":"","family":"Bruckerhoff","given":"Lindsey","non-dropping-particle":"","parse-names":false,"suffix":""},{"dropping-particle":"","family":"Batzer","given":"Darold","non-dropping-particle":"","parse-names":false,"suffix":""},{"dropping-particle":"","family":"Schechner","given":"Anne","non-dropping-particle":"","parse-names":false,"suffix":""},{"dropping-particle":"","family":"Pennock","given":"Casey","non-dropping-particle":"","parse-names":false,"suffix":""},{"dropping-particle":"","family":"Renner","given":"Elizabeth","non-dropping-particle":"","parse-names":false,"suffix":""},{"dropping-particle":"","family":"Tromboni","given":"Flavia","non-dropping-particle":"","parse-names":false,"suffix":""},{"dropping-particle":"","family":"Bigham","given":"Kari","non-dropping-particle":"","parse-names":false,"suffix":""},{"dropping-particle":"","family":"Grieger","given":"Samantha","non-dropping-particle":"","parse-names":false,"suffix":""}],"container-title":"Ecosphere","id":"ITEM-1","issue":"7","issued":{"date-parts":[["2019"]]},"title":"The freshwater biome gradient framework: Predicting macroscale properties based on latitude, altitude, and precipitation","type":"article-journal","volume":"10"},"uris":["http://www.mendeley.com/documents/?uuid=984b969a-90b6-4d74-b4e2-015de5942e62"]},{"id":"ITEM-2","itemData":{"DOI":"10.1086/679756","ISBN":"2161-9549","ISSN":"2161-9549","PMID":"24335434","abstract":"Abstract We propose the Stream Biome Gradient Concept as a way to predict macroscale biological patterns in streams. This concept is based on the hypothesis that many abiotic and biotic features of streams change predictably along climate (temperature and precipitation) gradients because of direct influences of climate on hydrology, geomorphology, and interactions mediated by terrestrial vegetation. The Stream Biome Gradient Concept generates testable hypotheses related to continental variation among streams worldwide and allows aquatic scientists to understand how results from one biome might apply to a less-studied biome. Some predicted factors change monotonically across the biome/climate gradients, whereas others have maxima or minima in the central portion of the gradient. For example, predictions across the gradient from drier deserts through grasslands to wetter forests include more permanent flow, less bare ground, lower erosion and sediment transport rates, decreased importance of autochthonous C inputs to food webs, and greater stream animal species richness. In contrast, effects of large ungulate grazers on streams are expected to be greater in grasslands than in forests or deserts, and fire is expected to have weaker effects in grassland streams than in desert and forest streams along biome gradients with changing precipitation and constant latitude or elevation. Understanding historic patterns among biomes can help describe the evolutionary template at relevant biogeographic scales, can be used to broaden other conceptual models of stream ecology, and could lead to better management and conservation across the broadest scales. CR  - Copyright &amp;#169; 2015 Society for Freshwater Science","author":[{"dropping-particle":"","family":"Dodds","given":"Walter K.","non-dropping-particle":"","parse-names":false,"suffix":""},{"dropping-particle":"","family":"Gido","given":"Keith","non-dropping-particle":"","parse-names":false,"suffix":""},{"dropping-particle":"","family":"Whiles","given":"Matt R.","non-dropping-particle":"","parse-names":false,"suffix":""},{"dropping-particle":"","family":"Daniels","given":"Melinda D.","non-dropping-particle":"","parse-names":false,"suffix":""},{"dropping-particle":"","family":"Grudzinski","given":"Bartosz P.","non-dropping-particle":"","parse-names":false,"suffix":""}],"container-title":"Freshwater Science","id":"ITEM-2","issue":"1","issued":{"date-parts":[["2015"]]},"note":"1) Introduction:\n2) Climate Gradients and Links between biomes and hydrology \n2a) Climate and biome gradients \n2b) Hydrology and biome gradients \n3) Geomorphology acros biome gradients \n3a) Geomorphology and Biomes\n3b) Interactions with other factors influencing geomorphology\n4) Ecosystem Properties \n4a) Nutrients\n4b) Trophic state\n5) Stream Animal Communities Across biome gradients \n5a) Vertebrate Diversity \n5b) Invertebrate Diversity \n5c) How ecological resonses of animals change across biome gradients \n5d) Anthropogenic influences on stream animals across gradients\n6) The stream biome gradient concept and other integrative ideas in lotic ecology\n7) Overview","page":"1-19","title":"The Stream Biome Gradient Concept: factors controlling lotic systems across broad biogeographic scales","type":"article-journal","volume":"34"},"uris":["http://www.mendeley.com/documents/?uuid=ee50a9d6-fd34-4250-b8ca-b1fe22f288a8"]}],"mendeley":{"formattedCitation":"(Dodds et al. 2015, 2019)","plainTextFormattedCitation":"(Dodds et al. 2015, 2019)","previouslyFormattedCitation":"(Dodds et al. 2015, 2019)"},"properties":{"noteIndex":0},"schema":"https://github.com/citation-style-language/schema/raw/master/csl-citation.json"}</w:instrText>
      </w:r>
      <w:r>
        <w:rPr>
          <w:rFonts w:cs="Times New Roman"/>
          <w:szCs w:val="24"/>
        </w:rPr>
        <w:fldChar w:fldCharType="separate"/>
      </w:r>
      <w:r w:rsidRPr="004E14AC">
        <w:rPr>
          <w:rFonts w:cs="Times New Roman"/>
          <w:noProof/>
          <w:szCs w:val="24"/>
        </w:rPr>
        <w:t>(Dodds et al. 2015, 2019)</w:t>
      </w:r>
      <w:r>
        <w:rPr>
          <w:rFonts w:cs="Times New Roman"/>
          <w:szCs w:val="24"/>
        </w:rPr>
        <w:fldChar w:fldCharType="end"/>
      </w:r>
      <w:r>
        <w:rPr>
          <w:rFonts w:cs="Times New Roman"/>
          <w:szCs w:val="24"/>
        </w:rPr>
        <w:t xml:space="preserve">. We found scaling relationships generally differed among river networks. Indeed, </w:t>
      </w:r>
      <w:r w:rsidRPr="003467B9">
        <w:rPr>
          <w:rFonts w:cs="Times New Roman"/>
          <w:szCs w:val="24"/>
        </w:rPr>
        <w:fldChar w:fldCharType="begin" w:fldLock="1"/>
      </w:r>
      <w:r w:rsidRPr="003467B9">
        <w:rPr>
          <w:rFonts w:cs="Times New Roman"/>
          <w:szCs w:val="24"/>
        </w:rPr>
        <w:instrText>ADDIN CSL_CITATION {"citationItems":[{"id":"ITEM-1","itemData":{"DOI":"10.1007/s10980-015-0289-y","ISBN":"0921-2973","ISSN":"15729761","abstract":"Context Spatial scaling of ecological processes is facilitated by quantifying underlying habitat attributes. Physical and ecological patterns are often measured at disparate spatial scales limiting our ability to quantify ecological processes at broader spatial scales using physical attributes. Objective We characterized variation of physical stream attributes during periods of high biological activity (i.e., baseflow) to match physical and ecological measurements and to identify the spatial scales exhibiting and predicting heterogeneity. Methods We measured canopy cover, wetted width, water depth, and sediment size along transects of 1st–5th order reaches in five stream networks located in biomes from tropical forest to arctic tundra. We used hierarchical analysis of variance with three nested scales (watersheds, stream orders, reaches) to identify scales exhibiting significant heterogeneity in attributes and regression analyses to characterize gradients within and across stream networks. Results Heterogeneity was evident at one or multiple spatial scales: canopy cover and water depth varied significantly at all three spatial scales while wetted width varied at two scales (stream order and reach) and sediment size remained largely unexplained. Similarly, prediction by drainage area depended on the attribute considered: depending on the watershed, increases in wetted width and water depth with drainage area were best fit with a linear, logarithmic, or power function. Variation in sediment size was independent of drainage area. Conclusions The scaling of ecologically relevant baseflow physical characteristics will require study beyond the traditional bankfull geomorphology since predictions of baseflow physical attributes by drainage area were not always best explained by geomorphic power laws.","author":[{"dropping-particle":"","family":"Rüegg","given":"Janine","non-dropping-particle":"","parse-names":false,"suffix":""},{"dropping-particle":"","family":"Dodds","given":"Walter K.","non-dropping-particle":"","parse-names":false,"suffix":""},{"dropping-particle":"","family":"Daniels","given":"Melinda D.","non-dropping-particle":"","parse-names":false,"suffix":""},{"dropping-particle":"","family":"Sheehan","given":"Ken R.","non-dropping-particle":"","parse-names":false,"suffix":""},{"dropping-particle":"","family":"Baker","given":"Christina L.","non-dropping-particle":"","parse-names":false,"suffix":""},{"dropping-particle":"","family":"Bowden","given":"William B.","non-dropping-particle":"","parse-names":false,"suffix":""},{"dropping-particle":"","family":"Farrell","given":"Kaitlin J.","non-dropping-particle":"","parse-names":false,"suffix":""},{"dropping-particle":"","family":"Flinn","given":"Michael B.","non-dropping-particle":"","parse-names":false,"suffix":""},{"dropping-particle":"","family":"Harms","given":"Tamara K.","non-dropping-particle":"","parse-names":false,"suffix":""},{"dropping-particle":"","family":"Jones","given":"Jeremy B.","non-dropping-particle":"","parse-names":false,"suffix":""},{"dropping-particle":"","family":"Koenig","given":"Lauren E.","non-dropping-particle":"","parse-names":false,"suffix":""},{"dropping-particle":"","family":"Kominoski","given":"John S.","non-dropping-particle":"","parse-names":false,"suffix":""},{"dropping-particle":"","family":"McDowell","given":"William H.","non-dropping-particle":"","parse-names":false,"suffix":""},{"dropping-particle":"","family":"Parker","given":"Samuel P.","non-dropping-particle":"","parse-names":false,"suffix":""},{"dropping-particle":"","family":"Rosemond","given":"Amy D.","non-dropping-particle":"","parse-names":false,"suffix":""},{"dropping-particle":"","family":"Trentman","given":"Matt T.","non-dropping-particle":"","parse-names":false,"suffix":""},{"dropping-particle":"","family":"Whiles","given":"Matt","non-dropping-particle":"","parse-names":false,"suffix":""},{"dropping-particle":"","family":"Wollheim","given":"Wilfred M.","non-dropping-particle":"","parse-names":false,"suffix":""}],"container-title":"Landscape Ecology","id":"ITEM-1","issue":"1","issued":{"date-parts":[["2016"]]},"page":"119-136","title":"Baseflow physical characteristics differ at multiple spatial scales in stream networks across diverse biomes","type":"article-journal","volume":"31"},"uris":["http://www.mendeley.com/documents/?uuid=061b283b-0a0a-413b-a363-259cb2b3597f"]}],"mendeley":{"formattedCitation":"(Rüegg et al. 2016)","manualFormatting":"Rüegg et al. (2016)","plainTextFormattedCitation":"(Rüegg et al. 2016)","previouslyFormattedCitation":"(Rüegg et al. 2016)"},"properties":{"noteIndex":0},"schema":"https://github.com/citation-style-language/schema/raw/master/csl-citation.json"}</w:instrText>
      </w:r>
      <w:r w:rsidRPr="003467B9">
        <w:rPr>
          <w:rFonts w:cs="Times New Roman"/>
          <w:szCs w:val="24"/>
        </w:rPr>
        <w:fldChar w:fldCharType="separate"/>
      </w:r>
      <w:r w:rsidRPr="003467B9">
        <w:rPr>
          <w:rFonts w:cs="Times New Roman"/>
          <w:noProof/>
          <w:szCs w:val="24"/>
        </w:rPr>
        <w:t>Rüegg et al. (2016)</w:t>
      </w:r>
      <w:r w:rsidRPr="003467B9">
        <w:rPr>
          <w:rFonts w:cs="Times New Roman"/>
          <w:szCs w:val="24"/>
        </w:rPr>
        <w:fldChar w:fldCharType="end"/>
      </w:r>
      <w:r w:rsidRPr="003467B9">
        <w:rPr>
          <w:rFonts w:cs="Times New Roman"/>
          <w:szCs w:val="24"/>
        </w:rPr>
        <w:t xml:space="preserve"> </w:t>
      </w:r>
      <w:r>
        <w:rPr>
          <w:rFonts w:cs="Times New Roman"/>
          <w:szCs w:val="24"/>
        </w:rPr>
        <w:t xml:space="preserve">demonstrated that scaling relationships between </w:t>
      </w:r>
      <w:r w:rsidRPr="003467B9">
        <w:rPr>
          <w:rFonts w:cs="Times New Roman"/>
          <w:szCs w:val="24"/>
        </w:rPr>
        <w:t>stream</w:t>
      </w:r>
      <w:r>
        <w:rPr>
          <w:rFonts w:cs="Times New Roman"/>
          <w:szCs w:val="24"/>
        </w:rPr>
        <w:t xml:space="preserve"> channel characteristics (i.e. </w:t>
      </w:r>
      <w:r w:rsidRPr="003467B9">
        <w:rPr>
          <w:rFonts w:cs="Times New Roman"/>
          <w:szCs w:val="24"/>
        </w:rPr>
        <w:t>width and depth</w:t>
      </w:r>
      <w:r>
        <w:rPr>
          <w:rFonts w:cs="Times New Roman"/>
          <w:szCs w:val="24"/>
        </w:rPr>
        <w:t>) and</w:t>
      </w:r>
      <w:r w:rsidRPr="003467B9">
        <w:rPr>
          <w:rFonts w:cs="Times New Roman"/>
          <w:szCs w:val="24"/>
        </w:rPr>
        <w:t xml:space="preserve"> catchment area </w:t>
      </w:r>
      <w:r>
        <w:rPr>
          <w:rFonts w:cs="Times New Roman"/>
          <w:szCs w:val="24"/>
        </w:rPr>
        <w:t>varied geographically</w:t>
      </w:r>
      <w:r w:rsidRPr="003467B9">
        <w:rPr>
          <w:rFonts w:cs="Times New Roman"/>
          <w:szCs w:val="24"/>
        </w:rPr>
        <w:t xml:space="preserve">. </w:t>
      </w:r>
      <w:r>
        <w:rPr>
          <w:rFonts w:cs="Times New Roman"/>
          <w:szCs w:val="24"/>
        </w:rPr>
        <w:t xml:space="preserve">Collectively this suggests that differences among river networks could alter the scaling relationships. However, we only included one river network for each </w:t>
      </w:r>
      <w:proofErr w:type="spellStart"/>
      <w:r>
        <w:rPr>
          <w:rFonts w:cs="Times New Roman"/>
          <w:szCs w:val="24"/>
        </w:rPr>
        <w:t>ecoclimate</w:t>
      </w:r>
      <w:proofErr w:type="spellEnd"/>
      <w:r>
        <w:rPr>
          <w:rFonts w:cs="Times New Roman"/>
          <w:szCs w:val="24"/>
        </w:rPr>
        <w:t xml:space="preserve"> domain and could not ascertained whether scaling relationships were similar within a geographic region. It would be interesting to i</w:t>
      </w:r>
      <w:r w:rsidRPr="003467B9">
        <w:rPr>
          <w:rFonts w:cs="Times New Roman"/>
          <w:szCs w:val="24"/>
        </w:rPr>
        <w:t>nvestigat</w:t>
      </w:r>
      <w:r>
        <w:rPr>
          <w:rFonts w:cs="Times New Roman"/>
          <w:szCs w:val="24"/>
        </w:rPr>
        <w:t xml:space="preserve">e </w:t>
      </w:r>
      <w:r w:rsidRPr="003467B9">
        <w:rPr>
          <w:rFonts w:cs="Times New Roman"/>
          <w:szCs w:val="24"/>
        </w:rPr>
        <w:t xml:space="preserve">mechanisms driving apparent </w:t>
      </w:r>
      <w:r>
        <w:rPr>
          <w:rFonts w:cs="Times New Roman"/>
          <w:szCs w:val="24"/>
        </w:rPr>
        <w:t>variation in scaling relationships</w:t>
      </w:r>
      <w:r w:rsidRPr="003467B9">
        <w:rPr>
          <w:rFonts w:cs="Times New Roman"/>
          <w:szCs w:val="24"/>
        </w:rPr>
        <w:t>.</w:t>
      </w:r>
      <w:r w:rsidRPr="008B4268">
        <w:rPr>
          <w:rFonts w:cs="Times New Roman"/>
          <w:szCs w:val="24"/>
          <w:highlight w:val="yellow"/>
        </w:rPr>
        <w:t xml:space="preserve">  </w:t>
      </w:r>
    </w:p>
    <w:p w14:paraId="4AF4FD0F" w14:textId="77777777" w:rsidR="00755451" w:rsidRDefault="00755451" w:rsidP="00755451">
      <w:pPr>
        <w:spacing w:line="480" w:lineRule="auto"/>
        <w:contextualSpacing/>
        <w:rPr>
          <w:rFonts w:cs="Times New Roman"/>
          <w:szCs w:val="24"/>
        </w:rPr>
      </w:pPr>
    </w:p>
    <w:p w14:paraId="339D0716" w14:textId="77777777" w:rsidR="00755451" w:rsidRPr="00B63CE4" w:rsidRDefault="00755451" w:rsidP="00755451">
      <w:pPr>
        <w:spacing w:line="480" w:lineRule="auto"/>
        <w:contextualSpacing/>
        <w:rPr>
          <w:rFonts w:cs="Times New Roman"/>
          <w:i/>
          <w:szCs w:val="24"/>
        </w:rPr>
      </w:pPr>
      <w:r>
        <w:rPr>
          <w:rFonts w:cs="Times New Roman"/>
          <w:i/>
          <w:szCs w:val="24"/>
        </w:rPr>
        <w:t>Spatial p</w:t>
      </w:r>
      <w:r w:rsidRPr="00B63CE4">
        <w:rPr>
          <w:rFonts w:cs="Times New Roman"/>
          <w:i/>
          <w:szCs w:val="24"/>
        </w:rPr>
        <w:t>attern</w:t>
      </w:r>
      <w:r>
        <w:rPr>
          <w:rFonts w:cs="Times New Roman"/>
          <w:i/>
          <w:szCs w:val="24"/>
        </w:rPr>
        <w:t>s in river networks</w:t>
      </w:r>
    </w:p>
    <w:p w14:paraId="2A259A48" w14:textId="77777777" w:rsidR="00755451" w:rsidRDefault="00755451" w:rsidP="00755451">
      <w:pPr>
        <w:spacing w:line="480" w:lineRule="auto"/>
        <w:ind w:firstLine="720"/>
        <w:contextualSpacing/>
        <w:rPr>
          <w:rFonts w:cs="Times New Roman"/>
          <w:szCs w:val="24"/>
        </w:rPr>
      </w:pPr>
      <w:r>
        <w:rPr>
          <w:rFonts w:cs="Times New Roman"/>
          <w:szCs w:val="24"/>
        </w:rPr>
        <w:lastRenderedPageBreak/>
        <w:t xml:space="preserve">We quantified spatial pattern at the river network scale by adapting several landscape metrics related to ecological characteristics of lotic ecosystems </w:t>
      </w:r>
      <w:r>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Applications","type":"article-journal","volume":"54"},"uris":["http://www.mendeley.com/documents/?uuid=f71918bb-cdf0-435d-99e7-f9c3eaae3114"]},{"id":"ITEM-2","itemData":{"DOI":"10.1002/env","ISBN":"1180-4009","abstract":"\"Environmental data are spatial, temporal, and often come with many zeros. In this paper, we included space-time random effects in zero-inflated Poisson (ZIP) and 'hurdle' models to investigate haulout patterns of harbor seals on glacial ice. The data consisted of counts, for 18 dates on a lattice grid of samples, of harbor seals hauled out on glacial ice in Disenchantment Bay, near Yakutat, Alaska. A hurdle model is similar to a ZIP model except it does not mix zeros from the binary and count processes. Both models can be used for zero-inflated data, and we compared space-time ZIP and hurdle models in a Bayesian hierarchical model. Space-time ZIP and hurdle models were constructed by using spatial conditional autoregressive (CAR) models and temporal first-order autoregressive (AR(1)) models as random effects in ZIP and hurdle regression models. We created maps of smoothed predictions for harbor seal counts based on ice density, other covariates, and spatio-temporal random effects. For both models predictions around the edges appeared to be positively biased. The linex loss function is an asymmetric loss function that penalizes overprediction more than underprediction, and we used it to correct for prediction bias to get the best map for space-time ZIP and hurdle models.","author":[{"dropping-particle":"","family":"Pichon","given":"Celine","non-dropping-particle":"Le","parse-names":false,"suffix":""},{"dropping-particle":"","family":"Gorges","given":"Guillaume","non-dropping-particle":"","parse-names":false,"suffix":""},{"dropping-particle":"","family":"Baudry","given":"Jacques","non-dropping-particle":"","parse-names":false,"suffix":""},{"dropping-particle":"","family":"Goreaud","given":"Francois","non-dropping-particle":"","parse-names":false,"suffix":""},{"dropping-particle":"","family":"Boet","given":"Philippe","non-dropping-particle":"","parse-names":false,"suffix":""}],"container-title":"Environmetrics","id":"ITEM-2","issue":"7","issued":{"date-parts":[["2007"]]},"page":"697-712","title":"Spatial metrics and methods for riverscapes: quantifying variability in riverine fish habitat patterns","type":"article-journal","volume":"18"},"uris":["http://www.mendeley.com/documents/?uuid=72d10046-251a-43fa-b70e-b7fb59ec013b"]},{"id":"ITEM-3","itemData":{"DOI":"10.1111/fwb.12645","ISSN":"00465070","author":[{"dropping-particle":"","family":"Datry","given":"Thibault","non-dropping-particle":"","parse-names":false,"suffix":""},{"dropping-particle":"","family":"Pella","given":"Herve","non-dropping-particle":"","parse-names":false,"suffix":""},{"dropping-particle":"","family":"Leigh","given":"Catherine","non-dropping-particle":"","parse-names":false,"suffix":""},{"dropping-particle":"","family":"Bonada","given":"Núria","non-dropping-particle":"","parse-names":false,"suffix":""},{"dropping-particle":"","family":"Hugueny","given":"Bernard","non-dropping-particle":"","parse-names":false,"suffix":""}],"container-title":"Freshwater Biology","id":"ITEM-3","issued":{"date-parts":[["2016"]]},"page":"n/a-n/a","title":"A landscape approach to advance intermittent river ecology","type":"article-journal"},"uris":["http://www.mendeley.com/documents/?uuid=76776c9a-7226-426e-b06c-0d05ebb577c7"]}],"mendeley":{"formattedCitation":"(Le Pichon et al. 2007; Datry et al. 2016; Thoms et al. 2018)","plainTextFormattedCitation":"(Le Pichon et al. 2007; Datry et al. 2016; Thoms et al. 2018)","previouslyFormattedCitation":"(Le Pichon et al. 2007, Datry et al. 2016,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(Le Pichon et al. 2007; Datry et al. 2016; Thoms et al. 2018)</w:t>
      </w:r>
      <w:r>
        <w:rPr>
          <w:rFonts w:cs="Times New Roman"/>
          <w:szCs w:val="24"/>
        </w:rPr>
        <w:fldChar w:fldCharType="end"/>
      </w:r>
      <w:r>
        <w:rPr>
          <w:rFonts w:cs="Times New Roman"/>
          <w:szCs w:val="24"/>
        </w:rPr>
        <w:t xml:space="preserve">. The Shannon diversity index has been applied to quantify heterogeneity in terrestrial and riverine landscapes </w:t>
      </w:r>
      <w:r>
        <w:rPr>
          <w:rFonts w:cs="Times New Roman"/>
          <w:szCs w:val="24"/>
        </w:rPr>
        <w:fldChar w:fldCharType="begin" w:fldLock="1"/>
      </w:r>
      <w:r>
        <w:rPr>
          <w:rFonts w:cs="Times New Roman"/>
          <w:szCs w:val="24"/>
        </w:rPr>
        <w:instrText>ADDIN CSL_CITATION {"citationItems":[{"id":"ITEM-1","itemData":{"abstract":"The purpose of this study was to observe the effects of changing the grain (the first level of spatial resolution possible with a given data set) and extent (the total area of the study) of landscape data on observed spatial patterns and to identify some general rules for comparing measures obtained at different scales. Simple random maps, maps with contagion (i.e., clusters of the same land cover type), and actual landscape data from USGS land use (LUDA) data maps were used in the analyses. Landscape patterns were compared using indices measuring diversity (H), dominance (D) and contagion (C). Rare land cover types were lost as grain became coarser. This loss could be predicted analytically for random maps with two land cover types, and it was observed in actual landscapes as grain was increased experimentally. However, the rate of loss was influenced by the spatial pattern. Land cover types that were clumped disappeared slowly or were retained with increasing grain, whereas cover types that were dispersed were lost rapidly. The diversity index decreased linearly with increasing grain size, but dominance and contagion did not show a linear relationship. The indices D and C increased with increasing extent, but H exhibited a variable response. The indices were sensitive to the number (m) of cover types observed in the data set and the fraction of the landscape occupied by each cover type (Pk); both m and Pk varied with grain and extent. Qualitative and quantitative changes in measurements across spatial scales will differ depending on how scale is defined. Characterizing the relationships between ecological measurements and the grain or extent of the data may make it possible to predict or correct for the loss of information with changes in spatial scale.","author":[{"dropping-particle":"","family":"Turner","given":"Monica G.","non-dropping-particle":"","parse-names":false,"suffix":""},{"dropping-particle":"V.","family":"O'Neill","given":"Robert","non-dropping-particle":"","parse-names":false,"suffix":""},{"dropping-particle":"","family":"Gardner","given":"Robert H.","non-dropping-particle":"","parse-names":false,"suffix":""},{"dropping-particle":"","family":"Milne","given":"Bruce T.","non-dropping-particle":"","parse-names":false,"suffix":""}],"container-title":"Landscape Ecology","id":"ITEM-1","issued":{"date-parts":[["1989"]]},"page":"153-162","title":"Effects of changing spatial extent on landscape pattern analysis.","type":"article-journal","volume":"3"},"uris":["http://www.mendeley.com/documents/?uuid=0ca70573-6b90-4986-82d8-5579018a96c0"]},{"id":"ITEM-2","itemData":{"DOI":"10.1111/1752-1688.12649","ISSN":"17521688","abstract":"Fluvial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Association","id":"ITEM-2","issue":"4","issued":{"date-parts":[["2018"]]},"page":"899-913","title":"Characterization of River Networks: A GIS Approach and Its Applications","type":"article-journal","volume":"54"},"uris":["http://www.mendeley.com/documents/?uuid=f71918bb-cdf0-435d-99e7-f9c3eaae3114"]}],"mendeley":{"formattedCitation":"(Turner et al. 1989; Thoms et al. 2018)","plainTextFormattedCitation":"(Turner et al. 1989; Thoms et al. 2018)","previouslyFormattedCitation":"(Turner et al. 1989,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(Turner et al. 1989; Thoms et al. 2018)</w:t>
      </w:r>
      <w:r>
        <w:rPr>
          <w:rFonts w:cs="Times New Roman"/>
          <w:szCs w:val="24"/>
        </w:rPr>
        <w:fldChar w:fldCharType="end"/>
      </w:r>
      <w:r>
        <w:rPr>
          <w:rFonts w:cs="Times New Roman"/>
          <w:szCs w:val="24"/>
        </w:rPr>
        <w:t xml:space="preserve">. Higher SHDI values indicate a greater variety of physical habitat types, which should influence the ecological function of the river network given tight coupling between HGP and ecological processes in rivers </w:t>
      </w:r>
      <w:r>
        <w:rPr>
          <w:rFonts w:cs="Times New Roman"/>
          <w:szCs w:val="24"/>
        </w:rPr>
        <w:fldChar w:fldCharType="begin" w:fldLock="1"/>
      </w:r>
      <w:r>
        <w:rPr>
          <w:rFonts w:cs="Times New Roman"/>
          <w:szCs w:val="24"/>
        </w:rPr>
        <w:instrText>ADDIN CSL_CITATION {"citationItems":[{"id":"ITEM-1","itemData":{"ISBN":"9781901502992","ISSN":"01447815","abstract":"Stream ordering approaches to the study of entire stream networks are relatively simple and provide only crude estimations of the physical makeup of river ecosystems. These fail to acknowledge the importance of the hierarchical organisation of rivers and consequently use very crude variables when characterising stream networks. We provide an alternative typology for characterising the physical structure of rivers, which focuses on a specific level within the geomorphic river hierarchy, and employs a set of regional, catchment and valley criteria for developing a quantitative river characterisation scheme. Fifteen geomorphic variables were extracted from digital data using automated geographic information system modules and evaluated using a series of multivariate analyses. This allowed distinct river types within a stream network to emerge. Our approach was demonstrated in the Ovens River, Australia. The physical structure of the Ovens River stream network was further analysed using a series of community metrics: richness, composition and diversity of river types. Copyright © IAHS Press.","author":[{"dropping-particle":"","family":"Harris","given":"Celeste","non-dropping-particle":"","parse-names":false,"suffix":""},{"dropping-particle":"","family":"Thoms","given":"Martin","non-dropping-particle":"","parse-names":false,"suffix":""},{"dropping-particle":"","family":"Scown","given":"Murray","non-dropping-particle":"","parse-names":false,"suffix":""}],"container-title":"Ecohydrology of Surface and Groundwater Dependent Systems: Concepts, Methods and Recent Developments","id":"ITEM-1","issued":{"date-parts":[["2009"]]},"page":"127-136","title":"The ecohydrology of stream networks","type":"article-journal","volume":"328"},"uris":["http://www.mendeley.com/documents/?uuid=420a5366-0894-40bd-9e58-be1acf65abe0"]},{"id":"ITEM-2","itemData":{"DOI":"10.1111/1752-1688.12649","ISSN":"17521688","abstract":"Fluvial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Association","id":"ITEM-2","issue":"4","issued":{"date-parts":[["2018"]]},"page":"899-913","title":"Characterization of River Networks: A GIS Approach and Its Applications","type":"article-journal","volume":"54"},"uris":["http://www.mendeley.com/documents/?uuid=f71918bb-cdf0-435d-99e7-f9c3eaae3114"]},{"id":"ITEM-3","itemData":{"DOI":"10.1016/j.scitotenv.2019.04.394","ISSN":"18791026","abstract":"Rivers are being increasingly analyzed from a holistic scale focus, imposing the challenge to establish a clear sampling framework that integrates complex valley-to-reach hydrogeomorphic features. Here, we address this challenge by examining macroinvertebrate communities of different hydrogeomorphic patches, or Functional Process Zones (FPZs), established by the GIS-based model RESonate. We delineated FPZs across three endorheic drainages in the Great Basin, USA, using a self-emerging clustering method that classifies segments of rivers with similar hydrogeomorphic characteristics. We sampled macroinvertebrate communities across different FPZs. We examined the taxonomic and functional organizations of these communities, and we assessed the relative contributions of in-stream and watershed-scale environmental filters in structuring these communities. We found discreet macroinvertebrate communities associated with FPZs across drainages, where elevation prevailed on valley confinement in structuring these communities. Communities of upland FPZs exhibited a higher heterogeneity suggested by higher β-diversity and nested structure of communities, while lowland FPZs showed a higher pairwise abundance agreement across communities. Eltonian trait composition, primarily describing bionomic traits, showed a higher degree of niche differentiation in upland FPZs, thereby increasing the overall ecosystem function. Differences in variance partitioning among environmental filters acting at different spatial scales show a strong spatial structure in the response of communities in different FPZs. Overall, environmental filters had a stronger control of the communities' functional organization than the taxonomic composition. Our results support the paradigm of different FPZs having distinct communities that express different ecosystem properties. Findings of this study constitute a fruitful avenue for expanding community-based research using the FPZ template as a tool for riverine ecology. However, the unique nature of rivers in endorheic basins needs to be considered when applying our conclusions to other systems, as some findings (e.g., the higher community homogenization in lowland FPZs) might be specific to this rarely examined type of river systems.","author":[{"dropping-particle":"","family":"Maasri","given":"Alain","non-dropping-particle":"","parse-names":false,"suffix":""},{"dropping-particle":"","family":"Thorp","given":"James H.","non-dropping-particle":"","parse-names":false,"suffix":""},{"dropping-particle":"","family":"Gelhaus","given":"Jon K.","non-dropping-particle":"","parse-names":false,"suffix":""},{"dropping-particle":"","family":"Tromboni","given":"Flavia","non-dropping-particle":"","parse-names":false,"suffix":""},{"dropping-particle":"","family":"Chandra","given":"Sudeep","non-dropping-particle":"","parse-names":false,"suffix":""},{"dropping-particle":"","family":"Kenner","given":"Scott J.","non-dropping-particle":"","parse-names":false,"suffix":""}],"container-title":"Science of the Total Environment","id":"ITEM-3","issued":{"date-parts":[["2019"]]},"page":"184-193","publisher":"Elsevier B.V.","title":"Communities associated with the Functional Process Zone scale: A case study of stream macroinvertebrates in endorheic drainages","type":"article-journal","volume":"677"},"uris":["http://www.mendeley.com/documents/?uuid=b04a944d-07f1-48e0-bcca-8f4c81320c18"]}],"mendeley":{"formattedCitation":"(Harris et al. 2009; Thoms et al. 2018; Maasri et al. 2019)","plainTextFormattedCitation":"(Harris et al. 2009; Thoms et al. 2018; Maasri et al. 2019)","previouslyFormattedCitation":"(Harris et al. 2009, Thoms et al. 2018, Maasri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(Harris et al. 2009; Thoms et al. 2018; Maasri et al. 2019)</w:t>
      </w:r>
      <w:r>
        <w:rPr>
          <w:rFonts w:cs="Times New Roman"/>
          <w:szCs w:val="24"/>
        </w:rPr>
        <w:fldChar w:fldCharType="end"/>
      </w:r>
      <w:r>
        <w:rPr>
          <w:rFonts w:cs="Times New Roman"/>
          <w:szCs w:val="24"/>
        </w:rPr>
        <w:t xml:space="preserve">. Among river networks, we found that drainage density was negatively related to SHDI. This result is surprising because increasing drainage density can increase complexity in river networks because of tributary junctions and their associated confluence effects </w:t>
      </w:r>
      <w:r>
        <w:rPr>
          <w:rFonts w:cs="Times New Roman"/>
          <w:szCs w:val="24"/>
        </w:rPr>
        <w:fldChar w:fldCharType="begin" w:fldLock="1"/>
      </w:r>
      <w:r>
        <w:rPr>
          <w:rFonts w:cs="Times New Roman"/>
          <w:szCs w:val="24"/>
        </w:rPr>
        <w:instrText>ADDIN CSL_CITATION {"citationItems":[{"id":"ITEM-1","itemData":{"DOI":"10.1641/0006-3568(2004)054[0413:TNDHHC]2.0.CO;2","ISBN":"0006-3568","ISSN":"0006-3568","PMID":"12899147","abstract":"Abstract Hierarchical and branching river networks interact with dynamic watershed disturbances, such as fires, storms, and floods, to impose a spatial and temporal organization on the nonuniform distribution of riverine habitats, with consequences for ...","author":[{"dropping-particle":"","family":"Benda","given":"Lee","non-dropping-particle":"","parse-names":false,"suffix":""},{"dropping-particle":"","family":"Poff","given":"N Leroy","non-dropping-particle":"","parse-names":false,"suffix":""},{"dropping-particle":"","family":"Miller","given":"Daniel","non-dropping-particle":"","parse-names":false,"suffix":""},{"dropping-particle":"","family":"Dunne","given":"Thomas","non-dropping-particle":"","parse-names":false,"suffix":""},{"dropping-particle":"","family":"Reeves","given":"Gordon Ggordon","non-dropping-particle":"","parse-names":false,"suffix":""},{"dropping-particle":"","family":"Pess","given":"George","non-dropping-particle":"","parse-names":false,"suffix":""},{"dropping-particle":"","family":"Pollock","given":"Michael","non-dropping-particle":"","parse-names":false,"suffix":""}],"container-title":"BioScience","id":"ITEM-1","issue":"5","issued":{"date-parts":[["2004"]]},"page":"413","title":"The Network Dynamics Hypothesis: How Channel Networks Structure Riverine Habitats","type":"article-journal","volume":"54"},"uris":["http://www.mendeley.com/documents/?uuid=3e79156d-1d88-48f4-aa6d-4c90bfadd0e1"]},{"id":"ITEM-2","itemData":{"DOI":"10.1002/ecs2.2052","ISSN":"21508925","abstract":"It is generally accepted that climate change will stress coldwater species such as Pacific salmon. However, it is unclear what aspect of altered thermal regimes (e.g., warmer winters, springs, summers, or increased variability) will have the greatest effect, and what role the spatial properties of river networks play. Thermally diverse habitats may afford protection from climate change by providing opportunities for aquatic organisms to find and use habitats with optimal conditions for growth. We hypothesized that climate-altered thermal regimes will change growth and timing of life history events such as emergence or migration but that changes will be moderated in topologically complex stream networks where opportunities to thermoregulate are more readily available to mobile animals. Because climate change effects on populations are spatially variable and contingent upon physiological optima, assessments of risk must take a spatially explicit approach. We developed a spatially structured individual-based model for Chinook Salmon (Oncorhynchus tshawytscha) in which movement decisions and growth were governed by water temperature and conspecific density.We evaluated growth and phenology (timing of egg emergence and smolting) under a variety of thermal regimes (each having a different minimum, rate of warming, maximum, and variability) and in three network shapes of increasing spatial complexity. Across networks, fish generally grew faster and were capable of smolting earlier in warmer scenarios where water temperatures experienced by fish were closer to optimal; however, growth decreased for some fish. We found that salmon size and smolt date responded more strongly to warmer springs and summers than to warmer winters or increased variability. Fish in the least complex network grew faster and were ready to smolt earlier than fish in the more spatially complex network shapes in the contemporary thermal regime; patterns were similar but less clear in warmer thermal regimes. Our results demonstrate that network topology may influence how fish respond to thermal landscapes, and this information will be useful for incorporating a spatiotemporal context into conservation decisions that promote long-term viability of salmon in a changing climate.","author":[{"dropping-particle":"","family":"Fullerton","given":"Aimee H.","non-dropping-particle":"","parse-names":false,"suffix":""},{"dropping-particle":"","family":"Burke","given":"Brian J.","non-dropping-particle":"","parse-names":false,"suffix":""},{"dropping-particle":"","family":"Lawler","given":"Joshua J.","non-dropping-particle":"","parse-names":false,"suffix":""},{"dropping-particle":"","family":"Torgersen","given":"Christian E.","non-dropping-particle":"","parse-names":false,"suffix":""},{"dropping-particle":"","family":"Ebersole","given":"Joseph L.","non-dropping-particle":"","parse-names":false,"suffix":""},{"dropping-particle":"","family":"Leibowitz","given":"Scott G.","non-dropping-particle":"","parse-names":false,"suffix":""}],"container-title":"Ecosphere","id":"ITEM-2","issue":"12","issued":{"date-parts":[["2017"]]},"title":"Simulated juvenile salmon growth and phenology respond to altered thermal regimes and stream network shape","type":"article-journal","volume":"8"},"uris":["http://www.mendeley.com/documents/?uuid=2f26d670-2a66-46a3-bd0d-baa04fb8c2fa"]}],"mendeley":{"formattedCitation":"(Benda et al. 2004; Fullerton et al. 2017)","plainTextFormattedCitation":"(Benda et al. 2004; Fullerton et al. 2017)","previouslyFormattedCitation":"(Benda et al. 2004, Fullerton et al. 2017)"},"properties":{"noteIndex":0},"schema":"https://github.com/citation-style-language/schema/raw/master/csl-citation.json"}</w:instrText>
      </w:r>
      <w:r>
        <w:rPr>
          <w:rFonts w:cs="Times New Roman"/>
          <w:szCs w:val="24"/>
        </w:rPr>
        <w:fldChar w:fldCharType="separate"/>
      </w:r>
      <w:r w:rsidRPr="0047668E">
        <w:rPr>
          <w:rFonts w:cs="Times New Roman"/>
          <w:noProof/>
          <w:szCs w:val="24"/>
        </w:rPr>
        <w:t>(Benda et al. 2004; Fullerton et al. 2017)</w:t>
      </w:r>
      <w:r>
        <w:rPr>
          <w:rFonts w:cs="Times New Roman"/>
          <w:szCs w:val="24"/>
        </w:rPr>
        <w:fldChar w:fldCharType="end"/>
      </w:r>
      <w:r>
        <w:rPr>
          <w:rFonts w:cs="Times New Roman"/>
          <w:szCs w:val="24"/>
        </w:rPr>
        <w:t xml:space="preserve">. In our study, higher drainage density likely resulted stream reaches coming in closer proximity to one another and thereby having similar hydrologic, geomorphologic and climate properties. Consequently, </w:t>
      </w:r>
      <w:proofErr w:type="spellStart"/>
      <w:r>
        <w:rPr>
          <w:rFonts w:cs="Times New Roman"/>
          <w:szCs w:val="24"/>
        </w:rPr>
        <w:t>hydrogeomorphic</w:t>
      </w:r>
      <w:proofErr w:type="spellEnd"/>
      <w:r>
        <w:rPr>
          <w:rFonts w:cs="Times New Roman"/>
          <w:szCs w:val="24"/>
        </w:rPr>
        <w:t xml:space="preserve"> variables may be more important for driving spatial heterogeneity in networks with lower drainage density while confluence effects may be more important for networks with higher drainage density. </w:t>
      </w:r>
    </w:p>
    <w:p w14:paraId="7F9C73F9" w14:textId="77777777" w:rsidR="00755451" w:rsidRPr="008D658B" w:rsidRDefault="00755451" w:rsidP="00755451">
      <w:pPr>
        <w:spacing w:line="480" w:lineRule="auto"/>
        <w:ind w:firstLine="720"/>
        <w:contextualSpacing/>
        <w:rPr>
          <w:rFonts w:cs="Times New Roman"/>
          <w:szCs w:val="24"/>
        </w:rPr>
      </w:pPr>
      <w:r w:rsidRPr="008D658B">
        <w:rPr>
          <w:rFonts w:cs="Times New Roman"/>
          <w:szCs w:val="24"/>
        </w:rPr>
        <w:t>Connectivity among HGP</w:t>
      </w:r>
      <w:r>
        <w:rPr>
          <w:rFonts w:cs="Times New Roman"/>
          <w:szCs w:val="24"/>
        </w:rPr>
        <w:t>s</w:t>
      </w:r>
      <w:r w:rsidRPr="008D658B">
        <w:rPr>
          <w:rFonts w:cs="Times New Roman"/>
          <w:szCs w:val="24"/>
        </w:rPr>
        <w:t xml:space="preserve"> in stream networks could have implications for species diversity patterns and meta-community dynamics </w:t>
      </w:r>
      <w:r w:rsidRPr="008D658B">
        <w:rPr>
          <w:rFonts w:cs="Times New Roman"/>
          <w:szCs w:val="24"/>
        </w:rPr>
        <w:fldChar w:fldCharType="begin" w:fldLock="1"/>
      </w:r>
      <w:r>
        <w:rPr>
          <w:rFonts w:cs="Times New Roman"/>
          <w:szCs w:val="24"/>
        </w:rPr>
        <w:instrText>ADDIN CSL_CITATION {"citationItems":[{"id":"ITEM-1","itemData":{"DOI":"10.1007/s10980-008-9283-y","ISBN":"0921-2973","ISSN":"09212973","PMID":"7774","abstract":"Abstract Habitat connectivity is a central factor in shaping aquatic biological communities, but few tools exist to describe and quantify this attribute at a network scale in riverine systems. Here, we develop a new index to quantify longitudinal connectivity of river networks based on the expected probability of an organism being able to move freely between two random points of the network. We apply this index to two fish life histories and evaluate the effects of the number, passability, and placement of barriers on river network connectivity through the use of simulated dendritic ecological networks. We then extend the index to a real world dendritic river system in Newfoundland, Canada. Our results indicate that connectivity in river systems, as represented by our index, is most impacted by the first few barriers added to the system. This is in contrast to terrestrial systems, which are more resilient to low levels of connectivity. The results show a curvilinear relationship between barrier passability and structural connectivity. This suggests that an incremental improvement in passability would result in a greater improvement to river network connectivity for more permeable barriers than for less permeable barriers. Our analysis of the index in simulated and real river networks also showed that barrier placement played an important role in connectivity. Not surprisingly, barriers located near the river mouth have the greatest impact on fish with diadromous life histories while those located near the center of the river network have the most impact on fish with potadromous life histories. The proposed index is conceptually simple and sufficiently flexible to deal with variations in river structure and biological communities. The index will enable researchers to account for connectivity in habitat studies and will also allow resource managers to characterize watersheds, assess cumulative impacts of multiple barriers and determine priorities for restoration.","author":[{"dropping-particle":"","family":"Cote","given":"David","non-dropping-particle":"","parse-names":false,"suffix":""},{"dropping-particle":"","family":"Kehler","given":"Dan G.","non-dropping-particle":"","parse-names":false,"suffix":""},{"dropping-particle":"","family":"Bourne","given":"Christina","non-dropping-particle":"","parse-names":false,"suffix":""},{"dropping-particle":"","family":"Wiersma","given":"Yolanda F.","non-dropping-particle":"","parse-names":false,"suffix":""}],"container-title":"Landscape Ecology","id":"ITEM-1","issue":"1","issued":{"date-parts":[["2009"]]},"page":"101-113","title":"A new measure of longitudinal connectivity for stream networks","type":"article-journal","volume":"24"},"uris":["http://www.mendeley.com/documents/?uuid=e1e32b70-f85b-46d6-9460-21ea5ad563fa"]},{"id":"ITEM-2","itemData":{"DOI":"10.1899/09-120.1","ISBN":"0887-3593","ISSN":"0887-3593","abstract":"Spatial complexity in metacommunities can be separated into 3 main components: size (i.e., number of habitat patches), spatial arrangement of habitat patches (network topology), and diversity of habitat patch types. Much attention has been paid to lattice-type networks, such as patch-based metapopulations, but interest in understanding ecological networks of alternative geometries is building. Dendritic ecological networks (DENs) include some increasingly threatened ecological systems, such as caves and streams. The restrictive architecture of dendritic ecological networks might have overriding implications for species persistence. I used a modeling approach to investigate how number and spatial arrangement of habitat patches influence metapopulation extinction risk in 2 DENs of different size and topology. Metapopulation persistence was higher in larger networks, but this relationship was mediated by network topology and the dispersal pathways used to navigate the network. Larger networks, especially those with greater topological complexity, generally had lower extinction risk than smaller and less-complex networks, but dispersal bias and magnitude affected the shape of this relationship. Applying these general results to real systems will require empirical data on the movement behavior of organisms and will improve our understanding of the implications of network complexity on population and community patterns and processes","author":[{"dropping-particle":"","family":"Campbell Grant","given":"Evan H.","non-dropping-particle":"","parse-names":false,"suffix":""}],"container-title":"Journal of the North American Benthological Society","id":"ITEM-2","issue":"1","issued":{"date-parts":[["2011"]]},"page":"252-258","title":"Structural complexity, movement bias, and metapopulation extinction risk in dendritic ecological networks","type":"article-journal","volume":"30"},"uris":["http://www.mendeley.com/documents/?uuid=57b4caf9-0b23-41ec-801d-ec8c02fbd2c5"]}],"mendeley":{"formattedCitation":"(Cote et al. 2009; Campbell Grant 2011)","plainTextFormattedCitation":"(Cote et al. 2009; Campbell Grant 2011)","previouslyFormattedCitation":"(Cote et al. 2009, Campbell Grant 2011)"},"properties":{"noteIndex":0},"schema":"https://github.com/citation-style-language/schema/raw/master/csl-citation.json"}</w:instrText>
      </w:r>
      <w:r w:rsidRPr="008D658B">
        <w:rPr>
          <w:rFonts w:cs="Times New Roman"/>
          <w:szCs w:val="24"/>
        </w:rPr>
        <w:fldChar w:fldCharType="separate"/>
      </w:r>
      <w:r w:rsidRPr="0047668E">
        <w:rPr>
          <w:rFonts w:cs="Times New Roman"/>
          <w:noProof/>
          <w:szCs w:val="24"/>
        </w:rPr>
        <w:t>(Cote et al. 2009; Campbell Grant 2011)</w:t>
      </w:r>
      <w:r w:rsidRPr="008D658B">
        <w:rPr>
          <w:rFonts w:cs="Times New Roman"/>
          <w:szCs w:val="24"/>
        </w:rPr>
        <w:fldChar w:fldCharType="end"/>
      </w:r>
      <w:r w:rsidRPr="008D658B">
        <w:rPr>
          <w:rFonts w:cs="Times New Roman"/>
          <w:szCs w:val="24"/>
        </w:rPr>
        <w:t xml:space="preserve">. </w:t>
      </w:r>
      <w:r>
        <w:rPr>
          <w:rFonts w:cs="Times New Roman"/>
          <w:szCs w:val="24"/>
        </w:rPr>
        <w:t>We found the modified dendritic connectivity index (</w:t>
      </w:r>
      <m:oMath>
        <m:acc>
          <m:accPr>
            <m:chr m:val="̅"/>
            <m:ctrlPr>
              <w:rPr>
                <w:rFonts w:ascii="Cambria Math" w:eastAsiaTheme="minorEastAsia" w:hAnsi="Cambria Math" w:cs="Times New Roman"/>
                <w:i/>
                <w:szCs w:val="24"/>
              </w:rPr>
            </m:ctrlPr>
          </m:acc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DCI</m:t>
                </m:r>
              </m:e>
              <m:sub>
                <m:r>
                  <w:rPr>
                    <w:rFonts w:ascii="Cambria Math" w:eastAsiaTheme="minorEastAsia" w:hAnsi="Cambria Math" w:cs="Times New Roman"/>
                    <w:szCs w:val="24"/>
                  </w:rPr>
                  <m:t>k</m:t>
                </m:r>
              </m:sub>
            </m:sSub>
          </m:e>
        </m:acc>
      </m:oMath>
      <w:r>
        <w:rPr>
          <w:rFonts w:cs="Times New Roman"/>
          <w:szCs w:val="24"/>
        </w:rPr>
        <w:t xml:space="preserve">) </w:t>
      </w:r>
      <w:r w:rsidRPr="008D658B">
        <w:rPr>
          <w:rFonts w:cs="Times New Roman"/>
          <w:szCs w:val="24"/>
        </w:rPr>
        <w:t>varied among</w:t>
      </w:r>
      <w:r>
        <w:rPr>
          <w:rFonts w:cs="Times New Roman"/>
          <w:szCs w:val="24"/>
        </w:rPr>
        <w:t xml:space="preserve"> river</w:t>
      </w:r>
      <w:r w:rsidRPr="008D658B">
        <w:rPr>
          <w:rFonts w:cs="Times New Roman"/>
          <w:szCs w:val="24"/>
        </w:rPr>
        <w:t xml:space="preserve"> networks and was negatively related to the total length of </w:t>
      </w:r>
      <w:r>
        <w:rPr>
          <w:rFonts w:cs="Times New Roman"/>
          <w:szCs w:val="24"/>
        </w:rPr>
        <w:t xml:space="preserve">the </w:t>
      </w:r>
      <w:r w:rsidRPr="008D658B">
        <w:rPr>
          <w:rFonts w:cs="Times New Roman"/>
          <w:szCs w:val="24"/>
        </w:rPr>
        <w:t xml:space="preserve">network. </w:t>
      </w:r>
      <w:r>
        <w:rPr>
          <w:rFonts w:cs="Times New Roman"/>
          <w:szCs w:val="24"/>
        </w:rPr>
        <w:t xml:space="preserve">We used the </w:t>
      </w:r>
      <w:r w:rsidRPr="008D658B">
        <w:rPr>
          <w:rFonts w:cs="Times New Roman"/>
          <w:szCs w:val="24"/>
        </w:rPr>
        <w:t xml:space="preserve">watercourse distance </w:t>
      </w:r>
      <w:r>
        <w:rPr>
          <w:rFonts w:cs="Times New Roman"/>
          <w:szCs w:val="24"/>
        </w:rPr>
        <w:t xml:space="preserve">separating two HGP types as a measure of permeability and did not consider the concurrent effects of any other </w:t>
      </w:r>
      <w:r w:rsidRPr="008D658B">
        <w:rPr>
          <w:rFonts w:cs="Times New Roman"/>
          <w:szCs w:val="24"/>
        </w:rPr>
        <w:t>barriers</w:t>
      </w:r>
      <w:r>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{"citationItems":[{"id":"ITEM-1","itemData":{"DOI":"10.1007/s10980-008-9283-y","ISBN":"0921-2973","ISSN":"09212973","PMID":"7774","abstract":"Abstract Habitat connectivity is a central factor in shaping aquatic biological communities, but few tools exist to describe and quantify this attribute at a network scale in riverine systems. Here, we develop a new index to quantify longitudinal connectivity of river networks based on the expected probability of an organism being able to move freely between two random points of the network. We apply this index to two fish life histories and evaluate the effects of the number, passability, and placement of barriers on river network connectivity through the use of simulated dendritic ecological networks. We then extend the index to a real world dendritic river system in Newfoundland, Canada. Our results indicate that connectivity in river systems, as represented by our index, is most impacted by the first few barriers added to the system. This is in contrast to terrestrial systems, which are more resilient to low levels of connectivity. The results show a curvilinear relationship between barrier passability and structural connectivity. This suggests that an incremental improvement in passability would result in a greater improvement to river network connectivity for more permeable barriers than for less permeable barriers. Our analysis of the index in simulated and real river networks also showed that barrier placement played an important role in connectivity. Not surprisingly, barriers located near the river mouth have the greatest impact on fish with diadromous life histories while those located near the center of the river network have the most impact on fish with potadromous life histories. The proposed index is conceptually simple and sufficiently flexible to deal with variations in river structure and biological communities. The index will enable researchers to account for connectivity in habitat studies and will also allow resource managers to characterize watersheds, assess cumulative impacts of multiple barriers and determine priorities for restoration.","author":[{"dropping-particle":"","family":"Cote","given":"David","non-dropping-particle":"","parse-names":false,"suffix":""},{"dropping-particle":"","family":"Kehler","given":"Dan G.","non-dropping-particle":"","parse-names":false,"suffix":""},{"dropping-particle":"","family":"Bourne","given":"Christina","non-dropping-particle":"","parse-names":false,"suffix":""},{"dropping-particle":"","family":"Wiersma","given":"Yolanda F.","non-dropping-particle":"","parse-names":false,"suffix":""}],"container-title":"Landscape Ecology","id":"ITEM-1","issue":"1","issued":{"date-parts":[["2009"]]},"page":"101-113","title":"A new measure of longitudinal connectivity for stream networks","type":"article-journal","volume":"24"},"uris":["http://www.mendeley.com/documents/?uuid=e1e32b70-f85b-46d6-9460-21ea5ad563fa"]}],"mendeley":{"formattedCitation":"(Cote et al. 2009)","manualFormatting":"(e.g. dams and road culverts, Cote et al. 2009)","plainTextFormattedCitation":"(Cote et al. 2009)","previouslyFormattedCitation":"(Cote et al. 2009)"},"properties":{"noteIndex":0},"schema":"https://github.com/citation-style-language/schema/raw/master/csl-citation.json"}</w:instrText>
      </w:r>
      <w:r>
        <w:rPr>
          <w:rFonts w:cs="Times New Roman"/>
          <w:szCs w:val="24"/>
        </w:rPr>
        <w:fldChar w:fldCharType="separate"/>
      </w:r>
      <w:r w:rsidRPr="004768F7">
        <w:rPr>
          <w:rFonts w:cs="Times New Roman"/>
          <w:noProof/>
          <w:szCs w:val="24"/>
        </w:rPr>
        <w:t>(</w:t>
      </w:r>
      <w:r w:rsidRPr="008D658B">
        <w:rPr>
          <w:rFonts w:cs="Times New Roman"/>
          <w:noProof/>
          <w:szCs w:val="24"/>
        </w:rPr>
        <w:t xml:space="preserve">e.g. dams and </w:t>
      </w:r>
      <w:r>
        <w:rPr>
          <w:rFonts w:cs="Times New Roman"/>
          <w:noProof/>
          <w:szCs w:val="24"/>
        </w:rPr>
        <w:t xml:space="preserve">road </w:t>
      </w:r>
      <w:r w:rsidRPr="008D658B">
        <w:rPr>
          <w:rFonts w:cs="Times New Roman"/>
          <w:noProof/>
          <w:szCs w:val="24"/>
        </w:rPr>
        <w:t>culverts</w:t>
      </w:r>
      <w:r>
        <w:rPr>
          <w:rFonts w:cs="Times New Roman"/>
          <w:noProof/>
          <w:szCs w:val="24"/>
        </w:rPr>
        <w:t xml:space="preserve">, </w:t>
      </w:r>
      <w:r w:rsidRPr="004768F7">
        <w:rPr>
          <w:rFonts w:cs="Times New Roman"/>
          <w:noProof/>
          <w:szCs w:val="24"/>
        </w:rPr>
        <w:t>Cote et al. 2009)</w:t>
      </w:r>
      <w:r>
        <w:rPr>
          <w:rFonts w:cs="Times New Roman"/>
          <w:szCs w:val="24"/>
        </w:rPr>
        <w:fldChar w:fldCharType="end"/>
      </w:r>
      <w:r>
        <w:rPr>
          <w:rFonts w:cs="Times New Roman"/>
          <w:szCs w:val="24"/>
        </w:rPr>
        <w:t xml:space="preserve">. Since the total length of a river network allows for longer watercourse distances separating two HGPs it is expected that network length would be negatively related to connectivity. From an ecological perspective, this </w:t>
      </w:r>
      <w:r>
        <w:rPr>
          <w:rFonts w:cs="Times New Roman"/>
          <w:szCs w:val="24"/>
        </w:rPr>
        <w:lastRenderedPageBreak/>
        <w:t>relationship could suggest</w:t>
      </w:r>
      <w:r w:rsidRPr="008D658B">
        <w:rPr>
          <w:rFonts w:cs="Times New Roman"/>
          <w:szCs w:val="24"/>
        </w:rPr>
        <w:t xml:space="preserve"> dispersal</w:t>
      </w:r>
      <w:r>
        <w:rPr>
          <w:rFonts w:cs="Times New Roman"/>
          <w:szCs w:val="24"/>
        </w:rPr>
        <w:t xml:space="preserve"> limitation</w:t>
      </w:r>
      <w:r w:rsidRPr="008D658B">
        <w:rPr>
          <w:rFonts w:cs="Times New Roman"/>
          <w:szCs w:val="24"/>
        </w:rPr>
        <w:t xml:space="preserve"> may be </w:t>
      </w:r>
      <w:r>
        <w:rPr>
          <w:rFonts w:cs="Times New Roman"/>
          <w:szCs w:val="24"/>
        </w:rPr>
        <w:t xml:space="preserve">important in large river networks </w:t>
      </w:r>
      <w:r>
        <w:rPr>
          <w:rFonts w:cs="Times New Roman"/>
          <w:szCs w:val="24"/>
        </w:rPr>
        <w:fldChar w:fldCharType="begin" w:fldLock="1"/>
      </w:r>
      <w:r>
        <w:rPr>
          <w:rFonts w:cs="Times New Roman"/>
          <w:szCs w:val="24"/>
        </w:rPr>
        <w:instrText>ADDIN CSL_CITATION {"citationItems":[{"id":"ITEM-1","itemData":{"DOI":"10.1111/fwb.12973","ISSN":"13652427","abstract":"1. Quantifying the relative importance of how local (environmental or niche-based) and regional (dispersal-related or spatial) processes regulate the assembly of communities has become one of the main research avenues of community ecology. It has been shown that the degree of isolation of local habitats in the landscape may substantially influence the relative role of environmental filtering and dispersal-related processes in metacommunities. 2. Dendritic stream networks are unique habitats in the landscape, where more isolated upstream sites have been predicted to be primarily structured by environmental variables, while more central mainstem rivers by both environmental and spatial variables (hereafter the network position hypothesis, NPH). However, the NPH has almost exclusively been tested for stream macroinvertebrates, and therefore its predictions warrant confirmation from multiple taxa. 3. We examined the validity of the NPH for benthic diatoms, macrophytes, macroinvertebrates and fish in the Pannon Ecoregion, Hungary. Following the NPH we predicted a clear dominance of environmental over spatial variables in headwaters, and a larger effect of spatial variables in rivers compared to headwaters. We tested these predictions using variance partitioning analyses separately for the different taxa in headwater and in riverine habitats. 4. We found large differences in the explained community variance when the impact of environmental (physical and chemical) and spatial (overland and watercourse distance) variables for various taxa was studied. In general, total explained variance was lower for the more passively dispersing plant taxa than for animal taxa with more active dispersal in both streams and rivers. However, similar to other studies, the total explained variance was low for both headwater streams and rivers. 5. Community structure of diatoms could be best explained by both environmental and spatial variables in streams, whereas their community structure could not be explained by either variable group in rivers. The significance of environmental and spatial variables depended on the distance measure (overland versus watercourse) in the case of macrophytes. Community structure of macroinvertebrates could be explained by environmental variables in streams and by both environmental and spatial variables in rivers. Moreover, variation was explained by different predictors when macroinvertebrate taxa were divided into flying and non-flying groups, su…","author":[{"dropping-particle":"","family":"Schmera","given":"Dénes","non-dropping-particle":"","parse-names":false,"suffix":""},{"dropping-particle":"","family":"Árva","given":"Diána","non-dropping-particle":"","parse-names":false,"suffix":""},{"dropping-particle":"","family":"Boda","given":"Pál","non-dropping-particle":"","parse-names":false,"suffix":""},{"dropping-particle":"","family":"Bódis","given":"Erika","non-dropping-particle":"","parse-names":false,"suffix":""},{"dropping-particle":"","family":"Bolgovics","given":"Ágnes","non-dropping-particle":"","parse-names":false,"suffix":""},{"dropping-particle":"","family":"Borics","given":"Gábor","non-dropping-particle":"","parse-names":false,"suffix":""},{"dropping-particle":"","family":"Csercsa","given":"András","non-dropping-particle":"","parse-names":false,"suffix":""},{"dropping-particle":"","family":"Deák","given":"Csaba","non-dropping-particle":"","parse-names":false,"suffix":""},{"dropping-particle":"","family":"Krasznai","given":"Eszter","non-dropping-particle":"","parse-names":false,"suffix":""},{"dropping-particle":"","family":"Lukács","given":"Balázs A.","non-dropping-particle":"","parse-names":false,"suffix":""},{"dropping-particle":"","family":"Mauchart","given":"Péter","non-dropping-particle":"","parse-names":false,"suffix":""},{"dropping-particle":"","family":"Móra","given":"Arnold","non-dropping-particle":"","parse-names":false,"suffix":""},{"dropping-particle":"","family":"Sály","given":"Péter","non-dropping-particle":"","parse-names":false,"suffix":""},{"dropping-particle":"","family":"Specziár","given":"András","non-dropping-particle":"","parse-names":false,"suffix":""},{"dropping-particle":"","family":"Süveges","given":"Kristóf","non-dropping-particle":"","parse-names":false,"suffix":""},{"dropping-particle":"","family":"Szivák","given":"Ildikó","non-dropping-particle":"","parse-names":false,"suffix":""},{"dropping-particle":"","family":"Takács","given":"Péter","non-dropping-particle":"","parse-names":false,"suffix":""},{"dropping-particle":"","family":"Tóth","given":"Mónika","non-dropping-particle":"","parse-names":false,"suffix":""},{"dropping-particle":"","family":"Várbíró","given":"Gábor","non-dropping-particle":"","parse-names":false,"suffix":""},{"dropping-particle":"","family":"Vojtkó","given":"Anna E.","non-dropping-particle":"","parse-names":false,"suffix":""},{"dropping-particle":"","family":"Erős","given":"Tibor","non-dropping-particle":"","parse-names":false,"suffix":""}],"container-title":"Freshwater Biology","id":"ITEM-1","issue":"1","issued":{"date-parts":[["2018"]]},"page":"74-85","title":"Does isolation influence the relative role of environmental and dispersal-related processes in stream networks? An empirical test of the network position hypothesis using multiple taxa","type":"article-journal","volume":"63"},"uris":["http://www.mendeley.com/documents/?uuid=850df73e-7732-488e-ae38-0c1d981a8dd3"]},{"id":"ITEM-2","itemData":{"DOI":"10.1111/fwb.13037","ISSN":"00465070","abstract":"River networks are hierarchical dendritic habitats embedded within the terrestrial landscape, with varying connectivity between sites depending on their positions along the network. This physical organisation influences the dispersal of organisms, which ultimately affects metacommunity dynamics and biodiversity patterns. We provide a conceptual synthesis of the role of river networks in structuring metacommunities in relation to dispersal processes in riverine ecosystems. We explore where the river network best explains observed metacommunity structure compared to other measurements of physical connectivity. We mostly focus on invertebrates, but also consider other taxonomic groups, including microbes, fishes, plants, and amphibians. Synthesising studies that compared multiple spatial distance metrics, we found that the importance of the river network itself in explaining metacommunity patterns depended on a variety of factors, including dispersal mode (aquatic versus aerial versus terrestrial) and landscape type (arid versus mesic), as well as location-specific factors, such as network connectivity, land use, topographic heterogeneity, and biotic interactions. The river network appears to be less important for strong aerial dispersers and insects in arid systems than for other groups and biomes, but there is considerable variability. Borrowing from other literature, particularly landscape genetics, we developed a conceptual model that predicts that the explanatory power of the river network peaks in mesic systems for obligate aquatic dispersers. We propose directions of future avenues of research, including the use of manipulative field and laboratory experiments that test metacommunity theory in river networks. While field and laboratory experiments have their own benefits and drawbacks (e.g. reality, control, cost), both are powerful approaches for understanding the mechanisms structuring metacommunities, by teasing apart dispersal and niche-related factors. Finally, improving our knowledge of dispersal in river networks will benefit from expanding the breadth of cost-distance modelling to better infer dispersal from observational data; an improved understanding of life-history strategies rather than relying on independent traits; exploring individual-level variation in dispersal through detailed genetic studies; detailed studies on fine-scale environmental (e.g. daily hydrology) and organismal spatiotemporal variability; and synthesising comparative…","author":[{"dropping-particle":"","family":"Tonkin","given":"Jonathan D.","non-dropping-particle":"","parse-names":false,"suffix":""},{"dropping-particle":"","family":"Altermatt","given":"Florian","non-dropping-particle":"","parse-names":false,"suffix":""},{"dropping-particle":"","family":"S. Finn","given":"Debra","non-dropping-particle":"","parse-names":false,"suffix":""},{"dropping-particle":"","family":"Heino","given":"Jani","non-dropping-particle":"","parse-names":false,"suffix":""},{"dropping-particle":"","family":"Olden","given":"Julian D.","non-dropping-particle":"","parse-names":false,"suffix":""},{"dropping-particle":"","family":"Pauls","given":"Steffen U.","non-dropping-particle":"","parse-names":false,"suffix":""},{"dropping-particle":"","family":"Lytle","given":"David. A.","non-dropping-particle":"","parse-names":false,"suffix":""}],"container-title":"Freshwater Biology","id":"ITEM-2","issue":"September 2017","issued":{"date-parts":[["2017"]]},"page":"141-163","title":"The role of dispersal in river network metacommunities: Patterns, processes, and pathways","type":"article-journal"},"uris":["http://www.mendeley.com/documents/?uuid=785c2a8e-9717-412e-8f61-0f4029fc4d37"]}],"mendeley":{"formattedCitation":"(Tonkin et al. 2017; Schmera et al. 2018)","plainTextFormattedCitation":"(Tonkin et al. 2017; Schmera et al. 2018)","previouslyFormattedCitation":"(Tonkin et al. 2017, Schmera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(Tonkin et al. 2017; Schmera et al. 2018)</w:t>
      </w:r>
      <w:r>
        <w:rPr>
          <w:rFonts w:cs="Times New Roman"/>
          <w:szCs w:val="24"/>
        </w:rPr>
        <w:fldChar w:fldCharType="end"/>
      </w:r>
      <w:r>
        <w:rPr>
          <w:rFonts w:cs="Times New Roman"/>
          <w:szCs w:val="24"/>
        </w:rPr>
        <w:t xml:space="preserve">. </w:t>
      </w:r>
    </w:p>
    <w:p w14:paraId="301A2406" w14:textId="77777777" w:rsidR="00755451" w:rsidRDefault="00755451" w:rsidP="00755451">
      <w:pPr>
        <w:spacing w:line="480" w:lineRule="auto"/>
        <w:ind w:firstLine="720"/>
        <w:contextualSpacing/>
        <w:rPr>
          <w:rFonts w:cs="Times New Roman"/>
          <w:szCs w:val="24"/>
        </w:rPr>
      </w:pPr>
      <w:r w:rsidRPr="00C35D6E">
        <w:rPr>
          <w:rFonts w:cs="Times New Roman"/>
          <w:szCs w:val="24"/>
        </w:rPr>
        <w:t xml:space="preserve">The total number of patches (TP) and mean distance separating them (MPD) are absolute measurements of spatial pattern that reflect degree of fragmentation and isolation of HGP types, respectively. We found </w:t>
      </w:r>
      <w:r>
        <w:rPr>
          <w:rFonts w:cs="Times New Roman"/>
          <w:szCs w:val="24"/>
        </w:rPr>
        <w:t xml:space="preserve">river </w:t>
      </w:r>
      <w:r w:rsidRPr="00C35D6E">
        <w:rPr>
          <w:rFonts w:cs="Times New Roman"/>
          <w:szCs w:val="24"/>
        </w:rPr>
        <w:t xml:space="preserve">networks with greater </w:t>
      </w:r>
      <w:r>
        <w:rPr>
          <w:rFonts w:cs="Times New Roman"/>
          <w:szCs w:val="24"/>
        </w:rPr>
        <w:t xml:space="preserve">total </w:t>
      </w:r>
      <w:r w:rsidRPr="00C35D6E">
        <w:rPr>
          <w:rFonts w:cs="Times New Roman"/>
          <w:szCs w:val="24"/>
        </w:rPr>
        <w:t xml:space="preserve">stream length had more patches and greater distances separating them. If HGP types have asynchronous dynamics, </w:t>
      </w:r>
      <w:r>
        <w:rPr>
          <w:rFonts w:cs="Times New Roman"/>
          <w:szCs w:val="24"/>
        </w:rPr>
        <w:t xml:space="preserve">river </w:t>
      </w:r>
      <w:r w:rsidRPr="00C35D6E">
        <w:rPr>
          <w:rFonts w:cs="Times New Roman"/>
          <w:szCs w:val="24"/>
        </w:rPr>
        <w:t xml:space="preserve">networks with more patches could potentially have greater stability in their ecological </w:t>
      </w:r>
      <w:r w:rsidRPr="00C35D6E">
        <w:rPr>
          <w:rFonts w:cs="Times New Roman"/>
          <w:szCs w:val="24"/>
        </w:rPr>
        <w:fldChar w:fldCharType="begin" w:fldLock="1"/>
      </w:r>
      <w:r w:rsidRPr="00C35D6E">
        <w:rPr>
          <w:rFonts w:cs="Times New Roman"/>
          <w:szCs w:val="24"/>
        </w:rPr>
        <w:instrText>ADDIN CSL_CITATION {"citationItems":[{"id":"ITEM-1","itemData":{"DOI":"10.1890/14-0326.1","ISSN":"00129658","abstract":"While it is widely recognized that financial stock portfolios can be stabilized through diverse investments, it is also possible that certain habitats can function as natural portfolios that stabilize ecosystem processes. Here we propose and examine the hypothesis that free-flowing river networks act as such portfolios and confer stability through their integration of upstream geological, hydrological, and biological diversity. We compiled a spatially (142 sites) and temporally (1980–present) extensive data set on fisheries, water flows, and temperatures, from sites within one of the largest watersheds in the world that remains without dams on its mainstem, the Fraser River, British Columbia, Canada. We found that larger catchments had more stable fisheries catches, water flows, and water temperatures than smaller catchments. These data provide evidence that free-flowing river networks function as hierarchically nested portfolios with stability as an emergent property. Thus, free-flowing river networks can represent a natural system for buffering variation and extreme events.","author":[{"dropping-particle":"","family":"Moore","given":"Jonathan W.","non-dropping-particle":"","parse-names":false,"suffix":""},{"dropping-particle":"","family":"Beakes","given":"Michael P.","non-dropping-particle":"","parse-names":false,"suffix":""},{"dropping-particle":"","family":"Nesbitt","given":"Holly K.","non-dropping-particle":"","parse-names":false,"suffix":""},{"dropping-particle":"","family":"Yeakel","given":"Justin D.","non-dropping-particle":"","parse-names":false,"suffix":""},{"dropping-particle":"","family":"Patterson","given":"David A.","non-dropping-particle":"","parse-names":false,"suffix":""},{"dropping-particle":"","family":"Thompson","given":"Lisa A.","non-dropping-particle":"","parse-names":false,"suffix":""},{"dropping-particle":"","family":"Phillis","given":"Corey C.","non-dropping-particle":"","parse-names":false,"suffix":""},{"dropping-particle":"","family":"Braun","given":"Douglas C.","non-dropping-particle":"","parse-names":false,"suffix":""},{"dropping-particle":"","family":"Favaro","given":"Corinna","non-dropping-particle":"","parse-names":false,"suffix":""},{"dropping-particle":"","family":"Scott","given":"David","non-dropping-particle":"","parse-names":false,"suffix":""},{"dropping-particle":"","family":"Carr-Harris","given":"Charmaine","non-dropping-particle":"","parse-names":false,"suffix":""},{"dropping-particle":"","family":"Atlas","given":"William I.","non-dropping-particle":"","parse-names":false,"suffix":""}],"container-title":"Ecology","id":"ITEM-1","issue":"2","issued":{"date-parts":[["2015"]]},"page":"340-347","title":"Emergent stability in a large, free-flowing watershed","type":"article-journal","volume":"96"},"uris":["http://www.mendeley.com/documents/?uuid=51a764da-c3e2-49af-8441-6710e5bdaf77"]}],"mendeley":{"formattedCitation":"(Moore et al. 2015)","plainTextFormattedCitation":"(Moore et al. 2015)","previouslyFormattedCitation":"(Moore et al. 2015)"},"properties":{"noteIndex":0},"schema":"https://github.com/citation-style-language/schema/raw/master/csl-citation.json"}</w:instrText>
      </w:r>
      <w:r w:rsidRPr="00C35D6E">
        <w:rPr>
          <w:rFonts w:cs="Times New Roman"/>
          <w:szCs w:val="24"/>
        </w:rPr>
        <w:fldChar w:fldCharType="separate"/>
      </w:r>
      <w:r w:rsidRPr="00C35D6E">
        <w:rPr>
          <w:rFonts w:cs="Times New Roman"/>
          <w:noProof/>
          <w:szCs w:val="24"/>
        </w:rPr>
        <w:t>(Moore et al. 2015)</w:t>
      </w:r>
      <w:r w:rsidRPr="00C35D6E">
        <w:rPr>
          <w:rFonts w:cs="Times New Roman"/>
          <w:szCs w:val="24"/>
        </w:rPr>
        <w:fldChar w:fldCharType="end"/>
      </w:r>
      <w:r w:rsidRPr="00C35D6E">
        <w:rPr>
          <w:rFonts w:cs="Times New Roman"/>
          <w:szCs w:val="24"/>
        </w:rPr>
        <w:t xml:space="preserve">. Alternatively, positive association between stream length and mean patch distance suggests </w:t>
      </w:r>
      <w:r>
        <w:rPr>
          <w:rFonts w:cs="Times New Roman"/>
          <w:szCs w:val="24"/>
        </w:rPr>
        <w:t xml:space="preserve">dispersal </w:t>
      </w:r>
      <w:r w:rsidRPr="00C35D6E">
        <w:rPr>
          <w:rFonts w:cs="Times New Roman"/>
          <w:szCs w:val="24"/>
        </w:rPr>
        <w:t xml:space="preserve">may be limited in larger networks. In general, quantifying spatial patterns in </w:t>
      </w:r>
      <w:r>
        <w:rPr>
          <w:rFonts w:cs="Times New Roman"/>
          <w:szCs w:val="24"/>
        </w:rPr>
        <w:t>river</w:t>
      </w:r>
      <w:r w:rsidRPr="00C35D6E">
        <w:rPr>
          <w:rFonts w:cs="Times New Roman"/>
          <w:szCs w:val="24"/>
        </w:rPr>
        <w:t xml:space="preserve"> networks can concisely describe their characteristics and facilitate comparisons</w:t>
      </w:r>
      <w:r>
        <w:rPr>
          <w:rFonts w:cs="Times New Roman"/>
          <w:szCs w:val="24"/>
        </w:rPr>
        <w:t xml:space="preserve"> among them</w:t>
      </w:r>
      <w:r w:rsidRPr="00C35D6E">
        <w:rPr>
          <w:rFonts w:cs="Times New Roman"/>
          <w:szCs w:val="24"/>
        </w:rPr>
        <w:t xml:space="preserve"> </w:t>
      </w:r>
      <w:r w:rsidRPr="00C35D6E">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Applications","type":"article-journal","volume":"54"},"uris":["http://www.mendeley.com/documents/?uuid=f71918bb-cdf0-435d-99e7-f9c3eaae3114"]},{"id":"ITEM-2","itemData":{"DOI":"10.1002/env","ISBN":"1180-4009","abstract":"\"Environmental data are spatial, temporal, and often come with many zeros. In this paper, we included space-time random effects in zero-inflated Poisson (ZIP) and 'hurdle' models to investigate haulout patterns of harbor seals on glacial ice. The data consisted of counts, for 18 dates on a lattice grid of samples, of harbor seals hauled out on glacial ice in Disenchantment Bay, near Yakutat, Alaska. A hurdle model is similar to a ZIP model except it does not mix zeros from the binary and count processes. Both models can be used for zero-inflated data, and we compared space-time ZIP and hurdle models in a Bayesian hierarchical model. Space-time ZIP and hurdle models were constructed by using spatial conditional autoregressive (CAR) models and temporal first-order autoregressive (AR(1)) models as random effects in ZIP and hurdle regression models. We created maps of smoothed predictions for harbor seal counts based on ice density, other covariates, and spatio-temporal random effects. For both models predictions around the edges appeared to be positively biased. The linex loss function is an asymmetric loss function that penalizes overprediction more than underprediction, and we used it to correct for prediction bias to get the best map for space-time ZIP and hurdle models.","author":[{"dropping-particle":"","family":"Pichon","given":"Celine","non-dropping-particle":"Le","parse-names":false,"suffix":""},{"dropping-particle":"","family":"Gorges","given":"Guillaume","non-dropping-particle":"","parse-names":false,"suffix":""},{"dropping-particle":"","family":"Baudry","given":"Jacques","non-dropping-particle":"","parse-names":false,"suffix":""},{"dropping-particle":"","family":"Goreaud","given":"Francois","non-dropping-particle":"","parse-names":false,"suffix":""},{"dropping-particle":"","family":"Boet","given":"Philippe","non-dropping-particle":"","parse-names":false,"suffix":""}],"container-title":"Environmetrics","id":"ITEM-2","issue":"7","issued":{"date-parts":[["2007"]]},"page":"697-712","title":"Spatial metrics and methods for riverscapes: quantifying variability in riverine fish habitat patterns","type":"article-journal","volume":"18"},"uris":["http://www.mendeley.com/documents/?uuid=72d10046-251a-43fa-b70e-b7fb59ec013b"]},{"id":"ITEM-3","itemData":{"DOI":"10.1111/fwb.12645","ISSN":"00465070","author":[{"dropping-particle":"","family":"Datry","given":"Thibault","non-dropping-particle":"","parse-names":false,"suffix":""},{"dropping-particle":"","family":"Pella","given":"Herve","non-dropping-particle":"","parse-names":false,"suffix":""},{"dropping-particle":"","family":"Leigh","given":"Catherine","non-dropping-particle":"","parse-names":false,"suffix":""},{"dropping-particle":"","family":"Bonada","given":"Núria","non-dropping-particle":"","parse-names":false,"suffix":""},{"dropping-particle":"","family":"Hugueny","given":"Bernard","non-dropping-particle":"","parse-names":false,"suffix":""}],"container-title":"Freshwater Biology","id":"ITEM-3","issued":{"date-parts":[["2016"]]},"page":"n/a-n/a","title":"A landscape approach to advance intermittent river ecology","type":"article-journal"},"uris":["http://www.mendeley.com/documents/?uuid=76776c9a-7226-426e-b06c-0d05ebb577c7"]}],"mendeley":{"formattedCitation":"(Le Pichon et al. 2007; Datry et al. 2016; Thoms et al. 2018)","plainTextFormattedCitation":"(Le Pichon et al. 2007; Datry et al. 2016; Thoms et al. 2018)","previouslyFormattedCitation":"(Le Pichon et al. 2007, Datry et al. 2016, Thoms et al. 2018)"},"properties":{"noteIndex":0},"schema":"https://github.com/citation-style-language/schema/raw/master/csl-citation.json"}</w:instrText>
      </w:r>
      <w:r w:rsidRPr="00C35D6E">
        <w:rPr>
          <w:rFonts w:cs="Times New Roman"/>
          <w:szCs w:val="24"/>
        </w:rPr>
        <w:fldChar w:fldCharType="separate"/>
      </w:r>
      <w:r w:rsidRPr="0047668E">
        <w:rPr>
          <w:rFonts w:cs="Times New Roman"/>
          <w:noProof/>
          <w:szCs w:val="24"/>
        </w:rPr>
        <w:t>(Le Pichon et al. 2007; Datry et al. 2016; Thoms et al. 2018)</w:t>
      </w:r>
      <w:r w:rsidRPr="00C35D6E">
        <w:rPr>
          <w:rFonts w:cs="Times New Roman"/>
          <w:szCs w:val="24"/>
        </w:rPr>
        <w:fldChar w:fldCharType="end"/>
      </w:r>
      <w:r>
        <w:rPr>
          <w:rFonts w:cs="Times New Roman"/>
          <w:szCs w:val="24"/>
        </w:rPr>
        <w:t xml:space="preserve">. </w:t>
      </w:r>
    </w:p>
    <w:p w14:paraId="75E4CABA" w14:textId="77777777" w:rsidR="00755451" w:rsidRDefault="00755451" w:rsidP="00755451">
      <w:pPr>
        <w:spacing w:line="480" w:lineRule="auto"/>
        <w:contextualSpacing/>
        <w:rPr>
          <w:rFonts w:cs="Times New Roman"/>
          <w:szCs w:val="24"/>
        </w:rPr>
      </w:pPr>
    </w:p>
    <w:p w14:paraId="65422586" w14:textId="77777777" w:rsidR="00755451" w:rsidRPr="00B63CE4" w:rsidRDefault="00755451" w:rsidP="00755451">
      <w:pPr>
        <w:spacing w:line="480" w:lineRule="auto"/>
        <w:contextualSpacing/>
        <w:rPr>
          <w:rFonts w:cs="Times New Roman"/>
          <w:i/>
          <w:szCs w:val="24"/>
        </w:rPr>
      </w:pPr>
      <w:proofErr w:type="spellStart"/>
      <w:r>
        <w:rPr>
          <w:rFonts w:cs="Times New Roman"/>
          <w:i/>
          <w:szCs w:val="24"/>
        </w:rPr>
        <w:t>H</w:t>
      </w:r>
      <w:r w:rsidRPr="00B63CE4">
        <w:rPr>
          <w:rFonts w:cs="Times New Roman"/>
          <w:i/>
          <w:szCs w:val="24"/>
        </w:rPr>
        <w:t>ydrogeomorphic</w:t>
      </w:r>
      <w:proofErr w:type="spellEnd"/>
      <w:r w:rsidRPr="00B63CE4">
        <w:rPr>
          <w:rFonts w:cs="Times New Roman"/>
          <w:i/>
          <w:szCs w:val="24"/>
        </w:rPr>
        <w:t xml:space="preserve"> </w:t>
      </w:r>
      <w:r>
        <w:rPr>
          <w:rFonts w:cs="Times New Roman"/>
          <w:i/>
          <w:szCs w:val="24"/>
        </w:rPr>
        <w:t>p</w:t>
      </w:r>
      <w:r w:rsidRPr="00B63CE4">
        <w:rPr>
          <w:rFonts w:cs="Times New Roman"/>
          <w:i/>
          <w:szCs w:val="24"/>
        </w:rPr>
        <w:t>atch</w:t>
      </w:r>
      <w:r>
        <w:rPr>
          <w:rFonts w:cs="Times New Roman"/>
          <w:i/>
          <w:szCs w:val="24"/>
        </w:rPr>
        <w:t xml:space="preserve"> characteristics</w:t>
      </w:r>
    </w:p>
    <w:p w14:paraId="35A66B82" w14:textId="77777777" w:rsidR="00755451" w:rsidRDefault="00755451" w:rsidP="00755451">
      <w:pPr>
        <w:spacing w:line="480" w:lineRule="auto"/>
        <w:ind w:firstLine="720"/>
        <w:contextualSpacing/>
        <w:rPr>
          <w:rFonts w:cs="Times New Roman"/>
          <w:szCs w:val="24"/>
        </w:rPr>
      </w:pPr>
      <w:r>
        <w:rPr>
          <w:rFonts w:cs="Times New Roman"/>
          <w:szCs w:val="24"/>
        </w:rPr>
        <w:t xml:space="preserve">Although the river networks we studied differed in the suite of </w:t>
      </w:r>
      <w:proofErr w:type="spellStart"/>
      <w:r>
        <w:rPr>
          <w:rFonts w:cs="Times New Roman"/>
          <w:szCs w:val="24"/>
        </w:rPr>
        <w:t>hydrogeomorphic</w:t>
      </w:r>
      <w:proofErr w:type="spellEnd"/>
      <w:r>
        <w:rPr>
          <w:rFonts w:cs="Times New Roman"/>
          <w:szCs w:val="24"/>
        </w:rPr>
        <w:t xml:space="preserve"> variables that contributed to differentiation of HGP types, some variables were common among them. For example, soil </w:t>
      </w:r>
      <w:proofErr w:type="spellStart"/>
      <w:r>
        <w:rPr>
          <w:rFonts w:cs="Times New Roman"/>
          <w:szCs w:val="24"/>
        </w:rPr>
        <w:t>erodibility</w:t>
      </w:r>
      <w:proofErr w:type="spellEnd"/>
      <w:r>
        <w:rPr>
          <w:rFonts w:cs="Times New Roman"/>
          <w:szCs w:val="24"/>
        </w:rPr>
        <w:t xml:space="preserve"> contributed to differentiation HGP types in all river networks. This could suggest that these river networks have HGPs that receive relatively higher sediment loads from the adjacent terrestrial environment </w:t>
      </w:r>
      <w:r>
        <w:rPr>
          <w:rFonts w:cs="Times New Roman"/>
          <w:szCs w:val="24"/>
        </w:rPr>
        <w:fldChar w:fldCharType="begin" w:fldLock="1"/>
      </w:r>
      <w:r>
        <w:rPr>
          <w:rFonts w:cs="Times New Roman"/>
          <w:szCs w:val="24"/>
        </w:rPr>
        <w:instrText>ADDIN CSL_CITATION {"citationItems":[{"id":"ITEM-1","itemData":{"DOI":"10.1023/A:1003825813091","ISSN":"00188158","abstract":"Results obtained from erosion plots and catchment experiments provide clear evidence of the sensitivity of erosion rates to land use change and related human activity. Evidence for the impact of land use on the sediment yields of world rivers is less clear, although examples of rivers where sediment yields have both increased and decreased in recent decades can be identified. The apparent lack of sensitivity of river sediment loads to land use change reflects, at least in part, the buffering capacity associated with many river basins. This buffering capacity is closely related to the sediment delivery ratio of a river basin, in that basins with high sediment delivery ratios are likely to exhibit a reduced buffering capacity. Investigations of the impact of land use and related human activity on sediment yields should consider the overall sediment budget of a catchment rather than simply the sediment output. Information on the sediment budget of a drainage basin is difficult to assemble using traditional techniques, but recent developments in the application of fingerprinting techniques to establish sediment sources and in the use of environmental radionuclides, such as caesium-137 and lead-210, to document sediment storage offer considerable potential for providing such information. Sediment storage within a river basin can give rise to environmental problems where sediment-associated pollutants accumulate in sediment sinks. The accumulation of phosphorus on river floodplains as a result of overbank sedimentation can, for example, represent an important phosphorus sink.","author":[{"dropping-particle":"","family":"Walling","given":"D. E.","non-dropping-particle":"","parse-names":false,"suffix":""}],"container-title":"Hydrobiologia","id":"ITEM-1","issued":{"date-parts":[["1999"]]},"page":"223-240","title":"Linking land use, erosion and sediment yields in river basins","type":"article-journal","volume":"410"},"uris":["http://www.mendeley.com/documents/?uuid=0db3cbcf-7e43-4dfb-b635-cf45ccf875c3"]}],"mendeley":{"formattedCitation":"(Walling 1999)","plainTextFormattedCitation":"(Walling 1999)","previouslyFormattedCitation":"(Walling 1999)"},"properties":{"noteIndex":0},"schema":"https://github.com/citation-style-language/schema/raw/master/csl-citation.json"}</w:instrText>
      </w:r>
      <w:r>
        <w:rPr>
          <w:rFonts w:cs="Times New Roman"/>
          <w:szCs w:val="24"/>
        </w:rPr>
        <w:fldChar w:fldCharType="separate"/>
      </w:r>
      <w:r w:rsidRPr="00AC765F">
        <w:rPr>
          <w:rFonts w:cs="Times New Roman"/>
          <w:noProof/>
          <w:szCs w:val="24"/>
        </w:rPr>
        <w:t>(Walling 1999)</w:t>
      </w:r>
      <w:r>
        <w:rPr>
          <w:rFonts w:cs="Times New Roman"/>
          <w:szCs w:val="24"/>
        </w:rPr>
        <w:fldChar w:fldCharType="end"/>
      </w:r>
      <w:r>
        <w:rPr>
          <w:rFonts w:cs="Times New Roman"/>
          <w:szCs w:val="24"/>
        </w:rPr>
        <w:t xml:space="preserve">. Excess fine sediments can influence benthic macroinvertebrate communities which, because of their central position in aquatic food webs, could have implications for ecosystem processes </w:t>
      </w:r>
      <w:r>
        <w:rPr>
          <w:rFonts w:cs="Times New Roman"/>
          <w:szCs w:val="24"/>
        </w:rPr>
        <w:fldChar w:fldCharType="begin" w:fldLock="1"/>
      </w:r>
      <w:r>
        <w:rPr>
          <w:rFonts w:cs="Times New Roman"/>
          <w:szCs w:val="24"/>
        </w:rPr>
        <w:instrText>ADDIN CSL_CITATION {"citationItems":[{"id":"ITEM-1","itemData":{"DOI":"10.1016/j.ecolind.2016.02.009","ISSN":"1470160X","abstract":"Fine sediments in excess of natural background conditions are one of most globally common causes of stream degradation, with well documented impacts on aquatic communities. The lack of agreement on methods for monitoring fine sediments makes it difficult to share data, limiting assessments of stream conditions across jurisdictions. We present a model that circumvents these limitations by inferring fine sediments in Oregon streams through sampling of macroinvertebrates. Tolerances to fine sediments (&lt;0.06 mm diameter) were calculated for 240 macroinvertebrate taxa, from a calibration dataset of 446 sites across Oregon, as well as an independent validation dataset of 50 samples. Weighted averaging methods were used to infer fine sediment levels in streams by weighting the tolerances of modeled taxa observed in a sample by their abundances. The final model, the Biological Sediment Tolerance Index (BSTI), showed a strong relationship to measured fine sediments (calibration r2 = 0.49, validation r2 = 0.58). Root-mean-squared-error was small in the calibration dataset (2% fines), but larger in the validation dataset (14% fines). Repeatability was assessed by examining variability in BSTI at 14 sites across Oregon. Because field methods for sampling macroinvertebrates are standardized across resource agencies in Oregon and the responses of macroinvertebrates represent the actual effects of fine sediments on stream ecosystems, the BSTI may offer water resource managers' a cost-effective method for assessing fine sediment conditions in their ongoing efforts to improve water quality across the state.","author":[{"dropping-particle":"","family":"Hubler","given":"Shannon","non-dropping-particle":"","parse-names":false,"suffix":""},{"dropping-particle":"","family":"Huff","given":"David D.","non-dropping-particle":"","parse-names":false,"suffix":""},{"dropping-particle":"","family":"Edwards","given":"Patrick","non-dropping-particle":"","parse-names":false,"suffix":""},{"dropping-particle":"","family":"Pan","given":"Yangdong","non-dropping-particle":"","parse-names":false,"suffix":""}],"container-title":"Ecological Indicators","id":"ITEM-1","issued":{"date-parts":[["2016"]]},"page":"132-145","publisher":"Elsevier Ltd","title":"The Biological Sediment Tolerance Index: Assessing fine sediments conditions in Oregon streams using macroinvertebrates","type":"article-journal","volume":"67"},"uris":["http://www.mendeley.com/documents/?uuid=b6f89cfa-0c81-440a-8c82-a2ece3ff8249"]}],"mendeley":{"formattedCitation":"(Hubler et al. 2016)","plainTextFormattedCitation":"(Hubler et al. 2016)","previouslyFormattedCitation":"(Hubler et al. 2016)"},"properties":{"noteIndex":0},"schema":"https://github.com/citation-style-language/schema/raw/master/csl-citation.json"}</w:instrText>
      </w:r>
      <w:r>
        <w:rPr>
          <w:rFonts w:cs="Times New Roman"/>
          <w:szCs w:val="24"/>
        </w:rPr>
        <w:fldChar w:fldCharType="separate"/>
      </w:r>
      <w:r w:rsidRPr="006E7EB2">
        <w:rPr>
          <w:rFonts w:cs="Times New Roman"/>
          <w:noProof/>
          <w:szCs w:val="24"/>
        </w:rPr>
        <w:t>(Hubler et al. 2016)</w:t>
      </w:r>
      <w:r>
        <w:rPr>
          <w:rFonts w:cs="Times New Roman"/>
          <w:szCs w:val="24"/>
        </w:rPr>
        <w:fldChar w:fldCharType="end"/>
      </w:r>
      <w:r>
        <w:rPr>
          <w:rFonts w:cs="Times New Roman"/>
          <w:szCs w:val="24"/>
        </w:rPr>
        <w:t xml:space="preserve">. Considering most of the river networks we studied have HGP types characterized by soil </w:t>
      </w:r>
      <w:proofErr w:type="spellStart"/>
      <w:r>
        <w:rPr>
          <w:rFonts w:cs="Times New Roman"/>
          <w:szCs w:val="24"/>
        </w:rPr>
        <w:t>erodibility</w:t>
      </w:r>
      <w:proofErr w:type="spellEnd"/>
      <w:r>
        <w:rPr>
          <w:rFonts w:cs="Times New Roman"/>
          <w:szCs w:val="24"/>
        </w:rPr>
        <w:t xml:space="preserve">, it would be interesting to investigate if they also have similar benthic macroinvertebrate communities. Indeed the ecological functions of HGP may also depend on </w:t>
      </w:r>
      <w:r>
        <w:rPr>
          <w:rFonts w:cs="Times New Roman"/>
          <w:szCs w:val="24"/>
        </w:rPr>
        <w:lastRenderedPageBreak/>
        <w:t xml:space="preserve">intra- and inter-patch interactions </w:t>
      </w:r>
      <w:r>
        <w:rPr>
          <w:rFonts w:cs="Times New Roman"/>
          <w:szCs w:val="24"/>
        </w:rPr>
        <w:fldChar w:fldCharType="begin" w:fldLock="1"/>
      </w:r>
      <w:r>
        <w:rPr>
          <w:rFonts w:cs="Times New Roman"/>
          <w:szCs w:val="24"/>
        </w:rPr>
        <w:instrText>ADDIN CSL_CITATION {"citationItems":[{"id":"ITEM-1","itemData":{"abstract":"A common assumption historically in ecology isevident in the term \"balance of nature. \" The phrase usually implies that undisturbed nature is ordered and harmonious, and that ecological systems return to a previous equilibrium after disturbances. The more recent concepts of point equilibrium and static stability, which characterize the classical equilibrium paradigm in ecology, are traceable tothe assumptions implicitn \"balance of nature. \" The classical equilibrium view, however, has failed not only because equilibrium conditions are rare in nature, but also because of our past inability to incorporate heterogeneity and scale multiplicity into our quantitative expressions for stability. The theories and models built around thesequilibrium and stability principles have misrepresented the foundations ofresource management,ature conservation, and environmental protection. In this paper, we synthesize recent developments that advance our understandings of equilibrium vs. nonequilibrium, homogeneity vs. heterogeneity, determinism vs. stochasticity, andsingle-scale phenomenon vs. hierarchical linkages in ecological systems. The integration of patch dynamics with hierarchy theory has led to new perspectives in spatial and temporal dynamics, with explicit linkage between scale and heterogeneity. The major elements ofthe hierarchical ptch dynamics paradigm include the idea of nested hierarchies of patch mosaics, ecosystem dynamics as a composite ofpatch changes in time and space, the pattern-process-scale perspective, thenonequilibrium perspective, and the concepts of incorporation and metastability. Both environmental sochasticities and biotic feedback interactions can cause instability and contribute to the dynamics observed atvarious scales. Stabilizing mechanisms that dampen these destabilizingforces include spatial incorporation, environmental disturbances, biological compensatory mechanisms, and heterogeneity absorption. Hierarchical patch dynamics incorporates certain \"emergent properties\" of ecological systems, such as metastability or persistence at the meta-scale, as opposed to the transient dynamics that usually characterize localphenomena. I contrast to the stability that derivesfrom an assumed self-regulation in a closed system, the concepts ofincorporation andmetastability deal explicitly with multiple-scale processes and the consequences of heterogeneity. The most important contribution of hierarchical patch dynamics lies in theframework provided…","author":[{"dropping-particle":"","family":"Wu","given":"J","non-dropping-particle":"","parse-names":false,"suffix":""},{"dropping-particle":"","family":"Loucks","given":"Orie","non-dropping-particle":"","parse-names":false,"suffix":""}],"container-title":"The Quarterly Review of Biology","id":"ITEM-1","issue":"4","issued":{"date-parts":[["1995"]]},"note":"1. Introduction\n2. Balance of Nature and the Classical Ecological Paradigm\n3. Nonequilibrium and Muultiple Equilibrium Perspectives\n4. Hierarchical Patch Dynamics as an Emerging Paradigm\n4a. Patchiness in Ecological systems\n4b. The patch Dynamics Perspective\n4c. Hierarchy Theory \n4d. Major elements of the hierarchical parch dynamics paradigm\n-Ecological systems as nested, discontinuous hierarchies of patch modaics \n-Dynamics of ecological systems as a composite of patch dynamics\n-Pattern-process-scale perspective\n-The nonequilibrium perspective\n-incorporation and metastability \n4e. Patch dynamics modeling\n5. Instability and stability of ecological systems\n-Spatial incorporation of llocalized biotic feedback instability\n-Environmental disturbance control of biotic feedback instability\n-Biotic compensatory control of stochastic instability\n- Spatial incorporation fo stochastic instability\n-Absorbtion of ecological instability through heterogenity\n6.Discussions and Conclusions","page":"439-466","title":"From Balance of Nature to Hierarchical Patch Dynamics : A Paradigm Shift in Ecology","type":"article-journal","volume":"70"},"uris":["http://www.mendeley.com/documents/?uuid=b0210f41-8b80-4d83-b08c-114993d41482"]},{"id":"ITEM-2","itemData":{"DOI":"10.1002/rra.901","ISBN":"1535-1459","ISSN":"15351459","PMID":"19129508","abstract":"We propose an integrated, heuristic model of lotic biocomplexity across spatiotemporal scales from headwaters to large rivers. This riverine ecosystem synthesis (RES) provides a framework for understanding both broad, often discontinuous patterns along longitudinal and lateral dimensions of river networks and local ecological patterns across various temporal and smaller spatial scales. Rather than posing a completely new model, we arrange a conceptual marriage of eco-geomorphology (ecological aspects of fluvial geomorphology) with a terrestrial landscape model describing hierarchical patch dynamics. We modify five components of this terrestrial model for lotic ecosystems: (1) nested, discontinuous hierarchies of patch mosaics; (2) ecosystem dynamics as a composite of intra- and inter-patch dynamics; (3) linked patterns and processes; (4) dominance of non-equilibria] and stochastic processes; and (5) formation of a quasi-equilibrial, metastable state. Our conceptual model blends our perspectives on biocomplexity with aspects of aquatic models proposed from 1980-2004. Contrasting with a common view of rivers as continuous, longitudinal gradients in physical conditions, the RES portrays rivers as downstream arrays of large hydrogeomorphic patches (e.g. constricted, braided and floodplain channel areas) formed by catchment geomorphology and climate. The longitudinal distribution of these patches, which are identifiable using standard geomorphic techniques, varies amongst rivers and is difficult to forecast above ecoregional scales. Some types of hydrogeomorphic patches may reoccur along this downstream passage. Unique ecological 'functional process zones' are formed by individual types of hydrogeomorphic patches because of physiochemical habitat differences which affect ecosystem structure and function. The RES currently includes 14 tenets predicting how patterns of individual species distributions, community regulation, lotic ecosystem processes, and floodplain interactions will vary over spatiotemporal scales, especially as they relate to the functional process zones formed by hydrogeomorphic differences in the river network. Copyright (C) 2006 John Wiley &amp; Sons, Ltd.","author":[{"dropping-particle":"","family":"Thorp","given":"James H.","non-dropping-particle":"","parse-names":false,"suffix":""},{"dropping-particle":"","family":"Thoms","given":"Martin C.","non-dropping-particle":"","parse-names":false,"suffix":""},{"dropping-particle":"","family":"Delong","given":"Michael D.","non-dropping-particle":"","parse-names":false,"suffix":""}],"container-title":"River Research and Applications","id":"ITEM-2","issue":"2","issued":{"date-parts":[["2006"]]},"note":"1. Historical Perspectives and Philosophical Foundation\n2. Elements of the Riverscape and Riverine Landscape\n3. Do patterns exist along a longitudinal dimension in river networks\n3a.Historicall perspectives on continua within rivernetwork\n3b.hydrogeomorphic patches and associated functional process zones\n4. Hierarchical patch dynamics model - bried descrtiption\n5. applying the hierarchical patch dynamics model to lotic ecosystems\n5a. Selective spatiotemporal scales\n5b. Element 1: nested discontinuous hierarchies of patch mosaics\n5c. Element 2: ecosystem dynamics as a composite of intra- and inter-patch dynamics\n5d. Element 3: linked patterns and processes\n5e. Element 4: Dominance of non-equilibrium and stochastic processes\n5f. Element 5: Formation of a quasi-equilibrial, metastable state\n6. A contribution to conceptual cohesiveness in lotic models \n6a. Distribution of species \n6.aa. Model Tenent 1\n6ab. model tenet 2\n6ac. Model tenet 3\n6ad. Model tenet 4\n6b. Community regulation \n6ba. model tenet 5\n6bb. model tenet 6\n6bc. model tenet 7\n6bd. model tenet 8\n6c. River and riverine landscape processes\n6ca. model tenet 9\n6cb model tenet 10","page":"123-147","title":"The riverine ecosystem synthesis: Biocomplexity in river networks across space and time","type":"article-journal","volume":"22"},"uris":["http://www.mendeley.com/documents/?uuid=2dcdf750-a9d5-46e6-b390-b3cf33588523"]}],"mendeley":{"formattedCitation":"(Wu and Loucks 1995; Thorp et al. 2006)","plainTextFormattedCitation":"(Wu and Loucks 1995; Thorp et al. 2006)","previouslyFormattedCitation":"(Wu and Loucks 1995, Thorp et al. 2006)"},"properties":{"noteIndex":0},"schema":"https://github.com/citation-style-language/schema/raw/master/csl-citation.json"}</w:instrText>
      </w:r>
      <w:r>
        <w:rPr>
          <w:rFonts w:cs="Times New Roman"/>
          <w:szCs w:val="24"/>
        </w:rPr>
        <w:fldChar w:fldCharType="separate"/>
      </w:r>
      <w:r w:rsidRPr="0047668E">
        <w:rPr>
          <w:rFonts w:cs="Times New Roman"/>
          <w:noProof/>
          <w:szCs w:val="24"/>
        </w:rPr>
        <w:t>(Wu and Loucks 1995; Thorp et al. 2006)</w:t>
      </w:r>
      <w:r>
        <w:rPr>
          <w:rFonts w:cs="Times New Roman"/>
          <w:szCs w:val="24"/>
        </w:rPr>
        <w:fldChar w:fldCharType="end"/>
      </w:r>
      <w:r>
        <w:rPr>
          <w:rFonts w:cs="Times New Roman"/>
          <w:szCs w:val="24"/>
        </w:rPr>
        <w:t xml:space="preserve"> and rarely, did we find two networks share the same suite of </w:t>
      </w:r>
      <w:proofErr w:type="spellStart"/>
      <w:r>
        <w:rPr>
          <w:rFonts w:cs="Times New Roman"/>
          <w:szCs w:val="24"/>
        </w:rPr>
        <w:t>hydrogeomorphic</w:t>
      </w:r>
      <w:proofErr w:type="spellEnd"/>
      <w:r>
        <w:rPr>
          <w:rFonts w:cs="Times New Roman"/>
          <w:szCs w:val="24"/>
        </w:rPr>
        <w:t xml:space="preserve"> variables. Thus, although some HGP types may be similar among river networks, they likely contain other HGP that differ. Another interesting avenue for future investigation could be to consider effect of “</w:t>
      </w:r>
      <w:proofErr w:type="spellStart"/>
      <w:r>
        <w:rPr>
          <w:rFonts w:cs="Times New Roman"/>
          <w:szCs w:val="24"/>
        </w:rPr>
        <w:t>hydrogeomorphic</w:t>
      </w:r>
      <w:proofErr w:type="spellEnd"/>
      <w:r>
        <w:rPr>
          <w:rFonts w:cs="Times New Roman"/>
          <w:szCs w:val="24"/>
        </w:rPr>
        <w:t xml:space="preserve"> context” on the ecological processes occurring within an HGP. </w:t>
      </w:r>
    </w:p>
    <w:p w14:paraId="4C772E4C" w14:textId="77777777" w:rsidR="00755451" w:rsidRDefault="00755451" w:rsidP="00755451">
      <w:pPr>
        <w:spacing w:line="480" w:lineRule="auto"/>
        <w:ind w:firstLine="720"/>
        <w:contextualSpacing/>
        <w:rPr>
          <w:rFonts w:cs="Times New Roman"/>
          <w:szCs w:val="24"/>
        </w:rPr>
      </w:pPr>
    </w:p>
    <w:p w14:paraId="1337EBCF" w14:textId="77777777" w:rsidR="00755451" w:rsidRPr="00266463" w:rsidRDefault="00755451" w:rsidP="00755451">
      <w:pPr>
        <w:spacing w:line="480" w:lineRule="auto"/>
        <w:contextualSpacing/>
        <w:rPr>
          <w:rFonts w:cs="Times New Roman"/>
          <w:i/>
          <w:szCs w:val="24"/>
        </w:rPr>
      </w:pPr>
      <w:r w:rsidRPr="00266463">
        <w:rPr>
          <w:rFonts w:cs="Times New Roman"/>
          <w:i/>
          <w:szCs w:val="24"/>
        </w:rPr>
        <w:t>Limitations</w:t>
      </w:r>
      <w:r>
        <w:rPr>
          <w:rFonts w:cs="Times New Roman"/>
          <w:i/>
          <w:szCs w:val="24"/>
        </w:rPr>
        <w:t xml:space="preserve"> and caveats</w:t>
      </w:r>
    </w:p>
    <w:p w14:paraId="635E21A3" w14:textId="77777777" w:rsidR="00755451" w:rsidRDefault="00755451" w:rsidP="00755451">
      <w:pPr>
        <w:spacing w:line="480" w:lineRule="auto"/>
        <w:ind w:firstLine="720"/>
        <w:contextualSpacing/>
        <w:rPr>
          <w:rFonts w:cs="Times New Roman"/>
          <w:szCs w:val="24"/>
        </w:rPr>
      </w:pPr>
      <w:r>
        <w:rPr>
          <w:rFonts w:cs="Times New Roman"/>
          <w:szCs w:val="24"/>
        </w:rPr>
        <w:t xml:space="preserve">Hydrologic, geomorphologic and climatic characteristics can be readily calculated with GIS-based approaches </w:t>
      </w:r>
      <w:r>
        <w:rPr>
          <w:rFonts w:cs="Times New Roman"/>
          <w:szCs w:val="24"/>
        </w:rPr>
        <w:fldChar w:fldCharType="begin" w:fldLock="1"/>
      </w:r>
      <w:r>
        <w:rPr>
          <w:rFonts w:cs="Times New Roman"/>
          <w:szCs w:val="24"/>
        </w:rPr>
        <w:instrText>ADDIN CSL_CITATION {"citationItems":[{"id":"ITEM-1","itemData":{"DOI":"10.1007/s10661-013-3114-6","ISBN":"01676369 (ISSN)","ISSN":"01676369","PMID":"23435849","abstract":"River systems consist of hydrogeomorphic patches (HPs) that emerge at multiple spatiotemporal scales. Functional process zones (FPZs) are HPs that exist at the river valley scale and are important strata for framing whole-watershed research questions and management plans. Hierarchical classification procedures aid in HP identification by grouping sections of river based on their hydrogeomorphic character; however, collecting data required for such procedures with field-based methods is often impractical. We developed a set of GIS-based tools that facilitate rapid, low cost riverine landscape characterization and FPZ classification. Our tools, termed RESonate, consist of a custom toolbox designed for ESRI ArcGIS®. RESonate automatically extracts 13 hydrogeomorphic variables from readily available geospatial datasets and datasets derived from modeling procedures. An advanced 2D flood model, FLDPLN, designed for MATLAB® is used to determine valley morphology by systematically flooding river networks. When used in conjunction with other modeling procedures, RESonate and FLDPLN can assess the character of large river networks quickly and at very low costs. Here we describe tool and model functions in addition to their benefits, limitations, and applications.","author":[{"dropping-particle":"","family":"Williams","given":"Bradley S.","non-dropping-particle":"","parse-names":false,"suffix":""},{"dropping-particle":"","family":"D'Amico","given":"Ellen","non-dropping-particle":"","parse-names":false,"suffix":""},{"dropping-particle":"","family":"Kastens","given":"Jude H.","non-dropping-particle":"","parse-names":false,"suffix":""},{"dropping-particle":"","family":"Thorp","given":"James H.","non-dropping-particle":"","parse-names":false,"suffix":""},{"dropping-particle":"","family":"Flotemersch","given":"Joseph E.","non-dropping-particle":"","parse-names":false,"suffix":""},{"dropping-particle":"","family":"Thoms","given":"Martin C.","non-dropping-particle":"","parse-names":false,"suffix":""}],"container-title":"Environmental Monitoring and Assessment","id":"ITEM-1","issue":"9","issued":{"date-parts":[["2013"]]},"page":"7485-7499","title":"Automated riverine landscape characterization: GIS-based tools for watershed-scale research, assessment, and management","type":"article-journal","volume":"185"},"uris":["http://www.mendeley.com/documents/?uuid=3254c308-8690-4f1e-9f21-0bbb7355c4fb"]},{"id":"ITEM-2","itemData":{"DOI":"10.1111/1752-1688.12649","ISSN":"17521688","abstract":"Fluvial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Association","id":"ITEM-2","issue":"4","issued":{"date-parts":[["2018"]]},"page":"899-913","title":"Characterization of River Networks: A GIS Approach and Its Applications","type":"article-journal","volume":"54"},"uris":["http://www.mendeley.com/documents/?uuid=f71918bb-cdf0-435d-99e7-f9c3eaae3114"]}],"mendeley":{"formattedCitation":"(Williams et al. 2013; Thoms et al. 2018)","plainTextFormattedCitation":"(Williams et al. 2013; Thoms et al. 2018)","previouslyFormattedCitation":"(Williams et al. 2013,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(Williams et al. 2013; Thoms et al. 2018)</w:t>
      </w:r>
      <w:r>
        <w:rPr>
          <w:rFonts w:cs="Times New Roman"/>
          <w:szCs w:val="24"/>
        </w:rPr>
        <w:fldChar w:fldCharType="end"/>
      </w:r>
      <w:r>
        <w:rPr>
          <w:rFonts w:cs="Times New Roman"/>
          <w:szCs w:val="24"/>
        </w:rPr>
        <w:t>. For this study, we created a suite of scripts using Program R</w:t>
      </w:r>
      <w:r w:rsidRPr="00331684">
        <w:t xml:space="preserve"> </w:t>
      </w:r>
      <w:r>
        <w:t>(</w:t>
      </w:r>
      <w:hyperlink r:id="rId39" w:history="1">
        <w:r w:rsidRPr="008F21F0">
          <w:rPr>
            <w:rStyle w:val="Hyperlink"/>
            <w:rFonts w:cs="Times New Roman"/>
            <w:szCs w:val="24"/>
          </w:rPr>
          <w:t>https://www.r-project.org/</w:t>
        </w:r>
      </w:hyperlink>
      <w:r>
        <w:rPr>
          <w:rFonts w:cs="Times New Roman"/>
          <w:szCs w:val="24"/>
        </w:rPr>
        <w:t>) to eliminate dependencies on proprietary software (e.g. ArcGIS, ESRI, Redlands, CA).</w:t>
      </w:r>
      <w:r w:rsidRPr="00580D5B">
        <w:rPr>
          <w:rFonts w:cs="Times New Roman"/>
          <w:szCs w:val="24"/>
        </w:rPr>
        <w:t xml:space="preserve"> </w:t>
      </w:r>
      <w:r>
        <w:rPr>
          <w:rFonts w:cs="Times New Roman"/>
          <w:szCs w:val="24"/>
        </w:rPr>
        <w:t xml:space="preserve">We also designed these scripts to depend exclusively on the High Resolution National Hydrography Dataset to facilitate large scale, comparative analyses across the CONUS </w:t>
      </w:r>
      <w:r>
        <w:rPr>
          <w:rFonts w:cs="Times New Roman"/>
          <w:szCs w:val="24"/>
        </w:rPr>
        <w:fldChar w:fldCharType="begin" w:fldLock="1"/>
      </w:r>
      <w:r>
        <w:rPr>
          <w:rFonts w:cs="Times New Roman"/>
          <w:szCs w:val="24"/>
        </w:rPr>
        <w:instrText>ADDIN CSL_CITATION {"citationItems":[{"id":"ITEM-1","itemData":{"DOI":"https://doi.org/10.3133/ofr20191096","author":[{"dropping-particle":"","family":"Moore","given":"Richard B.","non-dropping-particle":"","parse-names":false,"suffix":""},{"dropping-particle":"","family":"McKay","given":"Lucinda","non-dropping-particle":"","parse-names":false,"suffix":""},{"dropping-particle":"","family":"Rea","given":"Alan","non-dropping-particle":"","parse-names":false,"suffix":""},{"dropping-particle":"","family":"Bondelid","given":"Timothy","non-dropping-particle":"","parse-names":false,"suffix":""},{"dropping-particle":"","family":"Price","given":"Curtis","non-dropping-particle":"","parse-names":false,"suffix":""},{"dropping-particle":"","family":"Dewald","given":"Thomas","non-dropping-particle":"","parse-names":false,"suffix":""},{"dropping-particle":"","family":"Johnston","given":"Charles","non-dropping-particle":"","parse-names":false,"suffix":""}],"container-title":"U.S. Geological Survey","id":"ITEM-1","issued":{"date-parts":[["2019"]]},"page":"66","title":"User's guide for the national hydrography dataset plus (NHDPlus) high resolution","type":"article-journal","volume":"2019-1096"},"uris":["http://www.mendeley.com/documents/?uuid=e8995e55-f4a3-4cc4-95b6-6c4797a5236e"]}],"mendeley":{"formattedCitation":"(Moore et al. 2019)","plainTextFormattedCitation":"(Moore et al. 2019)","previouslyFormattedCitation":"(Moore et al. 2019)"},"properties":{"noteIndex":0},"schema":"https://github.com/citation-style-language/schema/raw/master/csl-citation.json"}</w:instrText>
      </w:r>
      <w:r>
        <w:rPr>
          <w:rFonts w:cs="Times New Roman"/>
          <w:szCs w:val="24"/>
        </w:rPr>
        <w:fldChar w:fldCharType="separate"/>
      </w:r>
      <w:r w:rsidRPr="00181B5E">
        <w:rPr>
          <w:rFonts w:cs="Times New Roman"/>
          <w:noProof/>
          <w:szCs w:val="24"/>
        </w:rPr>
        <w:t>(Moore et al. 2019)</w:t>
      </w:r>
      <w:r>
        <w:rPr>
          <w:rFonts w:cs="Times New Roman"/>
          <w:szCs w:val="24"/>
        </w:rPr>
        <w:fldChar w:fldCharType="end"/>
      </w:r>
      <w:r>
        <w:rPr>
          <w:rFonts w:cs="Times New Roman"/>
          <w:szCs w:val="24"/>
        </w:rPr>
        <w:t>. However, the major limitation with this approach is that it can take several weeks of processing and is potentially limited to river networks &lt; 5,000 km</w:t>
      </w:r>
      <w:r w:rsidRPr="007C3D12">
        <w:rPr>
          <w:rFonts w:cs="Times New Roman"/>
          <w:szCs w:val="24"/>
          <w:vertAlign w:val="superscript"/>
        </w:rPr>
        <w:t>2</w:t>
      </w:r>
      <w:r>
        <w:rPr>
          <w:rFonts w:cs="Times New Roman"/>
          <w:szCs w:val="24"/>
        </w:rPr>
        <w:t xml:space="preserve"> because of computational demands. Further, given the scale of our study it was not feasible to ground-truth the accuracy the GIS-based variables. Still, we followed a similar approach to others that found GIS-derived variables can produce similar results to empirical field-based measures </w:t>
      </w:r>
      <w:r>
        <w:rPr>
          <w:rFonts w:cs="Times New Roman"/>
          <w:szCs w:val="24"/>
        </w:rPr>
        <w:fldChar w:fldCharType="begin" w:fldLock="1"/>
      </w:r>
      <w:r>
        <w:rPr>
          <w:rFonts w:cs="Times New Roman"/>
          <w:szCs w:val="24"/>
        </w:rPr>
        <w:instrText>ADDIN CSL_CITATION {"citationItems":[{"id":"ITEM-1","itemData":{"DOI":"10.1111/1752-1688.12649","ISSN":"17521688","abstract":"Fluvial geomorphology provides the basis for characterizing complex river networks and evaluating biophysical processes within watersheds. Understanding the spatial organization of morphological features, their influencing processes, and resultant geomorphic diversity in stream networks are important for efficient restoration, river health assessment, and improving our knowledge of the resilience of riverine landscapes. River characterization is a means to determine the biophysical character of river networks but many methods are fraught with pitfalls, such as the use of incorrect variables and limited acknowledgment of the hierarchical organization of rivers. In this paper, a top-down geographic information system-based approach for determining the physical typology of river networks is outlined. A suite of multivariate analyses are used to develop a nomenclature for functional process zones (FPZs) — large tracts of the river network with similar hydro-geomorphological character. Applied to the Little Miami River, Ohio, six distinct FPZs emerged, which had a nonuniform distribution along the river network. Some FPZs repeated downstream; others were rare in terms of total length and number of FPZ segments. The physical structure of the Little Miami River network was analyzed using a series of community metrics. Application of this approach for river monitoring, establishing reference conditions, as well as management of threatened and endangered species and asset trading is highlighted. © 2018 American Water Resources Association","author":[{"dropping-particle":"","family":"Thoms","given":"Martin","non-dropping-particle":"","parse-names":false,"suffix":""},{"dropping-particle":"","family":"Scown","given":"Murray","non-dropping-particle":"","parse-names":false,"suffix":""},{"dropping-particle":"","family":"Flotemersch","given":"Joseph","non-dropping-particle":"","parse-names":false,"suffix":""}],"container-title":"Journal of the American Water Resources Association","id":"ITEM-1","issue":"4","issued":{"date-parts":[["2018"]]},"page":"899-913","title":"Characterization of River Networks: A GIS Approach and Its Applications","type":"article-journal","volume":"54"},"uris":["http://www.mendeley.com/documents/?uuid=f71918bb-cdf0-435d-99e7-f9c3eaae3114"]},{"id":"ITEM-2","itemData":{"DOI":"10.1007/s10661-013-3114-6","ISBN":"01676369 (ISSN)","ISSN":"01676369","PMID":"23435849","abstract":"River systems consist of hydrogeomorphic patches (HPs) that emerge at multiple spatiotemporal scales. Functional process zones (FPZs) are HPs that exist at the river valley scale and are important strata for framing whole-watershed research questions and management plans. Hierarchical classification procedures aid in HP identification by grouping sections of river based on their hydrogeomorphic character; however, collecting data required for such procedures with field-based methods is often impractical. We developed a set of GIS-based tools that facilitate rapid, low cost riverine landscape characterization and FPZ classification. Our tools, termed RESonate, consist of a custom toolbox designed for ESRI ArcGIS®. RESonate automatically extracts 13 hydrogeomorphic variables from readily available geospatial datasets and datasets derived from modeling procedures. An advanced 2D flood model, FLDPLN, designed for MATLAB® is used to determine valley morphology by systematically flooding river networks. When used in conjunction with other modeling procedures, RESonate and FLDPLN can assess the character of large river networks quickly and at very low costs. Here we describe tool and model functions in addition to their benefits, limitations, and applications.","author":[{"dropping-particle":"","family":"Williams","given":"Bradley S.","non-dropping-particle":"","parse-names":false,"suffix":""},{"dropping-particle":"","family":"D'Amico","given":"Ellen","non-dropping-particle":"","parse-names":false,"suffix":""},{"dropping-particle":"","family":"Kastens","given":"Jude H.","non-dropping-particle":"","parse-names":false,"suffix":""},{"dropping-particle":"","family":"Thorp","given":"James H.","non-dropping-particle":"","parse-names":false,"suffix":""},{"dropping-particle":"","family":"Flotemersch","given":"Joseph E.","non-dropping-particle":"","parse-names":false,"suffix":""},{"dropping-particle":"","family":"Thoms","given":"Martin C.","non-dropping-particle":"","parse-names":false,"suffix":""}],"container-title":"Environmental Monitoring and Assessment","id":"ITEM-2","issue":"9","issued":{"date-parts":[["2013"]]},"page":"7485-7499","title":"Automated riverine landscape characterization: GIS-based tools for watershed-scale research, assessment, and management","type":"article-journal","volume":"185"},"uris":["http://www.mendeley.com/documents/?uuid=3254c308-8690-4f1e-9f21-0bbb7355c4fb"]},{"id":"ITEM-3","itemData":{"author":[{"dropping-particle":"","family":"Thorp","given":"James","non-dropping-particle":"","parse-names":false,"suffix":""},{"dropping-particle":"","family":"Thoms","given":"Martin","non-dropping-particle":"","parse-names":false,"suffix":""},{"dropping-particle":"","family":"Michael","given":"Delong","non-dropping-particle":"","parse-names":false,"suffix":""}],"id":"ITEM-3","issued":{"date-parts":[["2008"]]},"publisher":"Elsevier","publisher-place":"Oxford, UK","title":"The Riverine Ecosystem Synthesis: towards a conceptual cohesiveness in river science","type":"book"},"uris":["http://www.mendeley.com/documents/?uuid=bf5c1462-dad3-4b43-90d3-740fa13c70cf"]}],"mendeley":{"formattedCitation":"(Thorp et al. 2008; Williams et al. 2013; Thoms et al. 2018)","plainTextFormattedCitation":"(Thorp et al. 2008; Williams et al. 2013; Thoms et al. 2018)","previouslyFormattedCitation":"(Thorp et al. 2008, Williams et al. 2013, Thoms et al. 2018)"},"properties":{"noteIndex":0},"schema":"https://github.com/citation-style-language/schema/raw/master/csl-citation.json"}</w:instrText>
      </w:r>
      <w:r>
        <w:rPr>
          <w:rFonts w:cs="Times New Roman"/>
          <w:szCs w:val="24"/>
        </w:rPr>
        <w:fldChar w:fldCharType="separate"/>
      </w:r>
      <w:r w:rsidRPr="0047668E">
        <w:rPr>
          <w:rFonts w:cs="Times New Roman"/>
          <w:noProof/>
          <w:szCs w:val="24"/>
        </w:rPr>
        <w:t>(Thorp et al. 2008; Williams et al. 2013; Thoms et al. 2018)</w:t>
      </w:r>
      <w:r>
        <w:rPr>
          <w:rFonts w:cs="Times New Roman"/>
          <w:szCs w:val="24"/>
        </w:rPr>
        <w:fldChar w:fldCharType="end"/>
      </w:r>
      <w:r>
        <w:rPr>
          <w:rFonts w:cs="Times New Roman"/>
          <w:szCs w:val="24"/>
        </w:rPr>
        <w:t xml:space="preserve">. </w:t>
      </w:r>
    </w:p>
    <w:p w14:paraId="2D3D6852" w14:textId="77777777" w:rsidR="00755451" w:rsidRDefault="00755451" w:rsidP="00755451">
      <w:pPr>
        <w:spacing w:line="480" w:lineRule="auto"/>
        <w:ind w:firstLine="720"/>
        <w:contextualSpacing/>
        <w:rPr>
          <w:rFonts w:cs="Times New Roman"/>
          <w:szCs w:val="24"/>
        </w:rPr>
      </w:pPr>
      <w:r>
        <w:rPr>
          <w:rFonts w:cs="Times New Roman"/>
          <w:szCs w:val="24"/>
        </w:rPr>
        <w:t xml:space="preserve">The choice of the landscape metrics used to quantify spatial pattern should be ecologically justified and may differ depending on the goals of a study </w:t>
      </w:r>
      <w:r>
        <w:rPr>
          <w:rFonts w:cs="Times New Roman"/>
          <w:szCs w:val="24"/>
        </w:rPr>
        <w:fldChar w:fldCharType="begin" w:fldLock="1"/>
      </w:r>
      <w:r>
        <w:rPr>
          <w:rFonts w:cs="Times New Roman"/>
          <w:szCs w:val="24"/>
        </w:rPr>
        <w:instrText>ADDIN CSL_CITATION {"citationItems":[{"id":"ITEM-1","itemData":{"DOI":"10.1023/B:LAND.0000030441.15628.d6","ISBN":"0921-2973","ISSN":"09212973","PMID":"3038","abstract":"Landscape ecology has generated much excitement in the past two decades. One reason was that it brought spatial analysis and modeling to the forefront of ecological research. However, high expectations for landscape analysis to improve our understanding and prediction of ecological processes have largely been unfulfilled. We identified three kinds of critical issues: conceptual flaws in landscape pattern analysis, inherent limitations of landscape indices, and improper use of pattern indices. For example, many landscape analyses treat quantitative description of spatial pattern as an end itself and fail to explore relationships between pattern and process. Landscape indices and map data are sometimes used without testing their ecological relevance, which may not only confound interpretation of results, but also lead to meaningless results. In addition, correlation analysis with indices is impeded by the lack of data because of difficulties in large-scale experimentation and by complicated behavior of indices because of their varying responses to changes in scale and spatial pattern. These problems represent significant challenges to landscape pattern analysis, especially in terms of relating pattern to process. In this perspective paper, we examine the underlying problems of these challenges and offer some solutions.","author":[{"dropping-particle":"","family":"Li","given":"Harbin","non-dropping-particle":"","parse-names":false,"suffix":""},{"dropping-particle":"","family":"Wu","given":"Jianguo","non-dropping-particle":"","parse-names":false,"suffix":""}],"container-title":"Landscape Ecology","id":"ITEM-1","issue":"4","issued":{"date-parts":[["2004"]]},"page":"389-399","title":"Use and misuse of landscape indices","type":"article-journal","volume":"19"},"uris":["http://www.mendeley.com/documents/?uuid=64d3b762-90cc-4033-88f2-b42d50197e9f"]}],"mendeley":{"formattedCitation":"(Li and Wu 2004)","plainTextFormattedCitation":"(Li and Wu 2004)","previouslyFormattedCitation":"(Li and Wu 2004)"},"properties":{"noteIndex":0},"schema":"https://github.com/citation-style-language/schema/raw/master/csl-citation.json"}</w:instrText>
      </w:r>
      <w:r>
        <w:rPr>
          <w:rFonts w:cs="Times New Roman"/>
          <w:szCs w:val="24"/>
        </w:rPr>
        <w:fldChar w:fldCharType="separate"/>
      </w:r>
      <w:r w:rsidRPr="007C6440">
        <w:rPr>
          <w:rFonts w:cs="Times New Roman"/>
          <w:noProof/>
          <w:szCs w:val="24"/>
        </w:rPr>
        <w:t>(Li and Wu 2004)</w:t>
      </w:r>
      <w:r>
        <w:rPr>
          <w:rFonts w:cs="Times New Roman"/>
          <w:szCs w:val="24"/>
        </w:rPr>
        <w:fldChar w:fldCharType="end"/>
      </w:r>
      <w:r>
        <w:rPr>
          <w:rFonts w:cs="Times New Roman"/>
          <w:szCs w:val="24"/>
        </w:rPr>
        <w:t xml:space="preserve">. There are literally hundreds of landscape metrics and many each respond differently to scale </w:t>
      </w:r>
      <w:r>
        <w:rPr>
          <w:rFonts w:cs="Times New Roman"/>
          <w:szCs w:val="24"/>
        </w:rPr>
        <w:fldChar w:fldCharType="begin" w:fldLock="1"/>
      </w:r>
      <w:r>
        <w:rPr>
          <w:rFonts w:cs="Times New Roman"/>
          <w:szCs w:val="24"/>
        </w:rPr>
        <w:instrText>ADDIN CSL_CITATION {"citationItems":[{"id":"ITEM-1","itemData":{"author":[{"dropping-particle":"","family":"McGarigal","given":"K.","non-dropping-particle":"","parse-names":false,"suffix":""},{"dropping-particle":"","family":"Cushman","given":"SA","non-dropping-particle":"","parse-names":false,"suffix":""},{"dropping-particle":"","family":"Ene","given":"E","non-dropping-particle":"","parse-names":false,"suffix":""}],"id":"ITEM-1","issued":{"date-parts":[["2012"]]},"title":"FRAGSTATS v4: Spatial Pattern Analysis Program for Categorical and Continuous Maps.","type":"article"},"uris":["http://www.mendeley.com/documents/?uuid=5bdf9438-dcbf-4746-8db7-5f3f59aed82d"]},{"id":"ITEM-2","itemData":{"DOI":"10.1016/j.apgeog.2012.01.003","ISSN":"01436228","abstract":"Various landscape metrics have been used in the past to provide a quantitative description of landscape structure. Many authors have pointed out that the scale of the input data and the scale of the analysis must be coherent in order to calculate and interpret landscape metrics correctly. The issue of scaling is related to the grain size (pixel size), or the minimum mapping unit, and the extent of the study area. Recently, it has been demonstrated that the thematic resolution also influences the values of landscape metrics. The responses of landscape metrics to changes in the spatial extent, grain size and thematic resolution of landscapes has therefore become an important topic in landscape ecology studies in recent decades due to advances in computer technology. Several reviews have discussed the utilization of indices in landscape ecology and ecological research. However, there is no overview of the sensitivities of the various indices to either spatial or thematic scaling, and there are no recommendations available concerning the use of indices with reference to these types of scaling. In this study, we review the behavior of the indices commonly used for quantifying landscape structure. We assess the effects of changes in the spatial and thematic scales on the values of these indices and suggest directions for further research on the behaviors of these indices. Based on this review, we conclude that simple and easily interpretable indices with predictable reactions to changes in scale, e.g., the number of patches (NP), patch density (PD), edge density (ED), patch richness (PR), and mean patch size (MPS) of the landscape, are the most suitable indices to use for the assessment of landscape structure.","author":[{"dropping-particle":"","family":"Šímová","given":"Petra","non-dropping-particle":"","parse-names":false,"suffix":""},{"dropping-particle":"","family":"Gdulová","given":"Kateřina","non-dropping-particle":"","parse-names":false,"suffix":""}],"container-title":"Applied Geography","id":"ITEM-2","issued":{"date-parts":[["2012"]]},"page":"385-394","title":"Landscape indices behavior: A review of scale effects","type":"article-journal","volume":"34"},"uris":["http://www.mendeley.com/documents/?uuid=ad11e540-3277-4a6b-8d00-741267e05f72"]}],"mendeley":{"formattedCitation":"(McGarigal et al. 2012; Šímová and Gdulová 2012)","plainTextFormattedCitation":"(McGarigal et al. 2012; Šímová and Gdulová 2012)","previouslyFormattedCitation":"(McGarigal et al. 2012, Šímová and Gdulová 2012)"},"properties":{"noteIndex":0},"schema":"https://github.com/citation-style-language/schema/raw/master/csl-citation.json"}</w:instrText>
      </w:r>
      <w:r>
        <w:rPr>
          <w:rFonts w:cs="Times New Roman"/>
          <w:szCs w:val="24"/>
        </w:rPr>
        <w:fldChar w:fldCharType="separate"/>
      </w:r>
      <w:r w:rsidRPr="0047668E">
        <w:rPr>
          <w:rFonts w:cs="Times New Roman"/>
          <w:noProof/>
          <w:szCs w:val="24"/>
        </w:rPr>
        <w:t>(McGarigal et al. 2012; Šímová and Gdulová 2012)</w:t>
      </w:r>
      <w:r>
        <w:rPr>
          <w:rFonts w:cs="Times New Roman"/>
          <w:szCs w:val="24"/>
        </w:rPr>
        <w:fldChar w:fldCharType="end"/>
      </w:r>
      <w:r>
        <w:rPr>
          <w:rFonts w:cs="Times New Roman"/>
          <w:szCs w:val="24"/>
        </w:rPr>
        <w:t xml:space="preserve">. We found scaling relationships vary among </w:t>
      </w:r>
      <w:r>
        <w:rPr>
          <w:rFonts w:cs="Times New Roman"/>
          <w:szCs w:val="24"/>
        </w:rPr>
        <w:lastRenderedPageBreak/>
        <w:t xml:space="preserve">different river networks, but we only considered four metrics. Evaluating a larger number of metrics will improve our ability to draw general conclusions about differences in the behavior of composition versus configuration metrics. Because there are few landscape metrics that can be adapted to, or are suitable for, riverine landscapes </w:t>
      </w:r>
      <w:r>
        <w:rPr>
          <w:rFonts w:cs="Times New Roman"/>
          <w:szCs w:val="24"/>
        </w:rPr>
        <w:fldChar w:fldCharType="begin" w:fldLock="1"/>
      </w:r>
      <w:r>
        <w:rPr>
          <w:rFonts w:cs="Times New Roman"/>
          <w:szCs w:val="24"/>
        </w:rPr>
        <w:instrText>ADDIN CSL_CITATION {"citationItems":[{"id":"ITEM-1","itemData":{"DOI":"10.1111/fwb.12645","ISSN":"00465070","author":[{"dropping-particle":"","family":"Datry","given":"Thibault","non-dropping-particle":"","parse-names":false,"suffix":""},{"dropping-particle":"","family":"Pella","given":"Herve","non-dropping-particle":"","parse-names":false,"suffix":""},{"dropping-particle":"","family":"Leigh","given":"Catherine","non-dropping-particle":"","parse-names":false,"suffix":""},{"dropping-particle":"","family":"Bonada","given":"Núria","non-dropping-particle":"","parse-names":false,"suffix":""},{"dropping-particle":"","family":"Hugueny","given":"Bernard","non-dropping-particle":"","parse-names":false,"suffix":""}],"container-title":"Freshwater Biology","id":"ITEM-1","issued":{"date-parts":[["2016"]]},"page":"n/a-n/a","title":"A landscape approach to advance intermittent river ecology","type":"article-journal"},"uris":["http://www.mendeley.com/documents/?uuid=76776c9a-7226-426e-b06c-0d05ebb577c7"]},{"id":"ITEM-2","itemData":{"DOI":"10.1002/env","ISBN":"1180-4009","abstract":"\"Environmental data are spatial, temporal, and often come with many zeros. In this paper, we included space-time random effects in zero-inflated Poisson (ZIP) and 'hurdle' models to investigate haulout patterns of harbor seals on glacial ice. The data consisted of counts, for 18 dates on a lattice grid of samples, of harbor seals hauled out on glacial ice in Disenchantment Bay, near Yakutat, Alaska. A hurdle model is similar to a ZIP model except it does not mix zeros from the binary and count processes. Both models can be used for zero-inflated data, and we compared space-time ZIP and hurdle models in a Bayesian hierarchical model. Space-time ZIP and hurdle models were constructed by using spatial conditional autoregressive (CAR) models and temporal first-order autoregressive (AR(1)) models as random effects in ZIP and hurdle regression models. We created maps of smoothed predictions for harbor seal counts based on ice density, other covariates, and spatio-temporal random effects. For both models predictions around the edges appeared to be positively biased. The linex loss function is an asymmetric loss function that penalizes overprediction more than underprediction, and we used it to correct for prediction bias to get the best map for space-time ZIP and hurdle models.","author":[{"dropping-particle":"","family":"Pichon","given":"Celine","non-dropping-particle":"Le","parse-names":false,"suffix":""},{"dropping-particle":"","family":"Gorges","given":"Guillaume","non-dropping-particle":"","parse-names":false,"suffix":""},{"dropping-particle":"","family":"Baudry","given":"Jacques","non-dropping-particle":"","parse-names":false,"suffix":""},{"dropping-particle":"","family":"Goreaud","given":"Francois","non-dropping-particle":"","parse-names":false,"suffix":""},{"dropping-particle":"","family":"Boet","given":"Philippe","non-dropping-particle":"","parse-names":false,"suffix":""}],"container-title":"Environmetrics","id":"ITEM-2","issue":"7","issued":{"date-parts":[["2007"]]},"page":"697-712","title":"Spatial metrics and methods for riverscapes: quantifying variability in riverine fish habitat patterns","type":"article-journal","volume":"18"},"uris":["http://www.mendeley.com/documents/?uuid=72d10046-251a-43fa-b70e-b7fb59ec013b"]},{"id":"ITEM-3","itemData":{"DOI":"10.1007/s40823-019-00044-6","abstract":"Recent advances in riverscape ecology highlight the need for spatially explicit examinations of how network structure influences ecological pattern and process, instead of the simple linear (upstream-downstream) view. Developments in GIS, remote sensing, and computer technologies already offer powerful tools for the application of patch- and gradient-based models for characterizing abiotic and biotic heterogeneity across a range ofspatial and temporal scales. Along with graph-based analyses and spatial statistical stream network models (i.e., geostatistical modelling), these approaches offer improved capabil- ities for quantifying spatial and temporal heterogeneity and connectivity relationships, thereby allowing for rigorous and high- resolution analyses ofpattern, process, and scale relationships","author":[{"dropping-particle":"","family":"Erős","given":"Tibor","non-dropping-particle":"","parse-names":false,"suffix":""},{"dropping-particle":"","family":"Lowe","given":"Winsor H.","non-dropping-particle":"","parse-names":false,"suffix":""}],"container-title":"Current Landscape Ecology Reports","id":"ITEM-3","issue":"4","issued":{"date-parts":[["2019"]]},"page":"103-112","title":"The Landscape Ecology of Rivers: from Patch-Based to Spatial Network Analyses","type":"article-journal","volume":"4"},"uris":["http://www.mendeley.com/documents/?uuid=32833a85-7d6c-433d-8aa6-c7551f6aa461"]}],"mendeley":{"formattedCitation":"(Le Pichon et al. 2007; Datry et al. 2016; Erős and Lowe 2019)","plainTextFormattedCitation":"(Le Pichon et al. 2007; Datry et al. 2016; Erős and Lowe 2019)","previouslyFormattedCitation":"(Le Pichon et al. 2007, Datry et al. 2016, Erős and Lowe 2019)"},"properties":{"noteIndex":0},"schema":"https://github.com/citation-style-language/schema/raw/master/csl-citation.json"}</w:instrText>
      </w:r>
      <w:r>
        <w:rPr>
          <w:rFonts w:cs="Times New Roman"/>
          <w:szCs w:val="24"/>
        </w:rPr>
        <w:fldChar w:fldCharType="separate"/>
      </w:r>
      <w:r w:rsidRPr="0047668E">
        <w:rPr>
          <w:rFonts w:cs="Times New Roman"/>
          <w:noProof/>
          <w:szCs w:val="24"/>
        </w:rPr>
        <w:t>(Le Pichon et al. 2007; Datry et al. 2016; Erős and Lowe 2019)</w:t>
      </w:r>
      <w:r>
        <w:rPr>
          <w:rFonts w:cs="Times New Roman"/>
          <w:szCs w:val="24"/>
        </w:rPr>
        <w:fldChar w:fldCharType="end"/>
      </w:r>
      <w:r>
        <w:rPr>
          <w:rFonts w:cs="Times New Roman"/>
          <w:szCs w:val="24"/>
        </w:rPr>
        <w:t xml:space="preserve">, increasing the number of landscape metrics for riverine landscapes should be also be a consideration for investigating general scaling laws. </w:t>
      </w:r>
    </w:p>
    <w:p w14:paraId="27D7E02A" w14:textId="77777777" w:rsidR="00755451" w:rsidRDefault="00755451" w:rsidP="00755451">
      <w:pPr>
        <w:spacing w:line="480" w:lineRule="auto"/>
        <w:ind w:firstLine="720"/>
        <w:contextualSpacing/>
        <w:rPr>
          <w:rFonts w:cs="Times New Roman"/>
          <w:szCs w:val="24"/>
        </w:rPr>
      </w:pPr>
    </w:p>
    <w:p w14:paraId="1FBF84F3" w14:textId="77777777" w:rsidR="00755451" w:rsidRPr="00755451" w:rsidRDefault="00755451" w:rsidP="00755451">
      <w:pPr>
        <w:spacing w:line="480" w:lineRule="auto"/>
        <w:contextualSpacing/>
        <w:rPr>
          <w:rFonts w:cs="Times New Roman"/>
          <w:bCs/>
          <w:i/>
          <w:iCs/>
          <w:szCs w:val="24"/>
        </w:rPr>
      </w:pPr>
      <w:r w:rsidRPr="00755451">
        <w:rPr>
          <w:rFonts w:cs="Times New Roman"/>
          <w:bCs/>
          <w:i/>
          <w:iCs/>
          <w:szCs w:val="24"/>
        </w:rPr>
        <w:t xml:space="preserve">Conclusions </w:t>
      </w:r>
    </w:p>
    <w:p w14:paraId="115C2204" w14:textId="371F8CF0" w:rsidR="00755451" w:rsidRDefault="00755451" w:rsidP="00755451">
      <w:pPr>
        <w:spacing w:line="480" w:lineRule="auto"/>
        <w:ind w:firstLine="720"/>
        <w:contextualSpacing/>
        <w:rPr>
          <w:rFonts w:cs="Times New Roman"/>
          <w:szCs w:val="24"/>
        </w:rPr>
      </w:pPr>
      <w:r w:rsidRPr="00CD78AF">
        <w:rPr>
          <w:rFonts w:cs="Times New Roman"/>
          <w:szCs w:val="24"/>
        </w:rPr>
        <w:t xml:space="preserve">Spatial pattern analysis </w:t>
      </w:r>
      <w:r>
        <w:rPr>
          <w:rFonts w:cs="Times New Roman"/>
          <w:szCs w:val="24"/>
        </w:rPr>
        <w:t xml:space="preserve">can reveal </w:t>
      </w:r>
      <w:r w:rsidRPr="00CD78AF">
        <w:rPr>
          <w:rFonts w:cs="Times New Roman"/>
          <w:szCs w:val="24"/>
        </w:rPr>
        <w:t>complex linkages between spatial pattern and ecological processes</w:t>
      </w:r>
      <w:r>
        <w:rPr>
          <w:rFonts w:cs="Times New Roman"/>
          <w:szCs w:val="24"/>
        </w:rPr>
        <w:t xml:space="preserve"> in landscapes </w:t>
      </w:r>
      <w:r>
        <w:rPr>
          <w:rFonts w:cs="Times New Roman"/>
          <w:szCs w:val="24"/>
        </w:rPr>
        <w:fldChar w:fldCharType="begin" w:fldLock="1"/>
      </w:r>
      <w:r>
        <w:rPr>
          <w:rFonts w:cs="Times New Roman"/>
          <w:szCs w:val="24"/>
        </w:rPr>
        <w:instrText>ADDIN CSL_CITATION {"citationItems":[{"id":"ITEM-1","itemData":{"DOI":"10.1111/geb.12233","ISSN":"14668238","abstract":"Aim: The spatial extent (scale) at which landscape attributes are measured has a strong impact on inferred species-landscape relationships. Consequently, researchers commonly measure landscape variables at multiple scales to select one scale (the 'scale of effect') that yields the strongest species-landscape relationship. Scales of effect observed in multiscale studies may not be true scales of effect if scales are arbitrarily selected and/or are too narrow in range. Miscalculation of the scale of effect may explain why the theoretical relationship between scale of effect and species traits, e.g. dispersal distance, is not empirically well supported. Location: World-wide. Methods: Using data from 583 species in 71 studies we conducted a quantitative review of multiscale studies to evaluate whether research has been conducted at the true scale of effect. Results: Multiple lines of evidence indicated that multiscale studies are often conducted at suboptimal scales. We did not find convincing evidence of a relationship between observed scale of effect and any of 29 species traits. Instead, observed scales of effect were strongly positively predicted by the smallest and largest scales evaluated by researchers. Only 29% of studies reported biological reasons for the scales evaluated. Scales tended to be narrow in range (the mean range is 0.9 orders of magnitude) and few (the mean number of scales evaluated is four). Many species (44%) had observed scales of effect equal to the smallest or largest scale evaluated, suggesting a better scale was outside that range. Increasing the range of scales evaluated decreased the proportion of species with scales of effect equal to the smallest or largest scale evaluated. Main conclusions: To ensure that species-landscape relationships are well estimated, we recommend that the scales at which landscape variables are measured range widely, from the size of a single territory to well above the average dispersal distance.","author":[{"dropping-particle":"","family":"Jackson","given":"Heather Bird","non-dropping-particle":"","parse-names":false,"suffix":""},{"dropping-particle":"","family":"Fahrig","given":"Lenore","non-dropping-particle":"","parse-names":false,"suffix":""}],"container-title":"Global Ecology and Biogeography","id":"ITEM-1","issue":"1","issued":{"date-parts":[["2015"]]},"page":"52-63","title":"Are ecologists conducting research at the optimal scale?","type":"article-journal","volume":"24"},"uris":["http://www.mendeley.com/documents/?uuid=675e98e4-6707-4208-84cd-7eff5d6e934c"]},{"id":"ITEM-2","itemData":{"DOI":"10.1111/geb.12889","ISSN":"14668238","abstract":"Aim: The aim was to assess whether and to what extent the role of local landscape attributes in shaping macroscopic biodiversity patterns is sensitive to spatial and thematic resolutions of land cover data. Location: Sub-Saharan Africa and continental China. Time period: Early 21st century. Taxa studied: Terrestrial mammals. Methods: We conducted spatial and thematic scaling analyses to generate land cover datasets of different spatial (0.3, 0.5, 1.0 and 9.0 km) and thematic (two, three and five classes) resolutions. We calculated landscape metrics based on the resulting land cover maps and examined the power of landscape metrics for explaining species richness patterns, using non-spatial (OLS) and spatial (SAR) linear models and random forest (RF) models. We systematically assessed the resolution dependence of explanatory power for different geographical regions, different scaling approaches and different model types. We also compared the explanatory power of landscape attributes with that of macroclimate. Results: Collectively, local landscape attributes generally had strong explanatory power for species richness. For the African system, the largest explanatory power was c. 60% based on the OLS models and random forest models and c. 30% based on the non-spatial components of the SAR models. For the Chinese system, the largest explanatory power was c. 35% based on the OLS models and c. 40% based on the SAR and random forest models. We observed a linear scaling relationship, which is robust to studied systems, scaling approaches and model types. In contrast, the scaling relationship varies substantially among single landscape metrics. At coarse resolutions, the addition of landscape attributes collectively would not improve climate-envelope models significantly, whereas at finer resolutions, landscape attributes collectively have explanatory power that is close to or even exceeds climate. Main conclusions: Local landscape attributes play an important role in shaping macroscopic biodiversity patterns. However, their strength is highly sensitive to both spatial and thematic resolutions of land cover data, with stronger explanatory power detected at finer resolutions. Strong sensitivity to spatial and thematic resolutions makes landscape attributes highly plastic determinants, leading to contrasting conclusions if based on greatly different resolutions of land cover data. Scaling analyses are needed to examine such cross-scale effects of macroecological de…","author":[{"dropping-particle":"","family":"Qiu","given":"Yanning","non-dropping-particle":"","parse-names":false,"suffix":""},{"dropping-particle":"","family":"Teng","given":"Shuqing N.","non-dropping-particle":"","parse-names":false,"suffix":""},{"dropping-particle":"","family":"Zhang","given":"Yong","non-dropping-particle":"","parse-names":false,"suffix":""},{"dropping-particle":"","family":"Santana","given":"Joana","non-dropping-particle":"","parse-names":false,"suffix":""},{"dropping-particle":"","family":"Svenning","given":"Jens Christian","non-dropping-particle":"","parse-names":false,"suffix":""},{"dropping-particle":"","family":"Reino","given":"Luís","non-dropping-particle":"","parse-names":false,"suffix":""},{"dropping-particle":"","family":"Abades","given":"Sabastián","non-dropping-particle":"","parse-names":false,"suffix":""},{"dropping-particle":"","family":"Ma","given":"Haozhi","non-dropping-particle":"","parse-names":false,"suffix":""},{"dropping-particle":"","family":"Yang","given":"Luojun","non-dropping-particle":"","parse-names":false,"suffix":""},{"dropping-particle":"","family":"Wu","given":"Yiqian","non-dropping-particle":"","parse-names":false,"suffix":""},{"dropping-particle":"","family":"Huang","given":"Zheng Y.X.","non-dropping-particle":"","parse-names":false,"suffix":""},{"dropping-particle":"","family":"Xu","given":"Chi","non-dropping-particle":"","parse-names":false,"suffix":""}],"container-title":"Global Ecology and Biogeography","id":"ITEM-2","issue":"6","issued":{"date-parts":[["2019"]]},"page":"767-778","title":"The resolution-dependent role of landscape attributes in shaping macro-scale biodiversity patterns","type":"article-journal","volume":"28"},"uris":["http://www.mendeley.com/documents/?uuid=2efb39f1-7edc-4497-9c18-4e3dc297b8f5"]}],"mendeley":{"formattedCitation":"(Jackson and Fahrig 2015; Qiu et al. 2019)","plainTextFormattedCitation":"(Jackson and Fahrig 2015; Qiu et al. 2019)","previouslyFormattedCitation":"(Jackson and Fahrig 2015, Qiu et al. 2019)"},"properties":{"noteIndex":0},"schema":"https://github.com/citation-style-language/schema/raw/master/csl-citation.json"}</w:instrText>
      </w:r>
      <w:r>
        <w:rPr>
          <w:rFonts w:cs="Times New Roman"/>
          <w:szCs w:val="24"/>
        </w:rPr>
        <w:fldChar w:fldCharType="separate"/>
      </w:r>
      <w:r w:rsidRPr="0047668E">
        <w:rPr>
          <w:rFonts w:cs="Times New Roman"/>
          <w:noProof/>
          <w:szCs w:val="24"/>
        </w:rPr>
        <w:t>(Jackson and Fahrig 2015; Qiu et al. 2019)</w:t>
      </w:r>
      <w:r>
        <w:rPr>
          <w:rFonts w:cs="Times New Roman"/>
          <w:szCs w:val="24"/>
        </w:rPr>
        <w:fldChar w:fldCharType="end"/>
      </w:r>
      <w:r w:rsidRPr="00CD78AF">
        <w:rPr>
          <w:rFonts w:cs="Times New Roman"/>
          <w:szCs w:val="24"/>
        </w:rPr>
        <w:t xml:space="preserve">. </w:t>
      </w:r>
      <w:r>
        <w:rPr>
          <w:rFonts w:cs="Times New Roman"/>
          <w:szCs w:val="24"/>
        </w:rPr>
        <w:t xml:space="preserve">Although spatial pattern is quantified within river networks </w:t>
      </w:r>
      <w:r w:rsidRPr="00CD78AF">
        <w:rPr>
          <w:rFonts w:cs="Times New Roman"/>
          <w:szCs w:val="24"/>
        </w:rPr>
        <w:t xml:space="preserve">to understand </w:t>
      </w:r>
      <w:r>
        <w:rPr>
          <w:rFonts w:cs="Times New Roman"/>
          <w:szCs w:val="24"/>
        </w:rPr>
        <w:t xml:space="preserve">ecological processes occurring within them </w:t>
      </w:r>
      <w:r w:rsidRPr="00CD78AF">
        <w:rPr>
          <w:rFonts w:cs="Times New Roman"/>
          <w:szCs w:val="24"/>
        </w:rPr>
        <w:fldChar w:fldCharType="begin" w:fldLock="1"/>
      </w:r>
      <w:r>
        <w:rPr>
          <w:rFonts w:cs="Times New Roman"/>
          <w:szCs w:val="24"/>
        </w:rPr>
        <w:instrText>ADDIN CSL_CITATION {"citationItems":[{"id":"ITEM-1","itemData":{"DOI":"10.1002/rra.901","ISBN":"1535-1459","ISSN":"15351459","PMID":"19129508","abstract":"We propose an integrated, heuristic model of lotic biocomplexity across spatiotemporal scales from headwaters to large rivers. This riverine ecosystem synthesis (RES) provides a framework for understanding both broad, often discontinuous patterns along longitudinal and lateral dimensions of river networks and local ecological patterns across various temporal and smaller spatial scales. Rather than posing a completely new model, we arrange a conceptual marriage of eco-geomorphology (ecological aspects of fluvial geomorphology) with a terrestrial landscape model describing hierarchical patch dynamics. We modify five components of this terrestrial model for lotic ecosystems: (1) nested, discontinuous hierarchies of patch mosaics; (2) ecosystem dynamics as a composite of intra- and inter-patch dynamics; (3) linked patterns and processes; (4) dominance of non-equilibria] and stochastic processes; and (5) formation of a quasi-equilibrial, metastable state. Our conceptual model blends our perspectives on biocomplexity with aspects of aquatic models proposed from 1980-2004. Contrasting with a common view of rivers as continuous, longitudinal gradients in physical conditions, the RES portrays rivers as downstream arrays of large hydrogeomorphic patches (e.g. constricted, braided and floodplain channel areas) formed by catchment geomorphology and climate. The longitudinal distribution of these patches, which are identifiable using standard geomorphic techniques, varies amongst rivers and is difficult to forecast above ecoregional scales. Some types of hydrogeomorphic patches may reoccur along this downstream passage. Unique ecological 'functional process zones' are formed by individual types of hydrogeomorphic patches because of physiochemical habitat differences which affect ecosystem structure and function. The RES currently includes 14 tenets predicting how patterns of individual species distributions, community regulation, lotic ecosystem processes, and floodplain interactions will vary over spatiotemporal scales, especially as they relate to the functional process zones formed by hydrogeomorphic differences in the river network. Copyright (C) 2006 John Wiley &amp; Sons, Ltd.","author":[{"dropping-particle":"","family":"Thorp","given":"James H.","non-dropping-particle":"","parse-names":false,"suffix":""},{"dropping-particle":"","family":"Thoms","given":"Martin C.","non-dropping-particle":"","parse-names":false,"suffix":""},{"dropping-particle":"","family":"Delong","given":"Michael D.","non-dropping-particle":"","parse-names":false,"suffix":""}],"container-title":"River Research and Applications","id":"ITEM-1","issue":"2","issued":{"date-parts":[["2006"]]},"note":"1. Historical Perspectives and Philosophical Foundation\n2. Elements of the Riverscape and Riverine Landscape\n3. Do patterns exist along a longitudinal dimension in river networks\n3a.Historicall perspectives on continua within rivernetwork\n3b.hydrogeomorphic patches and associated functional process zones\n4. Hierarchical patch dynamics model - bried descrtiption\n5. applying the hierarchical patch dynamics model to lotic ecosystems\n5a. Selective spatiotemporal scales\n5b. Element 1: nested discontinuous hierarchies of patch mosaics\n5c. Element 2: ecosystem dynamics as a composite of intra- and inter-patch dynamics\n5d. Element 3: linked patterns and processes\n5e. Element 4: Dominance of non-equilibrium and stochastic processes\n5f. Element 5: Formation of a quasi-equilibrial, metastable state\n6. A contribution to conceptual cohesiveness in lotic models \n6a. Distribution of species \n6.aa. Model Tenent 1\n6ab. model tenet 2\n6ac. Model tenet 3\n6ad. Model tenet 4\n6b. Community regulation \n6ba. model tenet 5\n6bb. model tenet 6\n6bc. model tenet 7\n6bd. model tenet 8\n6c. River and riverine landscape processes\n6ca. model tenet 9\n6cb model tenet 10","page":"123-147","title":"The riverine ecosystem synthesis: Biocomplexity in river networks across space and time","type":"article-journal","volume":"22"},"uris":["http://www.mendeley.com/documents/?uuid=2dcdf750-a9d5-46e6-b390-b3cf33588523"]},{"id":"ITEM-2","itemData":{"DOI":"10.1007/s40823-019-00044-6","abstract":"Recent advances in riverscape ecology highlight the need for spatially explicit examinations of how network structure influences ecological pattern and process, instead of the simple linear (upstream-downstream) view. Developments in GIS, remote sensing, and computer technologies already offer powerful tools for the application of patch- and gradient-based models for characterizing abiotic and biotic heterogeneity across a range ofspatial and temporal scales. Along with graph-based analyses and spatial statistical stream network models (i.e., geostatistical modelling), these approaches offer improved capabil- ities for quantifying spatial and temporal heterogeneity and connectivity relationships, thereby allowing for rigorous and high- resolution analyses ofpattern, process, and scale relationships","author":[{"dropping-particle":"","family":"Erős","given":"Tibor","non-dropping-particle":"","parse-names":false,"suffix":""},{"dropping-particle":"","family":"Lowe","given":"Winsor H.","non-dropping-particle":"","parse-names":false,"suffix":""}],"container-title":"Current Landscape Ecology Reports","id":"ITEM-2","issue":"4","issued":{"date-parts":[["2019"]]},"page":"103-112","title":"The Landscape Ecology of Rivers: from Patch-Based to Spatial Network Analyses","type":"article-journal","volume":"4"},"uris":["http://www.mendeley.com/documents/?uuid=32833a85-7d6c-433d-8aa6-c7551f6aa461"]}],"mendeley":{"formattedCitation":"(Thorp et al. 2006; Erős and Lowe 2019)","plainTextFormattedCitation":"(Thorp et al. 2006; Erős and Lowe 2019)","previouslyFormattedCitation":"(Thorp et al. 2006, Erős and Lowe 2019)"},"properties":{"noteIndex":0},"schema":"https://github.com/citation-style-language/schema/raw/master/csl-citation.json"}</w:instrText>
      </w:r>
      <w:r w:rsidRPr="00CD78AF">
        <w:rPr>
          <w:rFonts w:cs="Times New Roman"/>
          <w:szCs w:val="24"/>
        </w:rPr>
        <w:fldChar w:fldCharType="separate"/>
      </w:r>
      <w:r w:rsidRPr="0047668E">
        <w:rPr>
          <w:rFonts w:cs="Times New Roman"/>
          <w:noProof/>
          <w:szCs w:val="24"/>
        </w:rPr>
        <w:t>(Thorp et al. 2006; Erős and Lowe 2019)</w:t>
      </w:r>
      <w:r w:rsidRPr="00CD78AF">
        <w:rPr>
          <w:rFonts w:cs="Times New Roman"/>
          <w:szCs w:val="24"/>
        </w:rPr>
        <w:fldChar w:fldCharType="end"/>
      </w:r>
      <w:r>
        <w:rPr>
          <w:rFonts w:cs="Times New Roman"/>
          <w:szCs w:val="24"/>
        </w:rPr>
        <w:t xml:space="preserve">, issues of scale dependence can limit opportunities to synthesize results from different spatial scales or potentially mask important relationships. Scaling functions can provide concise descriptions of the </w:t>
      </w:r>
      <w:proofErr w:type="spellStart"/>
      <w:r>
        <w:rPr>
          <w:rFonts w:cs="Times New Roman"/>
          <w:szCs w:val="24"/>
        </w:rPr>
        <w:t>multiscaled</w:t>
      </w:r>
      <w:proofErr w:type="spellEnd"/>
      <w:r>
        <w:rPr>
          <w:rFonts w:cs="Times New Roman"/>
          <w:szCs w:val="24"/>
        </w:rPr>
        <w:t xml:space="preserve"> characteristics of spatial pattern and will improve our ability to detect the most appropriate scale underpinning an ecological process in riverine ecosystems. </w:t>
      </w:r>
    </w:p>
    <w:p w14:paraId="2FE629AC" w14:textId="77777777" w:rsidR="00755451" w:rsidRDefault="00755451" w:rsidP="00755451">
      <w:pPr>
        <w:spacing w:line="480" w:lineRule="auto"/>
        <w:ind w:firstLine="720"/>
        <w:contextualSpacing/>
        <w:rPr>
          <w:rFonts w:cs="Times New Roman"/>
          <w:szCs w:val="24"/>
        </w:rPr>
      </w:pPr>
    </w:p>
    <w:p w14:paraId="0A40F416" w14:textId="77777777" w:rsidR="00333AA3" w:rsidRPr="00E736D0" w:rsidRDefault="00333AA3" w:rsidP="00665B56">
      <w:pPr>
        <w:pStyle w:val="Heading2"/>
        <w:spacing w:line="480" w:lineRule="auto"/>
        <w:contextualSpacing/>
      </w:pPr>
      <w:r w:rsidRPr="00E736D0">
        <w:t>Acknowledgements</w:t>
      </w:r>
      <w:bookmarkEnd w:id="97"/>
      <w:r w:rsidRPr="00E736D0">
        <w:t xml:space="preserve"> </w:t>
      </w:r>
    </w:p>
    <w:p w14:paraId="78E098D3" w14:textId="77777777" w:rsidR="00333AA3" w:rsidRDefault="00333AA3" w:rsidP="00665B56">
      <w:pPr>
        <w:spacing w:line="480" w:lineRule="auto"/>
        <w:contextualSpacing/>
        <w:rPr>
          <w:rFonts w:cs="Times New Roman"/>
          <w:szCs w:val="24"/>
        </w:rPr>
      </w:pPr>
      <w:r>
        <w:rPr>
          <w:rFonts w:cs="Times New Roman"/>
          <w:szCs w:val="24"/>
        </w:rPr>
        <w:t xml:space="preserve">We would like to thank J. Wu, </w:t>
      </w:r>
      <w:bookmarkStart w:id="98" w:name="_Hlk61875645"/>
      <w:r>
        <w:rPr>
          <w:rFonts w:cs="Times New Roman"/>
          <w:szCs w:val="24"/>
        </w:rPr>
        <w:t xml:space="preserve">M. </w:t>
      </w:r>
      <w:proofErr w:type="spellStart"/>
      <w:r>
        <w:rPr>
          <w:rFonts w:cs="Times New Roman"/>
          <w:szCs w:val="24"/>
        </w:rPr>
        <w:t>Kaspari</w:t>
      </w:r>
      <w:proofErr w:type="spellEnd"/>
      <w:r>
        <w:rPr>
          <w:rFonts w:cs="Times New Roman"/>
          <w:szCs w:val="24"/>
        </w:rPr>
        <w:t xml:space="preserve">, </w:t>
      </w:r>
      <w:bookmarkEnd w:id="98"/>
      <w:r>
        <w:rPr>
          <w:rFonts w:cs="Times New Roman"/>
          <w:szCs w:val="24"/>
        </w:rPr>
        <w:t xml:space="preserve">J. Kelly and T. </w:t>
      </w:r>
      <w:proofErr w:type="spellStart"/>
      <w:r>
        <w:rPr>
          <w:rFonts w:cs="Times New Roman"/>
          <w:szCs w:val="24"/>
        </w:rPr>
        <w:t>Neeson</w:t>
      </w:r>
      <w:proofErr w:type="spellEnd"/>
      <w:r>
        <w:rPr>
          <w:rFonts w:cs="Times New Roman"/>
          <w:szCs w:val="24"/>
        </w:rPr>
        <w:t xml:space="preserve"> for comments on previous versions of the manuscript and D. Cote for assistance with the dendritic connectivity index. This research is part of a dissertation at the University of Oklahoma. This work was supported by a grant from the National Science Foundation (1802872) and DA was supported by additional NSF funding (1754389). DK and DA developed the conceptual framework for the study, DK </w:t>
      </w:r>
      <w:r>
        <w:rPr>
          <w:rFonts w:cs="Times New Roman"/>
          <w:szCs w:val="24"/>
        </w:rPr>
        <w:lastRenderedPageBreak/>
        <w:t xml:space="preserve">conducted analysis and wrote first draft of the manuscript and DA contributed subsequent revisions of the manuscript. </w:t>
      </w:r>
    </w:p>
    <w:p w14:paraId="5B53D6A1" w14:textId="77777777" w:rsidR="00333AA3" w:rsidRDefault="00333AA3" w:rsidP="00333AA3">
      <w:pPr>
        <w:spacing w:line="480" w:lineRule="auto"/>
        <w:contextualSpacing/>
        <w:rPr>
          <w:rFonts w:cs="Times New Roman"/>
          <w:szCs w:val="24"/>
        </w:rPr>
      </w:pPr>
    </w:p>
    <w:p w14:paraId="3A5DC19E" w14:textId="77777777" w:rsidR="00333AA3" w:rsidRPr="0008592B" w:rsidRDefault="00333AA3" w:rsidP="00665B56">
      <w:pPr>
        <w:pStyle w:val="Heading2"/>
        <w:spacing w:line="480" w:lineRule="auto"/>
        <w:contextualSpacing/>
      </w:pPr>
      <w:bookmarkStart w:id="99" w:name="_Toc60841241"/>
      <w:r w:rsidRPr="0008592B">
        <w:t>References</w:t>
      </w:r>
      <w:bookmarkEnd w:id="99"/>
    </w:p>
    <w:p w14:paraId="5F9AEA1D" w14:textId="453E3DAB" w:rsidR="008759C3" w:rsidRPr="008759C3" w:rsidRDefault="00333AA3" w:rsidP="008759C3">
      <w:pPr>
        <w:widowControl w:val="0"/>
        <w:autoSpaceDE w:val="0"/>
        <w:autoSpaceDN w:val="0"/>
        <w:adjustRightInd w:val="0"/>
        <w:spacing w:line="480" w:lineRule="auto"/>
        <w:ind w:left="480" w:hanging="480"/>
        <w:rPr>
          <w:rFonts w:cs="Times New Roman"/>
          <w:noProof/>
          <w:szCs w:val="24"/>
        </w:rPr>
      </w:pPr>
      <w:r>
        <w:rPr>
          <w:rFonts w:cs="Times New Roman"/>
          <w:szCs w:val="24"/>
        </w:rPr>
        <w:fldChar w:fldCharType="begin" w:fldLock="1"/>
      </w:r>
      <w:r>
        <w:rPr>
          <w:rFonts w:cs="Times New Roman"/>
          <w:szCs w:val="24"/>
        </w:rPr>
        <w:instrText xml:space="preserve">ADDIN Mendeley Bibliography CSL_BIBLIOGRAPHY </w:instrText>
      </w:r>
      <w:r>
        <w:rPr>
          <w:rFonts w:cs="Times New Roman"/>
          <w:szCs w:val="24"/>
        </w:rPr>
        <w:fldChar w:fldCharType="separate"/>
      </w:r>
      <w:r w:rsidR="008759C3" w:rsidRPr="008759C3">
        <w:rPr>
          <w:rFonts w:cs="Times New Roman"/>
          <w:noProof/>
          <w:szCs w:val="24"/>
        </w:rPr>
        <w:t>Allan, J. D. 2004. Landscapes and Riverscapes: The Influence of Land Use on Stream Ecosystems. Annual Review of Ecology, Evolution, and Systematics 35:257–284.</w:t>
      </w:r>
    </w:p>
    <w:p w14:paraId="551432E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Allen, D. C., and J. Wesner. 2016. Synthesis: comparing effects of resource and consumer fluxes into recipient food webs using meta-analysis. Ecology 97:594–604.</w:t>
      </w:r>
    </w:p>
    <w:p w14:paraId="02F09B2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Allen, G. H., and T. M. Pavelsky. 2015. Patterns of river width and surface area revealed by the satellite-derived North American River Width data set. Geophysical Research Letters 42:395–402.</w:t>
      </w:r>
    </w:p>
    <w:p w14:paraId="637C466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Allen, G. H., T. M. Pavelsky, E. A. Barefoot, M. P. Lamb, D. Butman, A. Tashie, and C. J. Gleason. 2018. Similarity of stream width distributions across headwater systems. Nature Communications 9:610.</w:t>
      </w:r>
    </w:p>
    <w:p w14:paraId="31A6FD6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Anderson, H. E., L. K. Albertson, and D. M. Walters. 2019. Water temperature drives variability in salmonfly abundance, emergence timing, and body size. River Research and Applications 35:1013–1022.</w:t>
      </w:r>
    </w:p>
    <w:p w14:paraId="6E54F4B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Anderson, W. B., A. D. Wait, and P. Stapp. 2008. Resources From Another Place and Time: Responses To Pulses in a Spatially Subsidized System. Ecology 89:660–670.</w:t>
      </w:r>
    </w:p>
    <w:p w14:paraId="4C3C300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Araújo, M. B., and A. T. Peterson. 2012. Uses and misuses of bioclimatic envelope modeling. Ecology 93:1527–1539.</w:t>
      </w:r>
    </w:p>
    <w:p w14:paraId="3C0C1F0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Baker, M. E., D. E. Weller, and T. E. Jordan. 2007. Effects of stream map resolution on measures of riparian buffer distribution and nutrient retention potential. Landscape Ecology 22:973–992.</w:t>
      </w:r>
    </w:p>
    <w:p w14:paraId="380FA4F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Baldwin, D. J. B., K. Weaver, F. Schnekenburger, and A. H. Perera. 2004. Sensitivity of landscape pattern indices to input data characteristics on real landscapes: implications for their use in natural disturbance emulation. Landscape Ecology 19:255–271.</w:t>
      </w:r>
    </w:p>
    <w:p w14:paraId="4B37710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Barnett, T. P., D. W. Pierce, H. G. Hidalgo, C. Bonfils, B. D. Santer, T. Das, G. Bala, A. W. Wood, T. Nozawa, A. a Mirin, D. R. Cayan, and M. D. Dettinger. 2008. Human-Induced Changes in the Hydrology of the Western United States. Science 319:1080–1083.</w:t>
      </w:r>
    </w:p>
    <w:p w14:paraId="28F77A8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Bartrons, M., M. Papeş, M. W. Diebel, C. Gratton, and M. J. Vander Zanden. 2013. Regional-Level Inputs of Emergent Aquatic Insects from Water to Land. Ecosystems 16:1353–1363.</w:t>
      </w:r>
    </w:p>
    <w:p w14:paraId="392438E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Baxter, C. V., K. D. Fausch, and W. C. Saunders. 2005. Tangled webs: Reciprocal flows of invertebrate prey link streams and riparian zones. Freshwater Biology 50:201–220.</w:t>
      </w:r>
    </w:p>
    <w:p w14:paraId="3DA6CD2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Benda, L., N. L. Poff, D. Miller, T. Dunne, G. G. Reeves, G. Pess, and M. Pollock. 2004. The Network Dynamics Hypothesis: How Channel Networks Structure Riverine Habitats. BioScience 54:413.</w:t>
      </w:r>
    </w:p>
    <w:p w14:paraId="431A357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Benstead, J. P., and D. S. Leigh. 2012. An expanded role for river networks. Nature Geoscience 5:678–679.</w:t>
      </w:r>
    </w:p>
    <w:p w14:paraId="5F81718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Bieger, K., H. Rathjens, P. M. Allen, and J. G. Arnold. 2015. Development and Evaluation of Bankfull Hydraulic Geometry Relationships for the Physiographic Regions of the United States. Journal of the American Water Resources Association 51:842–858.</w:t>
      </w:r>
    </w:p>
    <w:p w14:paraId="03ECAEA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Blöschl, G., J. Hall, J. Parajka, R. A. P. Perdigão, B. Merz, B. Arheimer, G. T. Aronica, A. Bilibashi, O. Bonacci, M. Borga, Č. Ivan, A. Castellarin, and G. B. Chirico. 2017. Climate change shifts timing of European floods. Science 590:588–590.</w:t>
      </w:r>
    </w:p>
    <w:p w14:paraId="29F4B3A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Borcard, D., F. Gillet, and P. Legendre. 2018. Numerical Ecology with R. second. Springer Nature, Cham, Switzerland.</w:t>
      </w:r>
    </w:p>
    <w:p w14:paraId="2B9DD57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Breiman, L. 2001. Random forests. Machine Learning 45:5–32.</w:t>
      </w:r>
    </w:p>
    <w:p w14:paraId="61139D2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Brieuc, M. S. O., C. D. Waters, D. P. Drinan, and K. A. Naish. 2018. A practical introduction to Random Forest for genetic association studies in ecology and evolution. Molecular Ecology Resources 18:755–766.</w:t>
      </w:r>
    </w:p>
    <w:p w14:paraId="488100B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Bultman, H., D. Hoekman, J. Dreyer, and C. Gratton. 2014. Terrestrial deposition of aquatic insects increases plant quality for insect herbivores and herbivore density. Ecological Entomology 39:419–426.</w:t>
      </w:r>
    </w:p>
    <w:p w14:paraId="1804552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Bürkner, P. C. 2017. brms: An R package for Bayesian multilevel models using Stan. Journal of Statistical Software 80.</w:t>
      </w:r>
    </w:p>
    <w:p w14:paraId="794289C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Buyantuyev, A., and J. Wu. 2007. Effects of thematic resolution on landscape pattern analysis. Landscape Ecology 22:7–13.</w:t>
      </w:r>
    </w:p>
    <w:p w14:paraId="08ABCF3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Campbell Grant, E. H. 2011. Structural complexity, movement bias, and metapopulation extinction risk in dendritic ecological networks. Journal of the North American Benthological Society 30:252–258.</w:t>
      </w:r>
    </w:p>
    <w:p w14:paraId="42392EA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Carlson, P. E., B. G. Mckie, L. Sandin, and R. K. Johnson. 2016. Strong land-use effects on the dispersal patterns of adult stream insects: implications for transfers of aquatic subsidies to </w:t>
      </w:r>
      <w:r w:rsidRPr="008759C3">
        <w:rPr>
          <w:rFonts w:cs="Times New Roman"/>
          <w:noProof/>
          <w:szCs w:val="24"/>
        </w:rPr>
        <w:lastRenderedPageBreak/>
        <w:t>terrestrial consumers. Freshwater Biology 61:848–861.</w:t>
      </w:r>
    </w:p>
    <w:p w14:paraId="26BF5C9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Clarke, A., R. Mac Nally, N. Bond, and P. S. Lake. 2008. Macroinvertebrate diversity in headwater streams: A review. Freshwater Biology 53:1707–1721.</w:t>
      </w:r>
    </w:p>
    <w:p w14:paraId="164FCED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Collins, S. E., S. F. Matter, I. Buffam, and J. E. Flotemersch. 2018. A patchy continuum? Stream processes show varied responses to patch- and continuum-based analyses. Ecosphere 9.</w:t>
      </w:r>
    </w:p>
    <w:p w14:paraId="0EBFF57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Collins, S. E., M. C. Thoms, and J. E. Flotemersch. 2014. Hydrogeomorphic zones characterize riverbed sediment patterns within a river network. River Systems 21:203–213.</w:t>
      </w:r>
    </w:p>
    <w:p w14:paraId="75388F6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Comte, L., and J. D. Olden. 2018. Fish dispersal in flowing waters: A synthesis of movement- and genetic-based studies. Fish and Fisheries 19:1063–1077.</w:t>
      </w:r>
    </w:p>
    <w:p w14:paraId="15E22C9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Cote, D., D. G. Kehler, C. Bourne, and Y. F. Wiersma. 2009. A new measure of longitudinal connectivity for stream networks. Landscape Ecology 24:101–113.</w:t>
      </w:r>
    </w:p>
    <w:p w14:paraId="20D5BCD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Cushman, S. A., J. Littell, and K. McGarigal. 2010. The Problem of Ecological Scaling in Spatially Complex, Nonequilibrium Ecological Systems. Pages 1–458 </w:t>
      </w:r>
      <w:r w:rsidRPr="008759C3">
        <w:rPr>
          <w:rFonts w:cs="Times New Roman"/>
          <w:i/>
          <w:iCs/>
          <w:noProof/>
          <w:szCs w:val="24"/>
        </w:rPr>
        <w:t>in</w:t>
      </w:r>
      <w:r w:rsidRPr="008759C3">
        <w:rPr>
          <w:rFonts w:cs="Times New Roman"/>
          <w:noProof/>
          <w:szCs w:val="24"/>
        </w:rPr>
        <w:t xml:space="preserve"> Cushman S.A. and F. Huettmann (editors). Spatial Complexity, Informatics, and Wildlife Conservation. Springer, Tokyo.</w:t>
      </w:r>
    </w:p>
    <w:p w14:paraId="42B9E34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Datry, T., H. Pella, C. Leigh, N. Bonada, and B. Hugueny. 2016. A landscape approach to advance intermittent river ecology. Freshwater Biology n/a-n/a.</w:t>
      </w:r>
    </w:p>
    <w:p w14:paraId="7051524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Davis, J. M., A. D. Rosemond, and G. E. Small. 2011. Increasing donor ecosystem productivity decreases terrestrial consumer reliance on a stream resource subsidy. Oecologia 167:821–834.</w:t>
      </w:r>
    </w:p>
    <w:p w14:paraId="7ACEDAD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Demars, B., R. Manson, J. Ólafsson, G. Gíslason, R. Gudmundsdóttir, G. Woodward, J. Reiss, D. </w:t>
      </w:r>
      <w:r w:rsidRPr="008759C3">
        <w:rPr>
          <w:rFonts w:cs="Times New Roman"/>
          <w:noProof/>
          <w:szCs w:val="24"/>
        </w:rPr>
        <w:lastRenderedPageBreak/>
        <w:t>Pichler, J. Rasmussen, and N. Friberg. 2011. Temperature and the metabolic balance of streams. Freshwater Biology 56:1106–1121.</w:t>
      </w:r>
    </w:p>
    <w:p w14:paraId="6CAF456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Dodds, W. K., L. Bruckerhoff, D. Batzer, A. Schechner, C. Pennock, E. Renner, F. Tromboni, K. Bigham, and S. Grieger. 2019. The freshwater biome gradient framework: Predicting macroscale properties based on latitude, altitude, and precipitation. Ecosphere 10.</w:t>
      </w:r>
    </w:p>
    <w:p w14:paraId="1B06304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Dodds, W. K., K. Gido, M. R. Whiles, M. D. Daniels, and B. P. Grudzinski. 2015. The Stream Biome Gradient Concept: factors controlling lotic systems across broad biogeographic scales. Freshwater Science 34:1–19.</w:t>
      </w:r>
    </w:p>
    <w:p w14:paraId="5777B02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Dolédec, S., N. Phillips, M. Scarsbrook, R. H. Riley, and C. R. Townsend. 2006. Comparison of structural and functional approaches to determining landuse effects on grassland stream invertebrate communities. Journal of the North American Benthological Society 25:44–60.</w:t>
      </w:r>
    </w:p>
    <w:p w14:paraId="25AD61C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Dreyer, J., P. A. Townsend, J. C. Hook, D. Hoekman, M. J. Vander Zanden, and C. Gratton. 2015. Quantifying aquatic insect deposition from lake to land. Ecology 96:499–509.</w:t>
      </w:r>
    </w:p>
    <w:p w14:paraId="078D873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Dunning, J. B. (Ed.). 2008. CRC Handbook of Avian Body Masses. CRC Press.</w:t>
      </w:r>
    </w:p>
    <w:p w14:paraId="5B89BE2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Elith, J., J. R. Leathwick, and T. Hastie. 2008. A working guide to boosted regression trees. Journal of Animal Ecology 77:802–813.</w:t>
      </w:r>
    </w:p>
    <w:p w14:paraId="4E5077D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Epanchin, P., R. Knapp, and S. Lawler. 2010. Nonnative trout impact an alpine-nesting bird by altering aquatic-insect subsidies. Ecology 91:2406–2415.</w:t>
      </w:r>
    </w:p>
    <w:p w14:paraId="0013651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Erős, T., and W. H. Lowe. 2019. The Landscape Ecology of Rivers: from Patch-Based to Spatial Network Analyses. Current Landscape Ecology Reports 4:103–112.</w:t>
      </w:r>
    </w:p>
    <w:p w14:paraId="031A6E0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Fausch, K. D., C. E. Torgersen, C. V. Baxter, and H. W. Li. 2002. Landscapes to riverscapes: </w:t>
      </w:r>
      <w:r w:rsidRPr="008759C3">
        <w:rPr>
          <w:rFonts w:cs="Times New Roman"/>
          <w:noProof/>
          <w:szCs w:val="24"/>
        </w:rPr>
        <w:lastRenderedPageBreak/>
        <w:t>Bridging the gap between research and conservation of stream fishes. BioScience 52:483–498.</w:t>
      </w:r>
    </w:p>
    <w:p w14:paraId="27FC361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Faustini, J. M., P. R. Kaufmann, and A. T. Herlihy. 2009. Downstream variation in bankfull width of wadeable streams across the conterminous United States. Geomorphology 108:292–311.</w:t>
      </w:r>
    </w:p>
    <w:p w14:paraId="11B3402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Fink, D., T. Auer, A. Johnston, V. Ruiz-Gutierrez, W. M. Hochachka, and S. Kelling. 2020a. Modeling avian full annual cycle distribution and population trends with citizen science data. Ecological Applications 30:1–16.</w:t>
      </w:r>
    </w:p>
    <w:p w14:paraId="24AFEF5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Fink, D., T. Auer, A. Johnston, M. Strimas-Mackey, O. Robinson, S. Ligocki, B. Petersen, C. Wood, I. Davies, B. Sullivan, M. Iliff, and S. Kelling. 2020b. eBird Status and Trends, Data Version: 2018; Released: 2020. Cornell Lab of Ornithology, Ithaca, New York.</w:t>
      </w:r>
    </w:p>
    <w:p w14:paraId="0C7E46D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Finn, D. S., N. Bonada, C. Múrria, and J. M. Hughes. 2011. Small but mighty: headwaters are vital to stream network biodiversity at two levels of organization. Journal of the North American Benthological Society 30:963–980.</w:t>
      </w:r>
    </w:p>
    <w:p w14:paraId="63702BE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Fox, E. W., R. A. Hill, S. G. Leibowitz, A. R. Olsen, D. J. Thornbrugh, and M. H. Weber. 2017. Assessing the accuracy and stability of variable selection methods for random forest modeling in ecology. Environmental Monitoring and Assessment 189:316.</w:t>
      </w:r>
    </w:p>
    <w:p w14:paraId="615009B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Fullerton, A. H., B. J. Burke, J. J. Lawler, C. E. Torgersen, J. L. Ebersole, and S. G. Leibowitz. 2017. Simulated juvenile salmon growth and phenology respond to altered thermal regimes and stream network shape. Ecosphere 8.</w:t>
      </w:r>
    </w:p>
    <w:p w14:paraId="5690928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Giam, X., W. Chen, T. A. Schriever, R. Van Driesche, R. Muneepeerakul, D. A. Lytle, and J. D. </w:t>
      </w:r>
      <w:r w:rsidRPr="008759C3">
        <w:rPr>
          <w:rFonts w:cs="Times New Roman"/>
          <w:noProof/>
          <w:szCs w:val="24"/>
        </w:rPr>
        <w:lastRenderedPageBreak/>
        <w:t>Olden. 2017. Hydrology drives seasonal variation in dryland stream macroinvertebrate communities. Aquatic Sciences 79:705–717.</w:t>
      </w:r>
    </w:p>
    <w:p w14:paraId="035347D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Goodrich, B., J. Gabry, I. Ali, and S. Brilleman. 2018. Package ‘rstanarm’’: Bayesian Applied Regression Medeling via Stan.’ (Available from: http://mc-stan.org/)</w:t>
      </w:r>
    </w:p>
    <w:p w14:paraId="2CF7354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Gounand, I., C. J. Little, E. Harvey, and F. Altermatt. 2018. Cross-ecosystem carbon flows connecting ecosystems worldwide. Nature Communications 9:4825.</w:t>
      </w:r>
    </w:p>
    <w:p w14:paraId="22C2E30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Gratton, C., D. Hoekman, J. Dreyer, and R. D. Jackson. 2017. Increased duration of aquatic resource pulse alters community and ecosystem responses in a subarctic plant community. Ecology 98:2860–2872.</w:t>
      </w:r>
    </w:p>
    <w:p w14:paraId="298C109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Gratton, C., and M. . Vander Zanden. 2009. Flux of aquatic insect productivity to land: comparison of lentic and lotic ecosystems. Ecology 90:2689–2699.</w:t>
      </w:r>
    </w:p>
    <w:p w14:paraId="7D64EED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Greenwood, M. J. 2014. More than a barrier: The complex effects of ecotone vegetation type on terrestrial consumer consumption of an aquatic prey resource. Austral Ecology 39:941–951.</w:t>
      </w:r>
    </w:p>
    <w:p w14:paraId="242B3EE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Greenwood, M. J., and D. J. Booker. 2016. Influence of hydrological regime and land cover on traits and potential export capacity of adult aquatic insects from river channels. Oecologia 180:551–566.</w:t>
      </w:r>
    </w:p>
    <w:p w14:paraId="2A187EA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Gregorutti, B., B. Michel, and P. Saint-Pierre. 2017. Correlation and variable importance in random forests. Statistics and Computing 27:659–678.</w:t>
      </w:r>
    </w:p>
    <w:p w14:paraId="08C0A87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Greig, H. S., P. Kratina, P. L. Thompson, and W. J. Palen. 2012. Warming, eutrophication, and predator loss amplify subsidies between aquatic and terrestrial ecosystems. Global Change Biology 18:504–514.</w:t>
      </w:r>
    </w:p>
    <w:p w14:paraId="620C7DA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Hadwen, W. L., C. S. Fellows, D. Westhorpe, G. N. Rees, S. M. Mitrovic, B. Taylor, D. S. Baldwin, E. Silvester, and R. Croome. 2010. Longitudinal trends in river functioning: Patterns of nutrient and carbin processing in three Australian rivers. River Research and Applications 26:1129–1152.</w:t>
      </w:r>
    </w:p>
    <w:p w14:paraId="143C688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Hamilton, A. T., R. B. Schäfer, M. I. Pyne, B. Chessman, K. Kakouei, K. S. Boersma, P. F. M. Verdonschot, R. C. M. Verdonschot, M. Mims, K. Khamis, B. Bierwagen, and J. Stamp. 2020. Limitations of trait-based approaches for stressor assessment: The case of freshwater invertebrates and climate drivers. Global Change Biology 26:364–379.</w:t>
      </w:r>
    </w:p>
    <w:p w14:paraId="6C81B64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Harding, J. S., and M. J. Winterbourn. 1995. Effects of contrasting land use on physico-chemical conditions and benthic assemblages of streams in a canterbury (South Island, New Zealand) river system. New Zealand Journal of Marine and Freshwater Research 29:479–492.</w:t>
      </w:r>
    </w:p>
    <w:p w14:paraId="473A184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Hargrove, W. W., and F. M. Hoffman. 2004. Potential of multivariate quantitative methods for delineation and visualization of ecoregions. Environmental Management 34:39–60.</w:t>
      </w:r>
    </w:p>
    <w:p w14:paraId="1AC26A6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Harris, C., M. Thoms, and M. Scown. 2009. The ecohydrology of stream networks. Ecohydrology of Surface and Groundwater Dependent Systems: Concepts, Methods and Recent Developments 328:127–136.</w:t>
      </w:r>
    </w:p>
    <w:p w14:paraId="2F77FE7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Heffernan, J. B., P. A. Soranno, M. J. Angilletta, L. B. Buckley, D. S. Gruner, T. H. Keitt, J. R. Kellner, J. S. Kominoski, A. V. Rocha, J. Xiao, T. K. Harms, S. J. Goring, L. E. Koenig, W. H. McDowell, H. Powell, A. D. Richardson, C. A. Stow, R. Vargas, and K. C. Weathers. 2014. Macrosystems ecology: Understanding ecological patterns and processes at continental scales. Frontiers in Ecology and the Environment 12:5–14.</w:t>
      </w:r>
    </w:p>
    <w:p w14:paraId="296A761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Heino, J., D. Schmera, and T. Eros. 2013. A macroecological perspective of trait patterns in </w:t>
      </w:r>
      <w:r w:rsidRPr="008759C3">
        <w:rPr>
          <w:rFonts w:cs="Times New Roman"/>
          <w:noProof/>
          <w:szCs w:val="24"/>
        </w:rPr>
        <w:lastRenderedPageBreak/>
        <w:t>stream communities. Freshwater Biology 58:1539–1555.</w:t>
      </w:r>
    </w:p>
    <w:p w14:paraId="7441668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Herlihy, A. T., S. G. Paulsen, J. Van Sickle, J. L. Stoddard, C. P. Hawkins, and L. L. Yuan. 2008. Striving for consistency in a national assessment: The challenges of applying a reference-condition approach at a continental scale. Journal of the North American Benthological Society 27:860–877.</w:t>
      </w:r>
    </w:p>
    <w:p w14:paraId="0C0689B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Hijmans, R. J. 2020. Package ‘ raster ’: Geographic Data Analysis and Modeling. R Package Documentation.</w:t>
      </w:r>
    </w:p>
    <w:p w14:paraId="71DE923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Hijmans, R. J., S. E. Cameron, J. L. Parra, P. G. Jones, and A. Jarvis. 2005. Very high resolution interpolated climate surfaces for global land areas. International Journal of Climatology 25:1965–1978.</w:t>
      </w:r>
    </w:p>
    <w:p w14:paraId="029B31A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Hill, R. A., E. W. Fox, S. G. Leibowitz, A. R. Olsen, D. J. Thornbrugh, and M. H. Weber. 2017. Predictive mapping of the biotic condition of conterminous U.S. rivers and streams. Ecological Applications 27:2397–2415.</w:t>
      </w:r>
    </w:p>
    <w:p w14:paraId="16CD859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Holt, R. D. 2004. Implications of System Openness for Local Community Structure and Ecosystem Function. Pages 96–114 Foodwebs at the Landscape Level.</w:t>
      </w:r>
    </w:p>
    <w:p w14:paraId="658B30E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Horton, R. 1945. Erosional Development of streams and their drainage basins: hydrophysical approach to quantitative morphology. Geological Society Of America Bulletin 56:151–180.</w:t>
      </w:r>
    </w:p>
    <w:p w14:paraId="27E0C59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Hubler, S., D. D. Huff, P. Edwards, and Y. Pan. 2016. The Biological Sediment Tolerance Index: Assessing fine sediments conditions in Oregon streams using macroinvertebrates. Ecological Indicators 67:132–145.</w:t>
      </w:r>
    </w:p>
    <w:p w14:paraId="750A303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Huryn, A. D., and J. B. Wallace. 2000. Life History and Production of Stream Insects. Annual </w:t>
      </w:r>
      <w:r w:rsidRPr="008759C3">
        <w:rPr>
          <w:rFonts w:cs="Times New Roman"/>
          <w:noProof/>
          <w:szCs w:val="24"/>
        </w:rPr>
        <w:lastRenderedPageBreak/>
        <w:t>Review of Entomology 45:83–110.</w:t>
      </w:r>
    </w:p>
    <w:p w14:paraId="22E8847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IPCC. 2014. Climate Change 2014: Synthesis Report. Contribution of Woeking Groups I, II, III to the 5th Assessment Report of the Intergovernmental Panel on Climate Change.</w:t>
      </w:r>
    </w:p>
    <w:p w14:paraId="4D2DFAE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Iwata, T., S. Nakano, and M. Murakami. 2003. Stream meanders increase insectivorous bird abundance in riparian deciduous forests. Ecography 26:325–337.</w:t>
      </w:r>
    </w:p>
    <w:p w14:paraId="78005D6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Jackson, H. B., and L. Fahrig. 2015. Are ecologists conducting research at the optimal scale? Global Ecology and Biogeography 24:52–63.</w:t>
      </w:r>
    </w:p>
    <w:p w14:paraId="410CAD5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Johnston, A., T. Auer, D. Fink, M. Strimas-Mackey, M. Iliff, K. V. Rosenberg, S. Brown, R. Lanctot, A. D. Rodewald, and S. Kelling. 2020. Comparing abundance distributions and range maps in spatial conservation planning for migratory species. Ecological Applications 30:1–13.</w:t>
      </w:r>
    </w:p>
    <w:p w14:paraId="1E63740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Jones, C. D., J. K. Hughes, N. Bellouin, S. C. Hardiman, G. S. Jones, J. Knight, S. Liddicoat, F. M. O’Connor, R. J. Andres, C. Bell, K. O. Boo, A. Bozzo, N. Butchart, P. Cadule, K. D. Corbin, M. Doutriaux-Boucher, P. Friedlingstein, J. Gornall, L. Gray, P. R. Halloran, G. Hurtt, W. J. Ingram, J. F. Lamarque, R. M. Law, M. Meinshausen, S. Osprey, E. J. Palin, L. Parsons Chini, T. Raddatz, M. G. Sanderson, A. A. Sellar, A. Schurer, P. Valdes, N. Wood, S. Woodward, M. Yoshioka, and M. Zerroukat. 2011. The HadGEM2-ES implementation of CMIP5 centennial simulations. Geoscientific Model Development 4:543–570.</w:t>
      </w:r>
    </w:p>
    <w:p w14:paraId="6866B63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Kendrick, M. R., A. E. Hershey, and A. D. Huryn. 2019. Disturbance, nutrients, and antecedent flow conditions affect macroinvertebrate community structure and productivity in an Arctic river. Limnology and Oceanography 64:S93–S104.</w:t>
      </w:r>
    </w:p>
    <w:p w14:paraId="476A148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van Klink, R., D. E. Bowler, K. B. Gongalsky, and A. B. Swengel. 2020. Meta-analysis reveals declines in terrestrial but increases in freshwater insect abundances. Science 420:417–420.</w:t>
      </w:r>
    </w:p>
    <w:p w14:paraId="4BA18A9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Konapala, G., A. Mishra, Y. Wada, and M. E. Mann. 2020. Climate change will affect global water availability through compounding changes in seasonal precipitation and evaporation. Nature Communications 1–10.</w:t>
      </w:r>
    </w:p>
    <w:p w14:paraId="0F4F2BD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Kraus, J. M., J. Wesner, and D. M. Walters. 2020. Contaminants and Ecological Subsidies. Contaminants and Ecological Subsidies.</w:t>
      </w:r>
    </w:p>
    <w:p w14:paraId="6B50735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Lafage, D., E. Bergman, R. L. Eckstein, E. M. Österling, J. P. Sadler, and J. J. Piccolo. 2019. Local and landscape drivers of aquatic-to-terrestrial subsidies in riparian ecosystems: a worldwide meta-analysis. Ecosphere 10:e02697.</w:t>
      </w:r>
    </w:p>
    <w:p w14:paraId="086509C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Lancaster, J., B. J. Downes, and G. K. Dwyer. 2020. Terrestrial–aquatic transitions: Local abundances and movements of mature female caddisflies are related to oviposition habits but not flight capability. Freshwater Biology 65:908–919.</w:t>
      </w:r>
    </w:p>
    <w:p w14:paraId="2735BE7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Larsen, S., J. D. Muehlbauer, and E. Marti. 2016. Resource subsidies between stream and terrestrial ecosystems under global change. Global Change Biology 22:2489–2504.</w:t>
      </w:r>
    </w:p>
    <w:p w14:paraId="53D794A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Lehner, B., K. Verdin, and A. Jarvis. 2008. New global Hydrography derived from spaceborne elevation data. Eos Transactions 94–94.</w:t>
      </w:r>
    </w:p>
    <w:p w14:paraId="106F56F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Leroux, S. J., and M. Loreau. 2008. Subsidy hypothesis and strength of trophic cascades across ecosystems. Ecology Letters 11:1147–1156.</w:t>
      </w:r>
    </w:p>
    <w:p w14:paraId="1A68ECD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Li, H., and J. Wu. 2004. Use and misuse of landscape indices. Landscape Ecology 19:389–399.</w:t>
      </w:r>
    </w:p>
    <w:p w14:paraId="4652F88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Liaw, A., and M. Wiener. 2002. Classification and Regression by randomForest. R News 2:18–</w:t>
      </w:r>
      <w:r w:rsidRPr="008759C3">
        <w:rPr>
          <w:rFonts w:cs="Times New Roman"/>
          <w:noProof/>
          <w:szCs w:val="24"/>
        </w:rPr>
        <w:lastRenderedPageBreak/>
        <w:t>22.</w:t>
      </w:r>
    </w:p>
    <w:p w14:paraId="7814452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Loreau, M., N. Mouquet, and R. D. Holt. 2003. Meta-ecosystems: a theoretical framework for a spatial ecosystem ecology. Ecology Letters 6:673–679.</w:t>
      </w:r>
    </w:p>
    <w:p w14:paraId="3CACDBC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Maasri, A., J. H. Thorp, J. K. Gelhaus, F. Tromboni, S. Chandra, and S. J. Kenner. 2019. Communities associated with the Functional Process Zone scale: A case study of stream macroinvertebrates in endorheic drainages. Science of the Total Environment 677:184–193.</w:t>
      </w:r>
    </w:p>
    <w:p w14:paraId="4E78449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Maechler, M., P. Rousseeuw, A. Struyf, M. Hubert, K. Hornik, M. Studer, P. Roudier, J. Gonzalez, K. Kozlowski, E. Schubert, and K. Murphy. 2019. Package “cluster” for R: ‘Finding Groups in Data’: Cluster Analysis Extended. R package version 2.1.0.</w:t>
      </w:r>
    </w:p>
    <w:p w14:paraId="76EB88B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Mallakpour, I., and G. Villarini. 2015. The changing nature of flooding across the central United States. Nature Climate Change 5:250–254.</w:t>
      </w:r>
    </w:p>
    <w:p w14:paraId="44E932C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Marcarelli, A. M., C. V. Baxter, M. M. Mineau, and R. O. J. Hall. 2011. Quantity and quality: unifying food web and ecosystem perspectives on the role of resource subsidies in freshwaters. Ecology 92:1215–1225.</w:t>
      </w:r>
    </w:p>
    <w:p w14:paraId="414E6CE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Marczak, L. B., R. M. Thompson, and J. S. Richardson. 2007. Meta-Analysis: Trophic Level, Habitat, and Productivity Shape the Food Web Effects of Resource Subsidies. Eocology 88:140–148.</w:t>
      </w:r>
    </w:p>
    <w:p w14:paraId="78B423D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Martin-Creuzburg, D., C. Kowarik, and D. Straile. 2017. Cross-ecosystem fluxes: Export of polyunsaturated fatty acids from aquatic to terrestrial ecosystems via emerging insects. Science of the Total Environment 577:174–182.</w:t>
      </w:r>
    </w:p>
    <w:p w14:paraId="31CF039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McCabe, G. J., and D. M. Wolock. 2011. Independent effects of temperature and precipitation on </w:t>
      </w:r>
      <w:r w:rsidRPr="008759C3">
        <w:rPr>
          <w:rFonts w:cs="Times New Roman"/>
          <w:noProof/>
          <w:szCs w:val="24"/>
        </w:rPr>
        <w:lastRenderedPageBreak/>
        <w:t>modeled runoff in the conterminous United States. Water Resources Research 47:1–11.</w:t>
      </w:r>
    </w:p>
    <w:p w14:paraId="6DC9524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McCluney, K. E., N. L. Poff, M. A. Palmer, J. H. Thorp, G. C. Poole, B. S. Williams, M. R. Williams, and J. S. Baron. 2014. Riverine macrosystems ecology: Sensitivity, resistance, and resilience of whole river basins with human alterations. Frontiers in Ecology and the Environment 12:48–58.</w:t>
      </w:r>
    </w:p>
    <w:p w14:paraId="5F6758B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McElreath, R. 2016. Statistical Rethinking: A Bayesian Course with Examples in R and Stan. CRC Press, New York.</w:t>
      </w:r>
    </w:p>
    <w:p w14:paraId="1AC46C2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McGarigal, K., S. Cushman, and E. Ene. 2012. FRAGSTATS v4: Spatial Pattern Analysis Program for Categorical and Continuous Maps.</w:t>
      </w:r>
    </w:p>
    <w:p w14:paraId="7C75188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McKay, L., T. Bondelid, T. Dewald, J. Johnston, R. Moore, and A. Rea. 2012. NHD Plus Version 2: User Guide.</w:t>
      </w:r>
    </w:p>
    <w:p w14:paraId="333B24D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McKie, B. G., L. Sandin, P. E. Carlson, and R. K. Johnson. 2018. Species traits reveal effects of land use, season and habitat on the potential subsidy of stream invertebrates to terrestrial food webs. Aquatic Sciences 80:1–12.</w:t>
      </w:r>
    </w:p>
    <w:p w14:paraId="7F01740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McManamay, R. A., and C. R. Derolph. 2019. Data descriptor: A stream classification system for the conterminous United States. Scientific Data 6:1–18.</w:t>
      </w:r>
    </w:p>
    <w:p w14:paraId="75CCBFD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Meinshausen, N. 2006. Quantile Regression Forests. Journal of Multivariate Analysis 7:983–999.</w:t>
      </w:r>
    </w:p>
    <w:p w14:paraId="4AE803F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Meinshausen, N. 2017. Package ‘quantregForest’: Quantile Regression Forests. R Package Documentation 1–8.</w:t>
      </w:r>
    </w:p>
    <w:p w14:paraId="41EC7CA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Messan, M. R., D. Kopp, D. C. Allen, and Y. Kang. 2018. Dynamical implications of bi-</w:t>
      </w:r>
      <w:r w:rsidRPr="008759C3">
        <w:rPr>
          <w:rFonts w:cs="Times New Roman"/>
          <w:noProof/>
          <w:szCs w:val="24"/>
        </w:rPr>
        <w:lastRenderedPageBreak/>
        <w:t>directional resource exchange within a meta-ecosystem. Mathematical Biosciences 301:167–184.</w:t>
      </w:r>
    </w:p>
    <w:p w14:paraId="287825A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Moglen, G. E., E. a. B. Eltahir, and R. L. Bras. 1998. On the sensitivity of drainage density to climate change. Water Resources Research 34:855.</w:t>
      </w:r>
    </w:p>
    <w:p w14:paraId="24488C7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Montagano, L., S. J. Leroux, M. A. Giroux, and N. Lecomte. 2019. The strength of ecological subsidies across ecosystems: a latitudinal gradient of direct and indirect impacts on food webs. Ecology Letters 22:265–274.</w:t>
      </w:r>
    </w:p>
    <w:p w14:paraId="0E40CE0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Montagano, L., S. J. Leroux, M. Giroux, and N. Lecomte. 2018. The strength of ecological subsidies across ecosystems: a latitudinal gradient of direct and indirect impacts on food webs. Ecology Letters 22:265–274.</w:t>
      </w:r>
    </w:p>
    <w:p w14:paraId="672CA97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Moore, J. W., M. P. Beakes, H. K. Nesbitt, J. D. Yeakel, D. A. Patterson, L. A. Thompson, C. C. Phillis, D. C. Braun, C. Favaro, D. Scott, C. Carr-Harris, and W. I. Atlas. 2015. Emergent stability in a large, free-flowing watershed. Ecology 96:340–347.</w:t>
      </w:r>
    </w:p>
    <w:p w14:paraId="376F6DD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Moore, R. B., and T. G. Dewald. 2016. The Road to NHDPlus - Advancements in Digital Stream Networks and Associated Catchments. Journal of the American Water Resources Association 52:890–900.</w:t>
      </w:r>
    </w:p>
    <w:p w14:paraId="48D6935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Moore, R. B., L. McKay, A. Rea, T. Bondelid, C. Price, T. Dewald, and C. Johnston. 2019. User’s guide for the national hydrography dataset plus (NHDPlus) high resolution. U.S. Geological Survey 2019–1096:66.</w:t>
      </w:r>
    </w:p>
    <w:p w14:paraId="6AE0866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Moriasi, D., J. Arnold, M. Van Liew, R. Bingner, R. Harmel, and T. Veith. 2007. Model evaluation guidelines for systematic quantification of accuracy in watershed simulations. </w:t>
      </w:r>
      <w:r w:rsidRPr="008759C3">
        <w:rPr>
          <w:rFonts w:cs="Times New Roman"/>
          <w:noProof/>
          <w:szCs w:val="24"/>
        </w:rPr>
        <w:lastRenderedPageBreak/>
        <w:t>American Society of Agricultural and Biological Engineers 50:885–900.</w:t>
      </w:r>
    </w:p>
    <w:p w14:paraId="429187B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Morin, A., and P. Dumont. 1994. A Simple Model to Estimate Growth Rate of Lotic Insect Larvae and Its Value for Estimating Population and Community Production. Journal of the North American Benthological Society 13:357–367.</w:t>
      </w:r>
    </w:p>
    <w:p w14:paraId="6410776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Moyo, S. 2020. Preliminary estimations of insect mediated transfers of mercury and physiologically important fatty acids from water to land. Biomolecules 10:129.</w:t>
      </w:r>
    </w:p>
    <w:p w14:paraId="66C0C6C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Muehlbauer, J. D., S. F. Collins, M. W. Doyle, and K. Tockner. 2014. How wide is a stream? Spatial extent of the potential “stream signature” in terrestrial food webs using meta-analysis. Ecology 95:44–55.</w:t>
      </w:r>
    </w:p>
    <w:p w14:paraId="0C9610B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Mulholland, P. J., C. S. Fellows, S. K. Hamilton, E. Marti, E. S. Division, O. Ridge, O. Ridge, N. Dame, K. B. Station, H. Corners, N. Zealand, J. Hall, and W. Hole. 2001. Inter-biome comparison of factors controlling stream metabolism.</w:t>
      </w:r>
    </w:p>
    <w:p w14:paraId="740C093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Nagy, K. A., I. A. Girard, and T. K. Brown. 1999. Energetics of free-ranging mammals, reptiles, and birds. Annual Review of Nutrition 19:247–277.</w:t>
      </w:r>
    </w:p>
    <w:p w14:paraId="0CCA101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Nakano, S., and M. Murakami. 2001. Reciprocal subsidies: Dynamic interdependence between terrestrial and aquatic food webs. Proceedings of the National Academy of Sciences of the United States of America 98:166–170.</w:t>
      </w:r>
    </w:p>
    <w:p w14:paraId="3ED83A7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Nelson, D., J. P. Benstead, A. D. Huryn, W. F. Cross, J. M. Hood, P. W. Johnson, J. R. Junker, G. M. Gíslason, and J. S. Ólafsson. 2017. Experimental whole-stream warming alters community size structure. Global Change Biology 23:2618–2628.</w:t>
      </w:r>
    </w:p>
    <w:p w14:paraId="0847C79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O’Neill, R. V, J. R. Krummel, R. H. Gardner, G. Sugihara, B. Jackson, D. L. DeAngelis, B. T. </w:t>
      </w:r>
      <w:r w:rsidRPr="008759C3">
        <w:rPr>
          <w:rFonts w:cs="Times New Roman"/>
          <w:noProof/>
          <w:szCs w:val="24"/>
        </w:rPr>
        <w:lastRenderedPageBreak/>
        <w:t>Milne, M. G. Turner, B. Zygmunt, S. W. Christensen, V. H. Dale, and R. L. Graham. 1988. Indices of landscape pattern. Landscape Ecology 1:153–162.</w:t>
      </w:r>
    </w:p>
    <w:p w14:paraId="44C0B5F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Oksanen, J., F. G. Blanchet, M. Friendly, R. Kindt, P. Legendre, D. Mcglinn, P. R. Minchin, R. B. O’hara, G. L. Simpson, P. Solymos, M. Henry, H. Stevens, E. Szoecs, and H. W. Maintainer. 2019. Package “vegan” Community Ecology Package. R package.</w:t>
      </w:r>
    </w:p>
    <w:p w14:paraId="30116A7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Patrick, C. J., D. J. McGarvey, J. H. Larson, W. F. Cross, D. C. Allen, A. C. Benke, T. Brey, A. D. Huryn, J. Jones, C. A. Murphy, C. Ruffing, P. Saffarinia, M. R. Whiles, J. B. Wallace, and G. Woodward. 2019. Precipitation and temperature drive continental-scale patterns in stream invertebrate production. Science Advances 5:1–10.</w:t>
      </w:r>
    </w:p>
    <w:p w14:paraId="272F529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Le Pichon, C., G. Gorges, J. Baudry, F. Goreaud, and P. Boet. 2007. Spatial metrics and methods for riverscapes: quantifying variability in riverine fish habitat patterns. Environmetrics 18:697–712.</w:t>
      </w:r>
    </w:p>
    <w:p w14:paraId="5D805D7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Poepperl, R. 2000. Benthic secondary production and biomass of insects emerging from a northern German temperate stream. Freshwater Biology 44:199–211.</w:t>
      </w:r>
    </w:p>
    <w:p w14:paraId="208FA78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Poff, N. L., B. P. Bledsoe, M. I. Pyne, C. C. Cuhaciyan, and D. M. Carlisle. 2010. Developing linkages between species traits and multiscaled environmental variation to explore vulnerability of stream benthic communities to climate change. Journal of the North American Benthological Society 29:1441–1458.</w:t>
      </w:r>
    </w:p>
    <w:p w14:paraId="421AD07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Poff, N. L., J. D. Olden, D. S. Finn, N. K. M. Vieira, M. P. Simmons, and B. C. Kondratieff. 2006. Functional trait niches of North American lotic insects: traits-based ecological applications in light of phylogenetic relationships. Journal of the North American Benthological Society 25:730–755.</w:t>
      </w:r>
    </w:p>
    <w:p w14:paraId="19BB563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Poff, N. L. R., E. I. Larson, P. E. Salerno, S. G. Morton, B. C. Kondratieff, A. S. Flecker, K. R. Zamudio, and W. C. Funk. 2018. Extreme streams: species persistence and genomic change in montane insect populations across a flooding gradient. Ecology Letters 21:525–535.</w:t>
      </w:r>
    </w:p>
    <w:p w14:paraId="42E6792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Polis, G. A., W. B. Anderson, and R. D. Holt. 1997. Toward an integration of landscape and food web ecology: the dynamics of spatially subsidized food webs. Annual Review of Ecology and Systematics 28:289–316.</w:t>
      </w:r>
    </w:p>
    <w:p w14:paraId="1EC2C7D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Popova, O. N., A. Y. Haritonov, N. N. Sushchik, O. N. Makhutova, G. S. Kalachova, A. A. Kolmakova, and M. I. Gladyshev. 2017. Export of aquatic productivity, including highly unsaturated fatty acids, to terrestrial ecosystems via Odonata. Science of the Total Environment 581–582:40–48.</w:t>
      </w:r>
    </w:p>
    <w:p w14:paraId="3178D0C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Power, M. E., and W. E. Rainey. 2000. Food webs and resource sheds: towards spatially delimiting trophic interactions. Pages 291–314 </w:t>
      </w:r>
      <w:r w:rsidRPr="008759C3">
        <w:rPr>
          <w:rFonts w:cs="Times New Roman"/>
          <w:i/>
          <w:iCs/>
          <w:noProof/>
          <w:szCs w:val="24"/>
        </w:rPr>
        <w:t>in</w:t>
      </w:r>
      <w:r w:rsidRPr="008759C3">
        <w:rPr>
          <w:rFonts w:cs="Times New Roman"/>
          <w:noProof/>
          <w:szCs w:val="24"/>
        </w:rPr>
        <w:t xml:space="preserve"> E. A. J. Hutchings and A. J. A. Stewart (editors). Ecological Consequences of Habitat Heterogeneity.</w:t>
      </w:r>
    </w:p>
    <w:p w14:paraId="02ED538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Qiu, Y., S. N. Teng, Y. Zhang, J. Santana, J. C. Svenning, L. Reino, S. Abades, H. Ma, L. Yang, Y. Wu, Z. Y. X. Huang, and C. Xu. 2019. The resolution-dependent role of landscape attributes in shaping macro-scale biodiversity patterns. Global Ecology and Biogeography 28:767–778.</w:t>
      </w:r>
    </w:p>
    <w:p w14:paraId="65AB477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Raitif, J., M. Plantegenest, and J. M. Roussel. 2019. From stream to land: Ecosystem services provided by stream insects to agriculture. Agriculture, Ecosystems and Environment 270–271:32–40.</w:t>
      </w:r>
    </w:p>
    <w:p w14:paraId="76E0F0F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Ramey, T. L., and J. S. Richardson. 2017. Terrestrial Invertebrates in the Riparian Zone: Mechanisms Underlying Their Unique Diversity. BioScience 67.</w:t>
      </w:r>
    </w:p>
    <w:p w14:paraId="2E8899E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Recalde, F. C., C. P. B. Breviglieri, and G. Q. Romero. 2020. Allochthonous aquatic subsidies alleviate predation pressure in terrestrial ecosystems. Ecology 101:e03074.</w:t>
      </w:r>
    </w:p>
    <w:p w14:paraId="4984337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Resh, V. H., A. V Brown, A. P. Covich, M. E. Gurtz, W. Hiram, G. W. Minshall, S. R. Reice, A. L. Sheldon, J. B. Wallace, C. Robert, M. E. Gurtz, H. W. Li, and G. W. Minshall. 1988. The Role of Disturbance in Stream Ecology. Journal of the North American Benthological Society 7:433–455.</w:t>
      </w:r>
    </w:p>
    <w:p w14:paraId="6FB7373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Ribera, I., and A. P. Vogler. 2004. Speciation of Iberian diving beetles in Pleistocene refugia (Coleoptera, Dytiscidae). Molecular Ecology 13:179–193.</w:t>
      </w:r>
    </w:p>
    <w:p w14:paraId="62CD404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Richardson, J. S., and T. Sato. 2015. Resource subsidy flows across freshwater-terrestrial boundaries and influence on processes linking adjacent ecosystems. Ecohydrology 8:406–415.</w:t>
      </w:r>
    </w:p>
    <w:p w14:paraId="77277F7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Richardson, J. S., Y. Zhang, and L. B. Marczak. 2010. Resource subsidies across the land-freshwater interface and responses in recipient communities. River Research and Applications 26:55–66.</w:t>
      </w:r>
    </w:p>
    <w:p w14:paraId="4150ECD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Rüegg, J., W. K. Dodds, M. D. Daniels, K. R. Sheehan, C. L. Baker, W. B. Bowden, K. J. Farrell, M. B. Flinn, T. K. Harms, J. B. Jones, L. E. Koenig, J. S. Kominoski, W. H. McDowell, S. P. Parker, A. D. Rosemond, M. T. Trentman, M. Whiles, and W. M. Wollheim. 2016. Baseflow physical characteristics differ at multiple spatial scales in stream networks across diverse biomes. Landscape Ecology 31:119–136.</w:t>
      </w:r>
    </w:p>
    <w:p w14:paraId="589BB9D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Sabo, J. L., and E. M. Hagen. 2012. A network theory for resource exchange between rivers and their watersheds. Water Resources Research 48.</w:t>
      </w:r>
    </w:p>
    <w:p w14:paraId="6934777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Sabo, J. L., and M. E. Power. 2002. River-Watershed Exchange : Effects of Riverine Subsidies on Riparian Lizards and Their Terrestrial Prey. Ecology 83:1860–1869.</w:t>
      </w:r>
    </w:p>
    <w:p w14:paraId="1CD809B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Sangireddy, H., R. A. Carothers, C. P. Stark, and P. Passalacqua. 2016. Controls of Climate, Topography, Vegetation, and Lithology on Drainage Density Extracted from High Resolution Topography Data. Journal of Hydrology 537:271–282.</w:t>
      </w:r>
    </w:p>
    <w:p w14:paraId="26F88FA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Schilke, P. R., M. Bartrons, J. M. Gorzo, M. J. Vander Zanden, C. Gratton, R. W. Howe, and A. M. Pidgeon. 2020. Modeling a cross-ecosystem subsidy: forest songbird response to emergent aquatic insects. Landscape Ecology 35:1587–1604.</w:t>
      </w:r>
    </w:p>
    <w:p w14:paraId="28AB2CD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Schindler, D. E., and A. P. Smits. 2017. Subsidies of Aquatic Resources in Terrestrial Ecosystems. Ecosystems 20:78–93.</w:t>
      </w:r>
    </w:p>
    <w:p w14:paraId="49E5138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Schmera, D., D. Árva, P. Boda, E. Bódis, Á. Bolgovics, G. Borics, A. Csercsa, C. Deák, E. Krasznai, B. A. Lukács, P. Mauchart, A. Móra, P. Sály, A. Specziár, K. Süveges, I. Szivák, P. Takács, M. Tóth, G. Várbíró, A. E. Vojtkó, and T. Erős. 2018. Does isolation influence the relative role of environmental and dispersal-related processes in stream networks? An empirical test of the network position hypothesis using multiple taxa. Freshwater Biology 63:74–85.</w:t>
      </w:r>
    </w:p>
    <w:p w14:paraId="742AAB1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Serra, S. R. Q., M. A. S. Graça, S. Dolédec, and M. J. Feio. 2017. Chironomidae traits and life history strategies as indicators of anthropogenic disturbance. Environmental Monitoring and Assessment 189:326.</w:t>
      </w:r>
    </w:p>
    <w:p w14:paraId="23F32A3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Seybold, H., D. H. Rothman, and J. W. Kirchner. 2017. Climate’s watermark in the geometry of stream networks. Geophysical Research Letters 44:2272–2280.</w:t>
      </w:r>
    </w:p>
    <w:p w14:paraId="42A6452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Shangguan, W., T. Hengl, J. Mendes de Jesus, H. Yuan, and D. Yongjiu. 2017. Mapping the global depth to bedrock for land surface modeling. Journal of Advances in Modeling Earth Systems 9:65–88.</w:t>
      </w:r>
    </w:p>
    <w:p w14:paraId="7FB8FC6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Shen, W., G. D. Jenerette, J. Wu, and R. H. Gardner. 2004. Evaluating empirical scaling relations of pattern metrics with simulated landscapes. Ecography 27:459–469.</w:t>
      </w:r>
    </w:p>
    <w:p w14:paraId="76B8F86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Šímová, P., and K. Gdulová. 2012. Landscape indices behavior: A review of scale effects. Applied Geography 34:385–394.</w:t>
      </w:r>
    </w:p>
    <w:p w14:paraId="311F602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Smith, V. B., C. H. David, M. B. Cardenas, and Z. L. Yang. 2013. Climate, river network, and vegetation cover relationships across a climate gradient and their potential for predicting effects of decadal-scale climate change. Journal of Hydrology 488:101–109.</w:t>
      </w:r>
    </w:p>
    <w:p w14:paraId="1BB8FAC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Spiller, K. J., and R. Dettmers. 2019. Evidence for multiple drivers of aerial insectivore declines in North America. Condor 121:1–13.</w:t>
      </w:r>
    </w:p>
    <w:p w14:paraId="2278B39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Statzner, B., S. Doledec, and B. Hugueny. 2004. Biological composition communities trait of European stream invertebrate: the effects of various trait filter assessing types. Ecography 27:470–488.</w:t>
      </w:r>
    </w:p>
    <w:p w14:paraId="0B8EED9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Statzner, B., and V. H. Resh. 1993. Oecologia Multiple-site and -year analyses of stream insect emergence: a test of ecological theory. Oecologia 96:65–79.</w:t>
      </w:r>
    </w:p>
    <w:p w14:paraId="053DA11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Stenroth, K., L. E. Polvi, E. Fältström, and M. Jonsson. 2015. Land-use effects on terrestrial consumers through changed size structure of aquatic insects. Freshwater Biology 60:136–149.</w:t>
      </w:r>
    </w:p>
    <w:p w14:paraId="285A6E3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Stepanian, P. M., S. A. Entrekin, C. E. Wainwright, D. Mirkovic, J. L. Tank, and J. F. Kelly. </w:t>
      </w:r>
      <w:r w:rsidRPr="008759C3">
        <w:rPr>
          <w:rFonts w:cs="Times New Roman"/>
          <w:noProof/>
          <w:szCs w:val="24"/>
        </w:rPr>
        <w:lastRenderedPageBreak/>
        <w:t>2020. Declines in an abundant aquatic insect, the burrowing mayfly, across major North American waterways. Proceedings of the National Academy of Sciences of the United States of America 117:2987–2992.</w:t>
      </w:r>
    </w:p>
    <w:p w14:paraId="3041F81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Stoddard, J. L., A. T. Herlihy, D. V Peck, R. M. Hughes, R. Thomas, E. Tarquinio, J. L. Stoddard, A. T. Herlihy, D. V Peck, and T. R. Whittier. 2008. A process for creating multimetric indices for large-scale aquatic surveys. Journal of the North American Benthological Society 27:878–891.</w:t>
      </w:r>
    </w:p>
    <w:p w14:paraId="6DD6425F"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Subalusky, A. L., and D. M. Post. 2018. Context dependency of animal resource subsidies. Biological Reviews 94:517–538.</w:t>
      </w:r>
    </w:p>
    <w:p w14:paraId="4FBD181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Tanentzap, A. J., B. W. Kielstra, G. M. Wilkinson, M. Berggren, N. Craig, P. A. del Giorgio, J. Grey, J. M. Gunn, S. E. Jones, J. Karlsson, C. T. Solomon, and M. L. Pace. 2017. Terrestrial support of lake food webs: Synthesis reveals controls over cross-ecosystem resource use. Science Advances 3:e1601765.</w:t>
      </w:r>
    </w:p>
    <w:p w14:paraId="2451313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Thoms, M. C., and M. Parsons. 2002. Eco-geomorphology : an interdisciplinary approach to river science. The Structure, Function and Management Implications of Fluvial Sedimentary Systems (Proceedings of an international symposium held at Alice Springs, Australia, September 2002). IAHS Publ. no. 276, 2002. 113–119.</w:t>
      </w:r>
    </w:p>
    <w:p w14:paraId="59D9300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Thoms, M., M. Scown, and J. Flotemersch. 2018. Characterization of River Networks: A GIS Approach and Its Applications. Journal of the American Water Resources Association 54:899–913.</w:t>
      </w:r>
    </w:p>
    <w:p w14:paraId="7C13F60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Thorp, J. H., J. E. Flotemersch, M. D. Delong, A. F. Casper, M. C. Thoms, F. Ballantyne, B. S. Williams, B. J. O’Neill, and C. S. Haase. 2010. Linking Ecosystem Services, Rehabilitation, </w:t>
      </w:r>
      <w:r w:rsidRPr="008759C3">
        <w:rPr>
          <w:rFonts w:cs="Times New Roman"/>
          <w:noProof/>
          <w:szCs w:val="24"/>
        </w:rPr>
        <w:lastRenderedPageBreak/>
        <w:t>and River Hydrogeomorphology. BioScience 60:67–74.</w:t>
      </w:r>
    </w:p>
    <w:p w14:paraId="24D2259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Thorp, J. H., M. C. Thoms, and M. D. Delong. 2006. The riverine ecosystem synthesis: Biocomplexity in river networks across space and time. River Research and Applications 22:123–147.</w:t>
      </w:r>
    </w:p>
    <w:p w14:paraId="2CF8CA6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Thorp, J., M. Thoms, and D. Michael. 2008. The Riverine Ecosystem Synthesis: towards a conceptual cohesiveness in river science. Elsevier, Oxford, UK.</w:t>
      </w:r>
    </w:p>
    <w:p w14:paraId="5F7A96C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Tonkin, J. D., F. Altermatt, D. S. Finn, J. Heino, J. D. Olden, S. U. Pauls, and D. A. Lytle. 2017. The role of dispersal in river network metacommunities: Patterns, processes, and pathways. Freshwater Biology 141–163.</w:t>
      </w:r>
    </w:p>
    <w:p w14:paraId="7CF65E2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Tonkin, J. D., J. Heino, A. Sundermann, P. Haase, and S. C. Jähnig. 2016. Context dependency in biodiversity patterns of central German stream metacommunities. Freshwater Biology 61:607–620.</w:t>
      </w:r>
    </w:p>
    <w:p w14:paraId="1287CC0D"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Townsend, C. R., and A. G. Hildrew. 1994. Species Traits in relation to a habitat templet for river systems. Freshwater Biology 31:265–275.</w:t>
      </w:r>
    </w:p>
    <w:p w14:paraId="7EABD12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Turner, M. G. 1989. Landscape Ecology: The Effect of Pattern on Process. Annual Review of Ecology and Systematics 20:171–197.</w:t>
      </w:r>
    </w:p>
    <w:p w14:paraId="2084D65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Turner, M. G., and F. S. Chapin. 2005. Causes and Consequences of Spatial Heterogeneity in Ecosystem Function. Pages 30–51 </w:t>
      </w:r>
      <w:r w:rsidRPr="008759C3">
        <w:rPr>
          <w:rFonts w:cs="Times New Roman"/>
          <w:i/>
          <w:iCs/>
          <w:noProof/>
          <w:szCs w:val="24"/>
        </w:rPr>
        <w:t>in</w:t>
      </w:r>
      <w:r w:rsidRPr="008759C3">
        <w:rPr>
          <w:rFonts w:cs="Times New Roman"/>
          <w:noProof/>
          <w:szCs w:val="24"/>
        </w:rPr>
        <w:t xml:space="preserve"> G. M. Lovett, C. J. Jones, M. G. Turner, and K. C. Weathers (editors). Ecosystem Function in Heterogeneous Landscapes. Springer S, New York.</w:t>
      </w:r>
    </w:p>
    <w:p w14:paraId="231F683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Turner, M. G., and R. H. Gardner. 2015. Landscape Ecology in Theory and Practice. Second. </w:t>
      </w:r>
      <w:r w:rsidRPr="008759C3">
        <w:rPr>
          <w:rFonts w:cs="Times New Roman"/>
          <w:noProof/>
          <w:szCs w:val="24"/>
        </w:rPr>
        <w:lastRenderedPageBreak/>
        <w:t>Springer-Verlag, New York.</w:t>
      </w:r>
    </w:p>
    <w:p w14:paraId="06ED46E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Turner, M. G., R. V. O’Neill, R. H. Gardner, and B. T. Milne. 1989. Effects of changing spatial extent on landscape pattern analysis. Landscape Ecology 3:153–162.</w:t>
      </w:r>
    </w:p>
    <w:p w14:paraId="57C574E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Twining, C. W., J. T. Brenna, P. Lawrence, D. W. Winkler, A. S. Flecker, and N. G. Hairston. 2019. Aquatic and terrestrial resources are not nutritionally reciprocal for consumers. Functional Ecology 0–2.</w:t>
      </w:r>
    </w:p>
    <w:p w14:paraId="4D2317E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Twining, C. W., J. R. Shipley, and D. W. Winkler. 2018. Aquatic insects rich in omega-3 fatty acids drive breeding success in a widespread bird. Ecology Letters 21:1812–1820.</w:t>
      </w:r>
    </w:p>
    <w:p w14:paraId="56593CDB"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 EPA. 2012. Freshwater Biological Traits Database. Global Change Research Program, National Center for Environmental Assessment, Washington, DC EPA/600/R-11/038F. Washington, DC. (Available from: http://www.epa.gov/ncea)</w:t>
      </w:r>
    </w:p>
    <w:p w14:paraId="3880770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 EPA. 2016a. National Rivers and Streams Assessment 2008-2009: Technical Report, Office of Water and Office of Research and Development, Washington, DC EPA-841-R-16-008.</w:t>
      </w:r>
    </w:p>
    <w:p w14:paraId="3362F66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 EPA. 2016b. National Rivers and Streams Assessment 2008-2009: A Collaborative Survey, Office of Water and Office of Research and Development, Washington, DC EPA-841-R-16-008. Washington, DC. (Available from: http://www.epa.gov/national‐aquatic‐resource‐surveys/nrsa)</w:t>
      </w:r>
    </w:p>
    <w:p w14:paraId="76928881"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Uno, H. 2016. Stream thermal heterogeneity prolongs aquatic-terrestrial subsidy and enhances riparian spider growth. Ecology 97:2547–2553.</w:t>
      </w:r>
    </w:p>
    <w:p w14:paraId="6E8BAF9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Uno, H., and M. E. Power. 2015. Mainstem-tributary linkages by mayfly migration help sustain salmonids in a warming river network. Ecology Letters 18:1012–1020.</w:t>
      </w:r>
    </w:p>
    <w:p w14:paraId="7FDB9E3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USGCRP. 2018. Fourth National Climate Assessment. (D. R. Reidmiller, C. W. Avery, D. R. Easterline, K. E. Kunkel, K. L. M. Lewis, T. K. Maycock, and B. C. Stewart, Eds.). U.S. Global Change Research Program, Washington, DC.</w:t>
      </w:r>
    </w:p>
    <w:p w14:paraId="2750F7D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Usseglio-Polatera, P., M. Bournaud, P. Richoux, and H. Tachet. 2000. Biological and ecological traits of benthic freshwater macroinvertebrates: Relationships and definition of groups with similar traits. Freshwater Biology 43:175–205.</w:t>
      </w:r>
    </w:p>
    <w:p w14:paraId="68411A4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Vehtari, A., A. Gelman, and J. Gabry. 2017. Practical Bayesian model evaluation using leave-one-out cross-validation and WAIC. Statistics and Computing 27:1413–1432.</w:t>
      </w:r>
    </w:p>
    <w:p w14:paraId="2499AC2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Verberk, W. C. E. P., C. G. E. Van Noordwijk, and A. G. Hildrew. 2013. Delivering on a promise: Integrating species traits to transform descriptive community ecology into a predictive science. Freshwater Science 32:531–547.</w:t>
      </w:r>
    </w:p>
    <w:p w14:paraId="366D000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Verberk, W. C. E. P., H. Siepel, and H. Esselink. 2008. Life-history strategies in freshwater macroinvertebrates. Freshwater Biology 53:1722–1738.</w:t>
      </w:r>
    </w:p>
    <w:p w14:paraId="0EA79D9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Vieira, N. K. M., N. L. Poff, D. M. Carlisle, S. R. Moulton, M. L. Koski, and B. C. Kondratieff. 2006. A Database of Lotic Invertebrate Traits for North America. Data Series 187. http://pubs.water.usgs.gov/ds187i. (Available from: http://pubs.water.usgs.gov/ds187)</w:t>
      </w:r>
    </w:p>
    <w:p w14:paraId="4F55331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Viger, R. J., A. Rea, J. D. Simley, and K. M. Hanson. 2016. NHDPlusHR: A National Geospatial Framework for Surface-Water Information. Journal of the American Water Resources Association 52:901–905.</w:t>
      </w:r>
    </w:p>
    <w:p w14:paraId="1295207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Walling, D. E. 1999. Linking land use, erosion and sediment yields in river basins. Hydrobiologia 410:223–240.</w:t>
      </w:r>
    </w:p>
    <w:p w14:paraId="7E0C4B46"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Ward, J. V., F. Malard, and K. Tockner. 2002. Landscape ecology: a framework for integrating pattern and process in river corridors. 17:35–45.</w:t>
      </w:r>
    </w:p>
    <w:p w14:paraId="38B0C3E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Watanabe, S. 2010. Asymptotic Equivalence of Bayes Cross Validation and Widely Applicable Information Criterion in Singular Learning Theory. 11:3571–3594.</w:t>
      </w:r>
    </w:p>
    <w:p w14:paraId="705837F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Waters, T. F. 1977. Secondary Production in Inland Waters. Advances in Ecological Research 10:91–164.</w:t>
      </w:r>
    </w:p>
    <w:p w14:paraId="0368617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Wesner, J. S., D. L. Swanson, M. D. Dixon, D. A. Soluk, D. J. Quist, L. A. Yager, J. W. Warmbold, E. Oddy, and T. C. Seidel. 2020. Loss of Potential Aquatic-Terrestrial Subsidies Along the Missouri River Floodplain. Ecosystems 23:111–123.</w:t>
      </w:r>
    </w:p>
    <w:p w14:paraId="566FDE9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Wesner, J., D. Walters, and R. Zuellig. 2019. Pulsed salmonfly emergence and its potential contribution to terrestrial detrital pools. Food Webs 18:e00105.</w:t>
      </w:r>
    </w:p>
    <w:p w14:paraId="1CBAD77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Whiles, M. R., and J. B. Wallace. 1995. Macroinvertebrate production in a headwater stream during recovery from anthropogenic disturbance and hydrologic extremes. Canadian Journal of Fisheries and Aquatic Sciences 52:2402–2422.</w:t>
      </w:r>
    </w:p>
    <w:p w14:paraId="46E9BCB0"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White, M. S., B. G. Tavernia, P. B. Shafroth, T. B. Chapman, and J. S. Sanderson. 2018. Vegetative and geomorphic complexity at tributaty jusctions on Colorago and Delores Rivers: a blueprint for riparian restoration. Landscape Ecology.</w:t>
      </w:r>
    </w:p>
    <w:p w14:paraId="0FF88375"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Wiens, J. A. 1989. Spatial scaling in ecology. Functional Ecology 3:385–397.</w:t>
      </w:r>
    </w:p>
    <w:p w14:paraId="4BD7D8F9"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 xml:space="preserve">Williams, B. S., E. D’Amico, J. H. Kastens, J. H. Thorp, J. E. Flotemersch, and M. C. Thoms. 2013. Automated riverine landscape characterization: GIS-based tools for watershed-scale research, assessment, and management. Environmental Monitoring and Assessment </w:t>
      </w:r>
      <w:r w:rsidRPr="008759C3">
        <w:rPr>
          <w:rFonts w:cs="Times New Roman"/>
          <w:noProof/>
          <w:szCs w:val="24"/>
        </w:rPr>
        <w:lastRenderedPageBreak/>
        <w:t>185:7485–7499.</w:t>
      </w:r>
    </w:p>
    <w:p w14:paraId="32ABAE8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Wohl, E. 2004. Limits of downstream hydraulic geometry. Geology 32:897–900.</w:t>
      </w:r>
    </w:p>
    <w:p w14:paraId="7F529A3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Woodward, G., D. M. Perkins, and L. E. Brown. 2010. Climate change and freshwater ecosystems: impacts across multiple levels of organization. Philosophical transactions of the Royal Society B 365:2093–2106.</w:t>
      </w:r>
    </w:p>
    <w:p w14:paraId="1EF282BA"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2004. Effects of changing scale on landscape pattern analysis: Scaling relations. Landscape Ecology 19:125–138.</w:t>
      </w:r>
    </w:p>
    <w:p w14:paraId="588DD822"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and H. Li. 2006. Concepts of scale and scaling. Scaling and Uncertainty Analysis in Ecology: Methods and Applications 3–15.</w:t>
      </w:r>
    </w:p>
    <w:p w14:paraId="54A983E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and O. Loucks. 1995. From Balance of Nature to Hierarchical Patch Dynamics : A Paradigm Shift in Ecology. The Quarterly Review of Biology 70:439–466.</w:t>
      </w:r>
    </w:p>
    <w:p w14:paraId="06359F1E"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Wu, J., W. Shen, W. Sun, and P. T. Tueller. 2002. Empirical patterns of the effects of changing scale on landscape metrics. Landscape Ecology 17:761–782.</w:t>
      </w:r>
    </w:p>
    <w:p w14:paraId="5225FAD8"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Xu, C., S. Zhao, and S. Liu. 2020. Spatial scaling of multiple landscape features in the conterminous United States. Landscape Ecology 35:223–247.</w:t>
      </w:r>
    </w:p>
    <w:p w14:paraId="16150C1C"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Yager, L. A., M. D. Dixon, T. C. Cowman, and D. A. Soluk. 2013. Historic changes (1941-2008) in side channel and backwater habitats on an unchannelized reach of the missouri river. River Research and Applications 29:493–501.</w:t>
      </w:r>
    </w:p>
    <w:p w14:paraId="407E4744"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Yang, L. H., K. F. Edwards, J. E. Byrnes, J. L. Bastow, A. N. Wright, and K. O. Spence. 2010. A meta-analysis of resource pulse–consumer interactions. Ecological Monographs 80:125–151.</w:t>
      </w:r>
    </w:p>
    <w:p w14:paraId="4780E547"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lastRenderedPageBreak/>
        <w:t>Yeakel, J. D., J. W. Moore, P. R. Guimarães, and M. A. M. de Aguiar. 2014. Synchronisation and stability in river metapopulation networks. Ecology Letters 17:273–283.</w:t>
      </w:r>
    </w:p>
    <w:p w14:paraId="36E8AC03" w14:textId="77777777" w:rsidR="008759C3" w:rsidRPr="008759C3" w:rsidRDefault="008759C3" w:rsidP="008759C3">
      <w:pPr>
        <w:widowControl w:val="0"/>
        <w:autoSpaceDE w:val="0"/>
        <w:autoSpaceDN w:val="0"/>
        <w:adjustRightInd w:val="0"/>
        <w:spacing w:line="480" w:lineRule="auto"/>
        <w:ind w:left="480" w:hanging="480"/>
        <w:rPr>
          <w:rFonts w:cs="Times New Roman"/>
          <w:noProof/>
          <w:szCs w:val="24"/>
        </w:rPr>
      </w:pPr>
      <w:r w:rsidRPr="008759C3">
        <w:rPr>
          <w:rFonts w:cs="Times New Roman"/>
          <w:noProof/>
          <w:szCs w:val="24"/>
        </w:rPr>
        <w:t>Yu, H., M. Chin, T. Yuan, H. Bian, L. A. Remer, J. M. Prospero, A. Omar, D. Winker, Y. Yang, Y. Zhang, Z. Zhang, and C. Zhao. 2015. The fertilizing role of African dust in the Amazon rainforest: A first multiyear assessment based on data from Cloud-Aerosol Lidar and Infrared Pathfinder Satellite Observations. Geophysical Research Letters 42:1984–1991.</w:t>
      </w:r>
    </w:p>
    <w:p w14:paraId="171BB30D" w14:textId="77777777" w:rsidR="008759C3" w:rsidRPr="008759C3" w:rsidRDefault="008759C3" w:rsidP="008759C3">
      <w:pPr>
        <w:widowControl w:val="0"/>
        <w:autoSpaceDE w:val="0"/>
        <w:autoSpaceDN w:val="0"/>
        <w:adjustRightInd w:val="0"/>
        <w:spacing w:line="480" w:lineRule="auto"/>
        <w:ind w:left="480" w:hanging="480"/>
        <w:rPr>
          <w:rFonts w:cs="Times New Roman"/>
          <w:noProof/>
        </w:rPr>
      </w:pPr>
      <w:r w:rsidRPr="008759C3">
        <w:rPr>
          <w:rFonts w:cs="Times New Roman"/>
          <w:noProof/>
          <w:szCs w:val="24"/>
        </w:rPr>
        <w:t>Zhao, M., and S. W. Running. 2010. Drought-Induced Reduction in Global Terrestrial Net Primary Production from 2000 Through 2009. Science 329:940–944.</w:t>
      </w:r>
    </w:p>
    <w:p w14:paraId="77B8ABF7" w14:textId="77777777" w:rsidR="00333AA3" w:rsidRDefault="00333AA3" w:rsidP="00333AA3">
      <w:pPr>
        <w:spacing w:line="480" w:lineRule="auto"/>
        <w:contextualSpacing/>
        <w:rPr>
          <w:rFonts w:cs="Times New Roman"/>
          <w:szCs w:val="24"/>
        </w:rPr>
      </w:pPr>
      <w:r>
        <w:rPr>
          <w:rFonts w:cs="Times New Roman"/>
          <w:szCs w:val="24"/>
        </w:rPr>
        <w:fldChar w:fldCharType="end"/>
      </w:r>
    </w:p>
    <w:p w14:paraId="02AA1A18" w14:textId="77777777" w:rsidR="00333AA3" w:rsidRDefault="00333AA3" w:rsidP="00333AA3">
      <w:pPr>
        <w:spacing w:line="480" w:lineRule="auto"/>
        <w:contextualSpacing/>
        <w:rPr>
          <w:rFonts w:cs="Times New Roman"/>
          <w:b/>
          <w:szCs w:val="24"/>
        </w:rPr>
      </w:pPr>
    </w:p>
    <w:p w14:paraId="52B7CBD5" w14:textId="77777777" w:rsidR="00333AA3" w:rsidRDefault="00333AA3" w:rsidP="00333AA3">
      <w:pPr>
        <w:spacing w:line="480" w:lineRule="auto"/>
        <w:contextualSpacing/>
        <w:rPr>
          <w:rFonts w:cs="Times New Roman"/>
          <w:szCs w:val="24"/>
        </w:rPr>
        <w:sectPr w:rsidR="00333AA3" w:rsidSect="00C02A3F">
          <w:pgSz w:w="12240" w:h="15840"/>
          <w:pgMar w:top="1440" w:right="1440" w:bottom="1440" w:left="1440" w:header="720" w:footer="720" w:gutter="0"/>
          <w:cols w:space="720"/>
          <w:docGrid w:linePitch="360"/>
        </w:sectPr>
      </w:pPr>
    </w:p>
    <w:p w14:paraId="70137E4C" w14:textId="2D4AA79D" w:rsidR="00333AA3" w:rsidRPr="001249BB" w:rsidRDefault="001249BB" w:rsidP="001249BB">
      <w:pPr>
        <w:pStyle w:val="Caption"/>
        <w:keepNext/>
      </w:pPr>
      <w:bookmarkStart w:id="100" w:name="_Toc60480694"/>
      <w:bookmarkStart w:id="101" w:name="_Toc61883060"/>
      <w:r>
        <w:lastRenderedPageBreak/>
        <w:t xml:space="preserve">Table </w:t>
      </w:r>
      <w:fldSimple w:instr=" STYLEREF 1 \s ">
        <w:r w:rsidR="000C6138">
          <w:rPr>
            <w:noProof/>
          </w:rPr>
          <w:t>4</w:t>
        </w:r>
      </w:fldSimple>
      <w:r w:rsidR="004F311A">
        <w:t>.</w:t>
      </w:r>
      <w:fldSimple w:instr=" SEQ Table \* ARABIC \s 1 ">
        <w:r w:rsidR="000C6138">
          <w:rPr>
            <w:noProof/>
          </w:rPr>
          <w:t>1</w:t>
        </w:r>
      </w:fldSimple>
      <w:r>
        <w:t xml:space="preserve">. </w:t>
      </w:r>
      <w:r w:rsidR="00333AA3">
        <w:rPr>
          <w:rFonts w:cs="Times New Roman"/>
          <w:szCs w:val="24"/>
        </w:rPr>
        <w:t>Characteristics of the river networks used in this study.</w:t>
      </w:r>
      <w:r w:rsidR="00665B56">
        <w:rPr>
          <w:rFonts w:cs="Times New Roman"/>
          <w:szCs w:val="24"/>
        </w:rPr>
        <w:t xml:space="preserve"> Stream order is the </w:t>
      </w:r>
      <w:proofErr w:type="spellStart"/>
      <w:r w:rsidR="00665B56">
        <w:rPr>
          <w:rFonts w:cs="Times New Roman"/>
          <w:szCs w:val="24"/>
        </w:rPr>
        <w:t>Strahler</w:t>
      </w:r>
      <w:proofErr w:type="spellEnd"/>
      <w:r w:rsidR="00665B56">
        <w:rPr>
          <w:rFonts w:cs="Times New Roman"/>
          <w:szCs w:val="24"/>
        </w:rPr>
        <w:t xml:space="preserve"> Stream order at the outlet of the network. Catchment area is the upstream catchment areas of the network. Total length is the sum of all streams in the network. Reaches are the number of reaches that were classified for each network.</w:t>
      </w:r>
      <w:bookmarkEnd w:id="100"/>
      <w:bookmarkEnd w:id="101"/>
      <w:r w:rsidR="00665B56">
        <w:rPr>
          <w:rFonts w:cs="Times New Roman"/>
          <w:szCs w:val="24"/>
        </w:rPr>
        <w:t xml:space="preserve"> </w:t>
      </w:r>
    </w:p>
    <w:tbl>
      <w:tblPr>
        <w:tblW w:w="4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3280"/>
        <w:gridCol w:w="1134"/>
        <w:gridCol w:w="1342"/>
        <w:gridCol w:w="990"/>
        <w:gridCol w:w="1441"/>
        <w:gridCol w:w="1530"/>
        <w:gridCol w:w="1080"/>
      </w:tblGrid>
      <w:tr w:rsidR="00665B56" w:rsidRPr="00F57F03" w14:paraId="1C0E7E0F" w14:textId="77777777" w:rsidTr="00665B56">
        <w:trPr>
          <w:trHeight w:val="300"/>
        </w:trPr>
        <w:tc>
          <w:tcPr>
            <w:tcW w:w="421" w:type="pct"/>
            <w:tcBorders>
              <w:top w:val="nil"/>
              <w:left w:val="nil"/>
              <w:bottom w:val="single" w:sz="4" w:space="0" w:color="auto"/>
              <w:right w:val="nil"/>
            </w:tcBorders>
            <w:vAlign w:val="bottom"/>
          </w:tcPr>
          <w:p w14:paraId="36E12B3C" w14:textId="77777777" w:rsidR="00333AA3" w:rsidRPr="00F57F03" w:rsidRDefault="00333AA3" w:rsidP="00333AA3">
            <w:pPr>
              <w:spacing w:after="0"/>
              <w:jc w:val="center"/>
              <w:rPr>
                <w:rFonts w:eastAsia="Times New Roman" w:cs="Times New Roman"/>
                <w:b/>
                <w:color w:val="000000"/>
              </w:rPr>
            </w:pPr>
            <w:r w:rsidRPr="00681393">
              <w:rPr>
                <w:rFonts w:eastAsia="Times New Roman" w:cs="Times New Roman"/>
                <w:b/>
                <w:color w:val="000000"/>
              </w:rPr>
              <w:t>Site</w:t>
            </w:r>
          </w:p>
        </w:tc>
        <w:tc>
          <w:tcPr>
            <w:tcW w:w="1391" w:type="pct"/>
            <w:tcBorders>
              <w:top w:val="nil"/>
              <w:left w:val="nil"/>
              <w:bottom w:val="single" w:sz="4" w:space="0" w:color="auto"/>
              <w:right w:val="nil"/>
            </w:tcBorders>
            <w:shd w:val="clear" w:color="auto" w:fill="auto"/>
            <w:noWrap/>
            <w:vAlign w:val="bottom"/>
            <w:hideMark/>
          </w:tcPr>
          <w:p w14:paraId="77447FED" w14:textId="77777777" w:rsidR="00333AA3" w:rsidRPr="00681393" w:rsidRDefault="00333AA3" w:rsidP="00333AA3">
            <w:pPr>
              <w:spacing w:after="0"/>
              <w:jc w:val="center"/>
              <w:rPr>
                <w:rFonts w:eastAsia="Times New Roman" w:cs="Times New Roman"/>
                <w:b/>
                <w:color w:val="000000"/>
              </w:rPr>
            </w:pPr>
            <w:r>
              <w:rPr>
                <w:rFonts w:eastAsia="Times New Roman" w:cs="Times New Roman"/>
                <w:b/>
                <w:color w:val="000000"/>
              </w:rPr>
              <w:t xml:space="preserve">NEON </w:t>
            </w:r>
            <w:r w:rsidRPr="00F57F03">
              <w:rPr>
                <w:rFonts w:eastAsia="Times New Roman" w:cs="Times New Roman"/>
                <w:b/>
                <w:color w:val="000000"/>
              </w:rPr>
              <w:t xml:space="preserve">Domain </w:t>
            </w:r>
            <w:r w:rsidRPr="00681393">
              <w:rPr>
                <w:rFonts w:eastAsia="Times New Roman" w:cs="Times New Roman"/>
                <w:b/>
                <w:color w:val="000000"/>
              </w:rPr>
              <w:t>Name</w:t>
            </w:r>
          </w:p>
        </w:tc>
        <w:tc>
          <w:tcPr>
            <w:tcW w:w="481" w:type="pct"/>
            <w:tcBorders>
              <w:top w:val="nil"/>
              <w:left w:val="nil"/>
              <w:bottom w:val="single" w:sz="4" w:space="0" w:color="auto"/>
              <w:right w:val="nil"/>
            </w:tcBorders>
            <w:vAlign w:val="bottom"/>
          </w:tcPr>
          <w:p w14:paraId="19EC8CDA" w14:textId="77777777" w:rsidR="00333AA3" w:rsidRPr="00F57F03" w:rsidRDefault="00333AA3" w:rsidP="00333AA3">
            <w:pPr>
              <w:spacing w:after="0"/>
              <w:jc w:val="center"/>
              <w:rPr>
                <w:rFonts w:eastAsia="Times New Roman" w:cs="Times New Roman"/>
                <w:b/>
                <w:color w:val="000000"/>
              </w:rPr>
            </w:pPr>
            <w:r w:rsidRPr="00F57F03">
              <w:rPr>
                <w:rFonts w:eastAsia="Times New Roman" w:cs="Times New Roman"/>
                <w:b/>
                <w:color w:val="000000"/>
              </w:rPr>
              <w:t xml:space="preserve">Degrees </w:t>
            </w:r>
            <w:r w:rsidRPr="00681393">
              <w:rPr>
                <w:rFonts w:eastAsia="Times New Roman" w:cs="Times New Roman"/>
                <w:b/>
                <w:color w:val="000000"/>
              </w:rPr>
              <w:t>L</w:t>
            </w:r>
            <w:r w:rsidRPr="00F57F03">
              <w:rPr>
                <w:rFonts w:eastAsia="Times New Roman" w:cs="Times New Roman"/>
                <w:b/>
                <w:color w:val="000000"/>
              </w:rPr>
              <w:t>atitude</w:t>
            </w:r>
          </w:p>
        </w:tc>
        <w:tc>
          <w:tcPr>
            <w:tcW w:w="569" w:type="pct"/>
            <w:tcBorders>
              <w:top w:val="nil"/>
              <w:left w:val="nil"/>
              <w:bottom w:val="single" w:sz="4" w:space="0" w:color="auto"/>
              <w:right w:val="nil"/>
            </w:tcBorders>
            <w:vAlign w:val="bottom"/>
          </w:tcPr>
          <w:p w14:paraId="22E45473" w14:textId="77777777" w:rsidR="00333AA3" w:rsidRPr="00F57F03" w:rsidRDefault="00333AA3" w:rsidP="00333AA3">
            <w:pPr>
              <w:spacing w:after="0"/>
              <w:jc w:val="center"/>
              <w:rPr>
                <w:rFonts w:eastAsia="Times New Roman" w:cs="Times New Roman"/>
                <w:b/>
                <w:color w:val="000000"/>
              </w:rPr>
            </w:pPr>
            <w:r w:rsidRPr="00F57F03">
              <w:rPr>
                <w:rFonts w:eastAsia="Times New Roman" w:cs="Times New Roman"/>
                <w:b/>
                <w:color w:val="000000"/>
              </w:rPr>
              <w:t xml:space="preserve">Degrees </w:t>
            </w:r>
            <w:r w:rsidRPr="00681393">
              <w:rPr>
                <w:rFonts w:eastAsia="Times New Roman" w:cs="Times New Roman"/>
                <w:b/>
                <w:color w:val="000000"/>
              </w:rPr>
              <w:t>L</w:t>
            </w:r>
            <w:r w:rsidRPr="00F57F03">
              <w:rPr>
                <w:rFonts w:eastAsia="Times New Roman" w:cs="Times New Roman"/>
                <w:b/>
                <w:color w:val="000000"/>
              </w:rPr>
              <w:t>ongitude</w:t>
            </w:r>
          </w:p>
        </w:tc>
        <w:tc>
          <w:tcPr>
            <w:tcW w:w="420" w:type="pct"/>
            <w:tcBorders>
              <w:top w:val="nil"/>
              <w:left w:val="nil"/>
              <w:bottom w:val="single" w:sz="4" w:space="0" w:color="auto"/>
              <w:right w:val="nil"/>
            </w:tcBorders>
            <w:vAlign w:val="bottom"/>
          </w:tcPr>
          <w:p w14:paraId="2C887DAB" w14:textId="77777777" w:rsidR="00333AA3" w:rsidRPr="00F57F03" w:rsidRDefault="00333AA3" w:rsidP="00333AA3">
            <w:pPr>
              <w:spacing w:after="0"/>
              <w:jc w:val="center"/>
              <w:rPr>
                <w:rFonts w:eastAsia="Times New Roman" w:cs="Times New Roman"/>
                <w:b/>
                <w:color w:val="000000"/>
              </w:rPr>
            </w:pPr>
            <w:r w:rsidRPr="00F57F03">
              <w:rPr>
                <w:rFonts w:eastAsia="Times New Roman" w:cs="Times New Roman"/>
                <w:b/>
                <w:color w:val="000000"/>
              </w:rPr>
              <w:t>Stream Order</w:t>
            </w:r>
          </w:p>
        </w:tc>
        <w:tc>
          <w:tcPr>
            <w:tcW w:w="611" w:type="pct"/>
            <w:tcBorders>
              <w:top w:val="nil"/>
              <w:left w:val="nil"/>
              <w:bottom w:val="single" w:sz="4" w:space="0" w:color="auto"/>
              <w:right w:val="nil"/>
            </w:tcBorders>
            <w:shd w:val="clear" w:color="auto" w:fill="auto"/>
            <w:noWrap/>
            <w:vAlign w:val="bottom"/>
            <w:hideMark/>
          </w:tcPr>
          <w:p w14:paraId="0B49E450" w14:textId="77777777" w:rsidR="00333AA3" w:rsidRPr="00681393" w:rsidRDefault="00333AA3" w:rsidP="00333AA3">
            <w:pPr>
              <w:spacing w:after="0"/>
              <w:jc w:val="center"/>
              <w:rPr>
                <w:rFonts w:eastAsia="Times New Roman" w:cs="Times New Roman"/>
                <w:b/>
                <w:color w:val="000000"/>
              </w:rPr>
            </w:pPr>
            <w:r w:rsidRPr="00F57F03">
              <w:rPr>
                <w:rFonts w:eastAsia="Times New Roman" w:cs="Times New Roman"/>
                <w:b/>
                <w:color w:val="000000"/>
              </w:rPr>
              <w:t>Catchment Area (km</w:t>
            </w:r>
            <w:r w:rsidRPr="00F57F03">
              <w:rPr>
                <w:rFonts w:eastAsia="Times New Roman" w:cs="Times New Roman"/>
                <w:b/>
                <w:color w:val="000000"/>
                <w:vertAlign w:val="superscript"/>
              </w:rPr>
              <w:t>2</w:t>
            </w:r>
            <w:r w:rsidRPr="00F57F03">
              <w:rPr>
                <w:rFonts w:eastAsia="Times New Roman" w:cs="Times New Roman"/>
                <w:b/>
                <w:color w:val="000000"/>
              </w:rPr>
              <w:t>)</w:t>
            </w:r>
          </w:p>
        </w:tc>
        <w:tc>
          <w:tcPr>
            <w:tcW w:w="649" w:type="pct"/>
            <w:tcBorders>
              <w:top w:val="nil"/>
              <w:left w:val="nil"/>
              <w:bottom w:val="single" w:sz="4" w:space="0" w:color="auto"/>
              <w:right w:val="nil"/>
            </w:tcBorders>
            <w:shd w:val="clear" w:color="auto" w:fill="auto"/>
            <w:noWrap/>
            <w:vAlign w:val="bottom"/>
            <w:hideMark/>
          </w:tcPr>
          <w:p w14:paraId="2CC886B6" w14:textId="77777777" w:rsidR="00333AA3" w:rsidRPr="00681393" w:rsidRDefault="00333AA3" w:rsidP="00333AA3">
            <w:pPr>
              <w:spacing w:after="0"/>
              <w:jc w:val="center"/>
              <w:rPr>
                <w:rFonts w:eastAsia="Times New Roman" w:cs="Times New Roman"/>
                <w:b/>
                <w:color w:val="000000"/>
              </w:rPr>
            </w:pPr>
            <w:r w:rsidRPr="00F57F03">
              <w:rPr>
                <w:rFonts w:eastAsia="Times New Roman" w:cs="Times New Roman"/>
                <w:b/>
                <w:color w:val="000000"/>
              </w:rPr>
              <w:t>Total Length (km)</w:t>
            </w:r>
          </w:p>
        </w:tc>
        <w:tc>
          <w:tcPr>
            <w:tcW w:w="458" w:type="pct"/>
            <w:tcBorders>
              <w:top w:val="nil"/>
              <w:left w:val="nil"/>
              <w:bottom w:val="single" w:sz="4" w:space="0" w:color="auto"/>
              <w:right w:val="nil"/>
            </w:tcBorders>
            <w:shd w:val="clear" w:color="auto" w:fill="auto"/>
            <w:noWrap/>
            <w:vAlign w:val="bottom"/>
            <w:hideMark/>
          </w:tcPr>
          <w:p w14:paraId="23E4D00E" w14:textId="77777777" w:rsidR="00333AA3" w:rsidRPr="00681393" w:rsidRDefault="00333AA3" w:rsidP="00333AA3">
            <w:pPr>
              <w:spacing w:after="0"/>
              <w:jc w:val="center"/>
              <w:rPr>
                <w:rFonts w:eastAsia="Times New Roman" w:cs="Times New Roman"/>
                <w:b/>
                <w:color w:val="000000"/>
              </w:rPr>
            </w:pPr>
            <w:r w:rsidRPr="00F57F03">
              <w:rPr>
                <w:rFonts w:eastAsia="Times New Roman" w:cs="Times New Roman"/>
                <w:b/>
                <w:color w:val="000000"/>
              </w:rPr>
              <w:t>R</w:t>
            </w:r>
            <w:r w:rsidRPr="00681393">
              <w:rPr>
                <w:rFonts w:eastAsia="Times New Roman" w:cs="Times New Roman"/>
                <w:b/>
                <w:color w:val="000000"/>
              </w:rPr>
              <w:t>eaches</w:t>
            </w:r>
            <w:r w:rsidRPr="00F57F03">
              <w:rPr>
                <w:rFonts w:eastAsia="Times New Roman" w:cs="Times New Roman"/>
                <w:b/>
                <w:color w:val="000000"/>
              </w:rPr>
              <w:t xml:space="preserve"> (#)</w:t>
            </w:r>
          </w:p>
        </w:tc>
      </w:tr>
      <w:tr w:rsidR="00665B56" w:rsidRPr="00F57F03" w14:paraId="7B110FA5" w14:textId="77777777" w:rsidTr="00665B56">
        <w:trPr>
          <w:trHeight w:val="395"/>
        </w:trPr>
        <w:tc>
          <w:tcPr>
            <w:tcW w:w="421" w:type="pct"/>
            <w:tcBorders>
              <w:top w:val="single" w:sz="4" w:space="0" w:color="auto"/>
              <w:left w:val="nil"/>
              <w:bottom w:val="nil"/>
              <w:right w:val="nil"/>
            </w:tcBorders>
            <w:vAlign w:val="bottom"/>
          </w:tcPr>
          <w:p w14:paraId="7306B82C"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NRTH</w:t>
            </w:r>
          </w:p>
        </w:tc>
        <w:tc>
          <w:tcPr>
            <w:tcW w:w="1391" w:type="pct"/>
            <w:tcBorders>
              <w:top w:val="single" w:sz="4" w:space="0" w:color="auto"/>
              <w:left w:val="nil"/>
              <w:bottom w:val="nil"/>
              <w:right w:val="nil"/>
            </w:tcBorders>
            <w:shd w:val="clear" w:color="auto" w:fill="auto"/>
            <w:noWrap/>
            <w:vAlign w:val="bottom"/>
            <w:hideMark/>
          </w:tcPr>
          <w:p w14:paraId="63D46F1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Northeast</w:t>
            </w:r>
          </w:p>
        </w:tc>
        <w:tc>
          <w:tcPr>
            <w:tcW w:w="481" w:type="pct"/>
            <w:tcBorders>
              <w:top w:val="single" w:sz="4" w:space="0" w:color="auto"/>
              <w:left w:val="nil"/>
              <w:bottom w:val="nil"/>
              <w:right w:val="nil"/>
            </w:tcBorders>
            <w:vAlign w:val="bottom"/>
          </w:tcPr>
          <w:p w14:paraId="67B5950C"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42.1491</w:t>
            </w:r>
          </w:p>
        </w:tc>
        <w:tc>
          <w:tcPr>
            <w:tcW w:w="569" w:type="pct"/>
            <w:tcBorders>
              <w:top w:val="single" w:sz="4" w:space="0" w:color="auto"/>
              <w:left w:val="nil"/>
              <w:bottom w:val="nil"/>
              <w:right w:val="nil"/>
            </w:tcBorders>
            <w:vAlign w:val="bottom"/>
          </w:tcPr>
          <w:p w14:paraId="3C23DE34"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-72.6214</w:t>
            </w:r>
          </w:p>
        </w:tc>
        <w:tc>
          <w:tcPr>
            <w:tcW w:w="420" w:type="pct"/>
            <w:tcBorders>
              <w:top w:val="single" w:sz="4" w:space="0" w:color="auto"/>
              <w:left w:val="nil"/>
              <w:bottom w:val="nil"/>
              <w:right w:val="nil"/>
            </w:tcBorders>
            <w:vAlign w:val="bottom"/>
          </w:tcPr>
          <w:p w14:paraId="4710397F"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single" w:sz="4" w:space="0" w:color="auto"/>
              <w:left w:val="nil"/>
              <w:bottom w:val="nil"/>
              <w:right w:val="nil"/>
            </w:tcBorders>
            <w:shd w:val="clear" w:color="auto" w:fill="auto"/>
            <w:noWrap/>
            <w:vAlign w:val="bottom"/>
            <w:hideMark/>
          </w:tcPr>
          <w:p w14:paraId="547A975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1764.45</w:t>
            </w:r>
          </w:p>
        </w:tc>
        <w:tc>
          <w:tcPr>
            <w:tcW w:w="649" w:type="pct"/>
            <w:tcBorders>
              <w:top w:val="single" w:sz="4" w:space="0" w:color="auto"/>
              <w:left w:val="nil"/>
              <w:bottom w:val="nil"/>
              <w:right w:val="nil"/>
            </w:tcBorders>
            <w:shd w:val="clear" w:color="auto" w:fill="auto"/>
            <w:noWrap/>
            <w:vAlign w:val="bottom"/>
            <w:hideMark/>
          </w:tcPr>
          <w:p w14:paraId="7E0D25D8"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2375.43</w:t>
            </w:r>
          </w:p>
        </w:tc>
        <w:tc>
          <w:tcPr>
            <w:tcW w:w="458" w:type="pct"/>
            <w:tcBorders>
              <w:top w:val="single" w:sz="4" w:space="0" w:color="auto"/>
              <w:left w:val="nil"/>
              <w:bottom w:val="nil"/>
              <w:right w:val="nil"/>
            </w:tcBorders>
            <w:shd w:val="clear" w:color="auto" w:fill="auto"/>
            <w:noWrap/>
            <w:vAlign w:val="bottom"/>
            <w:hideMark/>
          </w:tcPr>
          <w:p w14:paraId="5971BA9D"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3747</w:t>
            </w:r>
          </w:p>
        </w:tc>
      </w:tr>
      <w:tr w:rsidR="00665B56" w:rsidRPr="00F57F03" w14:paraId="3DD88245" w14:textId="77777777" w:rsidTr="00665B56">
        <w:trPr>
          <w:trHeight w:val="300"/>
        </w:trPr>
        <w:tc>
          <w:tcPr>
            <w:tcW w:w="421" w:type="pct"/>
            <w:tcBorders>
              <w:top w:val="nil"/>
              <w:left w:val="nil"/>
              <w:bottom w:val="nil"/>
              <w:right w:val="nil"/>
            </w:tcBorders>
            <w:vAlign w:val="bottom"/>
          </w:tcPr>
          <w:p w14:paraId="58921B62"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MDAT</w:t>
            </w:r>
          </w:p>
        </w:tc>
        <w:tc>
          <w:tcPr>
            <w:tcW w:w="1391" w:type="pct"/>
            <w:tcBorders>
              <w:top w:val="nil"/>
              <w:left w:val="nil"/>
              <w:bottom w:val="nil"/>
              <w:right w:val="nil"/>
            </w:tcBorders>
            <w:shd w:val="clear" w:color="auto" w:fill="auto"/>
            <w:noWrap/>
            <w:vAlign w:val="bottom"/>
            <w:hideMark/>
          </w:tcPr>
          <w:p w14:paraId="783174E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Mid</w:t>
            </w:r>
            <w:r>
              <w:rPr>
                <w:rFonts w:eastAsia="Times New Roman" w:cs="Times New Roman"/>
                <w:color w:val="000000"/>
              </w:rPr>
              <w:t>-</w:t>
            </w:r>
            <w:r w:rsidRPr="00681393">
              <w:rPr>
                <w:rFonts w:eastAsia="Times New Roman" w:cs="Times New Roman"/>
                <w:color w:val="000000"/>
              </w:rPr>
              <w:t>Atlantic</w:t>
            </w:r>
          </w:p>
        </w:tc>
        <w:tc>
          <w:tcPr>
            <w:tcW w:w="481" w:type="pct"/>
            <w:tcBorders>
              <w:top w:val="nil"/>
              <w:left w:val="nil"/>
              <w:bottom w:val="nil"/>
              <w:right w:val="nil"/>
            </w:tcBorders>
            <w:vAlign w:val="bottom"/>
          </w:tcPr>
          <w:p w14:paraId="1C5F0795"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38.94293</w:t>
            </w:r>
          </w:p>
        </w:tc>
        <w:tc>
          <w:tcPr>
            <w:tcW w:w="569" w:type="pct"/>
            <w:tcBorders>
              <w:top w:val="nil"/>
              <w:left w:val="nil"/>
              <w:bottom w:val="nil"/>
              <w:right w:val="nil"/>
            </w:tcBorders>
            <w:vAlign w:val="bottom"/>
          </w:tcPr>
          <w:p w14:paraId="04B29934"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-78.1905</w:t>
            </w:r>
          </w:p>
        </w:tc>
        <w:tc>
          <w:tcPr>
            <w:tcW w:w="420" w:type="pct"/>
            <w:tcBorders>
              <w:top w:val="nil"/>
              <w:left w:val="nil"/>
              <w:bottom w:val="nil"/>
              <w:right w:val="nil"/>
            </w:tcBorders>
            <w:vAlign w:val="bottom"/>
          </w:tcPr>
          <w:p w14:paraId="52AC0A9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w:t>
            </w:r>
          </w:p>
        </w:tc>
        <w:tc>
          <w:tcPr>
            <w:tcW w:w="611" w:type="pct"/>
            <w:tcBorders>
              <w:top w:val="nil"/>
              <w:left w:val="nil"/>
              <w:bottom w:val="nil"/>
              <w:right w:val="nil"/>
            </w:tcBorders>
            <w:shd w:val="clear" w:color="auto" w:fill="auto"/>
            <w:noWrap/>
            <w:vAlign w:val="bottom"/>
            <w:hideMark/>
          </w:tcPr>
          <w:p w14:paraId="2D1F7DF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4153.86</w:t>
            </w:r>
          </w:p>
        </w:tc>
        <w:tc>
          <w:tcPr>
            <w:tcW w:w="649" w:type="pct"/>
            <w:tcBorders>
              <w:top w:val="nil"/>
              <w:left w:val="nil"/>
              <w:bottom w:val="nil"/>
              <w:right w:val="nil"/>
            </w:tcBorders>
            <w:shd w:val="clear" w:color="auto" w:fill="auto"/>
            <w:noWrap/>
            <w:vAlign w:val="bottom"/>
            <w:hideMark/>
          </w:tcPr>
          <w:p w14:paraId="2C2FC27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6522.36</w:t>
            </w:r>
          </w:p>
        </w:tc>
        <w:tc>
          <w:tcPr>
            <w:tcW w:w="458" w:type="pct"/>
            <w:tcBorders>
              <w:top w:val="nil"/>
              <w:left w:val="nil"/>
              <w:bottom w:val="nil"/>
              <w:right w:val="nil"/>
            </w:tcBorders>
            <w:shd w:val="clear" w:color="auto" w:fill="auto"/>
            <w:noWrap/>
            <w:vAlign w:val="bottom"/>
            <w:hideMark/>
          </w:tcPr>
          <w:p w14:paraId="3F4464B6"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10313</w:t>
            </w:r>
          </w:p>
        </w:tc>
      </w:tr>
      <w:tr w:rsidR="00665B56" w:rsidRPr="00F57F03" w14:paraId="26ECFA43" w14:textId="77777777" w:rsidTr="00665B56">
        <w:trPr>
          <w:trHeight w:val="300"/>
        </w:trPr>
        <w:tc>
          <w:tcPr>
            <w:tcW w:w="421" w:type="pct"/>
            <w:tcBorders>
              <w:top w:val="nil"/>
              <w:left w:val="nil"/>
              <w:bottom w:val="nil"/>
              <w:right w:val="nil"/>
            </w:tcBorders>
            <w:vAlign w:val="bottom"/>
          </w:tcPr>
          <w:p w14:paraId="360A56FA"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STHS</w:t>
            </w:r>
          </w:p>
        </w:tc>
        <w:tc>
          <w:tcPr>
            <w:tcW w:w="1391" w:type="pct"/>
            <w:tcBorders>
              <w:top w:val="nil"/>
              <w:left w:val="nil"/>
              <w:bottom w:val="nil"/>
              <w:right w:val="nil"/>
            </w:tcBorders>
            <w:shd w:val="clear" w:color="auto" w:fill="auto"/>
            <w:noWrap/>
            <w:vAlign w:val="bottom"/>
            <w:hideMark/>
          </w:tcPr>
          <w:p w14:paraId="45B77A5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Southeast</w:t>
            </w:r>
          </w:p>
        </w:tc>
        <w:tc>
          <w:tcPr>
            <w:tcW w:w="481" w:type="pct"/>
            <w:tcBorders>
              <w:top w:val="nil"/>
              <w:left w:val="nil"/>
              <w:bottom w:val="nil"/>
              <w:right w:val="nil"/>
            </w:tcBorders>
            <w:vAlign w:val="bottom"/>
          </w:tcPr>
          <w:p w14:paraId="2ADDBE1E"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31.1785</w:t>
            </w:r>
          </w:p>
        </w:tc>
        <w:tc>
          <w:tcPr>
            <w:tcW w:w="569" w:type="pct"/>
            <w:tcBorders>
              <w:top w:val="nil"/>
              <w:left w:val="nil"/>
              <w:bottom w:val="nil"/>
              <w:right w:val="nil"/>
            </w:tcBorders>
            <w:vAlign w:val="bottom"/>
          </w:tcPr>
          <w:p w14:paraId="17D33C33"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-84.4741</w:t>
            </w:r>
          </w:p>
        </w:tc>
        <w:tc>
          <w:tcPr>
            <w:tcW w:w="420" w:type="pct"/>
            <w:tcBorders>
              <w:top w:val="nil"/>
              <w:left w:val="nil"/>
              <w:bottom w:val="nil"/>
              <w:right w:val="nil"/>
            </w:tcBorders>
            <w:vAlign w:val="bottom"/>
          </w:tcPr>
          <w:p w14:paraId="1DB925F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62F1C8AC"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2741.97</w:t>
            </w:r>
          </w:p>
        </w:tc>
        <w:tc>
          <w:tcPr>
            <w:tcW w:w="649" w:type="pct"/>
            <w:tcBorders>
              <w:top w:val="nil"/>
              <w:left w:val="nil"/>
              <w:bottom w:val="nil"/>
              <w:right w:val="nil"/>
            </w:tcBorders>
            <w:shd w:val="clear" w:color="auto" w:fill="auto"/>
            <w:noWrap/>
            <w:vAlign w:val="bottom"/>
            <w:hideMark/>
          </w:tcPr>
          <w:p w14:paraId="70AC4FD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2299.17</w:t>
            </w:r>
          </w:p>
        </w:tc>
        <w:tc>
          <w:tcPr>
            <w:tcW w:w="458" w:type="pct"/>
            <w:tcBorders>
              <w:top w:val="nil"/>
              <w:left w:val="nil"/>
              <w:bottom w:val="nil"/>
              <w:right w:val="nil"/>
            </w:tcBorders>
            <w:shd w:val="clear" w:color="auto" w:fill="auto"/>
            <w:noWrap/>
            <w:vAlign w:val="bottom"/>
            <w:hideMark/>
          </w:tcPr>
          <w:p w14:paraId="1D7EDCE5"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3293</w:t>
            </w:r>
          </w:p>
        </w:tc>
      </w:tr>
      <w:tr w:rsidR="00665B56" w:rsidRPr="00F57F03" w14:paraId="3595AD75" w14:textId="77777777" w:rsidTr="00665B56">
        <w:trPr>
          <w:trHeight w:val="300"/>
        </w:trPr>
        <w:tc>
          <w:tcPr>
            <w:tcW w:w="421" w:type="pct"/>
            <w:tcBorders>
              <w:top w:val="nil"/>
              <w:left w:val="nil"/>
              <w:bottom w:val="nil"/>
              <w:right w:val="nil"/>
            </w:tcBorders>
            <w:vAlign w:val="bottom"/>
          </w:tcPr>
          <w:p w14:paraId="6C49913D"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GRTL</w:t>
            </w:r>
          </w:p>
        </w:tc>
        <w:tc>
          <w:tcPr>
            <w:tcW w:w="1391" w:type="pct"/>
            <w:tcBorders>
              <w:top w:val="nil"/>
              <w:left w:val="nil"/>
              <w:bottom w:val="nil"/>
              <w:right w:val="nil"/>
            </w:tcBorders>
            <w:shd w:val="clear" w:color="auto" w:fill="auto"/>
            <w:noWrap/>
            <w:vAlign w:val="bottom"/>
            <w:hideMark/>
          </w:tcPr>
          <w:p w14:paraId="5D55B42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Great Lakes</w:t>
            </w:r>
          </w:p>
        </w:tc>
        <w:tc>
          <w:tcPr>
            <w:tcW w:w="481" w:type="pct"/>
            <w:tcBorders>
              <w:top w:val="nil"/>
              <w:left w:val="nil"/>
              <w:bottom w:val="nil"/>
              <w:right w:val="nil"/>
            </w:tcBorders>
            <w:vAlign w:val="bottom"/>
          </w:tcPr>
          <w:p w14:paraId="3BECA0F8"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46.87233</w:t>
            </w:r>
          </w:p>
        </w:tc>
        <w:tc>
          <w:tcPr>
            <w:tcW w:w="569" w:type="pct"/>
            <w:tcBorders>
              <w:top w:val="nil"/>
              <w:left w:val="nil"/>
              <w:bottom w:val="nil"/>
              <w:right w:val="nil"/>
            </w:tcBorders>
            <w:vAlign w:val="bottom"/>
          </w:tcPr>
          <w:p w14:paraId="7FE82667"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-89.3254</w:t>
            </w:r>
          </w:p>
        </w:tc>
        <w:tc>
          <w:tcPr>
            <w:tcW w:w="420" w:type="pct"/>
            <w:tcBorders>
              <w:top w:val="nil"/>
              <w:left w:val="nil"/>
              <w:bottom w:val="nil"/>
              <w:right w:val="nil"/>
            </w:tcBorders>
            <w:vAlign w:val="bottom"/>
          </w:tcPr>
          <w:p w14:paraId="0816353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8</w:t>
            </w:r>
          </w:p>
        </w:tc>
        <w:tc>
          <w:tcPr>
            <w:tcW w:w="611" w:type="pct"/>
            <w:tcBorders>
              <w:top w:val="nil"/>
              <w:left w:val="nil"/>
              <w:bottom w:val="nil"/>
              <w:right w:val="nil"/>
            </w:tcBorders>
            <w:shd w:val="clear" w:color="auto" w:fill="auto"/>
            <w:noWrap/>
            <w:vAlign w:val="bottom"/>
            <w:hideMark/>
          </w:tcPr>
          <w:p w14:paraId="5704DCF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3480.89</w:t>
            </w:r>
          </w:p>
        </w:tc>
        <w:tc>
          <w:tcPr>
            <w:tcW w:w="649" w:type="pct"/>
            <w:tcBorders>
              <w:top w:val="nil"/>
              <w:left w:val="nil"/>
              <w:bottom w:val="nil"/>
              <w:right w:val="nil"/>
            </w:tcBorders>
            <w:shd w:val="clear" w:color="auto" w:fill="auto"/>
            <w:noWrap/>
            <w:vAlign w:val="bottom"/>
            <w:hideMark/>
          </w:tcPr>
          <w:p w14:paraId="709EDDD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5332.66</w:t>
            </w:r>
          </w:p>
        </w:tc>
        <w:tc>
          <w:tcPr>
            <w:tcW w:w="458" w:type="pct"/>
            <w:tcBorders>
              <w:top w:val="nil"/>
              <w:left w:val="nil"/>
              <w:bottom w:val="nil"/>
              <w:right w:val="nil"/>
            </w:tcBorders>
            <w:shd w:val="clear" w:color="auto" w:fill="auto"/>
            <w:noWrap/>
            <w:vAlign w:val="bottom"/>
            <w:hideMark/>
          </w:tcPr>
          <w:p w14:paraId="19B0FAE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12018</w:t>
            </w:r>
          </w:p>
        </w:tc>
      </w:tr>
      <w:tr w:rsidR="00665B56" w:rsidRPr="00F57F03" w14:paraId="121D77B4" w14:textId="77777777" w:rsidTr="00665B56">
        <w:trPr>
          <w:trHeight w:val="300"/>
        </w:trPr>
        <w:tc>
          <w:tcPr>
            <w:tcW w:w="421" w:type="pct"/>
            <w:tcBorders>
              <w:top w:val="nil"/>
              <w:left w:val="nil"/>
              <w:bottom w:val="nil"/>
              <w:right w:val="nil"/>
            </w:tcBorders>
            <w:vAlign w:val="bottom"/>
          </w:tcPr>
          <w:p w14:paraId="4A2C36EC"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PRRP</w:t>
            </w:r>
          </w:p>
        </w:tc>
        <w:tc>
          <w:tcPr>
            <w:tcW w:w="1391" w:type="pct"/>
            <w:tcBorders>
              <w:top w:val="nil"/>
              <w:left w:val="nil"/>
              <w:bottom w:val="nil"/>
              <w:right w:val="nil"/>
            </w:tcBorders>
            <w:shd w:val="clear" w:color="auto" w:fill="auto"/>
            <w:noWrap/>
            <w:vAlign w:val="bottom"/>
            <w:hideMark/>
          </w:tcPr>
          <w:p w14:paraId="1D43D846"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Prairie Peninsula</w:t>
            </w:r>
          </w:p>
        </w:tc>
        <w:tc>
          <w:tcPr>
            <w:tcW w:w="481" w:type="pct"/>
            <w:tcBorders>
              <w:top w:val="nil"/>
              <w:left w:val="nil"/>
              <w:bottom w:val="nil"/>
              <w:right w:val="nil"/>
            </w:tcBorders>
            <w:vAlign w:val="bottom"/>
          </w:tcPr>
          <w:p w14:paraId="4ECCB56B"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42.81041</w:t>
            </w:r>
          </w:p>
        </w:tc>
        <w:tc>
          <w:tcPr>
            <w:tcW w:w="569" w:type="pct"/>
            <w:tcBorders>
              <w:top w:val="nil"/>
              <w:left w:val="nil"/>
              <w:bottom w:val="nil"/>
              <w:right w:val="nil"/>
            </w:tcBorders>
            <w:vAlign w:val="bottom"/>
          </w:tcPr>
          <w:p w14:paraId="1E58A85C"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-94.4454</w:t>
            </w:r>
          </w:p>
        </w:tc>
        <w:tc>
          <w:tcPr>
            <w:tcW w:w="420" w:type="pct"/>
            <w:tcBorders>
              <w:top w:val="nil"/>
              <w:left w:val="nil"/>
              <w:bottom w:val="nil"/>
              <w:right w:val="nil"/>
            </w:tcBorders>
            <w:vAlign w:val="bottom"/>
          </w:tcPr>
          <w:p w14:paraId="4A3F86C5"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022219FF"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5080.37</w:t>
            </w:r>
          </w:p>
        </w:tc>
        <w:tc>
          <w:tcPr>
            <w:tcW w:w="649" w:type="pct"/>
            <w:tcBorders>
              <w:top w:val="nil"/>
              <w:left w:val="nil"/>
              <w:bottom w:val="nil"/>
              <w:right w:val="nil"/>
            </w:tcBorders>
            <w:shd w:val="clear" w:color="auto" w:fill="auto"/>
            <w:noWrap/>
            <w:vAlign w:val="bottom"/>
            <w:hideMark/>
          </w:tcPr>
          <w:p w14:paraId="714C0AB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4058.4</w:t>
            </w:r>
          </w:p>
        </w:tc>
        <w:tc>
          <w:tcPr>
            <w:tcW w:w="458" w:type="pct"/>
            <w:tcBorders>
              <w:top w:val="nil"/>
              <w:left w:val="nil"/>
              <w:bottom w:val="nil"/>
              <w:right w:val="nil"/>
            </w:tcBorders>
            <w:shd w:val="clear" w:color="auto" w:fill="auto"/>
            <w:noWrap/>
            <w:vAlign w:val="bottom"/>
            <w:hideMark/>
          </w:tcPr>
          <w:p w14:paraId="0D44592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5183</w:t>
            </w:r>
          </w:p>
        </w:tc>
      </w:tr>
      <w:tr w:rsidR="00665B56" w:rsidRPr="00F57F03" w14:paraId="6E5B3BAB" w14:textId="77777777" w:rsidTr="00665B56">
        <w:trPr>
          <w:trHeight w:val="300"/>
        </w:trPr>
        <w:tc>
          <w:tcPr>
            <w:tcW w:w="421" w:type="pct"/>
            <w:tcBorders>
              <w:top w:val="nil"/>
              <w:left w:val="nil"/>
              <w:bottom w:val="nil"/>
              <w:right w:val="nil"/>
            </w:tcBorders>
            <w:vAlign w:val="bottom"/>
          </w:tcPr>
          <w:p w14:paraId="0F85E6E5"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APCP</w:t>
            </w:r>
          </w:p>
        </w:tc>
        <w:tc>
          <w:tcPr>
            <w:tcW w:w="1391" w:type="pct"/>
            <w:tcBorders>
              <w:top w:val="nil"/>
              <w:left w:val="nil"/>
              <w:bottom w:val="nil"/>
              <w:right w:val="nil"/>
            </w:tcBorders>
            <w:shd w:val="clear" w:color="auto" w:fill="auto"/>
            <w:noWrap/>
            <w:vAlign w:val="bottom"/>
            <w:hideMark/>
          </w:tcPr>
          <w:p w14:paraId="1EF7A301"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Appalachian Cumberland Plateau</w:t>
            </w:r>
          </w:p>
        </w:tc>
        <w:tc>
          <w:tcPr>
            <w:tcW w:w="481" w:type="pct"/>
            <w:tcBorders>
              <w:top w:val="nil"/>
              <w:left w:val="nil"/>
              <w:bottom w:val="nil"/>
              <w:right w:val="nil"/>
            </w:tcBorders>
            <w:vAlign w:val="bottom"/>
          </w:tcPr>
          <w:p w14:paraId="1D351F9A"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35.92358</w:t>
            </w:r>
          </w:p>
        </w:tc>
        <w:tc>
          <w:tcPr>
            <w:tcW w:w="569" w:type="pct"/>
            <w:tcBorders>
              <w:top w:val="nil"/>
              <w:left w:val="nil"/>
              <w:bottom w:val="nil"/>
              <w:right w:val="nil"/>
            </w:tcBorders>
            <w:vAlign w:val="bottom"/>
          </w:tcPr>
          <w:p w14:paraId="1A0A204E"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-83.5851</w:t>
            </w:r>
          </w:p>
        </w:tc>
        <w:tc>
          <w:tcPr>
            <w:tcW w:w="420" w:type="pct"/>
            <w:tcBorders>
              <w:top w:val="nil"/>
              <w:left w:val="nil"/>
              <w:bottom w:val="nil"/>
              <w:right w:val="nil"/>
            </w:tcBorders>
            <w:vAlign w:val="bottom"/>
          </w:tcPr>
          <w:p w14:paraId="1185FD25"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w:t>
            </w:r>
          </w:p>
        </w:tc>
        <w:tc>
          <w:tcPr>
            <w:tcW w:w="611" w:type="pct"/>
            <w:tcBorders>
              <w:top w:val="nil"/>
              <w:left w:val="nil"/>
              <w:bottom w:val="nil"/>
              <w:right w:val="nil"/>
            </w:tcBorders>
            <w:shd w:val="clear" w:color="auto" w:fill="auto"/>
            <w:noWrap/>
            <w:vAlign w:val="bottom"/>
            <w:hideMark/>
          </w:tcPr>
          <w:p w14:paraId="5C4D3FB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976.07</w:t>
            </w:r>
          </w:p>
        </w:tc>
        <w:tc>
          <w:tcPr>
            <w:tcW w:w="649" w:type="pct"/>
            <w:tcBorders>
              <w:top w:val="nil"/>
              <w:left w:val="nil"/>
              <w:bottom w:val="nil"/>
              <w:right w:val="nil"/>
            </w:tcBorders>
            <w:shd w:val="clear" w:color="auto" w:fill="auto"/>
            <w:noWrap/>
            <w:vAlign w:val="bottom"/>
            <w:hideMark/>
          </w:tcPr>
          <w:p w14:paraId="1A934AE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2747.48</w:t>
            </w:r>
          </w:p>
        </w:tc>
        <w:tc>
          <w:tcPr>
            <w:tcW w:w="458" w:type="pct"/>
            <w:tcBorders>
              <w:top w:val="nil"/>
              <w:left w:val="nil"/>
              <w:bottom w:val="nil"/>
              <w:right w:val="nil"/>
            </w:tcBorders>
            <w:shd w:val="clear" w:color="auto" w:fill="auto"/>
            <w:noWrap/>
            <w:vAlign w:val="bottom"/>
            <w:hideMark/>
          </w:tcPr>
          <w:p w14:paraId="1FADEC9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6817</w:t>
            </w:r>
          </w:p>
        </w:tc>
      </w:tr>
      <w:tr w:rsidR="00665B56" w:rsidRPr="00F57F03" w14:paraId="52EA02C6" w14:textId="77777777" w:rsidTr="00665B56">
        <w:trPr>
          <w:trHeight w:val="300"/>
        </w:trPr>
        <w:tc>
          <w:tcPr>
            <w:tcW w:w="421" w:type="pct"/>
            <w:tcBorders>
              <w:top w:val="nil"/>
              <w:left w:val="nil"/>
              <w:bottom w:val="nil"/>
              <w:right w:val="nil"/>
            </w:tcBorders>
            <w:vAlign w:val="bottom"/>
          </w:tcPr>
          <w:p w14:paraId="3D0CF9E5"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OC-1</w:t>
            </w:r>
          </w:p>
        </w:tc>
        <w:tc>
          <w:tcPr>
            <w:tcW w:w="1391" w:type="pct"/>
            <w:tcBorders>
              <w:top w:val="nil"/>
              <w:left w:val="nil"/>
              <w:bottom w:val="nil"/>
              <w:right w:val="nil"/>
            </w:tcBorders>
            <w:shd w:val="clear" w:color="auto" w:fill="auto"/>
            <w:noWrap/>
            <w:vAlign w:val="bottom"/>
          </w:tcPr>
          <w:p w14:paraId="35DB99E3"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Ozarks Complex-1</w:t>
            </w:r>
          </w:p>
        </w:tc>
        <w:tc>
          <w:tcPr>
            <w:tcW w:w="481" w:type="pct"/>
            <w:tcBorders>
              <w:top w:val="nil"/>
              <w:left w:val="nil"/>
              <w:bottom w:val="nil"/>
              <w:right w:val="nil"/>
            </w:tcBorders>
            <w:vAlign w:val="bottom"/>
          </w:tcPr>
          <w:p w14:paraId="44AB6F2F"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33.03368</w:t>
            </w:r>
          </w:p>
        </w:tc>
        <w:tc>
          <w:tcPr>
            <w:tcW w:w="569" w:type="pct"/>
            <w:tcBorders>
              <w:top w:val="nil"/>
              <w:left w:val="nil"/>
              <w:bottom w:val="nil"/>
              <w:right w:val="nil"/>
            </w:tcBorders>
            <w:vAlign w:val="bottom"/>
          </w:tcPr>
          <w:p w14:paraId="7FD5301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-87.6057</w:t>
            </w:r>
          </w:p>
        </w:tc>
        <w:tc>
          <w:tcPr>
            <w:tcW w:w="420" w:type="pct"/>
            <w:tcBorders>
              <w:top w:val="nil"/>
              <w:left w:val="nil"/>
              <w:bottom w:val="nil"/>
              <w:right w:val="nil"/>
            </w:tcBorders>
            <w:vAlign w:val="bottom"/>
          </w:tcPr>
          <w:p w14:paraId="30A3EB21"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w:t>
            </w:r>
          </w:p>
        </w:tc>
        <w:tc>
          <w:tcPr>
            <w:tcW w:w="611" w:type="pct"/>
            <w:tcBorders>
              <w:top w:val="nil"/>
              <w:left w:val="nil"/>
              <w:bottom w:val="nil"/>
              <w:right w:val="nil"/>
            </w:tcBorders>
            <w:shd w:val="clear" w:color="auto" w:fill="auto"/>
            <w:noWrap/>
            <w:vAlign w:val="bottom"/>
          </w:tcPr>
          <w:p w14:paraId="1B80312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459.18</w:t>
            </w:r>
          </w:p>
        </w:tc>
        <w:tc>
          <w:tcPr>
            <w:tcW w:w="649" w:type="pct"/>
            <w:tcBorders>
              <w:top w:val="nil"/>
              <w:left w:val="nil"/>
              <w:bottom w:val="nil"/>
              <w:right w:val="nil"/>
            </w:tcBorders>
            <w:shd w:val="clear" w:color="auto" w:fill="auto"/>
            <w:noWrap/>
            <w:vAlign w:val="bottom"/>
          </w:tcPr>
          <w:p w14:paraId="1FE94DD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777.57</w:t>
            </w:r>
          </w:p>
        </w:tc>
        <w:tc>
          <w:tcPr>
            <w:tcW w:w="458" w:type="pct"/>
            <w:tcBorders>
              <w:top w:val="nil"/>
              <w:left w:val="nil"/>
              <w:bottom w:val="nil"/>
              <w:right w:val="nil"/>
            </w:tcBorders>
            <w:shd w:val="clear" w:color="auto" w:fill="auto"/>
            <w:noWrap/>
            <w:vAlign w:val="bottom"/>
          </w:tcPr>
          <w:p w14:paraId="545B702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1222</w:t>
            </w:r>
          </w:p>
        </w:tc>
      </w:tr>
      <w:tr w:rsidR="00665B56" w:rsidRPr="00F57F03" w14:paraId="6C3CAFB6" w14:textId="77777777" w:rsidTr="00665B56">
        <w:trPr>
          <w:trHeight w:val="300"/>
        </w:trPr>
        <w:tc>
          <w:tcPr>
            <w:tcW w:w="421" w:type="pct"/>
            <w:tcBorders>
              <w:top w:val="nil"/>
              <w:left w:val="nil"/>
              <w:bottom w:val="nil"/>
              <w:right w:val="nil"/>
            </w:tcBorders>
            <w:vAlign w:val="bottom"/>
          </w:tcPr>
          <w:p w14:paraId="76793CC5"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OC-2</w:t>
            </w:r>
          </w:p>
        </w:tc>
        <w:tc>
          <w:tcPr>
            <w:tcW w:w="1391" w:type="pct"/>
            <w:tcBorders>
              <w:top w:val="nil"/>
              <w:left w:val="nil"/>
              <w:bottom w:val="nil"/>
              <w:right w:val="nil"/>
            </w:tcBorders>
            <w:shd w:val="clear" w:color="auto" w:fill="auto"/>
            <w:noWrap/>
            <w:vAlign w:val="bottom"/>
            <w:hideMark/>
          </w:tcPr>
          <w:p w14:paraId="241D3F6A"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Ozarks Complex-2</w:t>
            </w:r>
          </w:p>
        </w:tc>
        <w:tc>
          <w:tcPr>
            <w:tcW w:w="481" w:type="pct"/>
            <w:tcBorders>
              <w:top w:val="nil"/>
              <w:left w:val="nil"/>
              <w:bottom w:val="nil"/>
              <w:right w:val="nil"/>
            </w:tcBorders>
            <w:vAlign w:val="bottom"/>
          </w:tcPr>
          <w:p w14:paraId="11168413"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33.88835</w:t>
            </w:r>
          </w:p>
        </w:tc>
        <w:tc>
          <w:tcPr>
            <w:tcW w:w="569" w:type="pct"/>
            <w:tcBorders>
              <w:top w:val="nil"/>
              <w:left w:val="nil"/>
              <w:bottom w:val="nil"/>
              <w:right w:val="nil"/>
            </w:tcBorders>
            <w:vAlign w:val="bottom"/>
          </w:tcPr>
          <w:p w14:paraId="27D59A15"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-95.9396</w:t>
            </w:r>
          </w:p>
        </w:tc>
        <w:tc>
          <w:tcPr>
            <w:tcW w:w="420" w:type="pct"/>
            <w:tcBorders>
              <w:top w:val="nil"/>
              <w:left w:val="nil"/>
              <w:bottom w:val="nil"/>
              <w:right w:val="nil"/>
            </w:tcBorders>
            <w:vAlign w:val="bottom"/>
          </w:tcPr>
          <w:p w14:paraId="4884CE8D"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29F4D688"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1753.77</w:t>
            </w:r>
          </w:p>
        </w:tc>
        <w:tc>
          <w:tcPr>
            <w:tcW w:w="649" w:type="pct"/>
            <w:tcBorders>
              <w:top w:val="nil"/>
              <w:left w:val="nil"/>
              <w:bottom w:val="nil"/>
              <w:right w:val="nil"/>
            </w:tcBorders>
            <w:shd w:val="clear" w:color="auto" w:fill="auto"/>
            <w:noWrap/>
            <w:vAlign w:val="bottom"/>
            <w:hideMark/>
          </w:tcPr>
          <w:p w14:paraId="30D6FB0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3002.11</w:t>
            </w:r>
          </w:p>
        </w:tc>
        <w:tc>
          <w:tcPr>
            <w:tcW w:w="458" w:type="pct"/>
            <w:tcBorders>
              <w:top w:val="nil"/>
              <w:left w:val="nil"/>
              <w:bottom w:val="nil"/>
              <w:right w:val="nil"/>
            </w:tcBorders>
            <w:shd w:val="clear" w:color="auto" w:fill="auto"/>
            <w:noWrap/>
            <w:vAlign w:val="bottom"/>
            <w:hideMark/>
          </w:tcPr>
          <w:p w14:paraId="4269B47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4510</w:t>
            </w:r>
          </w:p>
        </w:tc>
      </w:tr>
      <w:tr w:rsidR="00665B56" w:rsidRPr="00F57F03" w14:paraId="2B20F63A" w14:textId="77777777" w:rsidTr="00665B56">
        <w:trPr>
          <w:trHeight w:val="300"/>
        </w:trPr>
        <w:tc>
          <w:tcPr>
            <w:tcW w:w="421" w:type="pct"/>
            <w:tcBorders>
              <w:top w:val="nil"/>
              <w:left w:val="nil"/>
              <w:bottom w:val="nil"/>
              <w:right w:val="nil"/>
            </w:tcBorders>
            <w:vAlign w:val="bottom"/>
          </w:tcPr>
          <w:p w14:paraId="6F2DD6B2"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NRTP</w:t>
            </w:r>
          </w:p>
        </w:tc>
        <w:tc>
          <w:tcPr>
            <w:tcW w:w="1391" w:type="pct"/>
            <w:tcBorders>
              <w:top w:val="nil"/>
              <w:left w:val="nil"/>
              <w:bottom w:val="nil"/>
              <w:right w:val="nil"/>
            </w:tcBorders>
            <w:shd w:val="clear" w:color="auto" w:fill="auto"/>
            <w:noWrap/>
            <w:vAlign w:val="bottom"/>
            <w:hideMark/>
          </w:tcPr>
          <w:p w14:paraId="4C9254FD"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Northern Plains</w:t>
            </w:r>
          </w:p>
        </w:tc>
        <w:tc>
          <w:tcPr>
            <w:tcW w:w="481" w:type="pct"/>
            <w:tcBorders>
              <w:top w:val="nil"/>
              <w:left w:val="nil"/>
              <w:bottom w:val="nil"/>
              <w:right w:val="nil"/>
            </w:tcBorders>
            <w:vAlign w:val="bottom"/>
          </w:tcPr>
          <w:p w14:paraId="24D33E29"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46.68421</w:t>
            </w:r>
          </w:p>
        </w:tc>
        <w:tc>
          <w:tcPr>
            <w:tcW w:w="569" w:type="pct"/>
            <w:tcBorders>
              <w:top w:val="nil"/>
              <w:left w:val="nil"/>
              <w:bottom w:val="nil"/>
              <w:right w:val="nil"/>
            </w:tcBorders>
            <w:vAlign w:val="bottom"/>
          </w:tcPr>
          <w:p w14:paraId="570472F9"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-100.788</w:t>
            </w:r>
          </w:p>
        </w:tc>
        <w:tc>
          <w:tcPr>
            <w:tcW w:w="420" w:type="pct"/>
            <w:tcBorders>
              <w:top w:val="nil"/>
              <w:left w:val="nil"/>
              <w:bottom w:val="nil"/>
              <w:right w:val="nil"/>
            </w:tcBorders>
            <w:vAlign w:val="bottom"/>
          </w:tcPr>
          <w:p w14:paraId="60BBB09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w:t>
            </w:r>
          </w:p>
        </w:tc>
        <w:tc>
          <w:tcPr>
            <w:tcW w:w="611" w:type="pct"/>
            <w:tcBorders>
              <w:top w:val="nil"/>
              <w:left w:val="nil"/>
              <w:bottom w:val="nil"/>
              <w:right w:val="nil"/>
            </w:tcBorders>
            <w:shd w:val="clear" w:color="auto" w:fill="auto"/>
            <w:noWrap/>
            <w:vAlign w:val="bottom"/>
            <w:hideMark/>
          </w:tcPr>
          <w:p w14:paraId="1B738866"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558.5</w:t>
            </w:r>
          </w:p>
        </w:tc>
        <w:tc>
          <w:tcPr>
            <w:tcW w:w="649" w:type="pct"/>
            <w:tcBorders>
              <w:top w:val="nil"/>
              <w:left w:val="nil"/>
              <w:bottom w:val="nil"/>
              <w:right w:val="nil"/>
            </w:tcBorders>
            <w:shd w:val="clear" w:color="auto" w:fill="auto"/>
            <w:noWrap/>
            <w:vAlign w:val="bottom"/>
            <w:hideMark/>
          </w:tcPr>
          <w:p w14:paraId="3A447338"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845.8</w:t>
            </w:r>
          </w:p>
        </w:tc>
        <w:tc>
          <w:tcPr>
            <w:tcW w:w="458" w:type="pct"/>
            <w:tcBorders>
              <w:top w:val="nil"/>
              <w:left w:val="nil"/>
              <w:bottom w:val="nil"/>
              <w:right w:val="nil"/>
            </w:tcBorders>
            <w:shd w:val="clear" w:color="auto" w:fill="auto"/>
            <w:noWrap/>
            <w:vAlign w:val="bottom"/>
            <w:hideMark/>
          </w:tcPr>
          <w:p w14:paraId="6F04EDBA"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1154</w:t>
            </w:r>
          </w:p>
        </w:tc>
      </w:tr>
      <w:tr w:rsidR="00665B56" w:rsidRPr="00F57F03" w14:paraId="011B1AFE" w14:textId="77777777" w:rsidTr="00665B56">
        <w:trPr>
          <w:trHeight w:val="300"/>
        </w:trPr>
        <w:tc>
          <w:tcPr>
            <w:tcW w:w="421" w:type="pct"/>
            <w:tcBorders>
              <w:top w:val="nil"/>
              <w:left w:val="nil"/>
              <w:bottom w:val="nil"/>
              <w:right w:val="nil"/>
            </w:tcBorders>
            <w:vAlign w:val="bottom"/>
          </w:tcPr>
          <w:p w14:paraId="2A92DA13"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CNTP</w:t>
            </w:r>
          </w:p>
        </w:tc>
        <w:tc>
          <w:tcPr>
            <w:tcW w:w="1391" w:type="pct"/>
            <w:tcBorders>
              <w:top w:val="nil"/>
              <w:left w:val="nil"/>
              <w:bottom w:val="nil"/>
              <w:right w:val="nil"/>
            </w:tcBorders>
            <w:shd w:val="clear" w:color="auto" w:fill="auto"/>
            <w:noWrap/>
            <w:vAlign w:val="bottom"/>
            <w:hideMark/>
          </w:tcPr>
          <w:p w14:paraId="5EC4DDEC"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Central Plains</w:t>
            </w:r>
          </w:p>
        </w:tc>
        <w:tc>
          <w:tcPr>
            <w:tcW w:w="481" w:type="pct"/>
            <w:tcBorders>
              <w:top w:val="nil"/>
              <w:left w:val="nil"/>
              <w:bottom w:val="nil"/>
              <w:right w:val="nil"/>
            </w:tcBorders>
            <w:vAlign w:val="bottom"/>
          </w:tcPr>
          <w:p w14:paraId="41828A77"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40.03608</w:t>
            </w:r>
          </w:p>
        </w:tc>
        <w:tc>
          <w:tcPr>
            <w:tcW w:w="569" w:type="pct"/>
            <w:tcBorders>
              <w:top w:val="nil"/>
              <w:left w:val="nil"/>
              <w:bottom w:val="nil"/>
              <w:right w:val="nil"/>
            </w:tcBorders>
            <w:vAlign w:val="bottom"/>
          </w:tcPr>
          <w:p w14:paraId="4806C801"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-101.53</w:t>
            </w:r>
          </w:p>
        </w:tc>
        <w:tc>
          <w:tcPr>
            <w:tcW w:w="420" w:type="pct"/>
            <w:tcBorders>
              <w:top w:val="nil"/>
              <w:left w:val="nil"/>
              <w:bottom w:val="nil"/>
              <w:right w:val="nil"/>
            </w:tcBorders>
            <w:vAlign w:val="bottom"/>
          </w:tcPr>
          <w:p w14:paraId="4733A0DC"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w:t>
            </w:r>
          </w:p>
        </w:tc>
        <w:tc>
          <w:tcPr>
            <w:tcW w:w="611" w:type="pct"/>
            <w:tcBorders>
              <w:top w:val="nil"/>
              <w:left w:val="nil"/>
              <w:bottom w:val="nil"/>
              <w:right w:val="nil"/>
            </w:tcBorders>
            <w:shd w:val="clear" w:color="auto" w:fill="auto"/>
            <w:noWrap/>
            <w:vAlign w:val="bottom"/>
            <w:hideMark/>
          </w:tcPr>
          <w:p w14:paraId="22AEF13D"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4419.07</w:t>
            </w:r>
          </w:p>
        </w:tc>
        <w:tc>
          <w:tcPr>
            <w:tcW w:w="649" w:type="pct"/>
            <w:tcBorders>
              <w:top w:val="nil"/>
              <w:left w:val="nil"/>
              <w:bottom w:val="nil"/>
              <w:right w:val="nil"/>
            </w:tcBorders>
            <w:shd w:val="clear" w:color="auto" w:fill="auto"/>
            <w:noWrap/>
            <w:vAlign w:val="bottom"/>
            <w:hideMark/>
          </w:tcPr>
          <w:p w14:paraId="2C69786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3877.19</w:t>
            </w:r>
          </w:p>
        </w:tc>
        <w:tc>
          <w:tcPr>
            <w:tcW w:w="458" w:type="pct"/>
            <w:tcBorders>
              <w:top w:val="nil"/>
              <w:left w:val="nil"/>
              <w:bottom w:val="nil"/>
              <w:right w:val="nil"/>
            </w:tcBorders>
            <w:shd w:val="clear" w:color="auto" w:fill="auto"/>
            <w:noWrap/>
            <w:vAlign w:val="bottom"/>
            <w:hideMark/>
          </w:tcPr>
          <w:p w14:paraId="653D70B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5406</w:t>
            </w:r>
          </w:p>
        </w:tc>
      </w:tr>
      <w:tr w:rsidR="00665B56" w:rsidRPr="00F57F03" w14:paraId="5C030DB4" w14:textId="77777777" w:rsidTr="00665B56">
        <w:trPr>
          <w:trHeight w:val="300"/>
        </w:trPr>
        <w:tc>
          <w:tcPr>
            <w:tcW w:w="421" w:type="pct"/>
            <w:tcBorders>
              <w:top w:val="nil"/>
              <w:left w:val="nil"/>
              <w:bottom w:val="nil"/>
              <w:right w:val="nil"/>
            </w:tcBorders>
            <w:vAlign w:val="bottom"/>
          </w:tcPr>
          <w:p w14:paraId="07E74051"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STHP</w:t>
            </w:r>
          </w:p>
        </w:tc>
        <w:tc>
          <w:tcPr>
            <w:tcW w:w="1391" w:type="pct"/>
            <w:tcBorders>
              <w:top w:val="nil"/>
              <w:left w:val="nil"/>
              <w:bottom w:val="nil"/>
              <w:right w:val="nil"/>
            </w:tcBorders>
            <w:shd w:val="clear" w:color="auto" w:fill="auto"/>
            <w:noWrap/>
            <w:vAlign w:val="bottom"/>
            <w:hideMark/>
          </w:tcPr>
          <w:p w14:paraId="4D9B263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Southern Plains</w:t>
            </w:r>
          </w:p>
        </w:tc>
        <w:tc>
          <w:tcPr>
            <w:tcW w:w="481" w:type="pct"/>
            <w:tcBorders>
              <w:top w:val="nil"/>
              <w:left w:val="nil"/>
              <w:bottom w:val="nil"/>
              <w:right w:val="nil"/>
            </w:tcBorders>
            <w:vAlign w:val="bottom"/>
          </w:tcPr>
          <w:p w14:paraId="5414DEB5"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32.86007</w:t>
            </w:r>
          </w:p>
        </w:tc>
        <w:tc>
          <w:tcPr>
            <w:tcW w:w="569" w:type="pct"/>
            <w:tcBorders>
              <w:top w:val="nil"/>
              <w:left w:val="nil"/>
              <w:bottom w:val="nil"/>
              <w:right w:val="nil"/>
            </w:tcBorders>
            <w:vAlign w:val="bottom"/>
          </w:tcPr>
          <w:p w14:paraId="3FB0B10D"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-97.5002</w:t>
            </w:r>
          </w:p>
        </w:tc>
        <w:tc>
          <w:tcPr>
            <w:tcW w:w="420" w:type="pct"/>
            <w:tcBorders>
              <w:top w:val="nil"/>
              <w:left w:val="nil"/>
              <w:bottom w:val="nil"/>
              <w:right w:val="nil"/>
            </w:tcBorders>
            <w:vAlign w:val="bottom"/>
          </w:tcPr>
          <w:p w14:paraId="78851DC1"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25D373B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4989.64</w:t>
            </w:r>
          </w:p>
        </w:tc>
        <w:tc>
          <w:tcPr>
            <w:tcW w:w="649" w:type="pct"/>
            <w:tcBorders>
              <w:top w:val="nil"/>
              <w:left w:val="nil"/>
              <w:bottom w:val="nil"/>
              <w:right w:val="nil"/>
            </w:tcBorders>
            <w:shd w:val="clear" w:color="auto" w:fill="auto"/>
            <w:noWrap/>
            <w:vAlign w:val="bottom"/>
            <w:hideMark/>
          </w:tcPr>
          <w:p w14:paraId="3C0C18F7"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8845.51</w:t>
            </w:r>
          </w:p>
        </w:tc>
        <w:tc>
          <w:tcPr>
            <w:tcW w:w="458" w:type="pct"/>
            <w:tcBorders>
              <w:top w:val="nil"/>
              <w:left w:val="nil"/>
              <w:bottom w:val="nil"/>
              <w:right w:val="nil"/>
            </w:tcBorders>
            <w:shd w:val="clear" w:color="auto" w:fill="auto"/>
            <w:noWrap/>
            <w:vAlign w:val="bottom"/>
            <w:hideMark/>
          </w:tcPr>
          <w:p w14:paraId="37268683"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13223</w:t>
            </w:r>
          </w:p>
        </w:tc>
      </w:tr>
      <w:tr w:rsidR="00665B56" w:rsidRPr="00F57F03" w14:paraId="7BE417A3" w14:textId="77777777" w:rsidTr="00665B56">
        <w:trPr>
          <w:trHeight w:val="300"/>
        </w:trPr>
        <w:tc>
          <w:tcPr>
            <w:tcW w:w="421" w:type="pct"/>
            <w:tcBorders>
              <w:top w:val="nil"/>
              <w:left w:val="nil"/>
              <w:bottom w:val="nil"/>
              <w:right w:val="nil"/>
            </w:tcBorders>
            <w:vAlign w:val="bottom"/>
          </w:tcPr>
          <w:p w14:paraId="7C31A27B"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NRTR</w:t>
            </w:r>
          </w:p>
        </w:tc>
        <w:tc>
          <w:tcPr>
            <w:tcW w:w="1391" w:type="pct"/>
            <w:tcBorders>
              <w:top w:val="nil"/>
              <w:left w:val="nil"/>
              <w:bottom w:val="nil"/>
              <w:right w:val="nil"/>
            </w:tcBorders>
            <w:shd w:val="clear" w:color="auto" w:fill="auto"/>
            <w:noWrap/>
            <w:vAlign w:val="bottom"/>
            <w:hideMark/>
          </w:tcPr>
          <w:p w14:paraId="17333EB3"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Northern Rockies</w:t>
            </w:r>
          </w:p>
        </w:tc>
        <w:tc>
          <w:tcPr>
            <w:tcW w:w="481" w:type="pct"/>
            <w:tcBorders>
              <w:top w:val="nil"/>
              <w:left w:val="nil"/>
              <w:bottom w:val="nil"/>
              <w:right w:val="nil"/>
            </w:tcBorders>
            <w:vAlign w:val="bottom"/>
          </w:tcPr>
          <w:p w14:paraId="23F90FCD"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44.99472</w:t>
            </w:r>
          </w:p>
        </w:tc>
        <w:tc>
          <w:tcPr>
            <w:tcW w:w="569" w:type="pct"/>
            <w:tcBorders>
              <w:top w:val="nil"/>
              <w:left w:val="nil"/>
              <w:bottom w:val="nil"/>
              <w:right w:val="nil"/>
            </w:tcBorders>
            <w:vAlign w:val="bottom"/>
          </w:tcPr>
          <w:p w14:paraId="24DFFCD9"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-110.576</w:t>
            </w:r>
          </w:p>
        </w:tc>
        <w:tc>
          <w:tcPr>
            <w:tcW w:w="420" w:type="pct"/>
            <w:tcBorders>
              <w:top w:val="nil"/>
              <w:left w:val="nil"/>
              <w:bottom w:val="nil"/>
              <w:right w:val="nil"/>
            </w:tcBorders>
            <w:vAlign w:val="bottom"/>
          </w:tcPr>
          <w:p w14:paraId="3FF3CE5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w:t>
            </w:r>
          </w:p>
        </w:tc>
        <w:tc>
          <w:tcPr>
            <w:tcW w:w="611" w:type="pct"/>
            <w:tcBorders>
              <w:top w:val="nil"/>
              <w:left w:val="nil"/>
              <w:bottom w:val="nil"/>
              <w:right w:val="nil"/>
            </w:tcBorders>
            <w:shd w:val="clear" w:color="auto" w:fill="auto"/>
            <w:noWrap/>
            <w:vAlign w:val="bottom"/>
            <w:hideMark/>
          </w:tcPr>
          <w:p w14:paraId="07400B0C"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5733.06</w:t>
            </w:r>
          </w:p>
        </w:tc>
        <w:tc>
          <w:tcPr>
            <w:tcW w:w="649" w:type="pct"/>
            <w:tcBorders>
              <w:top w:val="nil"/>
              <w:left w:val="nil"/>
              <w:bottom w:val="nil"/>
              <w:right w:val="nil"/>
            </w:tcBorders>
            <w:shd w:val="clear" w:color="auto" w:fill="auto"/>
            <w:noWrap/>
            <w:vAlign w:val="bottom"/>
            <w:hideMark/>
          </w:tcPr>
          <w:p w14:paraId="3EF46F4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7352.96</w:t>
            </w:r>
          </w:p>
        </w:tc>
        <w:tc>
          <w:tcPr>
            <w:tcW w:w="458" w:type="pct"/>
            <w:tcBorders>
              <w:top w:val="nil"/>
              <w:left w:val="nil"/>
              <w:bottom w:val="nil"/>
              <w:right w:val="nil"/>
            </w:tcBorders>
            <w:shd w:val="clear" w:color="auto" w:fill="auto"/>
            <w:noWrap/>
            <w:vAlign w:val="bottom"/>
            <w:hideMark/>
          </w:tcPr>
          <w:p w14:paraId="425CC45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10921</w:t>
            </w:r>
          </w:p>
        </w:tc>
      </w:tr>
      <w:tr w:rsidR="00665B56" w:rsidRPr="00F57F03" w14:paraId="7F6A072D" w14:textId="77777777" w:rsidTr="00665B56">
        <w:trPr>
          <w:trHeight w:val="300"/>
        </w:trPr>
        <w:tc>
          <w:tcPr>
            <w:tcW w:w="421" w:type="pct"/>
            <w:tcBorders>
              <w:top w:val="nil"/>
              <w:left w:val="nil"/>
              <w:bottom w:val="nil"/>
              <w:right w:val="nil"/>
            </w:tcBorders>
            <w:vAlign w:val="bottom"/>
          </w:tcPr>
          <w:p w14:paraId="786BBB9A"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STHR</w:t>
            </w:r>
          </w:p>
        </w:tc>
        <w:tc>
          <w:tcPr>
            <w:tcW w:w="1391" w:type="pct"/>
            <w:tcBorders>
              <w:top w:val="nil"/>
              <w:left w:val="nil"/>
              <w:bottom w:val="nil"/>
              <w:right w:val="nil"/>
            </w:tcBorders>
            <w:shd w:val="clear" w:color="auto" w:fill="auto"/>
            <w:noWrap/>
            <w:vAlign w:val="bottom"/>
            <w:hideMark/>
          </w:tcPr>
          <w:p w14:paraId="5808F8A8"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Southern Rockies</w:t>
            </w:r>
          </w:p>
        </w:tc>
        <w:tc>
          <w:tcPr>
            <w:tcW w:w="481" w:type="pct"/>
            <w:tcBorders>
              <w:top w:val="nil"/>
              <w:left w:val="nil"/>
              <w:bottom w:val="nil"/>
              <w:right w:val="nil"/>
            </w:tcBorders>
            <w:vAlign w:val="bottom"/>
          </w:tcPr>
          <w:p w14:paraId="6B382CA8"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40.26525</w:t>
            </w:r>
          </w:p>
        </w:tc>
        <w:tc>
          <w:tcPr>
            <w:tcW w:w="569" w:type="pct"/>
            <w:tcBorders>
              <w:top w:val="nil"/>
              <w:left w:val="nil"/>
              <w:bottom w:val="nil"/>
              <w:right w:val="nil"/>
            </w:tcBorders>
            <w:vAlign w:val="bottom"/>
          </w:tcPr>
          <w:p w14:paraId="65160AE3"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-104.877</w:t>
            </w:r>
          </w:p>
        </w:tc>
        <w:tc>
          <w:tcPr>
            <w:tcW w:w="420" w:type="pct"/>
            <w:tcBorders>
              <w:top w:val="nil"/>
              <w:left w:val="nil"/>
              <w:bottom w:val="nil"/>
              <w:right w:val="nil"/>
            </w:tcBorders>
            <w:vAlign w:val="bottom"/>
          </w:tcPr>
          <w:p w14:paraId="19AC890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w:t>
            </w:r>
          </w:p>
        </w:tc>
        <w:tc>
          <w:tcPr>
            <w:tcW w:w="611" w:type="pct"/>
            <w:tcBorders>
              <w:top w:val="nil"/>
              <w:left w:val="nil"/>
              <w:bottom w:val="nil"/>
              <w:right w:val="nil"/>
            </w:tcBorders>
            <w:shd w:val="clear" w:color="auto" w:fill="auto"/>
            <w:noWrap/>
            <w:vAlign w:val="bottom"/>
            <w:hideMark/>
          </w:tcPr>
          <w:p w14:paraId="0B107302"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2345.82</w:t>
            </w:r>
          </w:p>
        </w:tc>
        <w:tc>
          <w:tcPr>
            <w:tcW w:w="649" w:type="pct"/>
            <w:tcBorders>
              <w:top w:val="nil"/>
              <w:left w:val="nil"/>
              <w:bottom w:val="nil"/>
              <w:right w:val="nil"/>
            </w:tcBorders>
            <w:shd w:val="clear" w:color="auto" w:fill="auto"/>
            <w:noWrap/>
            <w:vAlign w:val="bottom"/>
            <w:hideMark/>
          </w:tcPr>
          <w:p w14:paraId="1118DB7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4610.43</w:t>
            </w:r>
          </w:p>
        </w:tc>
        <w:tc>
          <w:tcPr>
            <w:tcW w:w="458" w:type="pct"/>
            <w:tcBorders>
              <w:top w:val="nil"/>
              <w:left w:val="nil"/>
              <w:bottom w:val="nil"/>
              <w:right w:val="nil"/>
            </w:tcBorders>
            <w:shd w:val="clear" w:color="auto" w:fill="auto"/>
            <w:noWrap/>
            <w:vAlign w:val="bottom"/>
            <w:hideMark/>
          </w:tcPr>
          <w:p w14:paraId="01A704A6"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10562</w:t>
            </w:r>
          </w:p>
        </w:tc>
      </w:tr>
      <w:tr w:rsidR="00665B56" w:rsidRPr="00F57F03" w14:paraId="14BD7365" w14:textId="77777777" w:rsidTr="00665B56">
        <w:trPr>
          <w:trHeight w:val="300"/>
        </w:trPr>
        <w:tc>
          <w:tcPr>
            <w:tcW w:w="421" w:type="pct"/>
            <w:tcBorders>
              <w:top w:val="nil"/>
              <w:left w:val="nil"/>
              <w:bottom w:val="nil"/>
              <w:right w:val="nil"/>
            </w:tcBorders>
            <w:vAlign w:val="bottom"/>
          </w:tcPr>
          <w:p w14:paraId="21A2565E"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DSRS</w:t>
            </w:r>
          </w:p>
        </w:tc>
        <w:tc>
          <w:tcPr>
            <w:tcW w:w="1391" w:type="pct"/>
            <w:tcBorders>
              <w:top w:val="nil"/>
              <w:left w:val="nil"/>
              <w:bottom w:val="nil"/>
              <w:right w:val="nil"/>
            </w:tcBorders>
            <w:shd w:val="clear" w:color="auto" w:fill="auto"/>
            <w:noWrap/>
            <w:vAlign w:val="bottom"/>
            <w:hideMark/>
          </w:tcPr>
          <w:p w14:paraId="6BD80D51"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Desert Southwest</w:t>
            </w:r>
          </w:p>
        </w:tc>
        <w:tc>
          <w:tcPr>
            <w:tcW w:w="481" w:type="pct"/>
            <w:tcBorders>
              <w:top w:val="nil"/>
              <w:left w:val="nil"/>
              <w:bottom w:val="nil"/>
              <w:right w:val="nil"/>
            </w:tcBorders>
            <w:vAlign w:val="bottom"/>
          </w:tcPr>
          <w:p w14:paraId="5A83CCF7"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33.63354</w:t>
            </w:r>
          </w:p>
        </w:tc>
        <w:tc>
          <w:tcPr>
            <w:tcW w:w="569" w:type="pct"/>
            <w:tcBorders>
              <w:top w:val="nil"/>
              <w:left w:val="nil"/>
              <w:bottom w:val="nil"/>
              <w:right w:val="nil"/>
            </w:tcBorders>
            <w:vAlign w:val="bottom"/>
          </w:tcPr>
          <w:p w14:paraId="0D5B1958"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-111.659</w:t>
            </w:r>
          </w:p>
        </w:tc>
        <w:tc>
          <w:tcPr>
            <w:tcW w:w="420" w:type="pct"/>
            <w:tcBorders>
              <w:top w:val="nil"/>
              <w:left w:val="nil"/>
              <w:bottom w:val="nil"/>
              <w:right w:val="nil"/>
            </w:tcBorders>
            <w:vAlign w:val="bottom"/>
          </w:tcPr>
          <w:p w14:paraId="7AE7F0E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2F10AC26"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497.81</w:t>
            </w:r>
          </w:p>
        </w:tc>
        <w:tc>
          <w:tcPr>
            <w:tcW w:w="649" w:type="pct"/>
            <w:tcBorders>
              <w:top w:val="nil"/>
              <w:left w:val="nil"/>
              <w:bottom w:val="nil"/>
              <w:right w:val="nil"/>
            </w:tcBorders>
            <w:shd w:val="clear" w:color="auto" w:fill="auto"/>
            <w:noWrap/>
            <w:vAlign w:val="bottom"/>
            <w:hideMark/>
          </w:tcPr>
          <w:p w14:paraId="2DA90180"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1113.26</w:t>
            </w:r>
          </w:p>
        </w:tc>
        <w:tc>
          <w:tcPr>
            <w:tcW w:w="458" w:type="pct"/>
            <w:tcBorders>
              <w:top w:val="nil"/>
              <w:left w:val="nil"/>
              <w:bottom w:val="nil"/>
              <w:right w:val="nil"/>
            </w:tcBorders>
            <w:shd w:val="clear" w:color="auto" w:fill="auto"/>
            <w:noWrap/>
            <w:vAlign w:val="bottom"/>
            <w:hideMark/>
          </w:tcPr>
          <w:p w14:paraId="47AB6138"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1718</w:t>
            </w:r>
          </w:p>
        </w:tc>
      </w:tr>
      <w:tr w:rsidR="00665B56" w:rsidRPr="00F57F03" w14:paraId="58A05B7A" w14:textId="77777777" w:rsidTr="00665B56">
        <w:trPr>
          <w:trHeight w:val="300"/>
        </w:trPr>
        <w:tc>
          <w:tcPr>
            <w:tcW w:w="421" w:type="pct"/>
            <w:tcBorders>
              <w:top w:val="nil"/>
              <w:left w:val="nil"/>
              <w:bottom w:val="nil"/>
              <w:right w:val="nil"/>
            </w:tcBorders>
            <w:vAlign w:val="bottom"/>
          </w:tcPr>
          <w:p w14:paraId="43009932"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GRTB</w:t>
            </w:r>
          </w:p>
        </w:tc>
        <w:tc>
          <w:tcPr>
            <w:tcW w:w="1391" w:type="pct"/>
            <w:tcBorders>
              <w:top w:val="nil"/>
              <w:left w:val="nil"/>
              <w:bottom w:val="nil"/>
              <w:right w:val="nil"/>
            </w:tcBorders>
            <w:shd w:val="clear" w:color="auto" w:fill="auto"/>
            <w:noWrap/>
            <w:vAlign w:val="bottom"/>
            <w:hideMark/>
          </w:tcPr>
          <w:p w14:paraId="0901F327"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Great Basin</w:t>
            </w:r>
          </w:p>
        </w:tc>
        <w:tc>
          <w:tcPr>
            <w:tcW w:w="481" w:type="pct"/>
            <w:tcBorders>
              <w:top w:val="nil"/>
              <w:left w:val="nil"/>
              <w:bottom w:val="nil"/>
              <w:right w:val="nil"/>
            </w:tcBorders>
            <w:vAlign w:val="bottom"/>
          </w:tcPr>
          <w:p w14:paraId="2AD9C66F"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40.43697</w:t>
            </w:r>
          </w:p>
        </w:tc>
        <w:tc>
          <w:tcPr>
            <w:tcW w:w="569" w:type="pct"/>
            <w:tcBorders>
              <w:top w:val="nil"/>
              <w:left w:val="nil"/>
              <w:bottom w:val="nil"/>
              <w:right w:val="nil"/>
            </w:tcBorders>
            <w:vAlign w:val="bottom"/>
          </w:tcPr>
          <w:p w14:paraId="7F9E4AB1"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-112.385</w:t>
            </w:r>
          </w:p>
        </w:tc>
        <w:tc>
          <w:tcPr>
            <w:tcW w:w="420" w:type="pct"/>
            <w:tcBorders>
              <w:top w:val="nil"/>
              <w:left w:val="nil"/>
              <w:bottom w:val="nil"/>
              <w:right w:val="nil"/>
            </w:tcBorders>
            <w:vAlign w:val="bottom"/>
          </w:tcPr>
          <w:p w14:paraId="76A4553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19672FED"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1851.59</w:t>
            </w:r>
          </w:p>
        </w:tc>
        <w:tc>
          <w:tcPr>
            <w:tcW w:w="649" w:type="pct"/>
            <w:tcBorders>
              <w:top w:val="nil"/>
              <w:left w:val="nil"/>
              <w:bottom w:val="nil"/>
              <w:right w:val="nil"/>
            </w:tcBorders>
            <w:shd w:val="clear" w:color="auto" w:fill="auto"/>
            <w:noWrap/>
            <w:vAlign w:val="bottom"/>
            <w:hideMark/>
          </w:tcPr>
          <w:p w14:paraId="26A6491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2959.47</w:t>
            </w:r>
          </w:p>
        </w:tc>
        <w:tc>
          <w:tcPr>
            <w:tcW w:w="458" w:type="pct"/>
            <w:tcBorders>
              <w:top w:val="nil"/>
              <w:left w:val="nil"/>
              <w:bottom w:val="nil"/>
              <w:right w:val="nil"/>
            </w:tcBorders>
            <w:shd w:val="clear" w:color="auto" w:fill="auto"/>
            <w:noWrap/>
            <w:vAlign w:val="bottom"/>
            <w:hideMark/>
          </w:tcPr>
          <w:p w14:paraId="544E3DA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3937</w:t>
            </w:r>
          </w:p>
        </w:tc>
      </w:tr>
      <w:tr w:rsidR="00665B56" w:rsidRPr="00F57F03" w14:paraId="44167F10" w14:textId="77777777" w:rsidTr="00665B56">
        <w:trPr>
          <w:trHeight w:val="300"/>
        </w:trPr>
        <w:tc>
          <w:tcPr>
            <w:tcW w:w="421" w:type="pct"/>
            <w:tcBorders>
              <w:top w:val="nil"/>
              <w:left w:val="nil"/>
              <w:bottom w:val="nil"/>
              <w:right w:val="nil"/>
            </w:tcBorders>
            <w:vAlign w:val="bottom"/>
          </w:tcPr>
          <w:p w14:paraId="1AE2446B"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PCFN</w:t>
            </w:r>
          </w:p>
        </w:tc>
        <w:tc>
          <w:tcPr>
            <w:tcW w:w="1391" w:type="pct"/>
            <w:tcBorders>
              <w:top w:val="nil"/>
              <w:left w:val="nil"/>
              <w:bottom w:val="nil"/>
              <w:right w:val="nil"/>
            </w:tcBorders>
            <w:shd w:val="clear" w:color="auto" w:fill="auto"/>
            <w:noWrap/>
            <w:vAlign w:val="bottom"/>
            <w:hideMark/>
          </w:tcPr>
          <w:p w14:paraId="7567825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Pacific Northwest</w:t>
            </w:r>
          </w:p>
        </w:tc>
        <w:tc>
          <w:tcPr>
            <w:tcW w:w="481" w:type="pct"/>
            <w:tcBorders>
              <w:top w:val="nil"/>
              <w:left w:val="nil"/>
              <w:bottom w:val="nil"/>
              <w:right w:val="nil"/>
            </w:tcBorders>
            <w:vAlign w:val="bottom"/>
          </w:tcPr>
          <w:p w14:paraId="1EFFB8F8"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45.71767</w:t>
            </w:r>
          </w:p>
        </w:tc>
        <w:tc>
          <w:tcPr>
            <w:tcW w:w="569" w:type="pct"/>
            <w:tcBorders>
              <w:top w:val="nil"/>
              <w:left w:val="nil"/>
              <w:bottom w:val="nil"/>
              <w:right w:val="nil"/>
            </w:tcBorders>
            <w:vAlign w:val="bottom"/>
          </w:tcPr>
          <w:p w14:paraId="5367BDA9"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-121.79</w:t>
            </w:r>
          </w:p>
        </w:tc>
        <w:tc>
          <w:tcPr>
            <w:tcW w:w="420" w:type="pct"/>
            <w:tcBorders>
              <w:top w:val="nil"/>
              <w:left w:val="nil"/>
              <w:bottom w:val="nil"/>
              <w:right w:val="nil"/>
            </w:tcBorders>
            <w:vAlign w:val="bottom"/>
          </w:tcPr>
          <w:p w14:paraId="4DE3E5B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w:t>
            </w:r>
          </w:p>
        </w:tc>
        <w:tc>
          <w:tcPr>
            <w:tcW w:w="611" w:type="pct"/>
            <w:tcBorders>
              <w:top w:val="nil"/>
              <w:left w:val="nil"/>
              <w:bottom w:val="nil"/>
              <w:right w:val="nil"/>
            </w:tcBorders>
            <w:shd w:val="clear" w:color="auto" w:fill="auto"/>
            <w:noWrap/>
            <w:vAlign w:val="bottom"/>
            <w:hideMark/>
          </w:tcPr>
          <w:p w14:paraId="3AF192B3"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582.89</w:t>
            </w:r>
          </w:p>
        </w:tc>
        <w:tc>
          <w:tcPr>
            <w:tcW w:w="649" w:type="pct"/>
            <w:tcBorders>
              <w:top w:val="nil"/>
              <w:left w:val="nil"/>
              <w:bottom w:val="nil"/>
              <w:right w:val="nil"/>
            </w:tcBorders>
            <w:shd w:val="clear" w:color="auto" w:fill="auto"/>
            <w:noWrap/>
            <w:vAlign w:val="bottom"/>
            <w:hideMark/>
          </w:tcPr>
          <w:p w14:paraId="6095AD5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2276.95</w:t>
            </w:r>
          </w:p>
        </w:tc>
        <w:tc>
          <w:tcPr>
            <w:tcW w:w="458" w:type="pct"/>
            <w:tcBorders>
              <w:top w:val="nil"/>
              <w:left w:val="nil"/>
              <w:bottom w:val="nil"/>
              <w:right w:val="nil"/>
            </w:tcBorders>
            <w:shd w:val="clear" w:color="auto" w:fill="auto"/>
            <w:noWrap/>
            <w:vAlign w:val="bottom"/>
            <w:hideMark/>
          </w:tcPr>
          <w:p w14:paraId="692824BE"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7897</w:t>
            </w:r>
          </w:p>
        </w:tc>
      </w:tr>
      <w:tr w:rsidR="00665B56" w:rsidRPr="00F57F03" w14:paraId="4BF572E2" w14:textId="77777777" w:rsidTr="00665B56">
        <w:trPr>
          <w:trHeight w:val="300"/>
        </w:trPr>
        <w:tc>
          <w:tcPr>
            <w:tcW w:w="421" w:type="pct"/>
            <w:tcBorders>
              <w:top w:val="nil"/>
              <w:left w:val="nil"/>
              <w:bottom w:val="nil"/>
              <w:right w:val="nil"/>
            </w:tcBorders>
            <w:vAlign w:val="bottom"/>
          </w:tcPr>
          <w:p w14:paraId="2E157430"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PCFS</w:t>
            </w:r>
          </w:p>
        </w:tc>
        <w:tc>
          <w:tcPr>
            <w:tcW w:w="1391" w:type="pct"/>
            <w:tcBorders>
              <w:top w:val="nil"/>
              <w:left w:val="nil"/>
              <w:bottom w:val="nil"/>
              <w:right w:val="nil"/>
            </w:tcBorders>
            <w:shd w:val="clear" w:color="auto" w:fill="auto"/>
            <w:noWrap/>
            <w:vAlign w:val="bottom"/>
            <w:hideMark/>
          </w:tcPr>
          <w:p w14:paraId="08171415"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Pacific Southwest</w:t>
            </w:r>
          </w:p>
        </w:tc>
        <w:tc>
          <w:tcPr>
            <w:tcW w:w="481" w:type="pct"/>
            <w:tcBorders>
              <w:top w:val="nil"/>
              <w:left w:val="nil"/>
              <w:bottom w:val="nil"/>
              <w:right w:val="nil"/>
            </w:tcBorders>
            <w:vAlign w:val="bottom"/>
          </w:tcPr>
          <w:p w14:paraId="786A1768"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36.35155</w:t>
            </w:r>
          </w:p>
        </w:tc>
        <w:tc>
          <w:tcPr>
            <w:tcW w:w="569" w:type="pct"/>
            <w:tcBorders>
              <w:top w:val="nil"/>
              <w:left w:val="nil"/>
              <w:bottom w:val="nil"/>
              <w:right w:val="nil"/>
            </w:tcBorders>
            <w:vAlign w:val="bottom"/>
          </w:tcPr>
          <w:p w14:paraId="1910F050" w14:textId="77777777" w:rsidR="00333AA3" w:rsidRPr="00F57F03" w:rsidRDefault="00333AA3" w:rsidP="00333AA3">
            <w:pPr>
              <w:spacing w:after="0"/>
              <w:jc w:val="center"/>
              <w:rPr>
                <w:rFonts w:eastAsia="Times New Roman" w:cs="Times New Roman"/>
                <w:color w:val="000000"/>
              </w:rPr>
            </w:pPr>
            <w:r w:rsidRPr="00681393">
              <w:rPr>
                <w:rFonts w:eastAsia="Times New Roman" w:cs="Times New Roman"/>
                <w:color w:val="000000"/>
              </w:rPr>
              <w:t>-121.209</w:t>
            </w:r>
          </w:p>
        </w:tc>
        <w:tc>
          <w:tcPr>
            <w:tcW w:w="420" w:type="pct"/>
            <w:tcBorders>
              <w:top w:val="nil"/>
              <w:left w:val="nil"/>
              <w:bottom w:val="nil"/>
              <w:right w:val="nil"/>
            </w:tcBorders>
            <w:vAlign w:val="bottom"/>
          </w:tcPr>
          <w:p w14:paraId="39DFE689"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6</w:t>
            </w:r>
          </w:p>
        </w:tc>
        <w:tc>
          <w:tcPr>
            <w:tcW w:w="611" w:type="pct"/>
            <w:tcBorders>
              <w:top w:val="nil"/>
              <w:left w:val="nil"/>
              <w:bottom w:val="nil"/>
              <w:right w:val="nil"/>
            </w:tcBorders>
            <w:shd w:val="clear" w:color="auto" w:fill="auto"/>
            <w:noWrap/>
            <w:vAlign w:val="bottom"/>
            <w:hideMark/>
          </w:tcPr>
          <w:p w14:paraId="5D9BD575"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364.12</w:t>
            </w:r>
          </w:p>
        </w:tc>
        <w:tc>
          <w:tcPr>
            <w:tcW w:w="649" w:type="pct"/>
            <w:tcBorders>
              <w:top w:val="nil"/>
              <w:left w:val="nil"/>
              <w:bottom w:val="nil"/>
              <w:right w:val="nil"/>
            </w:tcBorders>
            <w:shd w:val="clear" w:color="auto" w:fill="auto"/>
            <w:noWrap/>
            <w:vAlign w:val="bottom"/>
            <w:hideMark/>
          </w:tcPr>
          <w:p w14:paraId="3E58D27B"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1304.21</w:t>
            </w:r>
          </w:p>
        </w:tc>
        <w:tc>
          <w:tcPr>
            <w:tcW w:w="458" w:type="pct"/>
            <w:tcBorders>
              <w:top w:val="nil"/>
              <w:left w:val="nil"/>
              <w:bottom w:val="nil"/>
              <w:right w:val="nil"/>
            </w:tcBorders>
            <w:shd w:val="clear" w:color="auto" w:fill="auto"/>
            <w:noWrap/>
            <w:vAlign w:val="bottom"/>
            <w:hideMark/>
          </w:tcPr>
          <w:p w14:paraId="708F7E84" w14:textId="77777777" w:rsidR="00333AA3" w:rsidRPr="00681393" w:rsidRDefault="00333AA3" w:rsidP="00333AA3">
            <w:pPr>
              <w:spacing w:after="0"/>
              <w:jc w:val="center"/>
              <w:rPr>
                <w:rFonts w:eastAsia="Times New Roman" w:cs="Times New Roman"/>
                <w:color w:val="000000"/>
              </w:rPr>
            </w:pPr>
            <w:r w:rsidRPr="00681393">
              <w:rPr>
                <w:rFonts w:eastAsia="Times New Roman" w:cs="Times New Roman"/>
                <w:color w:val="000000"/>
              </w:rPr>
              <w:t>2554</w:t>
            </w:r>
          </w:p>
        </w:tc>
      </w:tr>
    </w:tbl>
    <w:p w14:paraId="2245155B" w14:textId="77777777" w:rsidR="00333AA3" w:rsidRDefault="00333AA3" w:rsidP="00333AA3">
      <w:pPr>
        <w:rPr>
          <w:rFonts w:cs="Times New Roman"/>
          <w:szCs w:val="24"/>
        </w:rPr>
        <w:sectPr w:rsidR="00333AA3" w:rsidSect="00F716D3">
          <w:pgSz w:w="15840" w:h="12240" w:orient="landscape"/>
          <w:pgMar w:top="1440" w:right="1440" w:bottom="1440" w:left="1440" w:header="720" w:footer="720" w:gutter="0"/>
          <w:cols w:space="720"/>
          <w:docGrid w:linePitch="360"/>
        </w:sectPr>
      </w:pPr>
    </w:p>
    <w:p w14:paraId="4F5101F3" w14:textId="17A52B49" w:rsidR="00333AA3" w:rsidRPr="001249BB" w:rsidRDefault="001249BB" w:rsidP="001249BB">
      <w:pPr>
        <w:pStyle w:val="Caption"/>
        <w:keepNext/>
      </w:pPr>
      <w:bookmarkStart w:id="102" w:name="_Toc60480695"/>
      <w:bookmarkStart w:id="103" w:name="_Toc61883061"/>
      <w:r>
        <w:lastRenderedPageBreak/>
        <w:t xml:space="preserve">Table </w:t>
      </w:r>
      <w:fldSimple w:instr=" STYLEREF 1 \s ">
        <w:r w:rsidR="000C6138">
          <w:rPr>
            <w:noProof/>
          </w:rPr>
          <w:t>4</w:t>
        </w:r>
      </w:fldSimple>
      <w:r w:rsidR="004F311A">
        <w:t>.</w:t>
      </w:r>
      <w:fldSimple w:instr=" SEQ Table \* ARABIC \s 1 ">
        <w:r w:rsidR="000C6138">
          <w:rPr>
            <w:noProof/>
          </w:rPr>
          <w:t>2</w:t>
        </w:r>
      </w:fldSimple>
      <w:r>
        <w:t xml:space="preserve">. </w:t>
      </w:r>
      <w:proofErr w:type="spellStart"/>
      <w:r w:rsidR="00333AA3">
        <w:rPr>
          <w:rFonts w:cs="Times New Roman"/>
          <w:szCs w:val="24"/>
        </w:rPr>
        <w:t>Hydrogeomorphic</w:t>
      </w:r>
      <w:proofErr w:type="spellEnd"/>
      <w:r w:rsidR="00333AA3">
        <w:rPr>
          <w:rFonts w:cs="Times New Roman"/>
          <w:szCs w:val="24"/>
        </w:rPr>
        <w:t xml:space="preserve"> v</w:t>
      </w:r>
      <w:r w:rsidR="00333AA3" w:rsidRPr="006F24A8">
        <w:rPr>
          <w:rFonts w:cs="Times New Roman"/>
          <w:szCs w:val="24"/>
        </w:rPr>
        <w:t xml:space="preserve">ariables and data sources used to identify </w:t>
      </w:r>
      <w:proofErr w:type="spellStart"/>
      <w:r w:rsidR="00333AA3" w:rsidRPr="006F24A8">
        <w:rPr>
          <w:rFonts w:cs="Times New Roman"/>
          <w:szCs w:val="24"/>
        </w:rPr>
        <w:t>hydrogeomorphic</w:t>
      </w:r>
      <w:proofErr w:type="spellEnd"/>
      <w:r w:rsidR="00333AA3" w:rsidRPr="006F24A8">
        <w:rPr>
          <w:rFonts w:cs="Times New Roman"/>
          <w:szCs w:val="24"/>
        </w:rPr>
        <w:t xml:space="preserve"> patches</w:t>
      </w:r>
      <w:bookmarkEnd w:id="102"/>
      <w:bookmarkEnd w:id="103"/>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3715"/>
        <w:gridCol w:w="3716"/>
      </w:tblGrid>
      <w:tr w:rsidR="00333AA3" w:rsidRPr="0004426E" w14:paraId="1BFB74D7" w14:textId="77777777" w:rsidTr="00333AA3">
        <w:tc>
          <w:tcPr>
            <w:tcW w:w="1795" w:type="dxa"/>
            <w:tcBorders>
              <w:bottom w:val="single" w:sz="4" w:space="0" w:color="auto"/>
            </w:tcBorders>
          </w:tcPr>
          <w:p w14:paraId="71C4A276" w14:textId="77777777" w:rsidR="00333AA3" w:rsidRPr="0004426E" w:rsidRDefault="00333AA3" w:rsidP="00333AA3">
            <w:pPr>
              <w:jc w:val="center"/>
              <w:rPr>
                <w:rFonts w:cs="Times New Roman"/>
                <w:b/>
              </w:rPr>
            </w:pPr>
            <w:r w:rsidRPr="0004426E">
              <w:rPr>
                <w:rFonts w:cs="Times New Roman"/>
                <w:b/>
              </w:rPr>
              <w:t>Variable</w:t>
            </w:r>
          </w:p>
        </w:tc>
        <w:tc>
          <w:tcPr>
            <w:tcW w:w="3875" w:type="dxa"/>
            <w:tcBorders>
              <w:bottom w:val="single" w:sz="4" w:space="0" w:color="auto"/>
            </w:tcBorders>
          </w:tcPr>
          <w:p w14:paraId="1F998B3F" w14:textId="77777777" w:rsidR="00333AA3" w:rsidRPr="0004426E" w:rsidRDefault="00333AA3" w:rsidP="00333AA3">
            <w:pPr>
              <w:jc w:val="center"/>
              <w:rPr>
                <w:rFonts w:cs="Times New Roman"/>
                <w:b/>
              </w:rPr>
            </w:pPr>
            <w:r w:rsidRPr="0004426E">
              <w:rPr>
                <w:rFonts w:cs="Times New Roman"/>
                <w:b/>
              </w:rPr>
              <w:t>Description</w:t>
            </w:r>
          </w:p>
        </w:tc>
        <w:tc>
          <w:tcPr>
            <w:tcW w:w="3510" w:type="dxa"/>
            <w:tcBorders>
              <w:bottom w:val="single" w:sz="4" w:space="0" w:color="auto"/>
            </w:tcBorders>
          </w:tcPr>
          <w:p w14:paraId="607FA575" w14:textId="77777777" w:rsidR="00333AA3" w:rsidRPr="0004426E" w:rsidRDefault="00333AA3" w:rsidP="00333AA3">
            <w:pPr>
              <w:jc w:val="center"/>
              <w:rPr>
                <w:rFonts w:cs="Times New Roman"/>
                <w:b/>
              </w:rPr>
            </w:pPr>
            <w:r w:rsidRPr="0004426E">
              <w:rPr>
                <w:rFonts w:cs="Times New Roman"/>
                <w:b/>
              </w:rPr>
              <w:t>Source</w:t>
            </w:r>
          </w:p>
        </w:tc>
      </w:tr>
      <w:tr w:rsidR="00333AA3" w:rsidRPr="0004426E" w14:paraId="00E3CF7D" w14:textId="77777777" w:rsidTr="00333AA3">
        <w:trPr>
          <w:trHeight w:val="629"/>
        </w:trPr>
        <w:tc>
          <w:tcPr>
            <w:tcW w:w="1795" w:type="dxa"/>
            <w:tcBorders>
              <w:top w:val="single" w:sz="4" w:space="0" w:color="auto"/>
            </w:tcBorders>
            <w:vAlign w:val="center"/>
          </w:tcPr>
          <w:p w14:paraId="18BE0ED6" w14:textId="77777777" w:rsidR="00333AA3" w:rsidRPr="0004426E" w:rsidRDefault="00333AA3" w:rsidP="00333AA3">
            <w:pPr>
              <w:jc w:val="center"/>
              <w:rPr>
                <w:rFonts w:cs="Times New Roman"/>
              </w:rPr>
            </w:pPr>
            <w:r w:rsidRPr="0004426E">
              <w:rPr>
                <w:rFonts w:cs="Times New Roman"/>
              </w:rPr>
              <w:t>Elev</w:t>
            </w:r>
            <w:r>
              <w:rPr>
                <w:rFonts w:cs="Times New Roman"/>
              </w:rPr>
              <w:t>.</w:t>
            </w:r>
          </w:p>
        </w:tc>
        <w:tc>
          <w:tcPr>
            <w:tcW w:w="3875" w:type="dxa"/>
            <w:tcBorders>
              <w:top w:val="single" w:sz="4" w:space="0" w:color="auto"/>
            </w:tcBorders>
            <w:vAlign w:val="center"/>
          </w:tcPr>
          <w:p w14:paraId="4E4BDA18" w14:textId="77777777" w:rsidR="00333AA3" w:rsidRPr="0004426E" w:rsidRDefault="00333AA3" w:rsidP="00333AA3">
            <w:pPr>
              <w:jc w:val="center"/>
              <w:rPr>
                <w:rFonts w:cs="Times New Roman"/>
              </w:rPr>
            </w:pPr>
            <w:r w:rsidRPr="0004426E">
              <w:rPr>
                <w:rFonts w:cs="Times New Roman"/>
              </w:rPr>
              <w:t>Elevation at reach midpoint</w:t>
            </w:r>
          </w:p>
        </w:tc>
        <w:tc>
          <w:tcPr>
            <w:tcW w:w="3510" w:type="dxa"/>
            <w:tcBorders>
              <w:top w:val="single" w:sz="4" w:space="0" w:color="auto"/>
            </w:tcBorders>
            <w:vAlign w:val="center"/>
          </w:tcPr>
          <w:p w14:paraId="4EFAA6F4" w14:textId="77777777" w:rsidR="00333AA3" w:rsidRPr="0004426E" w:rsidRDefault="00333AA3" w:rsidP="00333AA3">
            <w:pPr>
              <w:jc w:val="center"/>
              <w:rPr>
                <w:rFonts w:cs="Times New Roman"/>
              </w:rPr>
            </w:pPr>
            <w:proofErr w:type="spellStart"/>
            <w:r w:rsidRPr="0004426E">
              <w:rPr>
                <w:rFonts w:cs="Times New Roman"/>
              </w:rPr>
              <w:t>NHDPlusHR</w:t>
            </w:r>
            <w:proofErr w:type="spellEnd"/>
            <w:r w:rsidRPr="0004426E">
              <w:rPr>
                <w:rFonts w:cs="Times New Roman"/>
              </w:rPr>
              <w:t xml:space="preserve">: </w:t>
            </w:r>
            <w:hyperlink r:id="rId40" w:history="1">
              <w:r w:rsidRPr="0004426E">
                <w:rPr>
                  <w:rStyle w:val="Hyperlink"/>
                  <w:rFonts w:cs="Times New Roman"/>
                </w:rPr>
                <w:t>https://www.usgs.gov/core-science-systems/ngp/national-hydrography/nhdplus-high-resolution</w:t>
              </w:r>
            </w:hyperlink>
          </w:p>
        </w:tc>
      </w:tr>
      <w:tr w:rsidR="00333AA3" w:rsidRPr="0004426E" w14:paraId="42F17A9C" w14:textId="77777777" w:rsidTr="00333AA3">
        <w:tc>
          <w:tcPr>
            <w:tcW w:w="1795" w:type="dxa"/>
            <w:vAlign w:val="center"/>
          </w:tcPr>
          <w:p w14:paraId="3E9B90A7" w14:textId="77777777" w:rsidR="00333AA3" w:rsidRPr="0004426E" w:rsidRDefault="00333AA3" w:rsidP="00333AA3">
            <w:pPr>
              <w:jc w:val="center"/>
              <w:rPr>
                <w:rFonts w:cs="Times New Roman"/>
              </w:rPr>
            </w:pPr>
            <w:r w:rsidRPr="0004426E">
              <w:rPr>
                <w:rFonts w:cs="Times New Roman"/>
              </w:rPr>
              <w:t xml:space="preserve">Ann. </w:t>
            </w:r>
            <w:proofErr w:type="spellStart"/>
            <w:r w:rsidRPr="0004426E">
              <w:rPr>
                <w:rFonts w:cs="Times New Roman"/>
              </w:rPr>
              <w:t>Precip</w:t>
            </w:r>
            <w:proofErr w:type="spellEnd"/>
            <w:r w:rsidRPr="0004426E">
              <w:rPr>
                <w:rFonts w:cs="Times New Roman"/>
              </w:rPr>
              <w:t>.</w:t>
            </w:r>
          </w:p>
        </w:tc>
        <w:tc>
          <w:tcPr>
            <w:tcW w:w="3875" w:type="dxa"/>
            <w:vAlign w:val="center"/>
          </w:tcPr>
          <w:p w14:paraId="710930E1" w14:textId="77777777" w:rsidR="00333AA3" w:rsidRPr="0004426E" w:rsidRDefault="00333AA3" w:rsidP="00333AA3">
            <w:pPr>
              <w:jc w:val="center"/>
              <w:rPr>
                <w:rFonts w:cs="Times New Roman"/>
              </w:rPr>
            </w:pPr>
            <w:r w:rsidRPr="0004426E">
              <w:rPr>
                <w:rFonts w:cs="Times New Roman"/>
              </w:rPr>
              <w:t xml:space="preserve">Mean annual precipitation (1981-2010) </w:t>
            </w:r>
          </w:p>
        </w:tc>
        <w:tc>
          <w:tcPr>
            <w:tcW w:w="3510" w:type="dxa"/>
            <w:vMerge w:val="restart"/>
            <w:vAlign w:val="center"/>
          </w:tcPr>
          <w:p w14:paraId="08A527B8" w14:textId="77777777" w:rsidR="00333AA3" w:rsidRPr="0004426E" w:rsidRDefault="00333AA3" w:rsidP="00333AA3">
            <w:pPr>
              <w:jc w:val="center"/>
              <w:rPr>
                <w:rFonts w:cs="Times New Roman"/>
              </w:rPr>
            </w:pPr>
            <w:r w:rsidRPr="0004426E">
              <w:rPr>
                <w:rFonts w:cs="Times New Roman"/>
              </w:rPr>
              <w:t xml:space="preserve">PRISM Climate Group: </w:t>
            </w:r>
            <w:hyperlink r:id="rId41" w:history="1">
              <w:r w:rsidRPr="0004426E">
                <w:rPr>
                  <w:rStyle w:val="Hyperlink"/>
                  <w:rFonts w:cs="Times New Roman"/>
                </w:rPr>
                <w:t>https://prism.oregonstate.edu/</w:t>
              </w:r>
            </w:hyperlink>
          </w:p>
        </w:tc>
      </w:tr>
      <w:tr w:rsidR="00333AA3" w:rsidRPr="0004426E" w14:paraId="25322267" w14:textId="77777777" w:rsidTr="00333AA3">
        <w:trPr>
          <w:trHeight w:val="270"/>
        </w:trPr>
        <w:tc>
          <w:tcPr>
            <w:tcW w:w="1795" w:type="dxa"/>
            <w:vAlign w:val="center"/>
          </w:tcPr>
          <w:p w14:paraId="44F9986D" w14:textId="77777777" w:rsidR="00333AA3" w:rsidRPr="0004426E" w:rsidRDefault="00333AA3" w:rsidP="00333AA3">
            <w:pPr>
              <w:jc w:val="center"/>
              <w:rPr>
                <w:rFonts w:cs="Times New Roman"/>
              </w:rPr>
            </w:pPr>
            <w:r w:rsidRPr="0004426E">
              <w:rPr>
                <w:rFonts w:cs="Times New Roman"/>
              </w:rPr>
              <w:t>Ann. Temp.</w:t>
            </w:r>
          </w:p>
        </w:tc>
        <w:tc>
          <w:tcPr>
            <w:tcW w:w="3875" w:type="dxa"/>
            <w:vAlign w:val="center"/>
          </w:tcPr>
          <w:p w14:paraId="36595AB3" w14:textId="77777777" w:rsidR="00333AA3" w:rsidRPr="0004426E" w:rsidRDefault="00333AA3" w:rsidP="00333AA3">
            <w:pPr>
              <w:jc w:val="center"/>
              <w:rPr>
                <w:rFonts w:cs="Times New Roman"/>
              </w:rPr>
            </w:pPr>
            <w:r w:rsidRPr="0004426E">
              <w:rPr>
                <w:rFonts w:cs="Times New Roman"/>
              </w:rPr>
              <w:t xml:space="preserve">Mean annual temperature (1981-2010) </w:t>
            </w:r>
          </w:p>
        </w:tc>
        <w:tc>
          <w:tcPr>
            <w:tcW w:w="3510" w:type="dxa"/>
            <w:vMerge/>
            <w:vAlign w:val="center"/>
          </w:tcPr>
          <w:p w14:paraId="1CF95B59" w14:textId="77777777" w:rsidR="00333AA3" w:rsidRPr="0004426E" w:rsidRDefault="00333AA3" w:rsidP="00333AA3">
            <w:pPr>
              <w:jc w:val="center"/>
              <w:rPr>
                <w:rFonts w:cs="Times New Roman"/>
              </w:rPr>
            </w:pPr>
          </w:p>
        </w:tc>
      </w:tr>
      <w:tr w:rsidR="00333AA3" w:rsidRPr="0004426E" w14:paraId="600187EC" w14:textId="77777777" w:rsidTr="00333AA3">
        <w:trPr>
          <w:trHeight w:val="270"/>
        </w:trPr>
        <w:tc>
          <w:tcPr>
            <w:tcW w:w="1795" w:type="dxa"/>
            <w:vAlign w:val="center"/>
          </w:tcPr>
          <w:p w14:paraId="0F5E7E52" w14:textId="77777777" w:rsidR="00333AA3" w:rsidRPr="0004426E" w:rsidRDefault="00333AA3" w:rsidP="00333AA3">
            <w:pPr>
              <w:jc w:val="center"/>
              <w:rPr>
                <w:rFonts w:cs="Times New Roman"/>
              </w:rPr>
            </w:pPr>
            <w:r>
              <w:rPr>
                <w:rFonts w:cs="Times New Roman"/>
              </w:rPr>
              <w:t>Erosion Factor</w:t>
            </w:r>
          </w:p>
        </w:tc>
        <w:tc>
          <w:tcPr>
            <w:tcW w:w="3875" w:type="dxa"/>
            <w:vAlign w:val="center"/>
          </w:tcPr>
          <w:p w14:paraId="3720CC68" w14:textId="77777777" w:rsidR="00333AA3" w:rsidRPr="0004426E" w:rsidRDefault="00333AA3" w:rsidP="00333AA3">
            <w:pPr>
              <w:jc w:val="center"/>
              <w:rPr>
                <w:rFonts w:cs="Times New Roman"/>
              </w:rPr>
            </w:pPr>
            <w:r w:rsidRPr="0004426E">
              <w:rPr>
                <w:rFonts w:cs="Times New Roman"/>
              </w:rPr>
              <w:t xml:space="preserve">Whole Soil Erosion factor (kw) measures susceptibility of soil to erosion </w:t>
            </w:r>
          </w:p>
        </w:tc>
        <w:tc>
          <w:tcPr>
            <w:tcW w:w="3510" w:type="dxa"/>
            <w:vMerge w:val="restart"/>
            <w:vAlign w:val="center"/>
          </w:tcPr>
          <w:p w14:paraId="004E899A" w14:textId="77777777" w:rsidR="00333AA3" w:rsidRPr="0004426E" w:rsidRDefault="00333AA3" w:rsidP="00333AA3">
            <w:pPr>
              <w:jc w:val="center"/>
              <w:rPr>
                <w:rFonts w:cs="Times New Roman"/>
              </w:rPr>
            </w:pPr>
            <w:r w:rsidRPr="0004426E">
              <w:rPr>
                <w:rFonts w:cs="Times New Roman"/>
              </w:rPr>
              <w:t xml:space="preserve">SSURGO: </w:t>
            </w:r>
            <w:hyperlink r:id="rId42" w:tgtFrame="_blank" w:history="1">
              <w:r w:rsidRPr="0004426E">
                <w:rPr>
                  <w:rStyle w:val="Hyperlink"/>
                  <w:rFonts w:cs="Times New Roman"/>
                  <w:color w:val="005782"/>
                  <w:shd w:val="clear" w:color="auto" w:fill="FFFFFF"/>
                </w:rPr>
                <w:t>https://websoilsurvey.nrcs.usda.gov/</w:t>
              </w:r>
            </w:hyperlink>
          </w:p>
        </w:tc>
      </w:tr>
      <w:tr w:rsidR="00333AA3" w:rsidRPr="0004426E" w14:paraId="2BB457BD" w14:textId="77777777" w:rsidTr="00333AA3">
        <w:trPr>
          <w:trHeight w:val="225"/>
        </w:trPr>
        <w:tc>
          <w:tcPr>
            <w:tcW w:w="1795" w:type="dxa"/>
            <w:vAlign w:val="center"/>
          </w:tcPr>
          <w:p w14:paraId="35C864AB" w14:textId="77777777" w:rsidR="00333AA3" w:rsidRPr="0004426E" w:rsidRDefault="00333AA3" w:rsidP="00333AA3">
            <w:pPr>
              <w:jc w:val="center"/>
              <w:rPr>
                <w:rFonts w:cs="Times New Roman"/>
              </w:rPr>
            </w:pPr>
            <w:r w:rsidRPr="0004426E">
              <w:rPr>
                <w:rFonts w:cs="Times New Roman"/>
              </w:rPr>
              <w:t>Soil pH</w:t>
            </w:r>
          </w:p>
        </w:tc>
        <w:tc>
          <w:tcPr>
            <w:tcW w:w="3875" w:type="dxa"/>
            <w:vAlign w:val="center"/>
          </w:tcPr>
          <w:p w14:paraId="63CAC69E" w14:textId="77777777" w:rsidR="00333AA3" w:rsidRPr="0004426E" w:rsidRDefault="00333AA3" w:rsidP="00333AA3">
            <w:pPr>
              <w:jc w:val="center"/>
              <w:rPr>
                <w:rFonts w:cs="Times New Roman"/>
              </w:rPr>
            </w:pPr>
            <w:r w:rsidRPr="0004426E">
              <w:rPr>
                <w:rFonts w:cs="Times New Roman"/>
              </w:rPr>
              <w:t xml:space="preserve">Soil pH </w:t>
            </w:r>
          </w:p>
        </w:tc>
        <w:tc>
          <w:tcPr>
            <w:tcW w:w="3510" w:type="dxa"/>
            <w:vMerge/>
            <w:vAlign w:val="center"/>
          </w:tcPr>
          <w:p w14:paraId="753274B6" w14:textId="77777777" w:rsidR="00333AA3" w:rsidRPr="0004426E" w:rsidRDefault="00333AA3" w:rsidP="00333AA3">
            <w:pPr>
              <w:jc w:val="center"/>
              <w:rPr>
                <w:rFonts w:cs="Times New Roman"/>
              </w:rPr>
            </w:pPr>
          </w:p>
        </w:tc>
      </w:tr>
      <w:tr w:rsidR="00333AA3" w:rsidRPr="0004426E" w14:paraId="4AC5815C" w14:textId="77777777" w:rsidTr="00333AA3">
        <w:trPr>
          <w:trHeight w:val="657"/>
        </w:trPr>
        <w:tc>
          <w:tcPr>
            <w:tcW w:w="1795" w:type="dxa"/>
            <w:vAlign w:val="center"/>
          </w:tcPr>
          <w:p w14:paraId="4096BD9C" w14:textId="77777777" w:rsidR="00333AA3" w:rsidRPr="0004426E" w:rsidRDefault="00333AA3" w:rsidP="00333AA3">
            <w:pPr>
              <w:jc w:val="center"/>
              <w:rPr>
                <w:rFonts w:cs="Times New Roman"/>
              </w:rPr>
            </w:pPr>
            <w:r w:rsidRPr="0004426E">
              <w:rPr>
                <w:rFonts w:cs="Times New Roman"/>
              </w:rPr>
              <w:t>Bedrock Depth</w:t>
            </w:r>
          </w:p>
        </w:tc>
        <w:tc>
          <w:tcPr>
            <w:tcW w:w="3875" w:type="dxa"/>
            <w:vAlign w:val="center"/>
          </w:tcPr>
          <w:p w14:paraId="71F4DC3D" w14:textId="77777777" w:rsidR="00333AA3" w:rsidRPr="0004426E" w:rsidRDefault="00333AA3" w:rsidP="00333AA3">
            <w:pPr>
              <w:jc w:val="center"/>
              <w:rPr>
                <w:rFonts w:cs="Times New Roman"/>
                <w:noProof/>
              </w:rPr>
            </w:pPr>
            <w:r w:rsidRPr="0004426E">
              <w:rPr>
                <w:rFonts w:cs="Times New Roman"/>
                <w:noProof/>
              </w:rPr>
              <w:t xml:space="preserve">Depth of soil or regolith covering bedrock </w:t>
            </w:r>
          </w:p>
        </w:tc>
        <w:tc>
          <w:tcPr>
            <w:tcW w:w="3510" w:type="dxa"/>
            <w:vAlign w:val="center"/>
          </w:tcPr>
          <w:p w14:paraId="59B216CE" w14:textId="77777777" w:rsidR="00333AA3" w:rsidRPr="0004426E" w:rsidRDefault="00333AA3" w:rsidP="00333AA3">
            <w:pPr>
              <w:jc w:val="center"/>
              <w:rPr>
                <w:rFonts w:cs="Times New Roman"/>
                <w:noProof/>
              </w:rPr>
            </w:pPr>
            <w:r w:rsidRPr="0004426E">
              <w:rPr>
                <w:rFonts w:cs="Times New Roman"/>
                <w:noProof/>
              </w:rPr>
              <w:t>Soil Grids</w:t>
            </w:r>
          </w:p>
          <w:p w14:paraId="2021C66A" w14:textId="77777777" w:rsidR="00333AA3" w:rsidRPr="0004426E" w:rsidRDefault="00B5442B" w:rsidP="00333AA3">
            <w:pPr>
              <w:jc w:val="center"/>
              <w:rPr>
                <w:rFonts w:cs="Times New Roman"/>
              </w:rPr>
            </w:pPr>
            <w:hyperlink r:id="rId43" w:history="1">
              <w:r w:rsidR="00333AA3" w:rsidRPr="0004426E">
                <w:rPr>
                  <w:rStyle w:val="Hyperlink"/>
                  <w:rFonts w:cs="Times New Roman"/>
                </w:rPr>
                <w:t>http://globalchange.bnu.edu.cn/</w:t>
              </w:r>
            </w:hyperlink>
          </w:p>
        </w:tc>
      </w:tr>
      <w:tr w:rsidR="00333AA3" w:rsidRPr="0004426E" w14:paraId="59320184" w14:textId="77777777" w:rsidTr="00333AA3">
        <w:tc>
          <w:tcPr>
            <w:tcW w:w="1795" w:type="dxa"/>
            <w:vAlign w:val="center"/>
          </w:tcPr>
          <w:p w14:paraId="160090BF" w14:textId="77777777" w:rsidR="00333AA3" w:rsidRPr="0004426E" w:rsidRDefault="00333AA3" w:rsidP="00333AA3">
            <w:pPr>
              <w:jc w:val="center"/>
              <w:rPr>
                <w:rFonts w:cs="Times New Roman"/>
              </w:rPr>
            </w:pPr>
            <w:r w:rsidRPr="0004426E">
              <w:rPr>
                <w:rFonts w:cs="Times New Roman"/>
              </w:rPr>
              <w:t>Valley Width</w:t>
            </w:r>
          </w:p>
        </w:tc>
        <w:tc>
          <w:tcPr>
            <w:tcW w:w="3875" w:type="dxa"/>
            <w:vAlign w:val="center"/>
          </w:tcPr>
          <w:p w14:paraId="2EBDBF90" w14:textId="77777777" w:rsidR="00333AA3" w:rsidRPr="0004426E" w:rsidRDefault="00333AA3" w:rsidP="00333AA3">
            <w:pPr>
              <w:jc w:val="center"/>
              <w:rPr>
                <w:rFonts w:cs="Times New Roman"/>
              </w:rPr>
            </w:pPr>
            <w:r w:rsidRPr="0004426E">
              <w:rPr>
                <w:rFonts w:cs="Times New Roman"/>
              </w:rPr>
              <w:t xml:space="preserve">Width of the catchment perpendicular to the river channel </w:t>
            </w:r>
          </w:p>
        </w:tc>
        <w:tc>
          <w:tcPr>
            <w:tcW w:w="3510" w:type="dxa"/>
            <w:vMerge w:val="restart"/>
            <w:vAlign w:val="center"/>
          </w:tcPr>
          <w:p w14:paraId="406AB86D" w14:textId="77777777" w:rsidR="00333AA3" w:rsidRPr="0004426E" w:rsidRDefault="00333AA3" w:rsidP="00333AA3">
            <w:pPr>
              <w:jc w:val="center"/>
              <w:rPr>
                <w:rFonts w:cs="Times New Roman"/>
              </w:rPr>
            </w:pPr>
            <w:r w:rsidRPr="0004426E">
              <w:rPr>
                <w:rFonts w:cs="Times New Roman"/>
              </w:rPr>
              <w:t xml:space="preserve">Derived for this study from </w:t>
            </w:r>
            <w:proofErr w:type="spellStart"/>
            <w:r w:rsidRPr="0004426E">
              <w:rPr>
                <w:rFonts w:cs="Times New Roman"/>
              </w:rPr>
              <w:t>NHDPlusHR</w:t>
            </w:r>
            <w:proofErr w:type="spellEnd"/>
            <w:r w:rsidRPr="0004426E">
              <w:rPr>
                <w:rFonts w:cs="Times New Roman"/>
              </w:rPr>
              <w:t xml:space="preserve">: </w:t>
            </w:r>
            <w:hyperlink r:id="rId44" w:history="1">
              <w:r w:rsidRPr="0004426E">
                <w:rPr>
                  <w:rStyle w:val="Hyperlink"/>
                  <w:rFonts w:cs="Times New Roman"/>
                </w:rPr>
                <w:t>https://www.usgs.gov/core-science-systems/ngp/national-hydrography/nhdplus-high-resolution</w:t>
              </w:r>
            </w:hyperlink>
          </w:p>
        </w:tc>
      </w:tr>
      <w:tr w:rsidR="00333AA3" w:rsidRPr="0004426E" w14:paraId="2D8DBABB" w14:textId="77777777" w:rsidTr="00333AA3">
        <w:tc>
          <w:tcPr>
            <w:tcW w:w="1795" w:type="dxa"/>
            <w:vAlign w:val="center"/>
          </w:tcPr>
          <w:p w14:paraId="6E710F93" w14:textId="77777777" w:rsidR="00333AA3" w:rsidRPr="0004426E" w:rsidRDefault="00333AA3" w:rsidP="00333AA3">
            <w:pPr>
              <w:jc w:val="center"/>
              <w:rPr>
                <w:rFonts w:cs="Times New Roman"/>
              </w:rPr>
            </w:pPr>
            <w:r w:rsidRPr="0004426E">
              <w:rPr>
                <w:rFonts w:cs="Times New Roman"/>
              </w:rPr>
              <w:t>Valley Floor Width</w:t>
            </w:r>
          </w:p>
        </w:tc>
        <w:tc>
          <w:tcPr>
            <w:tcW w:w="3875" w:type="dxa"/>
            <w:vAlign w:val="center"/>
          </w:tcPr>
          <w:p w14:paraId="026F6674" w14:textId="77777777" w:rsidR="00333AA3" w:rsidRPr="0004426E" w:rsidRDefault="00333AA3" w:rsidP="00333AA3">
            <w:pPr>
              <w:jc w:val="center"/>
              <w:rPr>
                <w:rFonts w:cs="Times New Roman"/>
              </w:rPr>
            </w:pPr>
            <w:r w:rsidRPr="0004426E">
              <w:rPr>
                <w:rFonts w:cs="Times New Roman"/>
              </w:rPr>
              <w:t xml:space="preserve">The lateral extent of a flood reaching a depth 4 times </w:t>
            </w:r>
            <w:proofErr w:type="spellStart"/>
            <w:r w:rsidRPr="0004426E">
              <w:rPr>
                <w:rFonts w:cs="Times New Roman"/>
              </w:rPr>
              <w:t>bankfull</w:t>
            </w:r>
            <w:proofErr w:type="spellEnd"/>
            <w:r w:rsidRPr="0004426E">
              <w:rPr>
                <w:rFonts w:cs="Times New Roman"/>
              </w:rPr>
              <w:t xml:space="preserve"> depth.*</w:t>
            </w:r>
          </w:p>
        </w:tc>
        <w:tc>
          <w:tcPr>
            <w:tcW w:w="3510" w:type="dxa"/>
            <w:vMerge/>
            <w:vAlign w:val="center"/>
          </w:tcPr>
          <w:p w14:paraId="06BA20EC" w14:textId="77777777" w:rsidR="00333AA3" w:rsidRPr="0004426E" w:rsidRDefault="00333AA3" w:rsidP="00333AA3">
            <w:pPr>
              <w:jc w:val="center"/>
              <w:rPr>
                <w:rFonts w:cs="Times New Roman"/>
              </w:rPr>
            </w:pPr>
          </w:p>
        </w:tc>
      </w:tr>
      <w:tr w:rsidR="00333AA3" w:rsidRPr="0004426E" w14:paraId="20BCFF1C" w14:textId="77777777" w:rsidTr="00333AA3">
        <w:tc>
          <w:tcPr>
            <w:tcW w:w="1795" w:type="dxa"/>
            <w:vAlign w:val="center"/>
          </w:tcPr>
          <w:p w14:paraId="31415CDC" w14:textId="77777777" w:rsidR="00333AA3" w:rsidRPr="0004426E" w:rsidRDefault="00333AA3" w:rsidP="00333AA3">
            <w:pPr>
              <w:jc w:val="center"/>
              <w:rPr>
                <w:rFonts w:cs="Times New Roman"/>
              </w:rPr>
            </w:pPr>
            <w:r w:rsidRPr="0004426E">
              <w:rPr>
                <w:rFonts w:cs="Times New Roman"/>
              </w:rPr>
              <w:t>Valley Floor Ratio</w:t>
            </w:r>
          </w:p>
        </w:tc>
        <w:tc>
          <w:tcPr>
            <w:tcW w:w="3875" w:type="dxa"/>
            <w:vAlign w:val="center"/>
          </w:tcPr>
          <w:p w14:paraId="339432B6" w14:textId="77777777" w:rsidR="00333AA3" w:rsidRPr="0004426E" w:rsidRDefault="00333AA3" w:rsidP="00333AA3">
            <w:pPr>
              <w:jc w:val="center"/>
              <w:rPr>
                <w:rFonts w:cs="Times New Roman"/>
              </w:rPr>
            </w:pPr>
            <w:r w:rsidRPr="0004426E">
              <w:rPr>
                <w:rFonts w:cs="Times New Roman"/>
              </w:rPr>
              <w:t>Ratio between valley floor width and valley width</w:t>
            </w:r>
          </w:p>
        </w:tc>
        <w:tc>
          <w:tcPr>
            <w:tcW w:w="3510" w:type="dxa"/>
            <w:vMerge/>
            <w:vAlign w:val="center"/>
          </w:tcPr>
          <w:p w14:paraId="576A3696" w14:textId="77777777" w:rsidR="00333AA3" w:rsidRPr="0004426E" w:rsidRDefault="00333AA3" w:rsidP="00333AA3">
            <w:pPr>
              <w:jc w:val="center"/>
              <w:rPr>
                <w:rFonts w:cs="Times New Roman"/>
              </w:rPr>
            </w:pPr>
          </w:p>
        </w:tc>
      </w:tr>
      <w:tr w:rsidR="00333AA3" w:rsidRPr="0004426E" w14:paraId="6DCFDD8F" w14:textId="77777777" w:rsidTr="00333AA3">
        <w:trPr>
          <w:trHeight w:val="162"/>
        </w:trPr>
        <w:tc>
          <w:tcPr>
            <w:tcW w:w="1795" w:type="dxa"/>
            <w:vAlign w:val="center"/>
          </w:tcPr>
          <w:p w14:paraId="0D939277" w14:textId="77777777" w:rsidR="00333AA3" w:rsidRPr="0004426E" w:rsidRDefault="00333AA3" w:rsidP="00333AA3">
            <w:pPr>
              <w:jc w:val="center"/>
              <w:rPr>
                <w:rFonts w:cs="Times New Roman"/>
              </w:rPr>
            </w:pPr>
            <w:r w:rsidRPr="0004426E">
              <w:rPr>
                <w:rFonts w:cs="Times New Roman"/>
              </w:rPr>
              <w:t>Valley Slope</w:t>
            </w:r>
          </w:p>
          <w:p w14:paraId="7166A908" w14:textId="77777777" w:rsidR="00333AA3" w:rsidRPr="0004426E" w:rsidRDefault="00333AA3" w:rsidP="00333AA3">
            <w:pPr>
              <w:jc w:val="center"/>
              <w:rPr>
                <w:rFonts w:cs="Times New Roman"/>
              </w:rPr>
            </w:pPr>
          </w:p>
        </w:tc>
        <w:tc>
          <w:tcPr>
            <w:tcW w:w="3875" w:type="dxa"/>
            <w:vAlign w:val="center"/>
          </w:tcPr>
          <w:p w14:paraId="0A6F94E4" w14:textId="77777777" w:rsidR="00333AA3" w:rsidRPr="0004426E" w:rsidRDefault="00333AA3" w:rsidP="00333AA3">
            <w:pPr>
              <w:jc w:val="center"/>
              <w:rPr>
                <w:rFonts w:cs="Times New Roman"/>
              </w:rPr>
            </w:pPr>
            <w:r w:rsidRPr="0004426E">
              <w:rPr>
                <w:rFonts w:cs="Times New Roman"/>
              </w:rPr>
              <w:t>Slope between upstream and downstream points of a valley</w:t>
            </w:r>
          </w:p>
        </w:tc>
        <w:tc>
          <w:tcPr>
            <w:tcW w:w="3510" w:type="dxa"/>
            <w:vMerge/>
            <w:vAlign w:val="center"/>
          </w:tcPr>
          <w:p w14:paraId="75AFA167" w14:textId="77777777" w:rsidR="00333AA3" w:rsidRPr="0004426E" w:rsidRDefault="00333AA3" w:rsidP="00333AA3">
            <w:pPr>
              <w:jc w:val="center"/>
              <w:rPr>
                <w:rFonts w:cs="Times New Roman"/>
              </w:rPr>
            </w:pPr>
          </w:p>
        </w:tc>
      </w:tr>
      <w:tr w:rsidR="00333AA3" w:rsidRPr="0004426E" w14:paraId="7B3E66A2" w14:textId="77777777" w:rsidTr="00333AA3">
        <w:tc>
          <w:tcPr>
            <w:tcW w:w="1795" w:type="dxa"/>
            <w:vAlign w:val="center"/>
          </w:tcPr>
          <w:p w14:paraId="5A739B94" w14:textId="77777777" w:rsidR="00333AA3" w:rsidRPr="0004426E" w:rsidRDefault="00333AA3" w:rsidP="00333AA3">
            <w:pPr>
              <w:jc w:val="center"/>
              <w:rPr>
                <w:rFonts w:cs="Times New Roman"/>
              </w:rPr>
            </w:pPr>
            <w:r w:rsidRPr="0004426E">
              <w:rPr>
                <w:rFonts w:cs="Times New Roman"/>
              </w:rPr>
              <w:t>Valley Side Slope</w:t>
            </w:r>
          </w:p>
        </w:tc>
        <w:tc>
          <w:tcPr>
            <w:tcW w:w="3875" w:type="dxa"/>
            <w:vAlign w:val="center"/>
          </w:tcPr>
          <w:p w14:paraId="20245482" w14:textId="77777777" w:rsidR="00333AA3" w:rsidRPr="0004426E" w:rsidRDefault="00333AA3" w:rsidP="00333AA3">
            <w:pPr>
              <w:jc w:val="center"/>
              <w:rPr>
                <w:rFonts w:cs="Times New Roman"/>
              </w:rPr>
            </w:pPr>
            <w:r w:rsidRPr="0004426E">
              <w:rPr>
                <w:rFonts w:cs="Times New Roman"/>
              </w:rPr>
              <w:t>Mean of the slope between the river and ridgeline on either side of the channel</w:t>
            </w:r>
          </w:p>
        </w:tc>
        <w:tc>
          <w:tcPr>
            <w:tcW w:w="3510" w:type="dxa"/>
            <w:vMerge/>
            <w:vAlign w:val="center"/>
          </w:tcPr>
          <w:p w14:paraId="2CCACD9A" w14:textId="77777777" w:rsidR="00333AA3" w:rsidRPr="0004426E" w:rsidRDefault="00333AA3" w:rsidP="00333AA3">
            <w:pPr>
              <w:jc w:val="center"/>
              <w:rPr>
                <w:rFonts w:cs="Times New Roman"/>
              </w:rPr>
            </w:pPr>
          </w:p>
        </w:tc>
      </w:tr>
      <w:tr w:rsidR="00333AA3" w:rsidRPr="0004426E" w14:paraId="61FF6935" w14:textId="77777777" w:rsidTr="00333AA3">
        <w:tc>
          <w:tcPr>
            <w:tcW w:w="1795" w:type="dxa"/>
            <w:vAlign w:val="center"/>
          </w:tcPr>
          <w:p w14:paraId="23F43EF4" w14:textId="77777777" w:rsidR="00333AA3" w:rsidRPr="0004426E" w:rsidRDefault="00333AA3" w:rsidP="00333AA3">
            <w:pPr>
              <w:jc w:val="center"/>
              <w:rPr>
                <w:rFonts w:cs="Times New Roman"/>
              </w:rPr>
            </w:pPr>
            <w:r w:rsidRPr="0004426E">
              <w:rPr>
                <w:rFonts w:cs="Times New Roman"/>
              </w:rPr>
              <w:t>Channel Sinuosity</w:t>
            </w:r>
          </w:p>
        </w:tc>
        <w:tc>
          <w:tcPr>
            <w:tcW w:w="3875" w:type="dxa"/>
            <w:vAlign w:val="center"/>
          </w:tcPr>
          <w:p w14:paraId="6C1FD1E8" w14:textId="77777777" w:rsidR="00333AA3" w:rsidRPr="0004426E" w:rsidRDefault="00333AA3" w:rsidP="00333AA3">
            <w:pPr>
              <w:jc w:val="center"/>
              <w:rPr>
                <w:rFonts w:cs="Times New Roman"/>
              </w:rPr>
            </w:pPr>
            <w:r w:rsidRPr="0004426E">
              <w:rPr>
                <w:rFonts w:cs="Times New Roman"/>
              </w:rPr>
              <w:t>Ratio of the channel distance to straight line distance of a reach</w:t>
            </w:r>
          </w:p>
        </w:tc>
        <w:tc>
          <w:tcPr>
            <w:tcW w:w="3510" w:type="dxa"/>
            <w:vMerge/>
            <w:vAlign w:val="center"/>
          </w:tcPr>
          <w:p w14:paraId="1BC4A51F" w14:textId="77777777" w:rsidR="00333AA3" w:rsidRPr="0004426E" w:rsidRDefault="00333AA3" w:rsidP="00333AA3">
            <w:pPr>
              <w:jc w:val="center"/>
              <w:rPr>
                <w:rFonts w:cs="Times New Roman"/>
              </w:rPr>
            </w:pPr>
          </w:p>
        </w:tc>
      </w:tr>
      <w:tr w:rsidR="00333AA3" w:rsidRPr="0004426E" w14:paraId="066BE3FB" w14:textId="77777777" w:rsidTr="00333AA3">
        <w:tc>
          <w:tcPr>
            <w:tcW w:w="1795" w:type="dxa"/>
            <w:vAlign w:val="center"/>
          </w:tcPr>
          <w:p w14:paraId="1E73F304" w14:textId="77777777" w:rsidR="00333AA3" w:rsidRPr="0004426E" w:rsidRDefault="00333AA3" w:rsidP="00333AA3">
            <w:pPr>
              <w:jc w:val="center"/>
              <w:rPr>
                <w:rFonts w:cs="Times New Roman"/>
              </w:rPr>
            </w:pPr>
            <w:r w:rsidRPr="0004426E">
              <w:rPr>
                <w:rFonts w:cs="Times New Roman"/>
              </w:rPr>
              <w:t>Channel Slope</w:t>
            </w:r>
          </w:p>
        </w:tc>
        <w:tc>
          <w:tcPr>
            <w:tcW w:w="3875" w:type="dxa"/>
            <w:vAlign w:val="center"/>
          </w:tcPr>
          <w:p w14:paraId="613EB558" w14:textId="77777777" w:rsidR="00333AA3" w:rsidRPr="0004426E" w:rsidRDefault="00333AA3" w:rsidP="00333AA3">
            <w:pPr>
              <w:jc w:val="center"/>
              <w:rPr>
                <w:rFonts w:cs="Times New Roman"/>
              </w:rPr>
            </w:pPr>
            <w:r w:rsidRPr="0004426E">
              <w:rPr>
                <w:rFonts w:cs="Times New Roman"/>
              </w:rPr>
              <w:t>Slope between upstream and downstream points of a reach</w:t>
            </w:r>
          </w:p>
        </w:tc>
        <w:tc>
          <w:tcPr>
            <w:tcW w:w="3510" w:type="dxa"/>
            <w:vMerge/>
          </w:tcPr>
          <w:p w14:paraId="3DBFE974" w14:textId="77777777" w:rsidR="00333AA3" w:rsidRPr="0004426E" w:rsidRDefault="00333AA3" w:rsidP="00333AA3">
            <w:pPr>
              <w:rPr>
                <w:rFonts w:cs="Times New Roman"/>
              </w:rPr>
            </w:pPr>
          </w:p>
        </w:tc>
      </w:tr>
      <w:tr w:rsidR="00333AA3" w:rsidRPr="0004426E" w14:paraId="73F07F3F" w14:textId="77777777" w:rsidTr="00333AA3">
        <w:trPr>
          <w:trHeight w:val="297"/>
        </w:trPr>
        <w:tc>
          <w:tcPr>
            <w:tcW w:w="1795" w:type="dxa"/>
            <w:vAlign w:val="center"/>
          </w:tcPr>
          <w:p w14:paraId="7415C9AE" w14:textId="77777777" w:rsidR="00333AA3" w:rsidRPr="0004426E" w:rsidRDefault="00333AA3" w:rsidP="00333AA3">
            <w:pPr>
              <w:jc w:val="center"/>
              <w:rPr>
                <w:rFonts w:cs="Times New Roman"/>
              </w:rPr>
            </w:pPr>
            <w:r w:rsidRPr="0004426E">
              <w:rPr>
                <w:rFonts w:cs="Times New Roman"/>
              </w:rPr>
              <w:t>Mean Meander Length</w:t>
            </w:r>
          </w:p>
        </w:tc>
        <w:tc>
          <w:tcPr>
            <w:tcW w:w="3875" w:type="dxa"/>
            <w:vAlign w:val="center"/>
          </w:tcPr>
          <w:p w14:paraId="02E70C94" w14:textId="77777777" w:rsidR="00333AA3" w:rsidRPr="0004426E" w:rsidRDefault="00333AA3" w:rsidP="00333AA3">
            <w:pPr>
              <w:jc w:val="center"/>
              <w:rPr>
                <w:rFonts w:cs="Times New Roman"/>
              </w:rPr>
            </w:pPr>
            <w:r w:rsidRPr="0004426E">
              <w:rPr>
                <w:rFonts w:cs="Times New Roman"/>
              </w:rPr>
              <w:t>Mean channel distance separating two sequential meanders</w:t>
            </w:r>
          </w:p>
        </w:tc>
        <w:tc>
          <w:tcPr>
            <w:tcW w:w="3510" w:type="dxa"/>
            <w:vMerge/>
          </w:tcPr>
          <w:p w14:paraId="74DA40AF" w14:textId="77777777" w:rsidR="00333AA3" w:rsidRPr="0004426E" w:rsidRDefault="00333AA3" w:rsidP="00333AA3">
            <w:pPr>
              <w:rPr>
                <w:rFonts w:cs="Times New Roman"/>
              </w:rPr>
            </w:pPr>
          </w:p>
        </w:tc>
      </w:tr>
    </w:tbl>
    <w:p w14:paraId="6C4E8699" w14:textId="77777777" w:rsidR="00333AA3" w:rsidRDefault="00333AA3" w:rsidP="00333AA3">
      <w:pPr>
        <w:rPr>
          <w:rFonts w:cs="Times New Roman"/>
        </w:rPr>
      </w:pPr>
    </w:p>
    <w:p w14:paraId="1B8E9F62" w14:textId="10AEF0AB" w:rsidR="00333AA3" w:rsidRPr="0004426E" w:rsidRDefault="00333AA3" w:rsidP="00333AA3">
      <w:pPr>
        <w:rPr>
          <w:rFonts w:cs="Times New Roman"/>
        </w:rPr>
        <w:sectPr w:rsidR="00333AA3" w:rsidRPr="0004426E" w:rsidSect="00F716D3">
          <w:pgSz w:w="12240" w:h="15840"/>
          <w:pgMar w:top="1440" w:right="1440" w:bottom="1440" w:left="1440" w:header="720" w:footer="720" w:gutter="0"/>
          <w:cols w:space="720"/>
          <w:docGrid w:linePitch="360"/>
        </w:sectPr>
      </w:pPr>
      <w:r w:rsidRPr="0004426E">
        <w:rPr>
          <w:rFonts w:cs="Times New Roman"/>
        </w:rPr>
        <w:t xml:space="preserve">* </w:t>
      </w:r>
      <w:proofErr w:type="spellStart"/>
      <w:r w:rsidRPr="0004426E">
        <w:rPr>
          <w:rFonts w:cs="Times New Roman"/>
        </w:rPr>
        <w:t>bankfull</w:t>
      </w:r>
      <w:proofErr w:type="spellEnd"/>
      <w:r w:rsidRPr="0004426E">
        <w:rPr>
          <w:rFonts w:cs="Times New Roman"/>
        </w:rPr>
        <w:t xml:space="preserve"> depth estimated from upstream catchment area (</w:t>
      </w:r>
      <w:r w:rsidRPr="0004426E">
        <w:rPr>
          <w:rFonts w:cs="Times New Roman"/>
        </w:rPr>
        <w:fldChar w:fldCharType="begin" w:fldLock="1"/>
      </w:r>
      <w:r w:rsidR="00306019">
        <w:rPr>
          <w:rFonts w:cs="Times New Roman"/>
        </w:rPr>
        <w:instrText>ADDIN CSL_CITATION {"citationItems":[{"id":"ITEM-1","itemData":{"DOI":"10.1111/jawr.12282","ISSN":"17521688","abstract":"Bankfull hydraulic geometry relationships are used to estimate channel dimensions for streamflow simulation models, which require channel geometry data as input parameters. Often, one nationwide curve is used across the entire United States (U.S.) (e.g., in Soil and Water Assessment Tool), even though studies have shown that the use of regional curves can improve the reliability of predictions considerably. In this study, regional regression equations predicting bankfull width, depth, and cross-sectional area as a function of drainage area are developed for the Physiographic Divisions and Provinces of the U.S. and compared to a nationwide equation. Results show that the regional curves at division level are more reliable than the nationwide curve. Reliability of the curves depends largely on the number of observations per region and how well the sample represents the population. Regional regression equations at province level yield even better results than the division-level models, but because of small sample sizes, the development of meaningful regression models is not possible in some provinces. Results also show that drainage area is a less reliable predictor of bankfull channel dimensions than bankfull discharge. It is likely that the regional curves can be improved using multiple regression models to incorporate additional explanatory variables.","author":[{"dropping-particle":"","family":"Bieger","given":"Katrin","non-dropping-particle":"","parse-names":false,"suffix":""},{"dropping-particle":"","family":"Rathjens","given":"Hendrik","non-dropping-particle":"","parse-names":false,"suffix":""},{"dropping-particle":"","family":"Allen","given":"Peter M.","non-dropping-particle":"","parse-names":false,"suffix":""},{"dropping-particle":"","family":"Arnold","given":"Jeffrey G.","non-dropping-particle":"","parse-names":false,"suffix":""}],"container-title":"Journal of the American Water Resources Association","id":"ITEM-1","issue":"3","issued":{"date-parts":[["2015"]]},"page":"842-858","title":"Development and Evaluation of Bankfull Hydraulic Geometry Relationships for the Physiographic Regions of the United States","type":"article-journal","volume":"51"},"uris":["http://www.mendeley.com/documents/?uuid=93281ce5-7c73-4790-9206-6a8372d2bd26"]}],"mendeley":{"formattedCitation":"(Bieger et al. 2015)","manualFormatting":"Bieger et al. 2015)","plainTextFormattedCitation":"(Bieger et al. 2015)","previouslyFormattedCitation":"(Bieger et al. 2015)"},"properties":{"noteIndex":0},"schema":"https://github.com/citation-style-language/schema/raw/master/csl-citation.json"}</w:instrText>
      </w:r>
      <w:r w:rsidRPr="0004426E">
        <w:rPr>
          <w:rFonts w:cs="Times New Roman"/>
        </w:rPr>
        <w:fldChar w:fldCharType="separate"/>
      </w:r>
      <w:r w:rsidRPr="0004426E">
        <w:rPr>
          <w:rFonts w:cs="Times New Roman"/>
          <w:noProof/>
        </w:rPr>
        <w:t>Bieger et al. 2015)</w:t>
      </w:r>
      <w:r w:rsidRPr="0004426E">
        <w:rPr>
          <w:rFonts w:cs="Times New Roman"/>
        </w:rPr>
        <w:fldChar w:fldCharType="end"/>
      </w:r>
    </w:p>
    <w:p w14:paraId="4985398F" w14:textId="5D013EE8" w:rsidR="00333AA3" w:rsidRDefault="001249BB" w:rsidP="001249BB">
      <w:pPr>
        <w:pStyle w:val="Caption"/>
        <w:rPr>
          <w:rFonts w:cs="Times New Roman"/>
          <w:szCs w:val="24"/>
        </w:rPr>
      </w:pPr>
      <w:bookmarkStart w:id="104" w:name="_Toc60480696"/>
      <w:bookmarkStart w:id="105" w:name="_Toc61883062"/>
      <w:r>
        <w:lastRenderedPageBreak/>
        <w:t xml:space="preserve">Table </w:t>
      </w:r>
      <w:fldSimple w:instr=" STYLEREF 1 \s ">
        <w:r w:rsidR="000C6138">
          <w:rPr>
            <w:noProof/>
          </w:rPr>
          <w:t>4</w:t>
        </w:r>
      </w:fldSimple>
      <w:r w:rsidR="004F311A">
        <w:t>.</w:t>
      </w:r>
      <w:fldSimple w:instr=" SEQ Table \* ARABIC \s 1 ">
        <w:r w:rsidR="000C6138">
          <w:rPr>
            <w:noProof/>
          </w:rPr>
          <w:t>3</w:t>
        </w:r>
      </w:fldSimple>
      <w:r w:rsidR="00333AA3" w:rsidRPr="00830DEE">
        <w:rPr>
          <w:rFonts w:cs="Times New Roman"/>
          <w:szCs w:val="24"/>
        </w:rPr>
        <w:t>.</w:t>
      </w:r>
      <w:r w:rsidR="00333AA3">
        <w:rPr>
          <w:rFonts w:cs="Times New Roman"/>
          <w:szCs w:val="24"/>
        </w:rPr>
        <w:t xml:space="preserve"> </w:t>
      </w:r>
      <w:bookmarkStart w:id="106" w:name="_Hlk60643293"/>
      <w:r w:rsidR="00333AA3">
        <w:rPr>
          <w:rFonts w:cs="Times New Roman"/>
          <w:szCs w:val="24"/>
        </w:rPr>
        <w:t>Results of regression analyses to determine the scaling function for each river network. SHDI = Sha</w:t>
      </w:r>
      <w:r w:rsidR="00DA65F2">
        <w:rPr>
          <w:rFonts w:cs="Times New Roman"/>
          <w:szCs w:val="24"/>
        </w:rPr>
        <w:t>n</w:t>
      </w:r>
      <w:r w:rsidR="00333AA3">
        <w:rPr>
          <w:rFonts w:cs="Times New Roman"/>
          <w:szCs w:val="24"/>
        </w:rPr>
        <w:t xml:space="preserve">non Diversity Index; TP = Total Number of patches, DCI = Dendritic Connectivity Index; MPD = mean patch distance; NRTH = Northeast; MDAT = Mid-Atlantic; </w:t>
      </w:r>
      <w:r w:rsidR="00333AA3" w:rsidRPr="004F110C">
        <w:rPr>
          <w:rFonts w:cs="Times New Roman"/>
          <w:szCs w:val="24"/>
        </w:rPr>
        <w:t>STHS</w:t>
      </w:r>
      <w:r w:rsidR="00333AA3">
        <w:rPr>
          <w:rFonts w:cs="Times New Roman"/>
          <w:szCs w:val="24"/>
        </w:rPr>
        <w:t xml:space="preserve"> = Southeast; </w:t>
      </w:r>
      <w:r w:rsidR="00333AA3" w:rsidRPr="004F110C">
        <w:rPr>
          <w:rFonts w:cs="Times New Roman"/>
          <w:szCs w:val="24"/>
        </w:rPr>
        <w:t>GRTL</w:t>
      </w:r>
      <w:r w:rsidR="00333AA3">
        <w:rPr>
          <w:rFonts w:cs="Times New Roman"/>
          <w:szCs w:val="24"/>
        </w:rPr>
        <w:t xml:space="preserve"> = Great Lakes; </w:t>
      </w:r>
      <w:r w:rsidR="00333AA3" w:rsidRPr="004F110C">
        <w:rPr>
          <w:rFonts w:cs="Times New Roman"/>
          <w:szCs w:val="24"/>
        </w:rPr>
        <w:t>PRRP</w:t>
      </w:r>
      <w:r w:rsidR="00333AA3">
        <w:rPr>
          <w:rFonts w:cs="Times New Roman"/>
          <w:szCs w:val="24"/>
        </w:rPr>
        <w:t xml:space="preserve"> = Prairie Peninsula; </w:t>
      </w:r>
      <w:r w:rsidR="00333AA3" w:rsidRPr="004F110C">
        <w:rPr>
          <w:rFonts w:cs="Times New Roman"/>
          <w:szCs w:val="24"/>
        </w:rPr>
        <w:t>APCP</w:t>
      </w:r>
      <w:r w:rsidR="00333AA3">
        <w:rPr>
          <w:rFonts w:cs="Times New Roman"/>
          <w:szCs w:val="24"/>
        </w:rPr>
        <w:t xml:space="preserve"> = </w:t>
      </w:r>
      <w:r w:rsidR="00333AA3" w:rsidRPr="00681393">
        <w:rPr>
          <w:rFonts w:eastAsia="Times New Roman" w:cs="Times New Roman"/>
          <w:color w:val="000000"/>
        </w:rPr>
        <w:t>Appalachian Cumberland Plateau</w:t>
      </w:r>
      <w:r w:rsidR="00333AA3">
        <w:rPr>
          <w:rFonts w:eastAsia="Times New Roman" w:cs="Times New Roman"/>
          <w:color w:val="000000"/>
        </w:rPr>
        <w:t xml:space="preserve">; </w:t>
      </w:r>
      <w:r w:rsidR="00333AA3" w:rsidRPr="004F110C">
        <w:rPr>
          <w:rFonts w:cs="Times New Roman"/>
          <w:szCs w:val="24"/>
        </w:rPr>
        <w:t>OC-2</w:t>
      </w:r>
      <w:r w:rsidR="00333AA3">
        <w:rPr>
          <w:rFonts w:cs="Times New Roman"/>
          <w:szCs w:val="24"/>
        </w:rPr>
        <w:t xml:space="preserve"> = Ozarks Complex-2; </w:t>
      </w:r>
      <w:r w:rsidR="00333AA3" w:rsidRPr="004F110C">
        <w:rPr>
          <w:rFonts w:cs="Times New Roman"/>
          <w:szCs w:val="24"/>
        </w:rPr>
        <w:t>OC-1</w:t>
      </w:r>
      <w:r w:rsidR="00333AA3">
        <w:rPr>
          <w:rFonts w:cs="Times New Roman"/>
          <w:szCs w:val="24"/>
        </w:rPr>
        <w:t xml:space="preserve"> = Ozarks Complex-1; </w:t>
      </w:r>
      <w:r w:rsidR="00333AA3" w:rsidRPr="004F110C">
        <w:rPr>
          <w:rFonts w:cs="Times New Roman"/>
          <w:szCs w:val="24"/>
        </w:rPr>
        <w:t>NRTP</w:t>
      </w:r>
      <w:r w:rsidR="00333AA3">
        <w:rPr>
          <w:rFonts w:cs="Times New Roman"/>
          <w:szCs w:val="24"/>
        </w:rPr>
        <w:t xml:space="preserve"> = Northern Plains; </w:t>
      </w:r>
      <w:r w:rsidR="00333AA3" w:rsidRPr="004F110C">
        <w:rPr>
          <w:rFonts w:cs="Times New Roman"/>
          <w:szCs w:val="24"/>
        </w:rPr>
        <w:t>CNTP</w:t>
      </w:r>
      <w:r w:rsidR="00333AA3">
        <w:rPr>
          <w:rFonts w:cs="Times New Roman"/>
          <w:szCs w:val="24"/>
        </w:rPr>
        <w:t xml:space="preserve"> = Central Plains; </w:t>
      </w:r>
      <w:r w:rsidR="00333AA3" w:rsidRPr="004F110C">
        <w:rPr>
          <w:rFonts w:cs="Times New Roman"/>
          <w:szCs w:val="24"/>
        </w:rPr>
        <w:t>STHP</w:t>
      </w:r>
      <w:r w:rsidR="00333AA3">
        <w:rPr>
          <w:rFonts w:cs="Times New Roman"/>
          <w:szCs w:val="24"/>
        </w:rPr>
        <w:t xml:space="preserve"> = Southern Plains; </w:t>
      </w:r>
      <w:r w:rsidR="00333AA3" w:rsidRPr="004F110C">
        <w:rPr>
          <w:rFonts w:cs="Times New Roman"/>
          <w:szCs w:val="24"/>
        </w:rPr>
        <w:t>NRTR</w:t>
      </w:r>
      <w:r w:rsidR="00333AA3">
        <w:rPr>
          <w:rFonts w:cs="Times New Roman"/>
          <w:szCs w:val="24"/>
        </w:rPr>
        <w:t xml:space="preserve"> = Northern Rockies; </w:t>
      </w:r>
      <w:r w:rsidR="00333AA3" w:rsidRPr="004F110C">
        <w:rPr>
          <w:rFonts w:cs="Times New Roman"/>
          <w:szCs w:val="24"/>
        </w:rPr>
        <w:t>STHR</w:t>
      </w:r>
      <w:r w:rsidR="00333AA3">
        <w:rPr>
          <w:rFonts w:cs="Times New Roman"/>
          <w:szCs w:val="24"/>
        </w:rPr>
        <w:t xml:space="preserve"> = Southern Rockies; </w:t>
      </w:r>
      <w:r w:rsidR="00333AA3" w:rsidRPr="004F110C">
        <w:rPr>
          <w:rFonts w:cs="Times New Roman"/>
          <w:szCs w:val="24"/>
        </w:rPr>
        <w:t>DSRS</w:t>
      </w:r>
      <w:r w:rsidR="00333AA3">
        <w:rPr>
          <w:rFonts w:cs="Times New Roman"/>
          <w:szCs w:val="24"/>
        </w:rPr>
        <w:t xml:space="preserve"> = Desert Southwest; </w:t>
      </w:r>
      <w:r w:rsidR="00333AA3" w:rsidRPr="004F110C">
        <w:rPr>
          <w:rFonts w:cs="Times New Roman"/>
          <w:szCs w:val="24"/>
        </w:rPr>
        <w:t>GRTB</w:t>
      </w:r>
      <w:r w:rsidR="00333AA3">
        <w:rPr>
          <w:rFonts w:cs="Times New Roman"/>
          <w:szCs w:val="24"/>
        </w:rPr>
        <w:t xml:space="preserve"> = Great Basin; </w:t>
      </w:r>
      <w:r w:rsidR="00333AA3" w:rsidRPr="004F110C">
        <w:rPr>
          <w:rFonts w:cs="Times New Roman"/>
          <w:szCs w:val="24"/>
        </w:rPr>
        <w:t>PCFN</w:t>
      </w:r>
      <w:r w:rsidR="00333AA3">
        <w:rPr>
          <w:rFonts w:cs="Times New Roman"/>
          <w:szCs w:val="24"/>
        </w:rPr>
        <w:t xml:space="preserve"> = Pacific Northwest; </w:t>
      </w:r>
      <w:r w:rsidR="00333AA3" w:rsidRPr="004F110C">
        <w:rPr>
          <w:rFonts w:cs="Times New Roman"/>
          <w:szCs w:val="24"/>
        </w:rPr>
        <w:t>PCFS</w:t>
      </w:r>
      <w:r w:rsidR="00333AA3">
        <w:rPr>
          <w:rFonts w:cs="Times New Roman"/>
          <w:szCs w:val="24"/>
        </w:rPr>
        <w:t xml:space="preserve"> = Pacific Southwest; LIN = Linear function </w:t>
      </w:r>
      <m:oMath>
        <m:r>
          <w:rPr>
            <w:rFonts w:ascii="Cambria Math" w:hAnsi="Cambria Math" w:cs="Times New Roman"/>
            <w:szCs w:val="24"/>
          </w:rPr>
          <m:t>(y= α+βx)</m:t>
        </m:r>
      </m:oMath>
      <w:r w:rsidR="00333AA3">
        <w:rPr>
          <w:rFonts w:cs="Times New Roman"/>
          <w:szCs w:val="24"/>
        </w:rPr>
        <w:t xml:space="preserve">; LOG = Logarithmic function </w:t>
      </w:r>
      <m:oMath>
        <m:r>
          <w:rPr>
            <w:rFonts w:ascii="Cambria Math" w:hAnsi="Cambria Math" w:cs="Times New Roman"/>
            <w:szCs w:val="24"/>
          </w:rPr>
          <m:t>y= α+β</m:t>
        </m:r>
        <m:func>
          <m:funcPr>
            <m:ctrlPr>
              <w:rPr>
                <w:rFonts w:ascii="Cambria Math" w:hAnsi="Cambria Math" w:cs="Times New Roman"/>
                <w:i/>
                <w:szCs w:val="24"/>
              </w:rPr>
            </m:ctrlPr>
          </m:funcPr>
          <m:fName>
            <m:r>
              <m:rPr>
                <m:sty m:val="p"/>
              </m:rPr>
              <w:rPr>
                <w:rFonts w:ascii="Cambria Math" w:hAnsi="Cambria Math" w:cs="Times New Roman"/>
                <w:szCs w:val="24"/>
              </w:rPr>
              <m:t>log</m:t>
            </m:r>
          </m:fName>
          <m:e>
            <m:r>
              <w:rPr>
                <w:rFonts w:ascii="Cambria Math" w:hAnsi="Cambria Math" w:cs="Times New Roman"/>
                <w:szCs w:val="24"/>
              </w:rPr>
              <m:t>x</m:t>
            </m:r>
          </m:e>
        </m:func>
        <m:r>
          <w:rPr>
            <w:rFonts w:ascii="Cambria Math" w:hAnsi="Cambria Math" w:cs="Times New Roman"/>
            <w:szCs w:val="24"/>
          </w:rPr>
          <m:t>)</m:t>
        </m:r>
      </m:oMath>
      <w:r w:rsidR="00333AA3">
        <w:rPr>
          <w:rFonts w:cs="Times New Roman"/>
          <w:szCs w:val="24"/>
        </w:rPr>
        <w:t xml:space="preserve">; and PWR = Power Function </w:t>
      </w:r>
      <m:oMath>
        <m:r>
          <w:rPr>
            <w:rFonts w:ascii="Cambria Math" w:hAnsi="Cambria Math" w:cs="Times New Roman"/>
            <w:szCs w:val="24"/>
          </w:rPr>
          <m:t>(y= α</m:t>
        </m:r>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β</m:t>
            </m:r>
          </m:sup>
        </m:sSup>
        <m:r>
          <w:rPr>
            <w:rFonts w:ascii="Cambria Math" w:hAnsi="Cambria Math" w:cs="Times New Roman"/>
            <w:szCs w:val="24"/>
          </w:rPr>
          <m:t>)</m:t>
        </m:r>
      </m:oMath>
      <w:r w:rsidR="00706C5E">
        <w:rPr>
          <w:rFonts w:cs="Times New Roman"/>
          <w:szCs w:val="24"/>
        </w:rPr>
        <w:t xml:space="preserve"> </w:t>
      </w:r>
      <w:r w:rsidR="00333AA3">
        <w:rPr>
          <w:rFonts w:cs="Times New Roman"/>
          <w:szCs w:val="24"/>
        </w:rPr>
        <w:t>where</w:t>
      </w:r>
      <m:oMath>
        <m:r>
          <w:rPr>
            <w:rFonts w:ascii="Cambria Math" w:hAnsi="Cambria Math" w:cs="Times New Roman"/>
            <w:szCs w:val="24"/>
          </w:rPr>
          <m:t xml:space="preserve"> x</m:t>
        </m:r>
      </m:oMath>
      <w:r w:rsidR="00333AA3">
        <w:rPr>
          <w:rFonts w:cs="Times New Roman"/>
          <w:szCs w:val="24"/>
        </w:rPr>
        <w:t xml:space="preserve"> is the value of extent, grain, or thematic resolution</w:t>
      </w:r>
      <w:r w:rsidR="00706C5E">
        <w:rPr>
          <w:rFonts w:cs="Times New Roman"/>
          <w:szCs w:val="24"/>
        </w:rPr>
        <w:t xml:space="preserve"> and </w:t>
      </w:r>
      <m:oMath>
        <m:r>
          <w:rPr>
            <w:rFonts w:ascii="Cambria Math" w:hAnsi="Cambria Math" w:cs="Times New Roman"/>
            <w:szCs w:val="24"/>
          </w:rPr>
          <m:t>y</m:t>
        </m:r>
      </m:oMath>
      <w:r w:rsidR="00706C5E">
        <w:rPr>
          <w:rFonts w:cs="Times New Roman"/>
          <w:szCs w:val="24"/>
        </w:rPr>
        <w:t xml:space="preserve"> is the spatial pattern.</w:t>
      </w:r>
      <w:r w:rsidR="00333AA3">
        <w:rPr>
          <w:rFonts w:cs="Times New Roman"/>
          <w:szCs w:val="24"/>
        </w:rPr>
        <w:t xml:space="preserve"> Coefficient of determination (R</w:t>
      </w:r>
      <w:r w:rsidR="00333AA3" w:rsidRPr="004F110C">
        <w:rPr>
          <w:rFonts w:cs="Times New Roman"/>
          <w:szCs w:val="24"/>
          <w:vertAlign w:val="superscript"/>
        </w:rPr>
        <w:t>2</w:t>
      </w:r>
      <w:r w:rsidR="00333AA3">
        <w:rPr>
          <w:rFonts w:cs="Times New Roman"/>
          <w:szCs w:val="24"/>
        </w:rPr>
        <w:t>) is given in parenthesis under model.</w:t>
      </w:r>
      <w:bookmarkEnd w:id="104"/>
      <w:bookmarkEnd w:id="105"/>
    </w:p>
    <w:bookmarkEnd w:id="106"/>
    <w:tbl>
      <w:tblPr>
        <w:tblW w:w="4327" w:type="pct"/>
        <w:jc w:val="center"/>
        <w:tblLayout w:type="fixed"/>
        <w:tblLook w:val="04A0" w:firstRow="1" w:lastRow="0" w:firstColumn="1" w:lastColumn="0" w:noHBand="0" w:noVBand="1"/>
      </w:tblPr>
      <w:tblGrid>
        <w:gridCol w:w="809"/>
        <w:gridCol w:w="630"/>
        <w:gridCol w:w="721"/>
        <w:gridCol w:w="632"/>
        <w:gridCol w:w="632"/>
        <w:gridCol w:w="360"/>
        <w:gridCol w:w="721"/>
        <w:gridCol w:w="632"/>
        <w:gridCol w:w="361"/>
        <w:gridCol w:w="719"/>
        <w:gridCol w:w="627"/>
        <w:gridCol w:w="629"/>
        <w:gridCol w:w="627"/>
      </w:tblGrid>
      <w:tr w:rsidR="00110509" w:rsidRPr="00D2080C" w14:paraId="330AD945" w14:textId="77777777" w:rsidTr="00110509">
        <w:trPr>
          <w:trHeight w:val="300"/>
          <w:jc w:val="center"/>
        </w:trPr>
        <w:tc>
          <w:tcPr>
            <w:tcW w:w="500" w:type="pct"/>
            <w:shd w:val="clear" w:color="auto" w:fill="auto"/>
            <w:noWrap/>
            <w:vAlign w:val="center"/>
          </w:tcPr>
          <w:p w14:paraId="16FDFD51" w14:textId="77777777" w:rsidR="00333AA3" w:rsidRPr="002B7F7D" w:rsidRDefault="00333AA3" w:rsidP="00333AA3">
            <w:pPr>
              <w:spacing w:after="0"/>
              <w:rPr>
                <w:rFonts w:eastAsia="Times New Roman" w:cs="Times New Roman"/>
                <w:color w:val="000000"/>
                <w:sz w:val="16"/>
                <w:szCs w:val="16"/>
              </w:rPr>
            </w:pPr>
          </w:p>
        </w:tc>
        <w:tc>
          <w:tcPr>
            <w:tcW w:w="1614" w:type="pct"/>
            <w:gridSpan w:val="4"/>
            <w:tcBorders>
              <w:bottom w:val="single" w:sz="4" w:space="0" w:color="auto"/>
            </w:tcBorders>
            <w:shd w:val="clear" w:color="auto" w:fill="auto"/>
            <w:noWrap/>
            <w:vAlign w:val="center"/>
          </w:tcPr>
          <w:p w14:paraId="28EBC22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Spatial Extent</w:t>
            </w:r>
          </w:p>
        </w:tc>
        <w:tc>
          <w:tcPr>
            <w:tcW w:w="1280" w:type="pct"/>
            <w:gridSpan w:val="4"/>
            <w:tcBorders>
              <w:bottom w:val="single" w:sz="4" w:space="0" w:color="auto"/>
            </w:tcBorders>
            <w:shd w:val="clear" w:color="auto" w:fill="auto"/>
            <w:noWrap/>
            <w:vAlign w:val="center"/>
          </w:tcPr>
          <w:p w14:paraId="77840EB5"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Spatial Grain</w:t>
            </w:r>
          </w:p>
        </w:tc>
        <w:tc>
          <w:tcPr>
            <w:tcW w:w="1606" w:type="pct"/>
            <w:gridSpan w:val="4"/>
            <w:tcBorders>
              <w:bottom w:val="single" w:sz="4" w:space="0" w:color="auto"/>
            </w:tcBorders>
            <w:shd w:val="clear" w:color="auto" w:fill="auto"/>
            <w:noWrap/>
            <w:vAlign w:val="center"/>
          </w:tcPr>
          <w:p w14:paraId="20352CF8"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Thematic Resolution</w:t>
            </w:r>
          </w:p>
        </w:tc>
      </w:tr>
      <w:tr w:rsidR="00110509" w:rsidRPr="00D2080C" w14:paraId="6807DB39" w14:textId="77777777" w:rsidTr="00110509">
        <w:trPr>
          <w:cantSplit/>
          <w:trHeight w:val="647"/>
          <w:jc w:val="center"/>
        </w:trPr>
        <w:tc>
          <w:tcPr>
            <w:tcW w:w="500" w:type="pct"/>
            <w:tcBorders>
              <w:bottom w:val="single" w:sz="4" w:space="0" w:color="auto"/>
            </w:tcBorders>
            <w:shd w:val="clear" w:color="auto" w:fill="auto"/>
            <w:noWrap/>
            <w:textDirection w:val="btLr"/>
            <w:vAlign w:val="center"/>
            <w:hideMark/>
          </w:tcPr>
          <w:p w14:paraId="423E083A" w14:textId="3B51614E" w:rsidR="00333AA3" w:rsidRPr="002B7F7D" w:rsidRDefault="00333AA3" w:rsidP="00F716D3">
            <w:pPr>
              <w:spacing w:after="0"/>
              <w:ind w:left="113" w:right="113"/>
              <w:jc w:val="center"/>
              <w:rPr>
                <w:rFonts w:eastAsia="Times New Roman" w:cs="Times New Roman"/>
                <w:color w:val="000000"/>
                <w:sz w:val="16"/>
                <w:szCs w:val="16"/>
              </w:rPr>
            </w:pPr>
          </w:p>
        </w:tc>
        <w:tc>
          <w:tcPr>
            <w:tcW w:w="389" w:type="pct"/>
            <w:tcBorders>
              <w:top w:val="single" w:sz="4" w:space="0" w:color="auto"/>
              <w:bottom w:val="single" w:sz="4" w:space="0" w:color="auto"/>
            </w:tcBorders>
            <w:shd w:val="clear" w:color="auto" w:fill="auto"/>
            <w:noWrap/>
            <w:textDirection w:val="btLr"/>
            <w:vAlign w:val="center"/>
            <w:hideMark/>
          </w:tcPr>
          <w:p w14:paraId="60CE82F1"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SHDI</w:t>
            </w:r>
          </w:p>
        </w:tc>
        <w:tc>
          <w:tcPr>
            <w:tcW w:w="445" w:type="pct"/>
            <w:tcBorders>
              <w:top w:val="single" w:sz="4" w:space="0" w:color="auto"/>
              <w:bottom w:val="single" w:sz="4" w:space="0" w:color="auto"/>
            </w:tcBorders>
            <w:shd w:val="clear" w:color="auto" w:fill="auto"/>
            <w:noWrap/>
            <w:textDirection w:val="btLr"/>
            <w:vAlign w:val="center"/>
            <w:hideMark/>
          </w:tcPr>
          <w:p w14:paraId="6D824AA3"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TP</w:t>
            </w:r>
          </w:p>
        </w:tc>
        <w:tc>
          <w:tcPr>
            <w:tcW w:w="390" w:type="pct"/>
            <w:tcBorders>
              <w:top w:val="single" w:sz="4" w:space="0" w:color="auto"/>
              <w:bottom w:val="single" w:sz="4" w:space="0" w:color="auto"/>
            </w:tcBorders>
            <w:shd w:val="clear" w:color="auto" w:fill="auto"/>
            <w:noWrap/>
            <w:textDirection w:val="btLr"/>
            <w:vAlign w:val="center"/>
            <w:hideMark/>
          </w:tcPr>
          <w:p w14:paraId="3A764F6B"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DCI</w:t>
            </w:r>
          </w:p>
        </w:tc>
        <w:tc>
          <w:tcPr>
            <w:tcW w:w="390" w:type="pct"/>
            <w:tcBorders>
              <w:top w:val="single" w:sz="4" w:space="0" w:color="auto"/>
              <w:bottom w:val="single" w:sz="4" w:space="0" w:color="auto"/>
            </w:tcBorders>
            <w:shd w:val="clear" w:color="auto" w:fill="auto"/>
            <w:noWrap/>
            <w:textDirection w:val="btLr"/>
            <w:vAlign w:val="center"/>
            <w:hideMark/>
          </w:tcPr>
          <w:p w14:paraId="67D18D9E"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MPD</w:t>
            </w:r>
          </w:p>
        </w:tc>
        <w:tc>
          <w:tcPr>
            <w:tcW w:w="222" w:type="pct"/>
            <w:tcBorders>
              <w:top w:val="single" w:sz="4" w:space="0" w:color="auto"/>
              <w:bottom w:val="single" w:sz="4" w:space="0" w:color="auto"/>
            </w:tcBorders>
            <w:shd w:val="clear" w:color="auto" w:fill="auto"/>
            <w:noWrap/>
            <w:textDirection w:val="btLr"/>
            <w:vAlign w:val="center"/>
            <w:hideMark/>
          </w:tcPr>
          <w:p w14:paraId="6D32C6C1"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SHDI</w:t>
            </w:r>
          </w:p>
        </w:tc>
        <w:tc>
          <w:tcPr>
            <w:tcW w:w="445" w:type="pct"/>
            <w:tcBorders>
              <w:top w:val="single" w:sz="4" w:space="0" w:color="auto"/>
              <w:bottom w:val="single" w:sz="4" w:space="0" w:color="auto"/>
            </w:tcBorders>
            <w:shd w:val="clear" w:color="auto" w:fill="auto"/>
            <w:noWrap/>
            <w:textDirection w:val="btLr"/>
            <w:vAlign w:val="center"/>
            <w:hideMark/>
          </w:tcPr>
          <w:p w14:paraId="4FFFCA94"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TP</w:t>
            </w:r>
          </w:p>
        </w:tc>
        <w:tc>
          <w:tcPr>
            <w:tcW w:w="390" w:type="pct"/>
            <w:tcBorders>
              <w:top w:val="single" w:sz="4" w:space="0" w:color="auto"/>
              <w:bottom w:val="single" w:sz="4" w:space="0" w:color="auto"/>
            </w:tcBorders>
            <w:shd w:val="clear" w:color="auto" w:fill="auto"/>
            <w:noWrap/>
            <w:textDirection w:val="btLr"/>
            <w:vAlign w:val="center"/>
            <w:hideMark/>
          </w:tcPr>
          <w:p w14:paraId="230B8255"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DCI</w:t>
            </w:r>
          </w:p>
        </w:tc>
        <w:tc>
          <w:tcPr>
            <w:tcW w:w="222" w:type="pct"/>
            <w:tcBorders>
              <w:top w:val="single" w:sz="4" w:space="0" w:color="auto"/>
              <w:bottom w:val="single" w:sz="4" w:space="0" w:color="auto"/>
            </w:tcBorders>
            <w:shd w:val="clear" w:color="auto" w:fill="auto"/>
            <w:noWrap/>
            <w:textDirection w:val="btLr"/>
            <w:vAlign w:val="center"/>
            <w:hideMark/>
          </w:tcPr>
          <w:p w14:paraId="0B93C64E"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MPD</w:t>
            </w:r>
          </w:p>
        </w:tc>
        <w:tc>
          <w:tcPr>
            <w:tcW w:w="444" w:type="pct"/>
            <w:tcBorders>
              <w:top w:val="single" w:sz="4" w:space="0" w:color="auto"/>
              <w:bottom w:val="single" w:sz="4" w:space="0" w:color="auto"/>
            </w:tcBorders>
            <w:shd w:val="clear" w:color="auto" w:fill="auto"/>
            <w:noWrap/>
            <w:textDirection w:val="btLr"/>
            <w:vAlign w:val="center"/>
            <w:hideMark/>
          </w:tcPr>
          <w:p w14:paraId="3F2B667E"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SHDI</w:t>
            </w:r>
          </w:p>
        </w:tc>
        <w:tc>
          <w:tcPr>
            <w:tcW w:w="387" w:type="pct"/>
            <w:tcBorders>
              <w:top w:val="single" w:sz="4" w:space="0" w:color="auto"/>
              <w:bottom w:val="single" w:sz="4" w:space="0" w:color="auto"/>
            </w:tcBorders>
            <w:shd w:val="clear" w:color="auto" w:fill="auto"/>
            <w:noWrap/>
            <w:textDirection w:val="btLr"/>
            <w:vAlign w:val="center"/>
            <w:hideMark/>
          </w:tcPr>
          <w:p w14:paraId="7F07C689"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TP</w:t>
            </w:r>
          </w:p>
        </w:tc>
        <w:tc>
          <w:tcPr>
            <w:tcW w:w="388" w:type="pct"/>
            <w:tcBorders>
              <w:top w:val="single" w:sz="4" w:space="0" w:color="auto"/>
              <w:bottom w:val="single" w:sz="4" w:space="0" w:color="auto"/>
            </w:tcBorders>
            <w:shd w:val="clear" w:color="auto" w:fill="auto"/>
            <w:noWrap/>
            <w:textDirection w:val="btLr"/>
            <w:vAlign w:val="center"/>
            <w:hideMark/>
          </w:tcPr>
          <w:p w14:paraId="68588302"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DCI</w:t>
            </w:r>
          </w:p>
        </w:tc>
        <w:tc>
          <w:tcPr>
            <w:tcW w:w="387" w:type="pct"/>
            <w:tcBorders>
              <w:top w:val="single" w:sz="4" w:space="0" w:color="auto"/>
              <w:bottom w:val="single" w:sz="4" w:space="0" w:color="auto"/>
            </w:tcBorders>
            <w:shd w:val="clear" w:color="auto" w:fill="auto"/>
            <w:noWrap/>
            <w:textDirection w:val="btLr"/>
            <w:vAlign w:val="center"/>
            <w:hideMark/>
          </w:tcPr>
          <w:p w14:paraId="26A6CCB4" w14:textId="77777777" w:rsidR="00333AA3" w:rsidRPr="002B7F7D" w:rsidRDefault="00333AA3" w:rsidP="00F716D3">
            <w:pPr>
              <w:spacing w:after="0"/>
              <w:ind w:left="113" w:right="113"/>
              <w:jc w:val="center"/>
              <w:rPr>
                <w:rFonts w:eastAsia="Times New Roman" w:cs="Times New Roman"/>
                <w:color w:val="000000"/>
                <w:sz w:val="16"/>
                <w:szCs w:val="16"/>
              </w:rPr>
            </w:pPr>
            <w:r w:rsidRPr="002B7F7D">
              <w:rPr>
                <w:rFonts w:eastAsia="Times New Roman" w:cs="Times New Roman"/>
                <w:color w:val="000000"/>
                <w:sz w:val="16"/>
                <w:szCs w:val="16"/>
              </w:rPr>
              <w:t>MPD</w:t>
            </w:r>
          </w:p>
        </w:tc>
      </w:tr>
      <w:tr w:rsidR="00110509" w:rsidRPr="00D2080C" w14:paraId="7159D70B" w14:textId="77777777" w:rsidTr="00110509">
        <w:trPr>
          <w:cantSplit/>
          <w:trHeight w:val="422"/>
          <w:jc w:val="center"/>
        </w:trPr>
        <w:tc>
          <w:tcPr>
            <w:tcW w:w="500" w:type="pct"/>
            <w:tcBorders>
              <w:top w:val="single" w:sz="4" w:space="0" w:color="auto"/>
            </w:tcBorders>
            <w:shd w:val="clear" w:color="auto" w:fill="auto"/>
            <w:noWrap/>
            <w:vAlign w:val="center"/>
            <w:hideMark/>
          </w:tcPr>
          <w:p w14:paraId="1071FEA3"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NRTH</w:t>
            </w:r>
          </w:p>
        </w:tc>
        <w:tc>
          <w:tcPr>
            <w:tcW w:w="389" w:type="pct"/>
            <w:tcBorders>
              <w:top w:val="single" w:sz="4" w:space="0" w:color="auto"/>
            </w:tcBorders>
            <w:shd w:val="clear" w:color="auto" w:fill="auto"/>
            <w:noWrap/>
            <w:vAlign w:val="center"/>
            <w:hideMark/>
          </w:tcPr>
          <w:p w14:paraId="00428065" w14:textId="77777777" w:rsidR="00333AA3" w:rsidRPr="002B7F7D" w:rsidRDefault="00333AA3" w:rsidP="00333AA3">
            <w:pPr>
              <w:spacing w:after="0"/>
              <w:jc w:val="center"/>
              <w:rPr>
                <w:rFonts w:eastAsia="Times New Roman" w:cs="Times New Roman"/>
                <w:color w:val="000000"/>
                <w:sz w:val="16"/>
                <w:szCs w:val="16"/>
              </w:rPr>
            </w:pPr>
          </w:p>
        </w:tc>
        <w:tc>
          <w:tcPr>
            <w:tcW w:w="445" w:type="pct"/>
            <w:tcBorders>
              <w:top w:val="single" w:sz="4" w:space="0" w:color="auto"/>
            </w:tcBorders>
            <w:shd w:val="clear" w:color="auto" w:fill="auto"/>
            <w:noWrap/>
            <w:vAlign w:val="center"/>
            <w:hideMark/>
          </w:tcPr>
          <w:p w14:paraId="1244599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(0.95)</w:t>
            </w:r>
          </w:p>
        </w:tc>
        <w:tc>
          <w:tcPr>
            <w:tcW w:w="390" w:type="pct"/>
            <w:tcBorders>
              <w:top w:val="single" w:sz="4" w:space="0" w:color="auto"/>
            </w:tcBorders>
            <w:shd w:val="clear" w:color="auto" w:fill="auto"/>
            <w:noWrap/>
            <w:vAlign w:val="center"/>
            <w:hideMark/>
          </w:tcPr>
          <w:p w14:paraId="632EBB58"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(0.84)</w:t>
            </w:r>
          </w:p>
        </w:tc>
        <w:tc>
          <w:tcPr>
            <w:tcW w:w="390" w:type="pct"/>
            <w:tcBorders>
              <w:top w:val="single" w:sz="4" w:space="0" w:color="auto"/>
            </w:tcBorders>
            <w:shd w:val="clear" w:color="auto" w:fill="auto"/>
            <w:noWrap/>
            <w:vAlign w:val="center"/>
            <w:hideMark/>
          </w:tcPr>
          <w:p w14:paraId="12D608F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(0.90)</w:t>
            </w:r>
          </w:p>
        </w:tc>
        <w:tc>
          <w:tcPr>
            <w:tcW w:w="222" w:type="pct"/>
            <w:tcBorders>
              <w:top w:val="single" w:sz="4" w:space="0" w:color="auto"/>
            </w:tcBorders>
            <w:shd w:val="clear" w:color="auto" w:fill="auto"/>
            <w:noWrap/>
            <w:vAlign w:val="center"/>
            <w:hideMark/>
          </w:tcPr>
          <w:p w14:paraId="38231AFD" w14:textId="77777777" w:rsidR="00333AA3" w:rsidRPr="002B7F7D" w:rsidRDefault="00333AA3" w:rsidP="00333AA3">
            <w:pPr>
              <w:spacing w:after="0"/>
              <w:jc w:val="center"/>
              <w:rPr>
                <w:rFonts w:eastAsia="Times New Roman" w:cs="Times New Roman"/>
                <w:color w:val="000000"/>
                <w:sz w:val="16"/>
                <w:szCs w:val="16"/>
              </w:rPr>
            </w:pPr>
          </w:p>
        </w:tc>
        <w:tc>
          <w:tcPr>
            <w:tcW w:w="445" w:type="pct"/>
            <w:tcBorders>
              <w:top w:val="single" w:sz="4" w:space="0" w:color="auto"/>
            </w:tcBorders>
            <w:shd w:val="clear" w:color="auto" w:fill="auto"/>
            <w:noWrap/>
            <w:vAlign w:val="center"/>
            <w:hideMark/>
          </w:tcPr>
          <w:p w14:paraId="35CF3048" w14:textId="77777777" w:rsidR="00333AA3" w:rsidRPr="002B7F7D" w:rsidRDefault="00333AA3" w:rsidP="00333AA3">
            <w:pPr>
              <w:spacing w:after="0"/>
              <w:jc w:val="center"/>
              <w:rPr>
                <w:rFonts w:eastAsia="Times New Roman" w:cs="Times New Roman"/>
                <w:sz w:val="16"/>
                <w:szCs w:val="16"/>
              </w:rPr>
            </w:pPr>
          </w:p>
        </w:tc>
        <w:tc>
          <w:tcPr>
            <w:tcW w:w="390" w:type="pct"/>
            <w:tcBorders>
              <w:top w:val="single" w:sz="4" w:space="0" w:color="auto"/>
            </w:tcBorders>
            <w:shd w:val="clear" w:color="auto" w:fill="auto"/>
            <w:noWrap/>
            <w:vAlign w:val="center"/>
            <w:hideMark/>
          </w:tcPr>
          <w:p w14:paraId="687C01D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(0.95)</w:t>
            </w:r>
          </w:p>
        </w:tc>
        <w:tc>
          <w:tcPr>
            <w:tcW w:w="222" w:type="pct"/>
            <w:tcBorders>
              <w:top w:val="single" w:sz="4" w:space="0" w:color="auto"/>
            </w:tcBorders>
            <w:shd w:val="clear" w:color="auto" w:fill="auto"/>
            <w:noWrap/>
            <w:vAlign w:val="center"/>
            <w:hideMark/>
          </w:tcPr>
          <w:p w14:paraId="78604E9A" w14:textId="77777777" w:rsidR="00333AA3" w:rsidRPr="002B7F7D" w:rsidRDefault="00333AA3" w:rsidP="00333AA3">
            <w:pPr>
              <w:spacing w:after="0"/>
              <w:jc w:val="center"/>
              <w:rPr>
                <w:rFonts w:eastAsia="Times New Roman" w:cs="Times New Roman"/>
                <w:color w:val="000000"/>
                <w:sz w:val="16"/>
                <w:szCs w:val="16"/>
              </w:rPr>
            </w:pPr>
          </w:p>
        </w:tc>
        <w:tc>
          <w:tcPr>
            <w:tcW w:w="444" w:type="pct"/>
            <w:tcBorders>
              <w:top w:val="single" w:sz="4" w:space="0" w:color="auto"/>
            </w:tcBorders>
            <w:shd w:val="clear" w:color="auto" w:fill="auto"/>
            <w:noWrap/>
            <w:vAlign w:val="center"/>
            <w:hideMark/>
          </w:tcPr>
          <w:p w14:paraId="21B4698D"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tcBorders>
              <w:top w:val="single" w:sz="4" w:space="0" w:color="auto"/>
            </w:tcBorders>
            <w:shd w:val="clear" w:color="auto" w:fill="auto"/>
            <w:noWrap/>
            <w:vAlign w:val="center"/>
            <w:hideMark/>
          </w:tcPr>
          <w:p w14:paraId="2142069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8" w:type="pct"/>
            <w:tcBorders>
              <w:top w:val="single" w:sz="4" w:space="0" w:color="auto"/>
            </w:tcBorders>
            <w:shd w:val="clear" w:color="auto" w:fill="auto"/>
            <w:noWrap/>
            <w:vAlign w:val="center"/>
            <w:hideMark/>
          </w:tcPr>
          <w:p w14:paraId="7D038374" w14:textId="77777777" w:rsidR="00333AA3" w:rsidRPr="002B7F7D" w:rsidRDefault="00333AA3" w:rsidP="00333AA3">
            <w:pPr>
              <w:spacing w:after="0"/>
              <w:jc w:val="center"/>
              <w:rPr>
                <w:rFonts w:eastAsia="Times New Roman" w:cs="Times New Roman"/>
                <w:color w:val="000000"/>
                <w:sz w:val="16"/>
                <w:szCs w:val="16"/>
              </w:rPr>
            </w:pPr>
          </w:p>
        </w:tc>
        <w:tc>
          <w:tcPr>
            <w:tcW w:w="387" w:type="pct"/>
            <w:tcBorders>
              <w:top w:val="single" w:sz="4" w:space="0" w:color="auto"/>
            </w:tcBorders>
            <w:shd w:val="clear" w:color="auto" w:fill="auto"/>
            <w:noWrap/>
            <w:vAlign w:val="center"/>
            <w:hideMark/>
          </w:tcPr>
          <w:p w14:paraId="0AD6E69D" w14:textId="77777777" w:rsidR="00333AA3" w:rsidRPr="002B7F7D" w:rsidRDefault="00333AA3" w:rsidP="00333AA3">
            <w:pPr>
              <w:spacing w:after="0"/>
              <w:jc w:val="center"/>
              <w:rPr>
                <w:rFonts w:eastAsia="Times New Roman" w:cs="Times New Roman"/>
                <w:sz w:val="16"/>
                <w:szCs w:val="16"/>
              </w:rPr>
            </w:pPr>
          </w:p>
        </w:tc>
      </w:tr>
      <w:tr w:rsidR="00110509" w:rsidRPr="00D2080C" w14:paraId="4EAEEFB0" w14:textId="77777777" w:rsidTr="00110509">
        <w:trPr>
          <w:cantSplit/>
          <w:trHeight w:val="279"/>
          <w:jc w:val="center"/>
        </w:trPr>
        <w:tc>
          <w:tcPr>
            <w:tcW w:w="500" w:type="pct"/>
            <w:shd w:val="clear" w:color="auto" w:fill="auto"/>
            <w:noWrap/>
            <w:vAlign w:val="center"/>
            <w:hideMark/>
          </w:tcPr>
          <w:p w14:paraId="1E9BC22D"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MDAT</w:t>
            </w:r>
          </w:p>
        </w:tc>
        <w:tc>
          <w:tcPr>
            <w:tcW w:w="389" w:type="pct"/>
            <w:shd w:val="clear" w:color="auto" w:fill="auto"/>
            <w:noWrap/>
            <w:vAlign w:val="center"/>
            <w:hideMark/>
          </w:tcPr>
          <w:p w14:paraId="5874F184"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(0.61)</w:t>
            </w:r>
          </w:p>
        </w:tc>
        <w:tc>
          <w:tcPr>
            <w:tcW w:w="445" w:type="pct"/>
            <w:shd w:val="clear" w:color="auto" w:fill="auto"/>
            <w:noWrap/>
            <w:vAlign w:val="center"/>
            <w:hideMark/>
          </w:tcPr>
          <w:p w14:paraId="1962458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(0.99)</w:t>
            </w:r>
          </w:p>
        </w:tc>
        <w:tc>
          <w:tcPr>
            <w:tcW w:w="390" w:type="pct"/>
            <w:shd w:val="clear" w:color="auto" w:fill="auto"/>
            <w:noWrap/>
            <w:vAlign w:val="center"/>
            <w:hideMark/>
          </w:tcPr>
          <w:p w14:paraId="6A10EC3B"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(0.94)</w:t>
            </w:r>
          </w:p>
        </w:tc>
        <w:tc>
          <w:tcPr>
            <w:tcW w:w="390" w:type="pct"/>
            <w:shd w:val="clear" w:color="auto" w:fill="auto"/>
            <w:noWrap/>
            <w:vAlign w:val="center"/>
            <w:hideMark/>
          </w:tcPr>
          <w:p w14:paraId="26437E22"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(0.96)</w:t>
            </w:r>
          </w:p>
        </w:tc>
        <w:tc>
          <w:tcPr>
            <w:tcW w:w="222" w:type="pct"/>
            <w:shd w:val="clear" w:color="auto" w:fill="auto"/>
            <w:noWrap/>
            <w:vAlign w:val="center"/>
            <w:hideMark/>
          </w:tcPr>
          <w:p w14:paraId="064AAB02"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798F183B"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01A18B98"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2D74F8F2"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7B7F34A1"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5A12EC3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22FD4650"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697F2B59" w14:textId="77777777" w:rsidR="00333AA3" w:rsidRPr="002B7F7D" w:rsidRDefault="00333AA3" w:rsidP="00333AA3">
            <w:pPr>
              <w:spacing w:after="0"/>
              <w:jc w:val="center"/>
              <w:rPr>
                <w:rFonts w:eastAsia="Times New Roman" w:cs="Times New Roman"/>
                <w:sz w:val="16"/>
                <w:szCs w:val="16"/>
              </w:rPr>
            </w:pPr>
          </w:p>
        </w:tc>
      </w:tr>
      <w:tr w:rsidR="00110509" w:rsidRPr="00D2080C" w14:paraId="7BAF0013" w14:textId="77777777" w:rsidTr="00110509">
        <w:trPr>
          <w:cantSplit/>
          <w:trHeight w:val="333"/>
          <w:jc w:val="center"/>
        </w:trPr>
        <w:tc>
          <w:tcPr>
            <w:tcW w:w="500" w:type="pct"/>
            <w:shd w:val="clear" w:color="auto" w:fill="auto"/>
            <w:noWrap/>
            <w:vAlign w:val="center"/>
            <w:hideMark/>
          </w:tcPr>
          <w:p w14:paraId="282E2488"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STHS</w:t>
            </w:r>
          </w:p>
        </w:tc>
        <w:tc>
          <w:tcPr>
            <w:tcW w:w="389" w:type="pct"/>
            <w:shd w:val="clear" w:color="auto" w:fill="auto"/>
            <w:noWrap/>
            <w:vAlign w:val="center"/>
            <w:hideMark/>
          </w:tcPr>
          <w:p w14:paraId="0D3C36F9"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(0.61)</w:t>
            </w:r>
          </w:p>
        </w:tc>
        <w:tc>
          <w:tcPr>
            <w:tcW w:w="445" w:type="pct"/>
            <w:shd w:val="clear" w:color="auto" w:fill="auto"/>
            <w:noWrap/>
            <w:vAlign w:val="center"/>
            <w:hideMark/>
          </w:tcPr>
          <w:p w14:paraId="5A159F75"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(0.98)</w:t>
            </w:r>
          </w:p>
        </w:tc>
        <w:tc>
          <w:tcPr>
            <w:tcW w:w="390" w:type="pct"/>
            <w:shd w:val="clear" w:color="auto" w:fill="auto"/>
            <w:noWrap/>
            <w:vAlign w:val="center"/>
            <w:hideMark/>
          </w:tcPr>
          <w:p w14:paraId="0A9343C4"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(0.83)</w:t>
            </w:r>
          </w:p>
        </w:tc>
        <w:tc>
          <w:tcPr>
            <w:tcW w:w="390" w:type="pct"/>
            <w:shd w:val="clear" w:color="auto" w:fill="auto"/>
            <w:noWrap/>
            <w:vAlign w:val="center"/>
            <w:hideMark/>
          </w:tcPr>
          <w:p w14:paraId="4E9B7E22"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(0.89)</w:t>
            </w:r>
          </w:p>
        </w:tc>
        <w:tc>
          <w:tcPr>
            <w:tcW w:w="222" w:type="pct"/>
            <w:shd w:val="clear" w:color="auto" w:fill="auto"/>
            <w:noWrap/>
            <w:vAlign w:val="center"/>
            <w:hideMark/>
          </w:tcPr>
          <w:p w14:paraId="3E42C694"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22C8E8A5"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1091C35B"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(0.80)</w:t>
            </w:r>
          </w:p>
        </w:tc>
        <w:tc>
          <w:tcPr>
            <w:tcW w:w="222" w:type="pct"/>
            <w:shd w:val="clear" w:color="auto" w:fill="auto"/>
            <w:noWrap/>
            <w:vAlign w:val="center"/>
            <w:hideMark/>
          </w:tcPr>
          <w:p w14:paraId="4300437D" w14:textId="77777777" w:rsidR="00333AA3" w:rsidRPr="002B7F7D" w:rsidRDefault="00333AA3" w:rsidP="00333AA3">
            <w:pPr>
              <w:spacing w:after="0"/>
              <w:jc w:val="center"/>
              <w:rPr>
                <w:rFonts w:eastAsia="Times New Roman" w:cs="Times New Roman"/>
                <w:color w:val="000000"/>
                <w:sz w:val="16"/>
                <w:szCs w:val="16"/>
              </w:rPr>
            </w:pPr>
          </w:p>
        </w:tc>
        <w:tc>
          <w:tcPr>
            <w:tcW w:w="444" w:type="pct"/>
            <w:shd w:val="clear" w:color="auto" w:fill="auto"/>
            <w:noWrap/>
            <w:vAlign w:val="center"/>
            <w:hideMark/>
          </w:tcPr>
          <w:p w14:paraId="7C29EC8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6F64A46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(0.99)</w:t>
            </w:r>
          </w:p>
        </w:tc>
        <w:tc>
          <w:tcPr>
            <w:tcW w:w="388" w:type="pct"/>
            <w:shd w:val="clear" w:color="auto" w:fill="auto"/>
            <w:noWrap/>
            <w:vAlign w:val="center"/>
            <w:hideMark/>
          </w:tcPr>
          <w:p w14:paraId="0303F2D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(0.90)</w:t>
            </w:r>
          </w:p>
        </w:tc>
        <w:tc>
          <w:tcPr>
            <w:tcW w:w="387" w:type="pct"/>
            <w:shd w:val="clear" w:color="auto" w:fill="auto"/>
            <w:noWrap/>
            <w:vAlign w:val="center"/>
            <w:hideMark/>
          </w:tcPr>
          <w:p w14:paraId="4987D97A" w14:textId="77777777" w:rsidR="00333AA3" w:rsidRPr="002B7F7D" w:rsidRDefault="00333AA3" w:rsidP="00333AA3">
            <w:pPr>
              <w:spacing w:after="0"/>
              <w:jc w:val="center"/>
              <w:rPr>
                <w:rFonts w:eastAsia="Times New Roman" w:cs="Times New Roman"/>
                <w:color w:val="000000"/>
                <w:sz w:val="16"/>
                <w:szCs w:val="16"/>
              </w:rPr>
            </w:pPr>
          </w:p>
        </w:tc>
      </w:tr>
      <w:tr w:rsidR="00110509" w:rsidRPr="00D2080C" w14:paraId="6B4C7BE4" w14:textId="77777777" w:rsidTr="00110509">
        <w:trPr>
          <w:cantSplit/>
          <w:trHeight w:val="387"/>
          <w:jc w:val="center"/>
        </w:trPr>
        <w:tc>
          <w:tcPr>
            <w:tcW w:w="500" w:type="pct"/>
            <w:shd w:val="clear" w:color="auto" w:fill="auto"/>
            <w:noWrap/>
            <w:vAlign w:val="center"/>
            <w:hideMark/>
          </w:tcPr>
          <w:p w14:paraId="03A2D92F"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GRTL</w:t>
            </w:r>
          </w:p>
        </w:tc>
        <w:tc>
          <w:tcPr>
            <w:tcW w:w="389" w:type="pct"/>
            <w:shd w:val="clear" w:color="auto" w:fill="auto"/>
            <w:noWrap/>
            <w:vAlign w:val="center"/>
            <w:hideMark/>
          </w:tcPr>
          <w:p w14:paraId="1972925B"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5B655BF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(0.93)</w:t>
            </w:r>
          </w:p>
        </w:tc>
        <w:tc>
          <w:tcPr>
            <w:tcW w:w="390" w:type="pct"/>
            <w:shd w:val="clear" w:color="auto" w:fill="auto"/>
            <w:noWrap/>
            <w:vAlign w:val="center"/>
            <w:hideMark/>
          </w:tcPr>
          <w:p w14:paraId="5A85E154" w14:textId="77777777" w:rsidR="00333AA3" w:rsidRPr="002B7F7D" w:rsidRDefault="00333AA3" w:rsidP="00333AA3">
            <w:pPr>
              <w:spacing w:after="0"/>
              <w:jc w:val="center"/>
              <w:rPr>
                <w:rFonts w:eastAsia="Times New Roman" w:cs="Times New Roman"/>
                <w:color w:val="000000"/>
                <w:sz w:val="16"/>
                <w:szCs w:val="16"/>
              </w:rPr>
            </w:pPr>
          </w:p>
        </w:tc>
        <w:tc>
          <w:tcPr>
            <w:tcW w:w="390" w:type="pct"/>
            <w:shd w:val="clear" w:color="auto" w:fill="auto"/>
            <w:noWrap/>
            <w:vAlign w:val="center"/>
            <w:hideMark/>
          </w:tcPr>
          <w:p w14:paraId="5D22421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(0.90)</w:t>
            </w:r>
          </w:p>
        </w:tc>
        <w:tc>
          <w:tcPr>
            <w:tcW w:w="222" w:type="pct"/>
            <w:shd w:val="clear" w:color="auto" w:fill="auto"/>
            <w:noWrap/>
            <w:vAlign w:val="center"/>
            <w:hideMark/>
          </w:tcPr>
          <w:p w14:paraId="064F09E9"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213BEC0A"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12DAFE8C"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7663FC33"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74CF2B55"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4ABE50F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0235F685"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6B3F026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(0.85)</w:t>
            </w:r>
          </w:p>
        </w:tc>
      </w:tr>
      <w:tr w:rsidR="00110509" w:rsidRPr="00D2080C" w14:paraId="0C62087E" w14:textId="77777777" w:rsidTr="00110509">
        <w:trPr>
          <w:cantSplit/>
          <w:trHeight w:val="171"/>
          <w:jc w:val="center"/>
        </w:trPr>
        <w:tc>
          <w:tcPr>
            <w:tcW w:w="500" w:type="pct"/>
            <w:shd w:val="clear" w:color="auto" w:fill="auto"/>
            <w:noWrap/>
            <w:vAlign w:val="center"/>
            <w:hideMark/>
          </w:tcPr>
          <w:p w14:paraId="7039D36F"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PRRP</w:t>
            </w:r>
          </w:p>
        </w:tc>
        <w:tc>
          <w:tcPr>
            <w:tcW w:w="389" w:type="pct"/>
            <w:shd w:val="clear" w:color="auto" w:fill="auto"/>
            <w:noWrap/>
            <w:vAlign w:val="center"/>
            <w:hideMark/>
          </w:tcPr>
          <w:p w14:paraId="75714208"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14FF1EBA"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1A4A75C0"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359418B9"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0D85401C" w14:textId="77777777" w:rsidR="00333AA3" w:rsidRPr="002B7F7D" w:rsidRDefault="00333AA3" w:rsidP="00333AA3">
            <w:pPr>
              <w:spacing w:after="0"/>
              <w:jc w:val="center"/>
              <w:rPr>
                <w:rFonts w:eastAsia="Times New Roman" w:cs="Times New Roman"/>
                <w:sz w:val="16"/>
                <w:szCs w:val="16"/>
              </w:rPr>
            </w:pPr>
          </w:p>
        </w:tc>
        <w:tc>
          <w:tcPr>
            <w:tcW w:w="445" w:type="pct"/>
            <w:shd w:val="clear" w:color="auto" w:fill="auto"/>
            <w:noWrap/>
            <w:vAlign w:val="center"/>
            <w:hideMark/>
          </w:tcPr>
          <w:p w14:paraId="4BF92FEA"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31AFF143"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45C7553B"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0B1D93A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08B516C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(0.96)</w:t>
            </w:r>
          </w:p>
        </w:tc>
        <w:tc>
          <w:tcPr>
            <w:tcW w:w="388" w:type="pct"/>
            <w:shd w:val="clear" w:color="auto" w:fill="auto"/>
            <w:noWrap/>
            <w:vAlign w:val="center"/>
            <w:hideMark/>
          </w:tcPr>
          <w:p w14:paraId="263785D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(0.88)</w:t>
            </w:r>
          </w:p>
        </w:tc>
        <w:tc>
          <w:tcPr>
            <w:tcW w:w="387" w:type="pct"/>
            <w:shd w:val="clear" w:color="auto" w:fill="auto"/>
            <w:noWrap/>
            <w:vAlign w:val="center"/>
            <w:hideMark/>
          </w:tcPr>
          <w:p w14:paraId="3B176A9E" w14:textId="77777777" w:rsidR="00333AA3" w:rsidRPr="002B7F7D" w:rsidRDefault="00333AA3" w:rsidP="00333AA3">
            <w:pPr>
              <w:spacing w:after="0"/>
              <w:jc w:val="center"/>
              <w:rPr>
                <w:rFonts w:eastAsia="Times New Roman" w:cs="Times New Roman"/>
                <w:color w:val="000000"/>
                <w:sz w:val="16"/>
                <w:szCs w:val="16"/>
              </w:rPr>
            </w:pPr>
          </w:p>
        </w:tc>
      </w:tr>
      <w:tr w:rsidR="00110509" w:rsidRPr="00D2080C" w14:paraId="1FFE0524" w14:textId="77777777" w:rsidTr="00110509">
        <w:trPr>
          <w:cantSplit/>
          <w:trHeight w:val="225"/>
          <w:jc w:val="center"/>
        </w:trPr>
        <w:tc>
          <w:tcPr>
            <w:tcW w:w="500" w:type="pct"/>
            <w:shd w:val="clear" w:color="auto" w:fill="auto"/>
            <w:noWrap/>
            <w:vAlign w:val="center"/>
            <w:hideMark/>
          </w:tcPr>
          <w:p w14:paraId="27EC7C21"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APCP</w:t>
            </w:r>
          </w:p>
        </w:tc>
        <w:tc>
          <w:tcPr>
            <w:tcW w:w="389" w:type="pct"/>
            <w:shd w:val="clear" w:color="auto" w:fill="auto"/>
            <w:noWrap/>
            <w:vAlign w:val="center"/>
            <w:hideMark/>
          </w:tcPr>
          <w:p w14:paraId="3662B3DD"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(0.61)</w:t>
            </w:r>
          </w:p>
        </w:tc>
        <w:tc>
          <w:tcPr>
            <w:tcW w:w="445" w:type="pct"/>
            <w:shd w:val="clear" w:color="auto" w:fill="auto"/>
            <w:noWrap/>
            <w:vAlign w:val="center"/>
            <w:hideMark/>
          </w:tcPr>
          <w:p w14:paraId="039AEFC5"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(0.98)</w:t>
            </w:r>
          </w:p>
        </w:tc>
        <w:tc>
          <w:tcPr>
            <w:tcW w:w="390" w:type="pct"/>
            <w:shd w:val="clear" w:color="auto" w:fill="auto"/>
            <w:noWrap/>
            <w:vAlign w:val="center"/>
            <w:hideMark/>
          </w:tcPr>
          <w:p w14:paraId="69ECFAC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(0.81)</w:t>
            </w:r>
          </w:p>
        </w:tc>
        <w:tc>
          <w:tcPr>
            <w:tcW w:w="390" w:type="pct"/>
            <w:shd w:val="clear" w:color="auto" w:fill="auto"/>
            <w:noWrap/>
            <w:vAlign w:val="center"/>
            <w:hideMark/>
          </w:tcPr>
          <w:p w14:paraId="435EB16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(0.83)</w:t>
            </w:r>
          </w:p>
        </w:tc>
        <w:tc>
          <w:tcPr>
            <w:tcW w:w="222" w:type="pct"/>
            <w:shd w:val="clear" w:color="auto" w:fill="auto"/>
            <w:noWrap/>
            <w:vAlign w:val="center"/>
            <w:hideMark/>
          </w:tcPr>
          <w:p w14:paraId="22C8FDA9"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13B8012F"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151211D0"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714212B4"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0ED481C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09843313"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(0.97)</w:t>
            </w:r>
          </w:p>
        </w:tc>
        <w:tc>
          <w:tcPr>
            <w:tcW w:w="388" w:type="pct"/>
            <w:shd w:val="clear" w:color="auto" w:fill="auto"/>
            <w:noWrap/>
            <w:vAlign w:val="center"/>
            <w:hideMark/>
          </w:tcPr>
          <w:p w14:paraId="2FA809B7"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5C89729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(0.76)</w:t>
            </w:r>
          </w:p>
        </w:tc>
      </w:tr>
      <w:tr w:rsidR="00110509" w:rsidRPr="00D2080C" w14:paraId="4F352AD2" w14:textId="77777777" w:rsidTr="00110509">
        <w:trPr>
          <w:cantSplit/>
          <w:trHeight w:val="189"/>
          <w:jc w:val="center"/>
        </w:trPr>
        <w:tc>
          <w:tcPr>
            <w:tcW w:w="500" w:type="pct"/>
            <w:shd w:val="clear" w:color="auto" w:fill="auto"/>
            <w:noWrap/>
            <w:vAlign w:val="center"/>
            <w:hideMark/>
          </w:tcPr>
          <w:p w14:paraId="6F17FA56"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OC-1</w:t>
            </w:r>
          </w:p>
        </w:tc>
        <w:tc>
          <w:tcPr>
            <w:tcW w:w="389" w:type="pct"/>
            <w:shd w:val="clear" w:color="auto" w:fill="auto"/>
            <w:noWrap/>
            <w:vAlign w:val="center"/>
            <w:hideMark/>
          </w:tcPr>
          <w:p w14:paraId="05EBA14B"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(0.68)</w:t>
            </w:r>
          </w:p>
        </w:tc>
        <w:tc>
          <w:tcPr>
            <w:tcW w:w="445" w:type="pct"/>
            <w:shd w:val="clear" w:color="auto" w:fill="auto"/>
            <w:noWrap/>
            <w:vAlign w:val="center"/>
            <w:hideMark/>
          </w:tcPr>
          <w:p w14:paraId="3B976B0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(1.00)</w:t>
            </w:r>
          </w:p>
        </w:tc>
        <w:tc>
          <w:tcPr>
            <w:tcW w:w="390" w:type="pct"/>
            <w:shd w:val="clear" w:color="auto" w:fill="auto"/>
            <w:noWrap/>
            <w:vAlign w:val="center"/>
            <w:hideMark/>
          </w:tcPr>
          <w:p w14:paraId="3AF1A889"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(0.94)</w:t>
            </w:r>
          </w:p>
        </w:tc>
        <w:tc>
          <w:tcPr>
            <w:tcW w:w="390" w:type="pct"/>
            <w:shd w:val="clear" w:color="auto" w:fill="auto"/>
            <w:noWrap/>
            <w:vAlign w:val="center"/>
            <w:hideMark/>
          </w:tcPr>
          <w:p w14:paraId="63DB641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(0.98)</w:t>
            </w:r>
          </w:p>
        </w:tc>
        <w:tc>
          <w:tcPr>
            <w:tcW w:w="222" w:type="pct"/>
            <w:shd w:val="clear" w:color="auto" w:fill="auto"/>
            <w:noWrap/>
            <w:vAlign w:val="center"/>
            <w:hideMark/>
          </w:tcPr>
          <w:p w14:paraId="729AA0E9"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311C0873"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(0.87)</w:t>
            </w:r>
          </w:p>
        </w:tc>
        <w:tc>
          <w:tcPr>
            <w:tcW w:w="390" w:type="pct"/>
            <w:shd w:val="clear" w:color="auto" w:fill="auto"/>
            <w:noWrap/>
            <w:vAlign w:val="center"/>
            <w:hideMark/>
          </w:tcPr>
          <w:p w14:paraId="1B7CFCB8"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(0.97)</w:t>
            </w:r>
          </w:p>
        </w:tc>
        <w:tc>
          <w:tcPr>
            <w:tcW w:w="222" w:type="pct"/>
            <w:shd w:val="clear" w:color="auto" w:fill="auto"/>
            <w:noWrap/>
            <w:vAlign w:val="center"/>
            <w:hideMark/>
          </w:tcPr>
          <w:p w14:paraId="24F7E9A0" w14:textId="77777777" w:rsidR="00333AA3" w:rsidRPr="002B7F7D" w:rsidRDefault="00333AA3" w:rsidP="00333AA3">
            <w:pPr>
              <w:spacing w:after="0"/>
              <w:jc w:val="center"/>
              <w:rPr>
                <w:rFonts w:eastAsia="Times New Roman" w:cs="Times New Roman"/>
                <w:color w:val="000000"/>
                <w:sz w:val="16"/>
                <w:szCs w:val="16"/>
              </w:rPr>
            </w:pPr>
          </w:p>
        </w:tc>
        <w:tc>
          <w:tcPr>
            <w:tcW w:w="444" w:type="pct"/>
            <w:shd w:val="clear" w:color="auto" w:fill="auto"/>
            <w:noWrap/>
            <w:vAlign w:val="center"/>
            <w:hideMark/>
          </w:tcPr>
          <w:p w14:paraId="55CA5D3D"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4F67DD41"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(0.98)</w:t>
            </w:r>
          </w:p>
        </w:tc>
        <w:tc>
          <w:tcPr>
            <w:tcW w:w="388" w:type="pct"/>
            <w:shd w:val="clear" w:color="auto" w:fill="auto"/>
            <w:noWrap/>
            <w:vAlign w:val="center"/>
            <w:hideMark/>
          </w:tcPr>
          <w:p w14:paraId="5E9FD643"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(0.69)</w:t>
            </w:r>
          </w:p>
        </w:tc>
        <w:tc>
          <w:tcPr>
            <w:tcW w:w="387" w:type="pct"/>
            <w:shd w:val="clear" w:color="auto" w:fill="auto"/>
            <w:noWrap/>
            <w:vAlign w:val="center"/>
            <w:hideMark/>
          </w:tcPr>
          <w:p w14:paraId="34EBA56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(0.92)</w:t>
            </w:r>
          </w:p>
        </w:tc>
      </w:tr>
      <w:tr w:rsidR="00110509" w:rsidRPr="00D2080C" w14:paraId="1725C1CC" w14:textId="77777777" w:rsidTr="00110509">
        <w:trPr>
          <w:cantSplit/>
          <w:trHeight w:val="333"/>
          <w:jc w:val="center"/>
        </w:trPr>
        <w:tc>
          <w:tcPr>
            <w:tcW w:w="500" w:type="pct"/>
            <w:shd w:val="clear" w:color="auto" w:fill="auto"/>
            <w:noWrap/>
            <w:vAlign w:val="center"/>
            <w:hideMark/>
          </w:tcPr>
          <w:p w14:paraId="45B8A24A"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OC-2</w:t>
            </w:r>
          </w:p>
        </w:tc>
        <w:tc>
          <w:tcPr>
            <w:tcW w:w="389" w:type="pct"/>
            <w:shd w:val="clear" w:color="auto" w:fill="auto"/>
            <w:noWrap/>
            <w:vAlign w:val="center"/>
            <w:hideMark/>
          </w:tcPr>
          <w:p w14:paraId="5736CF37"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6CB8651E"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790C1E9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(0.89)</w:t>
            </w:r>
          </w:p>
        </w:tc>
        <w:tc>
          <w:tcPr>
            <w:tcW w:w="390" w:type="pct"/>
            <w:shd w:val="clear" w:color="auto" w:fill="auto"/>
            <w:noWrap/>
            <w:vAlign w:val="center"/>
            <w:hideMark/>
          </w:tcPr>
          <w:p w14:paraId="60FD8574"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(0.74)</w:t>
            </w:r>
          </w:p>
        </w:tc>
        <w:tc>
          <w:tcPr>
            <w:tcW w:w="222" w:type="pct"/>
            <w:shd w:val="clear" w:color="auto" w:fill="auto"/>
            <w:noWrap/>
            <w:vAlign w:val="center"/>
            <w:hideMark/>
          </w:tcPr>
          <w:p w14:paraId="78F598D1"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00F4766D"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3D6FE7AC"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0917948B"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68AA5C61"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6AA6E4C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1FA49E6F"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(0.74)</w:t>
            </w:r>
          </w:p>
        </w:tc>
        <w:tc>
          <w:tcPr>
            <w:tcW w:w="387" w:type="pct"/>
            <w:shd w:val="clear" w:color="auto" w:fill="auto"/>
            <w:noWrap/>
            <w:vAlign w:val="center"/>
            <w:hideMark/>
          </w:tcPr>
          <w:p w14:paraId="095EDBDF" w14:textId="77777777" w:rsidR="00333AA3" w:rsidRPr="002B7F7D" w:rsidRDefault="00333AA3" w:rsidP="00333AA3">
            <w:pPr>
              <w:spacing w:after="0"/>
              <w:jc w:val="center"/>
              <w:rPr>
                <w:rFonts w:eastAsia="Times New Roman" w:cs="Times New Roman"/>
                <w:color w:val="000000"/>
                <w:sz w:val="16"/>
                <w:szCs w:val="16"/>
              </w:rPr>
            </w:pPr>
          </w:p>
        </w:tc>
      </w:tr>
      <w:tr w:rsidR="00110509" w:rsidRPr="00D2080C" w14:paraId="6B3CE223" w14:textId="77777777" w:rsidTr="00110509">
        <w:trPr>
          <w:cantSplit/>
          <w:trHeight w:val="288"/>
          <w:jc w:val="center"/>
        </w:trPr>
        <w:tc>
          <w:tcPr>
            <w:tcW w:w="500" w:type="pct"/>
            <w:shd w:val="clear" w:color="auto" w:fill="auto"/>
            <w:noWrap/>
            <w:vAlign w:val="center"/>
            <w:hideMark/>
          </w:tcPr>
          <w:p w14:paraId="1E886309"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NRTP</w:t>
            </w:r>
          </w:p>
        </w:tc>
        <w:tc>
          <w:tcPr>
            <w:tcW w:w="389" w:type="pct"/>
            <w:shd w:val="clear" w:color="auto" w:fill="auto"/>
            <w:noWrap/>
            <w:vAlign w:val="center"/>
            <w:hideMark/>
          </w:tcPr>
          <w:p w14:paraId="714C2563"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11432DFF"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(0.99)</w:t>
            </w:r>
          </w:p>
        </w:tc>
        <w:tc>
          <w:tcPr>
            <w:tcW w:w="390" w:type="pct"/>
            <w:shd w:val="clear" w:color="auto" w:fill="auto"/>
            <w:noWrap/>
            <w:vAlign w:val="center"/>
            <w:hideMark/>
          </w:tcPr>
          <w:p w14:paraId="594839D2"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(0.87)</w:t>
            </w:r>
          </w:p>
        </w:tc>
        <w:tc>
          <w:tcPr>
            <w:tcW w:w="390" w:type="pct"/>
            <w:shd w:val="clear" w:color="auto" w:fill="auto"/>
            <w:noWrap/>
            <w:vAlign w:val="center"/>
            <w:hideMark/>
          </w:tcPr>
          <w:p w14:paraId="42DF113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(0.96)</w:t>
            </w:r>
          </w:p>
        </w:tc>
        <w:tc>
          <w:tcPr>
            <w:tcW w:w="222" w:type="pct"/>
            <w:shd w:val="clear" w:color="auto" w:fill="auto"/>
            <w:noWrap/>
            <w:vAlign w:val="center"/>
            <w:hideMark/>
          </w:tcPr>
          <w:p w14:paraId="02A55D35"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1CF55A07"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0B8B72A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(0.87)</w:t>
            </w:r>
          </w:p>
        </w:tc>
        <w:tc>
          <w:tcPr>
            <w:tcW w:w="222" w:type="pct"/>
            <w:shd w:val="clear" w:color="auto" w:fill="auto"/>
            <w:noWrap/>
            <w:vAlign w:val="center"/>
            <w:hideMark/>
          </w:tcPr>
          <w:p w14:paraId="7FB91174" w14:textId="77777777" w:rsidR="00333AA3" w:rsidRPr="002B7F7D" w:rsidRDefault="00333AA3" w:rsidP="00333AA3">
            <w:pPr>
              <w:spacing w:after="0"/>
              <w:jc w:val="center"/>
              <w:rPr>
                <w:rFonts w:eastAsia="Times New Roman" w:cs="Times New Roman"/>
                <w:color w:val="000000"/>
                <w:sz w:val="16"/>
                <w:szCs w:val="16"/>
              </w:rPr>
            </w:pPr>
          </w:p>
        </w:tc>
        <w:tc>
          <w:tcPr>
            <w:tcW w:w="444" w:type="pct"/>
            <w:shd w:val="clear" w:color="auto" w:fill="auto"/>
            <w:noWrap/>
            <w:vAlign w:val="center"/>
            <w:hideMark/>
          </w:tcPr>
          <w:p w14:paraId="79DF8B38"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0FECDBC2"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(0.96)</w:t>
            </w:r>
          </w:p>
        </w:tc>
        <w:tc>
          <w:tcPr>
            <w:tcW w:w="388" w:type="pct"/>
            <w:shd w:val="clear" w:color="auto" w:fill="auto"/>
            <w:noWrap/>
            <w:vAlign w:val="center"/>
            <w:hideMark/>
          </w:tcPr>
          <w:p w14:paraId="0CB7510F"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(0.72)</w:t>
            </w:r>
          </w:p>
        </w:tc>
        <w:tc>
          <w:tcPr>
            <w:tcW w:w="387" w:type="pct"/>
            <w:shd w:val="clear" w:color="auto" w:fill="auto"/>
            <w:noWrap/>
            <w:vAlign w:val="center"/>
            <w:hideMark/>
          </w:tcPr>
          <w:p w14:paraId="6FAD6D09"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(0.82)</w:t>
            </w:r>
          </w:p>
        </w:tc>
      </w:tr>
      <w:tr w:rsidR="00110509" w:rsidRPr="00D2080C" w14:paraId="6129C5F6" w14:textId="77777777" w:rsidTr="00110509">
        <w:trPr>
          <w:cantSplit/>
          <w:trHeight w:val="252"/>
          <w:jc w:val="center"/>
        </w:trPr>
        <w:tc>
          <w:tcPr>
            <w:tcW w:w="500" w:type="pct"/>
            <w:shd w:val="clear" w:color="auto" w:fill="auto"/>
            <w:noWrap/>
            <w:vAlign w:val="center"/>
            <w:hideMark/>
          </w:tcPr>
          <w:p w14:paraId="19BC39E6"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CNTP</w:t>
            </w:r>
          </w:p>
        </w:tc>
        <w:tc>
          <w:tcPr>
            <w:tcW w:w="389" w:type="pct"/>
            <w:shd w:val="clear" w:color="auto" w:fill="auto"/>
            <w:noWrap/>
            <w:vAlign w:val="center"/>
            <w:hideMark/>
          </w:tcPr>
          <w:p w14:paraId="6505F6A8"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30D47D86"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62E04622"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50EF78FE"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0E017EAB" w14:textId="77777777" w:rsidR="00333AA3" w:rsidRPr="002B7F7D" w:rsidRDefault="00333AA3" w:rsidP="00333AA3">
            <w:pPr>
              <w:spacing w:after="0"/>
              <w:jc w:val="center"/>
              <w:rPr>
                <w:rFonts w:eastAsia="Times New Roman" w:cs="Times New Roman"/>
                <w:sz w:val="16"/>
                <w:szCs w:val="16"/>
              </w:rPr>
            </w:pPr>
          </w:p>
        </w:tc>
        <w:tc>
          <w:tcPr>
            <w:tcW w:w="445" w:type="pct"/>
            <w:shd w:val="clear" w:color="auto" w:fill="auto"/>
            <w:noWrap/>
            <w:vAlign w:val="center"/>
            <w:hideMark/>
          </w:tcPr>
          <w:p w14:paraId="6A652A2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(0.90)</w:t>
            </w:r>
          </w:p>
        </w:tc>
        <w:tc>
          <w:tcPr>
            <w:tcW w:w="390" w:type="pct"/>
            <w:shd w:val="clear" w:color="auto" w:fill="auto"/>
            <w:noWrap/>
            <w:vAlign w:val="center"/>
            <w:hideMark/>
          </w:tcPr>
          <w:p w14:paraId="460F17AC" w14:textId="77777777" w:rsidR="00333AA3" w:rsidRPr="002B7F7D" w:rsidRDefault="00333AA3" w:rsidP="00333AA3">
            <w:pPr>
              <w:spacing w:after="0"/>
              <w:jc w:val="center"/>
              <w:rPr>
                <w:rFonts w:eastAsia="Times New Roman" w:cs="Times New Roman"/>
                <w:color w:val="000000"/>
                <w:sz w:val="16"/>
                <w:szCs w:val="16"/>
              </w:rPr>
            </w:pPr>
          </w:p>
        </w:tc>
        <w:tc>
          <w:tcPr>
            <w:tcW w:w="222" w:type="pct"/>
            <w:shd w:val="clear" w:color="auto" w:fill="auto"/>
            <w:noWrap/>
            <w:vAlign w:val="center"/>
            <w:hideMark/>
          </w:tcPr>
          <w:p w14:paraId="4C0C04D7"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0422806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3AA4B028"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5B06C5F9"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(0.83)</w:t>
            </w:r>
          </w:p>
        </w:tc>
        <w:tc>
          <w:tcPr>
            <w:tcW w:w="387" w:type="pct"/>
            <w:shd w:val="clear" w:color="auto" w:fill="auto"/>
            <w:noWrap/>
            <w:vAlign w:val="center"/>
            <w:hideMark/>
          </w:tcPr>
          <w:p w14:paraId="2DE5BA53" w14:textId="77777777" w:rsidR="00333AA3" w:rsidRPr="002B7F7D" w:rsidRDefault="00333AA3" w:rsidP="00333AA3">
            <w:pPr>
              <w:spacing w:after="0"/>
              <w:jc w:val="center"/>
              <w:rPr>
                <w:rFonts w:eastAsia="Times New Roman" w:cs="Times New Roman"/>
                <w:color w:val="000000"/>
                <w:sz w:val="16"/>
                <w:szCs w:val="16"/>
              </w:rPr>
            </w:pPr>
          </w:p>
        </w:tc>
      </w:tr>
      <w:tr w:rsidR="00110509" w:rsidRPr="00D2080C" w14:paraId="3462137B" w14:textId="77777777" w:rsidTr="00110509">
        <w:trPr>
          <w:cantSplit/>
          <w:trHeight w:val="306"/>
          <w:jc w:val="center"/>
        </w:trPr>
        <w:tc>
          <w:tcPr>
            <w:tcW w:w="500" w:type="pct"/>
            <w:shd w:val="clear" w:color="auto" w:fill="auto"/>
            <w:noWrap/>
            <w:vAlign w:val="center"/>
            <w:hideMark/>
          </w:tcPr>
          <w:p w14:paraId="1A9C56F8"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STHP</w:t>
            </w:r>
          </w:p>
        </w:tc>
        <w:tc>
          <w:tcPr>
            <w:tcW w:w="389" w:type="pct"/>
            <w:shd w:val="clear" w:color="auto" w:fill="auto"/>
            <w:noWrap/>
            <w:vAlign w:val="center"/>
            <w:hideMark/>
          </w:tcPr>
          <w:p w14:paraId="7AC13172"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6092DBF2"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7D0CC4B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(0.83)</w:t>
            </w:r>
          </w:p>
        </w:tc>
        <w:tc>
          <w:tcPr>
            <w:tcW w:w="390" w:type="pct"/>
            <w:shd w:val="clear" w:color="auto" w:fill="auto"/>
            <w:noWrap/>
            <w:vAlign w:val="center"/>
            <w:hideMark/>
          </w:tcPr>
          <w:p w14:paraId="6DE41066" w14:textId="77777777" w:rsidR="00333AA3" w:rsidRPr="002B7F7D" w:rsidRDefault="00333AA3" w:rsidP="00333AA3">
            <w:pPr>
              <w:spacing w:after="0"/>
              <w:jc w:val="center"/>
              <w:rPr>
                <w:rFonts w:eastAsia="Times New Roman" w:cs="Times New Roman"/>
                <w:color w:val="000000"/>
                <w:sz w:val="16"/>
                <w:szCs w:val="16"/>
              </w:rPr>
            </w:pPr>
          </w:p>
        </w:tc>
        <w:tc>
          <w:tcPr>
            <w:tcW w:w="222" w:type="pct"/>
            <w:shd w:val="clear" w:color="auto" w:fill="auto"/>
            <w:noWrap/>
            <w:vAlign w:val="center"/>
            <w:hideMark/>
          </w:tcPr>
          <w:p w14:paraId="61560A92" w14:textId="77777777" w:rsidR="00333AA3" w:rsidRPr="002B7F7D" w:rsidRDefault="00333AA3" w:rsidP="00333AA3">
            <w:pPr>
              <w:spacing w:after="0"/>
              <w:jc w:val="center"/>
              <w:rPr>
                <w:rFonts w:eastAsia="Times New Roman" w:cs="Times New Roman"/>
                <w:sz w:val="16"/>
                <w:szCs w:val="16"/>
              </w:rPr>
            </w:pPr>
          </w:p>
        </w:tc>
        <w:tc>
          <w:tcPr>
            <w:tcW w:w="445" w:type="pct"/>
            <w:shd w:val="clear" w:color="auto" w:fill="auto"/>
            <w:noWrap/>
            <w:vAlign w:val="center"/>
            <w:hideMark/>
          </w:tcPr>
          <w:p w14:paraId="3CE06412"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076BE900"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51D64C09"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252FE77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39CF6CD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658E4452"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1DDFF90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(0.85)</w:t>
            </w:r>
          </w:p>
        </w:tc>
      </w:tr>
      <w:tr w:rsidR="00110509" w:rsidRPr="00D2080C" w14:paraId="4D9A314E" w14:textId="77777777" w:rsidTr="00110509">
        <w:trPr>
          <w:cantSplit/>
          <w:trHeight w:val="180"/>
          <w:jc w:val="center"/>
        </w:trPr>
        <w:tc>
          <w:tcPr>
            <w:tcW w:w="500" w:type="pct"/>
            <w:shd w:val="clear" w:color="auto" w:fill="auto"/>
            <w:noWrap/>
            <w:vAlign w:val="center"/>
            <w:hideMark/>
          </w:tcPr>
          <w:p w14:paraId="31923285"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NRTR</w:t>
            </w:r>
          </w:p>
        </w:tc>
        <w:tc>
          <w:tcPr>
            <w:tcW w:w="389" w:type="pct"/>
            <w:shd w:val="clear" w:color="auto" w:fill="auto"/>
            <w:noWrap/>
            <w:vAlign w:val="center"/>
            <w:hideMark/>
          </w:tcPr>
          <w:p w14:paraId="50A8F42E"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7CAC56B5"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(0.98)</w:t>
            </w:r>
          </w:p>
        </w:tc>
        <w:tc>
          <w:tcPr>
            <w:tcW w:w="390" w:type="pct"/>
            <w:shd w:val="clear" w:color="auto" w:fill="auto"/>
            <w:noWrap/>
            <w:vAlign w:val="center"/>
            <w:hideMark/>
          </w:tcPr>
          <w:p w14:paraId="7A876153" w14:textId="77777777" w:rsidR="00333AA3" w:rsidRPr="002B7F7D" w:rsidRDefault="00333AA3" w:rsidP="00333AA3">
            <w:pPr>
              <w:spacing w:after="0"/>
              <w:jc w:val="center"/>
              <w:rPr>
                <w:rFonts w:eastAsia="Times New Roman" w:cs="Times New Roman"/>
                <w:color w:val="000000"/>
                <w:sz w:val="16"/>
                <w:szCs w:val="16"/>
              </w:rPr>
            </w:pPr>
          </w:p>
        </w:tc>
        <w:tc>
          <w:tcPr>
            <w:tcW w:w="390" w:type="pct"/>
            <w:shd w:val="clear" w:color="auto" w:fill="auto"/>
            <w:noWrap/>
            <w:vAlign w:val="center"/>
            <w:hideMark/>
          </w:tcPr>
          <w:p w14:paraId="36ADABDB"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3FA6D064" w14:textId="77777777" w:rsidR="00333AA3" w:rsidRPr="002B7F7D" w:rsidRDefault="00333AA3" w:rsidP="00333AA3">
            <w:pPr>
              <w:spacing w:after="0"/>
              <w:jc w:val="center"/>
              <w:rPr>
                <w:rFonts w:eastAsia="Times New Roman" w:cs="Times New Roman"/>
                <w:sz w:val="16"/>
                <w:szCs w:val="16"/>
              </w:rPr>
            </w:pPr>
          </w:p>
        </w:tc>
        <w:tc>
          <w:tcPr>
            <w:tcW w:w="445" w:type="pct"/>
            <w:shd w:val="clear" w:color="auto" w:fill="auto"/>
            <w:noWrap/>
            <w:vAlign w:val="center"/>
            <w:hideMark/>
          </w:tcPr>
          <w:p w14:paraId="7D957261"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6951DC3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(0.96)</w:t>
            </w:r>
          </w:p>
        </w:tc>
        <w:tc>
          <w:tcPr>
            <w:tcW w:w="222" w:type="pct"/>
            <w:shd w:val="clear" w:color="auto" w:fill="auto"/>
            <w:noWrap/>
            <w:vAlign w:val="center"/>
            <w:hideMark/>
          </w:tcPr>
          <w:p w14:paraId="0479EFE4" w14:textId="77777777" w:rsidR="00333AA3" w:rsidRPr="002B7F7D" w:rsidRDefault="00333AA3" w:rsidP="00333AA3">
            <w:pPr>
              <w:spacing w:after="0"/>
              <w:jc w:val="center"/>
              <w:rPr>
                <w:rFonts w:eastAsia="Times New Roman" w:cs="Times New Roman"/>
                <w:color w:val="000000"/>
                <w:sz w:val="16"/>
                <w:szCs w:val="16"/>
              </w:rPr>
            </w:pPr>
          </w:p>
        </w:tc>
        <w:tc>
          <w:tcPr>
            <w:tcW w:w="444" w:type="pct"/>
            <w:shd w:val="clear" w:color="auto" w:fill="auto"/>
            <w:noWrap/>
            <w:vAlign w:val="center"/>
            <w:hideMark/>
          </w:tcPr>
          <w:p w14:paraId="54F4C35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4CF78FD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(0.95)</w:t>
            </w:r>
          </w:p>
        </w:tc>
        <w:tc>
          <w:tcPr>
            <w:tcW w:w="388" w:type="pct"/>
            <w:shd w:val="clear" w:color="auto" w:fill="auto"/>
            <w:noWrap/>
            <w:vAlign w:val="center"/>
            <w:hideMark/>
          </w:tcPr>
          <w:p w14:paraId="505608C4"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0F9B22F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(0.78)</w:t>
            </w:r>
          </w:p>
        </w:tc>
      </w:tr>
      <w:tr w:rsidR="00110509" w:rsidRPr="00D2080C" w14:paraId="4FBAAA19" w14:textId="77777777" w:rsidTr="00110509">
        <w:trPr>
          <w:cantSplit/>
          <w:trHeight w:val="144"/>
          <w:jc w:val="center"/>
        </w:trPr>
        <w:tc>
          <w:tcPr>
            <w:tcW w:w="500" w:type="pct"/>
            <w:shd w:val="clear" w:color="auto" w:fill="auto"/>
            <w:noWrap/>
            <w:vAlign w:val="center"/>
            <w:hideMark/>
          </w:tcPr>
          <w:p w14:paraId="2F625EAB"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STHR</w:t>
            </w:r>
          </w:p>
        </w:tc>
        <w:tc>
          <w:tcPr>
            <w:tcW w:w="389" w:type="pct"/>
            <w:shd w:val="clear" w:color="auto" w:fill="auto"/>
            <w:noWrap/>
            <w:vAlign w:val="center"/>
            <w:hideMark/>
          </w:tcPr>
          <w:p w14:paraId="6BD69E1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(0.77)</w:t>
            </w:r>
          </w:p>
        </w:tc>
        <w:tc>
          <w:tcPr>
            <w:tcW w:w="445" w:type="pct"/>
            <w:shd w:val="clear" w:color="auto" w:fill="auto"/>
            <w:noWrap/>
            <w:vAlign w:val="center"/>
            <w:hideMark/>
          </w:tcPr>
          <w:p w14:paraId="237B954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(0.95)</w:t>
            </w:r>
          </w:p>
        </w:tc>
        <w:tc>
          <w:tcPr>
            <w:tcW w:w="390" w:type="pct"/>
            <w:shd w:val="clear" w:color="auto" w:fill="auto"/>
            <w:noWrap/>
            <w:vAlign w:val="center"/>
            <w:hideMark/>
          </w:tcPr>
          <w:p w14:paraId="571A6BD4"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(0.82)</w:t>
            </w:r>
          </w:p>
        </w:tc>
        <w:tc>
          <w:tcPr>
            <w:tcW w:w="390" w:type="pct"/>
            <w:shd w:val="clear" w:color="auto" w:fill="auto"/>
            <w:noWrap/>
            <w:vAlign w:val="center"/>
            <w:hideMark/>
          </w:tcPr>
          <w:p w14:paraId="2BA79635"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(0.91)</w:t>
            </w:r>
          </w:p>
        </w:tc>
        <w:tc>
          <w:tcPr>
            <w:tcW w:w="222" w:type="pct"/>
            <w:shd w:val="clear" w:color="auto" w:fill="auto"/>
            <w:noWrap/>
            <w:vAlign w:val="center"/>
            <w:hideMark/>
          </w:tcPr>
          <w:p w14:paraId="573A4233"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710A7B49"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3A289AC7"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42C6967D"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57881D3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(0.98)</w:t>
            </w:r>
          </w:p>
        </w:tc>
        <w:tc>
          <w:tcPr>
            <w:tcW w:w="387" w:type="pct"/>
            <w:shd w:val="clear" w:color="auto" w:fill="auto"/>
            <w:noWrap/>
            <w:vAlign w:val="center"/>
            <w:hideMark/>
          </w:tcPr>
          <w:p w14:paraId="1BD59EB9"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(0.98)</w:t>
            </w:r>
          </w:p>
        </w:tc>
        <w:tc>
          <w:tcPr>
            <w:tcW w:w="388" w:type="pct"/>
            <w:shd w:val="clear" w:color="auto" w:fill="auto"/>
            <w:noWrap/>
            <w:vAlign w:val="center"/>
            <w:hideMark/>
          </w:tcPr>
          <w:p w14:paraId="6D36ED94"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(0.91)</w:t>
            </w:r>
          </w:p>
        </w:tc>
        <w:tc>
          <w:tcPr>
            <w:tcW w:w="387" w:type="pct"/>
            <w:shd w:val="clear" w:color="auto" w:fill="auto"/>
            <w:noWrap/>
            <w:vAlign w:val="center"/>
            <w:hideMark/>
          </w:tcPr>
          <w:p w14:paraId="6F4546D1" w14:textId="77777777" w:rsidR="00333AA3" w:rsidRPr="002B7F7D" w:rsidRDefault="00333AA3" w:rsidP="00333AA3">
            <w:pPr>
              <w:spacing w:after="0"/>
              <w:jc w:val="center"/>
              <w:rPr>
                <w:rFonts w:eastAsia="Times New Roman" w:cs="Times New Roman"/>
                <w:color w:val="000000"/>
                <w:sz w:val="16"/>
                <w:szCs w:val="16"/>
              </w:rPr>
            </w:pPr>
          </w:p>
        </w:tc>
      </w:tr>
      <w:tr w:rsidR="00110509" w:rsidRPr="00D2080C" w14:paraId="6D3C2806" w14:textId="77777777" w:rsidTr="00110509">
        <w:trPr>
          <w:cantSplit/>
          <w:trHeight w:val="288"/>
          <w:jc w:val="center"/>
        </w:trPr>
        <w:tc>
          <w:tcPr>
            <w:tcW w:w="500" w:type="pct"/>
            <w:shd w:val="clear" w:color="auto" w:fill="auto"/>
            <w:noWrap/>
            <w:vAlign w:val="center"/>
            <w:hideMark/>
          </w:tcPr>
          <w:p w14:paraId="471C69C2"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DSRS</w:t>
            </w:r>
          </w:p>
        </w:tc>
        <w:tc>
          <w:tcPr>
            <w:tcW w:w="389" w:type="pct"/>
            <w:shd w:val="clear" w:color="auto" w:fill="auto"/>
            <w:noWrap/>
            <w:vAlign w:val="center"/>
            <w:hideMark/>
          </w:tcPr>
          <w:p w14:paraId="281207CD"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56C21285"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6E4D6A5B"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(0.84)</w:t>
            </w:r>
          </w:p>
        </w:tc>
        <w:tc>
          <w:tcPr>
            <w:tcW w:w="390" w:type="pct"/>
            <w:shd w:val="clear" w:color="auto" w:fill="auto"/>
            <w:noWrap/>
            <w:vAlign w:val="center"/>
            <w:hideMark/>
          </w:tcPr>
          <w:p w14:paraId="2AF6106F"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(0.91)</w:t>
            </w:r>
          </w:p>
        </w:tc>
        <w:tc>
          <w:tcPr>
            <w:tcW w:w="222" w:type="pct"/>
            <w:shd w:val="clear" w:color="auto" w:fill="auto"/>
            <w:noWrap/>
            <w:vAlign w:val="center"/>
            <w:hideMark/>
          </w:tcPr>
          <w:p w14:paraId="3CE1310A"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262327BF"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2DB89F6F"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1EC91F05"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24B7D76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3BCFB3C2"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2A2FE06F"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09C1DCB1"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(0.90)</w:t>
            </w:r>
          </w:p>
        </w:tc>
      </w:tr>
      <w:tr w:rsidR="00110509" w:rsidRPr="00D2080C" w14:paraId="098ECFB9" w14:textId="77777777" w:rsidTr="00110509">
        <w:trPr>
          <w:cantSplit/>
          <w:trHeight w:val="162"/>
          <w:jc w:val="center"/>
        </w:trPr>
        <w:tc>
          <w:tcPr>
            <w:tcW w:w="500" w:type="pct"/>
            <w:shd w:val="clear" w:color="auto" w:fill="auto"/>
            <w:noWrap/>
            <w:vAlign w:val="center"/>
            <w:hideMark/>
          </w:tcPr>
          <w:p w14:paraId="37D85116"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GRTB</w:t>
            </w:r>
          </w:p>
        </w:tc>
        <w:tc>
          <w:tcPr>
            <w:tcW w:w="389" w:type="pct"/>
            <w:shd w:val="clear" w:color="auto" w:fill="auto"/>
            <w:noWrap/>
            <w:vAlign w:val="center"/>
            <w:hideMark/>
          </w:tcPr>
          <w:p w14:paraId="00AB89D8"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4FD3D692"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(0.96)</w:t>
            </w:r>
          </w:p>
        </w:tc>
        <w:tc>
          <w:tcPr>
            <w:tcW w:w="390" w:type="pct"/>
            <w:shd w:val="clear" w:color="auto" w:fill="auto"/>
            <w:noWrap/>
            <w:vAlign w:val="center"/>
            <w:hideMark/>
          </w:tcPr>
          <w:p w14:paraId="0CDB743D"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(0.66)</w:t>
            </w:r>
          </w:p>
        </w:tc>
        <w:tc>
          <w:tcPr>
            <w:tcW w:w="390" w:type="pct"/>
            <w:shd w:val="clear" w:color="auto" w:fill="auto"/>
            <w:noWrap/>
            <w:vAlign w:val="center"/>
            <w:hideMark/>
          </w:tcPr>
          <w:p w14:paraId="5A06F4E4"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(0.74)</w:t>
            </w:r>
          </w:p>
        </w:tc>
        <w:tc>
          <w:tcPr>
            <w:tcW w:w="222" w:type="pct"/>
            <w:shd w:val="clear" w:color="auto" w:fill="auto"/>
            <w:noWrap/>
            <w:vAlign w:val="center"/>
            <w:hideMark/>
          </w:tcPr>
          <w:p w14:paraId="57EDB986"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55F33CB2"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6F6C4B88" w14:textId="77777777" w:rsidR="00333AA3" w:rsidRPr="002B7F7D" w:rsidRDefault="00333AA3" w:rsidP="00333AA3">
            <w:pPr>
              <w:spacing w:after="0"/>
              <w:jc w:val="center"/>
              <w:rPr>
                <w:rFonts w:eastAsia="Times New Roman" w:cs="Times New Roman"/>
                <w:sz w:val="16"/>
                <w:szCs w:val="16"/>
              </w:rPr>
            </w:pPr>
          </w:p>
        </w:tc>
        <w:tc>
          <w:tcPr>
            <w:tcW w:w="222" w:type="pct"/>
            <w:shd w:val="clear" w:color="auto" w:fill="auto"/>
            <w:noWrap/>
            <w:vAlign w:val="center"/>
            <w:hideMark/>
          </w:tcPr>
          <w:p w14:paraId="289A9C90"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4E751967"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(0.98)</w:t>
            </w:r>
          </w:p>
        </w:tc>
        <w:tc>
          <w:tcPr>
            <w:tcW w:w="387" w:type="pct"/>
            <w:shd w:val="clear" w:color="auto" w:fill="auto"/>
            <w:noWrap/>
            <w:vAlign w:val="center"/>
            <w:hideMark/>
          </w:tcPr>
          <w:p w14:paraId="7D5C5D21"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(0.87)</w:t>
            </w:r>
          </w:p>
        </w:tc>
        <w:tc>
          <w:tcPr>
            <w:tcW w:w="388" w:type="pct"/>
            <w:shd w:val="clear" w:color="auto" w:fill="auto"/>
            <w:noWrap/>
            <w:vAlign w:val="center"/>
            <w:hideMark/>
          </w:tcPr>
          <w:p w14:paraId="5B6DBD96"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1C0F1469" w14:textId="77777777" w:rsidR="00333AA3" w:rsidRPr="002B7F7D" w:rsidRDefault="00333AA3" w:rsidP="00333AA3">
            <w:pPr>
              <w:spacing w:after="0"/>
              <w:jc w:val="center"/>
              <w:rPr>
                <w:rFonts w:eastAsia="Times New Roman" w:cs="Times New Roman"/>
                <w:sz w:val="16"/>
                <w:szCs w:val="16"/>
              </w:rPr>
            </w:pPr>
          </w:p>
        </w:tc>
      </w:tr>
      <w:tr w:rsidR="00110509" w:rsidRPr="00D2080C" w14:paraId="475B0107" w14:textId="77777777" w:rsidTr="00110509">
        <w:trPr>
          <w:cantSplit/>
          <w:trHeight w:val="207"/>
          <w:jc w:val="center"/>
        </w:trPr>
        <w:tc>
          <w:tcPr>
            <w:tcW w:w="500" w:type="pct"/>
            <w:shd w:val="clear" w:color="auto" w:fill="auto"/>
            <w:noWrap/>
            <w:vAlign w:val="center"/>
            <w:hideMark/>
          </w:tcPr>
          <w:p w14:paraId="46C39BF0"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PCFN</w:t>
            </w:r>
          </w:p>
        </w:tc>
        <w:tc>
          <w:tcPr>
            <w:tcW w:w="389" w:type="pct"/>
            <w:shd w:val="clear" w:color="auto" w:fill="auto"/>
            <w:noWrap/>
            <w:vAlign w:val="center"/>
            <w:hideMark/>
          </w:tcPr>
          <w:p w14:paraId="594214B6"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572171B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(0.95)</w:t>
            </w:r>
          </w:p>
        </w:tc>
        <w:tc>
          <w:tcPr>
            <w:tcW w:w="390" w:type="pct"/>
            <w:shd w:val="clear" w:color="auto" w:fill="auto"/>
            <w:noWrap/>
            <w:vAlign w:val="center"/>
            <w:hideMark/>
          </w:tcPr>
          <w:p w14:paraId="391567E1" w14:textId="77777777" w:rsidR="00333AA3" w:rsidRPr="002B7F7D" w:rsidRDefault="00333AA3" w:rsidP="00333AA3">
            <w:pPr>
              <w:spacing w:after="0"/>
              <w:jc w:val="center"/>
              <w:rPr>
                <w:rFonts w:eastAsia="Times New Roman" w:cs="Times New Roman"/>
                <w:color w:val="000000"/>
                <w:sz w:val="16"/>
                <w:szCs w:val="16"/>
              </w:rPr>
            </w:pPr>
          </w:p>
        </w:tc>
        <w:tc>
          <w:tcPr>
            <w:tcW w:w="390" w:type="pct"/>
            <w:shd w:val="clear" w:color="auto" w:fill="auto"/>
            <w:noWrap/>
            <w:vAlign w:val="center"/>
            <w:hideMark/>
          </w:tcPr>
          <w:p w14:paraId="053F051F"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(0.92)</w:t>
            </w:r>
          </w:p>
        </w:tc>
        <w:tc>
          <w:tcPr>
            <w:tcW w:w="222" w:type="pct"/>
            <w:shd w:val="clear" w:color="auto" w:fill="auto"/>
            <w:noWrap/>
            <w:vAlign w:val="center"/>
            <w:hideMark/>
          </w:tcPr>
          <w:p w14:paraId="5DB43CB1"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6689489C" w14:textId="77777777" w:rsidR="00333AA3" w:rsidRPr="002B7F7D" w:rsidRDefault="00333AA3" w:rsidP="00333AA3">
            <w:pPr>
              <w:spacing w:after="0"/>
              <w:jc w:val="center"/>
              <w:rPr>
                <w:rFonts w:eastAsia="Times New Roman" w:cs="Times New Roman"/>
                <w:sz w:val="16"/>
                <w:szCs w:val="16"/>
              </w:rPr>
            </w:pPr>
          </w:p>
        </w:tc>
        <w:tc>
          <w:tcPr>
            <w:tcW w:w="390" w:type="pct"/>
            <w:shd w:val="clear" w:color="auto" w:fill="auto"/>
            <w:noWrap/>
            <w:vAlign w:val="center"/>
            <w:hideMark/>
          </w:tcPr>
          <w:p w14:paraId="3BB3819B"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(0.98)</w:t>
            </w:r>
          </w:p>
        </w:tc>
        <w:tc>
          <w:tcPr>
            <w:tcW w:w="222" w:type="pct"/>
            <w:shd w:val="clear" w:color="auto" w:fill="auto"/>
            <w:noWrap/>
            <w:vAlign w:val="center"/>
            <w:hideMark/>
          </w:tcPr>
          <w:p w14:paraId="707FF797" w14:textId="77777777" w:rsidR="00333AA3" w:rsidRPr="002B7F7D" w:rsidRDefault="00333AA3" w:rsidP="00333AA3">
            <w:pPr>
              <w:spacing w:after="0"/>
              <w:jc w:val="center"/>
              <w:rPr>
                <w:rFonts w:eastAsia="Times New Roman" w:cs="Times New Roman"/>
                <w:color w:val="000000"/>
                <w:sz w:val="16"/>
                <w:szCs w:val="16"/>
              </w:rPr>
            </w:pPr>
          </w:p>
        </w:tc>
        <w:tc>
          <w:tcPr>
            <w:tcW w:w="444" w:type="pct"/>
            <w:shd w:val="clear" w:color="auto" w:fill="auto"/>
            <w:noWrap/>
            <w:vAlign w:val="center"/>
            <w:hideMark/>
          </w:tcPr>
          <w:p w14:paraId="784A455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(1.00)</w:t>
            </w:r>
          </w:p>
        </w:tc>
        <w:tc>
          <w:tcPr>
            <w:tcW w:w="387" w:type="pct"/>
            <w:shd w:val="clear" w:color="auto" w:fill="auto"/>
            <w:noWrap/>
            <w:vAlign w:val="center"/>
            <w:hideMark/>
          </w:tcPr>
          <w:p w14:paraId="5453844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(0.98)</w:t>
            </w:r>
          </w:p>
        </w:tc>
        <w:tc>
          <w:tcPr>
            <w:tcW w:w="388" w:type="pct"/>
            <w:shd w:val="clear" w:color="auto" w:fill="auto"/>
            <w:noWrap/>
            <w:vAlign w:val="center"/>
            <w:hideMark/>
          </w:tcPr>
          <w:p w14:paraId="230792DB" w14:textId="77777777" w:rsidR="00333AA3" w:rsidRPr="002B7F7D" w:rsidRDefault="00333AA3" w:rsidP="00333AA3">
            <w:pPr>
              <w:spacing w:after="0"/>
              <w:jc w:val="center"/>
              <w:rPr>
                <w:rFonts w:eastAsia="Times New Roman" w:cs="Times New Roman"/>
                <w:color w:val="000000"/>
                <w:sz w:val="16"/>
                <w:szCs w:val="16"/>
              </w:rPr>
            </w:pPr>
          </w:p>
        </w:tc>
        <w:tc>
          <w:tcPr>
            <w:tcW w:w="387" w:type="pct"/>
            <w:shd w:val="clear" w:color="auto" w:fill="auto"/>
            <w:noWrap/>
            <w:vAlign w:val="center"/>
            <w:hideMark/>
          </w:tcPr>
          <w:p w14:paraId="7499B253"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(0.79)</w:t>
            </w:r>
          </w:p>
        </w:tc>
      </w:tr>
      <w:tr w:rsidR="00110509" w:rsidRPr="00D2080C" w14:paraId="7A182186" w14:textId="77777777" w:rsidTr="00110509">
        <w:trPr>
          <w:cantSplit/>
          <w:trHeight w:val="261"/>
          <w:jc w:val="center"/>
        </w:trPr>
        <w:tc>
          <w:tcPr>
            <w:tcW w:w="500" w:type="pct"/>
            <w:shd w:val="clear" w:color="auto" w:fill="auto"/>
            <w:noWrap/>
            <w:vAlign w:val="center"/>
            <w:hideMark/>
          </w:tcPr>
          <w:p w14:paraId="09435285" w14:textId="77777777" w:rsidR="00333AA3" w:rsidRPr="002B7F7D" w:rsidRDefault="00333AA3" w:rsidP="00110509">
            <w:pPr>
              <w:spacing w:after="0"/>
              <w:jc w:val="center"/>
              <w:rPr>
                <w:rFonts w:eastAsia="Times New Roman" w:cs="Times New Roman"/>
                <w:color w:val="000000"/>
                <w:sz w:val="16"/>
                <w:szCs w:val="16"/>
              </w:rPr>
            </w:pPr>
            <w:r w:rsidRPr="002B7F7D">
              <w:rPr>
                <w:rFonts w:eastAsia="Times New Roman" w:cs="Times New Roman"/>
                <w:color w:val="000000"/>
                <w:sz w:val="16"/>
                <w:szCs w:val="16"/>
              </w:rPr>
              <w:t>PCFS</w:t>
            </w:r>
          </w:p>
        </w:tc>
        <w:tc>
          <w:tcPr>
            <w:tcW w:w="389" w:type="pct"/>
            <w:shd w:val="clear" w:color="auto" w:fill="auto"/>
            <w:noWrap/>
            <w:vAlign w:val="center"/>
            <w:hideMark/>
          </w:tcPr>
          <w:p w14:paraId="76C17E26"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78115CBB"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(0.99)</w:t>
            </w:r>
          </w:p>
        </w:tc>
        <w:tc>
          <w:tcPr>
            <w:tcW w:w="390" w:type="pct"/>
            <w:shd w:val="clear" w:color="auto" w:fill="auto"/>
            <w:noWrap/>
            <w:vAlign w:val="center"/>
            <w:hideMark/>
          </w:tcPr>
          <w:p w14:paraId="4D1F658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(0.93)</w:t>
            </w:r>
          </w:p>
        </w:tc>
        <w:tc>
          <w:tcPr>
            <w:tcW w:w="390" w:type="pct"/>
            <w:shd w:val="clear" w:color="auto" w:fill="auto"/>
            <w:noWrap/>
            <w:vAlign w:val="center"/>
            <w:hideMark/>
          </w:tcPr>
          <w:p w14:paraId="48879030"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LIN (0.89)</w:t>
            </w:r>
          </w:p>
        </w:tc>
        <w:tc>
          <w:tcPr>
            <w:tcW w:w="222" w:type="pct"/>
            <w:shd w:val="clear" w:color="auto" w:fill="auto"/>
            <w:noWrap/>
            <w:vAlign w:val="center"/>
            <w:hideMark/>
          </w:tcPr>
          <w:p w14:paraId="13B36399" w14:textId="77777777" w:rsidR="00333AA3" w:rsidRPr="002B7F7D" w:rsidRDefault="00333AA3" w:rsidP="00333AA3">
            <w:pPr>
              <w:spacing w:after="0"/>
              <w:jc w:val="center"/>
              <w:rPr>
                <w:rFonts w:eastAsia="Times New Roman" w:cs="Times New Roman"/>
                <w:color w:val="000000"/>
                <w:sz w:val="16"/>
                <w:szCs w:val="16"/>
              </w:rPr>
            </w:pPr>
          </w:p>
        </w:tc>
        <w:tc>
          <w:tcPr>
            <w:tcW w:w="445" w:type="pct"/>
            <w:shd w:val="clear" w:color="auto" w:fill="auto"/>
            <w:noWrap/>
            <w:vAlign w:val="center"/>
            <w:hideMark/>
          </w:tcPr>
          <w:p w14:paraId="6400961C"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(0.91)</w:t>
            </w:r>
          </w:p>
        </w:tc>
        <w:tc>
          <w:tcPr>
            <w:tcW w:w="390" w:type="pct"/>
            <w:shd w:val="clear" w:color="auto" w:fill="auto"/>
            <w:noWrap/>
            <w:vAlign w:val="center"/>
            <w:hideMark/>
          </w:tcPr>
          <w:p w14:paraId="058B8C7D" w14:textId="77777777" w:rsidR="00333AA3" w:rsidRPr="002B7F7D" w:rsidRDefault="00333AA3" w:rsidP="00333AA3">
            <w:pPr>
              <w:spacing w:after="0"/>
              <w:jc w:val="center"/>
              <w:rPr>
                <w:rFonts w:eastAsia="Times New Roman" w:cs="Times New Roman"/>
                <w:color w:val="000000"/>
                <w:sz w:val="16"/>
                <w:szCs w:val="16"/>
              </w:rPr>
            </w:pPr>
          </w:p>
        </w:tc>
        <w:tc>
          <w:tcPr>
            <w:tcW w:w="222" w:type="pct"/>
            <w:shd w:val="clear" w:color="auto" w:fill="auto"/>
            <w:noWrap/>
            <w:vAlign w:val="center"/>
            <w:hideMark/>
          </w:tcPr>
          <w:p w14:paraId="5599427E" w14:textId="77777777" w:rsidR="00333AA3" w:rsidRPr="002B7F7D" w:rsidRDefault="00333AA3" w:rsidP="00333AA3">
            <w:pPr>
              <w:spacing w:after="0"/>
              <w:jc w:val="center"/>
              <w:rPr>
                <w:rFonts w:eastAsia="Times New Roman" w:cs="Times New Roman"/>
                <w:sz w:val="16"/>
                <w:szCs w:val="16"/>
              </w:rPr>
            </w:pPr>
          </w:p>
        </w:tc>
        <w:tc>
          <w:tcPr>
            <w:tcW w:w="444" w:type="pct"/>
            <w:shd w:val="clear" w:color="auto" w:fill="auto"/>
            <w:noWrap/>
            <w:vAlign w:val="center"/>
            <w:hideMark/>
          </w:tcPr>
          <w:p w14:paraId="7398C69E"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7" w:type="pct"/>
            <w:shd w:val="clear" w:color="auto" w:fill="auto"/>
            <w:noWrap/>
            <w:vAlign w:val="center"/>
            <w:hideMark/>
          </w:tcPr>
          <w:p w14:paraId="47089C5A"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LOG (0.99)</w:t>
            </w:r>
          </w:p>
        </w:tc>
        <w:tc>
          <w:tcPr>
            <w:tcW w:w="388" w:type="pct"/>
            <w:shd w:val="clear" w:color="auto" w:fill="auto"/>
            <w:noWrap/>
            <w:vAlign w:val="center"/>
            <w:hideMark/>
          </w:tcPr>
          <w:p w14:paraId="3062F366" w14:textId="77777777" w:rsidR="00333AA3" w:rsidRPr="002B7F7D" w:rsidRDefault="00333AA3" w:rsidP="00333AA3">
            <w:pPr>
              <w:spacing w:after="0"/>
              <w:jc w:val="center"/>
              <w:rPr>
                <w:rFonts w:eastAsia="Times New Roman" w:cs="Times New Roman"/>
                <w:color w:val="000000"/>
                <w:sz w:val="16"/>
                <w:szCs w:val="16"/>
              </w:rPr>
            </w:pPr>
            <w:r w:rsidRPr="002B7F7D">
              <w:rPr>
                <w:rFonts w:eastAsia="Times New Roman" w:cs="Times New Roman"/>
                <w:color w:val="000000"/>
                <w:sz w:val="16"/>
                <w:szCs w:val="16"/>
              </w:rPr>
              <w:t>PWR (0.92)</w:t>
            </w:r>
          </w:p>
        </w:tc>
        <w:tc>
          <w:tcPr>
            <w:tcW w:w="387" w:type="pct"/>
            <w:shd w:val="clear" w:color="auto" w:fill="auto"/>
            <w:noWrap/>
            <w:vAlign w:val="center"/>
            <w:hideMark/>
          </w:tcPr>
          <w:p w14:paraId="5F206D90" w14:textId="77777777" w:rsidR="00333AA3" w:rsidRPr="002B7F7D" w:rsidRDefault="00333AA3" w:rsidP="00333AA3">
            <w:pPr>
              <w:spacing w:after="0"/>
              <w:jc w:val="center"/>
              <w:rPr>
                <w:rFonts w:eastAsia="Times New Roman" w:cs="Times New Roman"/>
                <w:color w:val="000000"/>
                <w:sz w:val="16"/>
                <w:szCs w:val="16"/>
              </w:rPr>
            </w:pPr>
          </w:p>
        </w:tc>
      </w:tr>
    </w:tbl>
    <w:p w14:paraId="0ACB0752" w14:textId="77777777" w:rsidR="00333AA3" w:rsidRDefault="00333AA3" w:rsidP="00333AA3">
      <w:pPr>
        <w:spacing w:after="0"/>
        <w:rPr>
          <w:rFonts w:ascii="Calibri" w:eastAsia="Times New Roman" w:hAnsi="Calibri" w:cs="Calibri"/>
          <w:color w:val="000000"/>
        </w:rPr>
        <w:sectPr w:rsidR="00333AA3" w:rsidSect="00F716D3">
          <w:pgSz w:w="12240" w:h="15840"/>
          <w:pgMar w:top="1440" w:right="1440" w:bottom="1440" w:left="1440" w:header="720" w:footer="720" w:gutter="0"/>
          <w:cols w:space="720"/>
          <w:docGrid w:linePitch="360"/>
        </w:sectPr>
      </w:pPr>
    </w:p>
    <w:p w14:paraId="29E48F29" w14:textId="7C9F9812" w:rsidR="00333AA3" w:rsidRDefault="001249BB" w:rsidP="001249BB">
      <w:pPr>
        <w:pStyle w:val="Caption"/>
        <w:rPr>
          <w:rFonts w:cs="Times New Roman"/>
          <w:szCs w:val="24"/>
        </w:rPr>
      </w:pPr>
      <w:bookmarkStart w:id="107" w:name="_Toc60480697"/>
      <w:bookmarkStart w:id="108" w:name="_Toc61883063"/>
      <w:r>
        <w:lastRenderedPageBreak/>
        <w:t xml:space="preserve">Table </w:t>
      </w:r>
      <w:fldSimple w:instr=" STYLEREF 1 \s ">
        <w:r w:rsidR="000C6138">
          <w:rPr>
            <w:noProof/>
          </w:rPr>
          <w:t>4</w:t>
        </w:r>
      </w:fldSimple>
      <w:r w:rsidR="004F311A">
        <w:t>.</w:t>
      </w:r>
      <w:fldSimple w:instr=" SEQ Table \* ARABIC \s 1 ">
        <w:r w:rsidR="000C6138">
          <w:rPr>
            <w:noProof/>
          </w:rPr>
          <w:t>4</w:t>
        </w:r>
      </w:fldSimple>
      <w:r>
        <w:rPr>
          <w:rFonts w:cs="Times New Roman"/>
          <w:szCs w:val="24"/>
        </w:rPr>
        <w:t>.</w:t>
      </w:r>
      <w:r w:rsidR="00333AA3">
        <w:rPr>
          <w:rFonts w:cs="Times New Roman"/>
          <w:szCs w:val="24"/>
        </w:rPr>
        <w:t xml:space="preserve"> The hydrologic, geomorphologic and climate variables with the highest contribution to dissimilarity among </w:t>
      </w:r>
      <w:proofErr w:type="spellStart"/>
      <w:r w:rsidR="00333AA3">
        <w:rPr>
          <w:rFonts w:cs="Times New Roman"/>
          <w:szCs w:val="24"/>
        </w:rPr>
        <w:t>hydrogeomorphic</w:t>
      </w:r>
      <w:proofErr w:type="spellEnd"/>
      <w:r w:rsidR="00333AA3">
        <w:rPr>
          <w:rFonts w:cs="Times New Roman"/>
          <w:szCs w:val="24"/>
        </w:rPr>
        <w:t xml:space="preserve"> patch types. Definitions for variables provided in Table 2.</w:t>
      </w:r>
      <w:bookmarkEnd w:id="107"/>
      <w:bookmarkEnd w:id="108"/>
      <w:r w:rsidR="00333AA3">
        <w:rPr>
          <w:rFonts w:cs="Times New Roman"/>
          <w:szCs w:val="24"/>
        </w:rPr>
        <w:t xml:space="preserve"> </w:t>
      </w:r>
    </w:p>
    <w:tbl>
      <w:tblPr>
        <w:tblW w:w="0" w:type="auto"/>
        <w:tblLayout w:type="fixed"/>
        <w:tblLook w:val="04A0" w:firstRow="1" w:lastRow="0" w:firstColumn="1" w:lastColumn="0" w:noHBand="0" w:noVBand="1"/>
      </w:tblPr>
      <w:tblGrid>
        <w:gridCol w:w="2119"/>
        <w:gridCol w:w="723"/>
        <w:gridCol w:w="869"/>
        <w:gridCol w:w="969"/>
        <w:gridCol w:w="1350"/>
        <w:gridCol w:w="900"/>
        <w:gridCol w:w="630"/>
        <w:gridCol w:w="720"/>
        <w:gridCol w:w="1080"/>
        <w:gridCol w:w="990"/>
        <w:gridCol w:w="720"/>
        <w:gridCol w:w="900"/>
      </w:tblGrid>
      <w:tr w:rsidR="00110509" w:rsidRPr="00104050" w14:paraId="04128FC2" w14:textId="77777777" w:rsidTr="00110509">
        <w:trPr>
          <w:trHeight w:val="300"/>
        </w:trPr>
        <w:tc>
          <w:tcPr>
            <w:tcW w:w="2119" w:type="dxa"/>
            <w:tcBorders>
              <w:bottom w:val="single" w:sz="4" w:space="0" w:color="auto"/>
            </w:tcBorders>
            <w:shd w:val="clear" w:color="auto" w:fill="auto"/>
            <w:noWrap/>
            <w:vAlign w:val="center"/>
            <w:hideMark/>
          </w:tcPr>
          <w:p w14:paraId="4054DE7A" w14:textId="77777777" w:rsidR="00333AA3" w:rsidRPr="00110509" w:rsidRDefault="00333AA3" w:rsidP="00333AA3">
            <w:pPr>
              <w:spacing w:after="0"/>
              <w:jc w:val="center"/>
              <w:rPr>
                <w:rFonts w:eastAsia="Times New Roman" w:cs="Times New Roman"/>
                <w:b/>
                <w:color w:val="000000"/>
                <w:sz w:val="20"/>
                <w:szCs w:val="20"/>
              </w:rPr>
            </w:pPr>
            <w:r w:rsidRPr="00110509">
              <w:rPr>
                <w:rFonts w:eastAsia="Times New Roman" w:cs="Times New Roman"/>
                <w:b/>
                <w:color w:val="000000"/>
                <w:sz w:val="20"/>
                <w:szCs w:val="20"/>
              </w:rPr>
              <w:t>NEON</w:t>
            </w:r>
          </w:p>
          <w:p w14:paraId="12E7CC35" w14:textId="77777777" w:rsidR="00333AA3" w:rsidRPr="00110509" w:rsidRDefault="00333AA3" w:rsidP="00333AA3">
            <w:pPr>
              <w:spacing w:after="0"/>
              <w:jc w:val="center"/>
              <w:rPr>
                <w:rFonts w:eastAsia="Times New Roman" w:cs="Times New Roman"/>
                <w:b/>
                <w:color w:val="000000"/>
                <w:sz w:val="20"/>
                <w:szCs w:val="20"/>
              </w:rPr>
            </w:pPr>
            <w:r w:rsidRPr="00110509">
              <w:rPr>
                <w:rFonts w:eastAsia="Times New Roman" w:cs="Times New Roman"/>
                <w:b/>
                <w:color w:val="000000"/>
                <w:sz w:val="20"/>
                <w:szCs w:val="20"/>
              </w:rPr>
              <w:t>Domain</w:t>
            </w:r>
          </w:p>
        </w:tc>
        <w:tc>
          <w:tcPr>
            <w:tcW w:w="723" w:type="dxa"/>
            <w:tcBorders>
              <w:bottom w:val="single" w:sz="4" w:space="0" w:color="auto"/>
            </w:tcBorders>
            <w:shd w:val="clear" w:color="auto" w:fill="auto"/>
            <w:noWrap/>
            <w:vAlign w:val="center"/>
            <w:hideMark/>
          </w:tcPr>
          <w:p w14:paraId="6191D795" w14:textId="77777777" w:rsidR="00333AA3" w:rsidRPr="00110509" w:rsidRDefault="00333AA3" w:rsidP="00333AA3">
            <w:pPr>
              <w:spacing w:after="0"/>
              <w:jc w:val="center"/>
              <w:rPr>
                <w:rFonts w:eastAsia="Times New Roman" w:cs="Times New Roman"/>
                <w:b/>
                <w:color w:val="000000"/>
                <w:sz w:val="20"/>
                <w:szCs w:val="20"/>
              </w:rPr>
            </w:pPr>
            <w:r w:rsidRPr="00110509">
              <w:rPr>
                <w:rFonts w:eastAsia="Times New Roman" w:cs="Times New Roman"/>
                <w:b/>
                <w:color w:val="000000"/>
                <w:sz w:val="20"/>
                <w:szCs w:val="20"/>
              </w:rPr>
              <w:t>HGP (#)</w:t>
            </w:r>
          </w:p>
        </w:tc>
        <w:tc>
          <w:tcPr>
            <w:tcW w:w="869" w:type="dxa"/>
            <w:tcBorders>
              <w:bottom w:val="single" w:sz="4" w:space="0" w:color="auto"/>
            </w:tcBorders>
            <w:shd w:val="clear" w:color="auto" w:fill="auto"/>
            <w:noWrap/>
            <w:vAlign w:val="center"/>
            <w:hideMark/>
          </w:tcPr>
          <w:p w14:paraId="3308502A" w14:textId="77777777" w:rsidR="00333AA3" w:rsidRPr="00110509" w:rsidRDefault="00333AA3" w:rsidP="00333AA3">
            <w:pPr>
              <w:spacing w:after="0"/>
              <w:jc w:val="center"/>
              <w:rPr>
                <w:rFonts w:eastAsia="Times New Roman" w:cs="Times New Roman"/>
                <w:b/>
                <w:color w:val="000000"/>
                <w:sz w:val="20"/>
                <w:szCs w:val="20"/>
              </w:rPr>
            </w:pPr>
            <w:r w:rsidRPr="00110509">
              <w:rPr>
                <w:rFonts w:eastAsia="Times New Roman" w:cs="Times New Roman"/>
                <w:b/>
                <w:color w:val="000000"/>
                <w:sz w:val="20"/>
                <w:szCs w:val="20"/>
              </w:rPr>
              <w:t>Global  R*</w:t>
            </w:r>
          </w:p>
        </w:tc>
        <w:tc>
          <w:tcPr>
            <w:tcW w:w="969" w:type="dxa"/>
            <w:tcBorders>
              <w:bottom w:val="single" w:sz="4" w:space="0" w:color="auto"/>
            </w:tcBorders>
            <w:shd w:val="clear" w:color="auto" w:fill="auto"/>
            <w:noWrap/>
            <w:vAlign w:val="center"/>
            <w:hideMark/>
          </w:tcPr>
          <w:p w14:paraId="60F81759" w14:textId="77777777" w:rsidR="00333AA3" w:rsidRPr="00110509" w:rsidRDefault="00333AA3" w:rsidP="00333AA3">
            <w:pPr>
              <w:spacing w:after="0"/>
              <w:jc w:val="center"/>
              <w:rPr>
                <w:rFonts w:eastAsia="Times New Roman" w:cs="Times New Roman"/>
                <w:color w:val="000000"/>
                <w:sz w:val="20"/>
                <w:szCs w:val="20"/>
              </w:rPr>
            </w:pPr>
            <w:r w:rsidRPr="00110509">
              <w:rPr>
                <w:rFonts w:cs="Times New Roman"/>
                <w:b/>
                <w:sz w:val="20"/>
                <w:szCs w:val="20"/>
              </w:rPr>
              <w:t>Erosion Factor</w:t>
            </w:r>
          </w:p>
        </w:tc>
        <w:tc>
          <w:tcPr>
            <w:tcW w:w="1350" w:type="dxa"/>
            <w:tcBorders>
              <w:bottom w:val="single" w:sz="4" w:space="0" w:color="auto"/>
            </w:tcBorders>
            <w:shd w:val="clear" w:color="auto" w:fill="auto"/>
            <w:noWrap/>
            <w:vAlign w:val="center"/>
            <w:hideMark/>
          </w:tcPr>
          <w:p w14:paraId="28A4A519"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Valley-Floor Ratio</w:t>
            </w:r>
          </w:p>
        </w:tc>
        <w:tc>
          <w:tcPr>
            <w:tcW w:w="900" w:type="dxa"/>
            <w:tcBorders>
              <w:bottom w:val="single" w:sz="4" w:space="0" w:color="auto"/>
            </w:tcBorders>
            <w:shd w:val="clear" w:color="auto" w:fill="auto"/>
            <w:noWrap/>
            <w:vAlign w:val="center"/>
            <w:hideMark/>
          </w:tcPr>
          <w:p w14:paraId="4F5E7BE9"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 xml:space="preserve">Ann. </w:t>
            </w:r>
            <w:proofErr w:type="spellStart"/>
            <w:r w:rsidRPr="00110509">
              <w:rPr>
                <w:rFonts w:eastAsia="Times New Roman" w:cs="Times New Roman"/>
                <w:b/>
                <w:color w:val="000000"/>
                <w:sz w:val="20"/>
                <w:szCs w:val="20"/>
              </w:rPr>
              <w:t>Precip</w:t>
            </w:r>
            <w:proofErr w:type="spellEnd"/>
            <w:r w:rsidRPr="00110509">
              <w:rPr>
                <w:rFonts w:eastAsia="Times New Roman" w:cs="Times New Roman"/>
                <w:b/>
                <w:color w:val="000000"/>
                <w:sz w:val="20"/>
                <w:szCs w:val="20"/>
              </w:rPr>
              <w:t>.</w:t>
            </w:r>
          </w:p>
        </w:tc>
        <w:tc>
          <w:tcPr>
            <w:tcW w:w="630" w:type="dxa"/>
            <w:tcBorders>
              <w:bottom w:val="single" w:sz="4" w:space="0" w:color="auto"/>
            </w:tcBorders>
            <w:shd w:val="clear" w:color="auto" w:fill="auto"/>
            <w:noWrap/>
            <w:vAlign w:val="center"/>
            <w:hideMark/>
          </w:tcPr>
          <w:p w14:paraId="76C46C96"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Soil pH</w:t>
            </w:r>
          </w:p>
        </w:tc>
        <w:tc>
          <w:tcPr>
            <w:tcW w:w="720" w:type="dxa"/>
            <w:tcBorders>
              <w:bottom w:val="single" w:sz="4" w:space="0" w:color="auto"/>
            </w:tcBorders>
            <w:shd w:val="clear" w:color="auto" w:fill="auto"/>
            <w:noWrap/>
            <w:vAlign w:val="center"/>
            <w:hideMark/>
          </w:tcPr>
          <w:p w14:paraId="6886B99D"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Ann. Temp</w:t>
            </w:r>
          </w:p>
        </w:tc>
        <w:tc>
          <w:tcPr>
            <w:tcW w:w="1080" w:type="dxa"/>
            <w:tcBorders>
              <w:bottom w:val="single" w:sz="4" w:space="0" w:color="auto"/>
            </w:tcBorders>
            <w:shd w:val="clear" w:color="auto" w:fill="auto"/>
            <w:noWrap/>
            <w:vAlign w:val="center"/>
            <w:hideMark/>
          </w:tcPr>
          <w:p w14:paraId="138BB77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Mean Meander Length</w:t>
            </w:r>
          </w:p>
        </w:tc>
        <w:tc>
          <w:tcPr>
            <w:tcW w:w="990" w:type="dxa"/>
            <w:tcBorders>
              <w:bottom w:val="single" w:sz="4" w:space="0" w:color="auto"/>
            </w:tcBorders>
            <w:shd w:val="clear" w:color="auto" w:fill="auto"/>
            <w:noWrap/>
            <w:vAlign w:val="center"/>
            <w:hideMark/>
          </w:tcPr>
          <w:p w14:paraId="72094A1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Bedrock Depth</w:t>
            </w:r>
          </w:p>
        </w:tc>
        <w:tc>
          <w:tcPr>
            <w:tcW w:w="720" w:type="dxa"/>
            <w:tcBorders>
              <w:bottom w:val="single" w:sz="4" w:space="0" w:color="auto"/>
            </w:tcBorders>
            <w:shd w:val="clear" w:color="auto" w:fill="auto"/>
            <w:noWrap/>
            <w:vAlign w:val="center"/>
            <w:hideMark/>
          </w:tcPr>
          <w:p w14:paraId="696CE8C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Elev.</w:t>
            </w:r>
          </w:p>
        </w:tc>
        <w:tc>
          <w:tcPr>
            <w:tcW w:w="900" w:type="dxa"/>
            <w:tcBorders>
              <w:bottom w:val="single" w:sz="4" w:space="0" w:color="auto"/>
            </w:tcBorders>
            <w:shd w:val="clear" w:color="auto" w:fill="auto"/>
            <w:noWrap/>
            <w:vAlign w:val="center"/>
            <w:hideMark/>
          </w:tcPr>
          <w:p w14:paraId="122A83E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b/>
                <w:color w:val="000000"/>
                <w:sz w:val="20"/>
                <w:szCs w:val="20"/>
              </w:rPr>
              <w:t>Valley Slope</w:t>
            </w:r>
          </w:p>
        </w:tc>
      </w:tr>
      <w:tr w:rsidR="00110509" w:rsidRPr="00104050" w14:paraId="18F429A2" w14:textId="77777777" w:rsidTr="00110509">
        <w:trPr>
          <w:trHeight w:val="300"/>
        </w:trPr>
        <w:tc>
          <w:tcPr>
            <w:tcW w:w="2119" w:type="dxa"/>
            <w:tcBorders>
              <w:top w:val="single" w:sz="4" w:space="0" w:color="auto"/>
            </w:tcBorders>
            <w:shd w:val="clear" w:color="auto" w:fill="auto"/>
            <w:noWrap/>
            <w:vAlign w:val="center"/>
            <w:hideMark/>
          </w:tcPr>
          <w:p w14:paraId="5721B55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Northeast</w:t>
            </w:r>
          </w:p>
        </w:tc>
        <w:tc>
          <w:tcPr>
            <w:tcW w:w="723" w:type="dxa"/>
            <w:tcBorders>
              <w:top w:val="single" w:sz="4" w:space="0" w:color="auto"/>
            </w:tcBorders>
            <w:shd w:val="clear" w:color="auto" w:fill="auto"/>
            <w:noWrap/>
            <w:vAlign w:val="center"/>
            <w:hideMark/>
          </w:tcPr>
          <w:p w14:paraId="4337408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tcBorders>
              <w:top w:val="single" w:sz="4" w:space="0" w:color="auto"/>
            </w:tcBorders>
            <w:shd w:val="clear" w:color="auto" w:fill="auto"/>
            <w:noWrap/>
            <w:vAlign w:val="center"/>
            <w:hideMark/>
          </w:tcPr>
          <w:p w14:paraId="39B30DB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0.50</w:t>
            </w:r>
          </w:p>
        </w:tc>
        <w:tc>
          <w:tcPr>
            <w:tcW w:w="969" w:type="dxa"/>
            <w:tcBorders>
              <w:top w:val="single" w:sz="4" w:space="0" w:color="auto"/>
            </w:tcBorders>
            <w:shd w:val="clear" w:color="auto" w:fill="auto"/>
            <w:noWrap/>
            <w:vAlign w:val="center"/>
            <w:hideMark/>
          </w:tcPr>
          <w:p w14:paraId="25216EA3" w14:textId="77777777" w:rsidR="00333AA3" w:rsidRPr="00110509" w:rsidRDefault="00333AA3" w:rsidP="00333AA3">
            <w:pPr>
              <w:spacing w:after="0"/>
              <w:jc w:val="center"/>
              <w:rPr>
                <w:rFonts w:eastAsia="Times New Roman" w:cs="Times New Roman"/>
                <w:color w:val="000000"/>
                <w:sz w:val="20"/>
                <w:szCs w:val="20"/>
              </w:rPr>
            </w:pPr>
          </w:p>
        </w:tc>
        <w:tc>
          <w:tcPr>
            <w:tcW w:w="1350" w:type="dxa"/>
            <w:tcBorders>
              <w:top w:val="single" w:sz="4" w:space="0" w:color="auto"/>
            </w:tcBorders>
            <w:shd w:val="clear" w:color="auto" w:fill="auto"/>
            <w:noWrap/>
            <w:vAlign w:val="center"/>
            <w:hideMark/>
          </w:tcPr>
          <w:p w14:paraId="0E9E183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tcBorders>
              <w:top w:val="single" w:sz="4" w:space="0" w:color="auto"/>
            </w:tcBorders>
            <w:shd w:val="clear" w:color="auto" w:fill="auto"/>
            <w:noWrap/>
            <w:vAlign w:val="center"/>
            <w:hideMark/>
          </w:tcPr>
          <w:p w14:paraId="6212D362" w14:textId="77777777" w:rsidR="00333AA3" w:rsidRPr="00110509" w:rsidRDefault="00333AA3" w:rsidP="00333AA3">
            <w:pPr>
              <w:spacing w:after="0"/>
              <w:jc w:val="center"/>
              <w:rPr>
                <w:rFonts w:eastAsia="Times New Roman" w:cs="Times New Roman"/>
                <w:color w:val="000000"/>
                <w:sz w:val="20"/>
                <w:szCs w:val="20"/>
              </w:rPr>
            </w:pPr>
          </w:p>
        </w:tc>
        <w:tc>
          <w:tcPr>
            <w:tcW w:w="630" w:type="dxa"/>
            <w:tcBorders>
              <w:top w:val="single" w:sz="4" w:space="0" w:color="auto"/>
            </w:tcBorders>
            <w:shd w:val="clear" w:color="auto" w:fill="auto"/>
            <w:noWrap/>
            <w:vAlign w:val="center"/>
            <w:hideMark/>
          </w:tcPr>
          <w:p w14:paraId="074450AA" w14:textId="77777777" w:rsidR="00333AA3" w:rsidRPr="00110509" w:rsidRDefault="00333AA3" w:rsidP="00333AA3">
            <w:pPr>
              <w:spacing w:after="0"/>
              <w:jc w:val="center"/>
              <w:rPr>
                <w:rFonts w:eastAsia="Times New Roman" w:cs="Times New Roman"/>
                <w:sz w:val="20"/>
                <w:szCs w:val="20"/>
              </w:rPr>
            </w:pPr>
          </w:p>
        </w:tc>
        <w:tc>
          <w:tcPr>
            <w:tcW w:w="720" w:type="dxa"/>
            <w:tcBorders>
              <w:top w:val="single" w:sz="4" w:space="0" w:color="auto"/>
            </w:tcBorders>
            <w:shd w:val="clear" w:color="auto" w:fill="auto"/>
            <w:noWrap/>
            <w:vAlign w:val="center"/>
            <w:hideMark/>
          </w:tcPr>
          <w:p w14:paraId="62D7391C" w14:textId="77777777" w:rsidR="00333AA3" w:rsidRPr="00110509" w:rsidRDefault="00333AA3" w:rsidP="00333AA3">
            <w:pPr>
              <w:spacing w:after="0"/>
              <w:jc w:val="center"/>
              <w:rPr>
                <w:rFonts w:eastAsia="Times New Roman" w:cs="Times New Roman"/>
                <w:sz w:val="20"/>
                <w:szCs w:val="20"/>
              </w:rPr>
            </w:pPr>
          </w:p>
        </w:tc>
        <w:tc>
          <w:tcPr>
            <w:tcW w:w="1080" w:type="dxa"/>
            <w:tcBorders>
              <w:top w:val="single" w:sz="4" w:space="0" w:color="auto"/>
            </w:tcBorders>
            <w:shd w:val="clear" w:color="auto" w:fill="auto"/>
            <w:noWrap/>
            <w:vAlign w:val="center"/>
            <w:hideMark/>
          </w:tcPr>
          <w:p w14:paraId="75B6DF9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90" w:type="dxa"/>
            <w:tcBorders>
              <w:top w:val="single" w:sz="4" w:space="0" w:color="auto"/>
            </w:tcBorders>
            <w:shd w:val="clear" w:color="auto" w:fill="auto"/>
            <w:noWrap/>
            <w:vAlign w:val="center"/>
            <w:hideMark/>
          </w:tcPr>
          <w:p w14:paraId="03AC2D00" w14:textId="77777777" w:rsidR="00333AA3" w:rsidRPr="00110509" w:rsidRDefault="00333AA3" w:rsidP="00333AA3">
            <w:pPr>
              <w:spacing w:after="0"/>
              <w:jc w:val="center"/>
              <w:rPr>
                <w:rFonts w:eastAsia="Times New Roman" w:cs="Times New Roman"/>
                <w:color w:val="000000"/>
                <w:sz w:val="20"/>
                <w:szCs w:val="20"/>
              </w:rPr>
            </w:pPr>
          </w:p>
        </w:tc>
        <w:tc>
          <w:tcPr>
            <w:tcW w:w="720" w:type="dxa"/>
            <w:tcBorders>
              <w:top w:val="single" w:sz="4" w:space="0" w:color="auto"/>
            </w:tcBorders>
            <w:shd w:val="clear" w:color="auto" w:fill="auto"/>
            <w:noWrap/>
            <w:vAlign w:val="center"/>
            <w:hideMark/>
          </w:tcPr>
          <w:p w14:paraId="7F4712C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tcBorders>
              <w:top w:val="single" w:sz="4" w:space="0" w:color="auto"/>
            </w:tcBorders>
            <w:shd w:val="clear" w:color="auto" w:fill="auto"/>
            <w:noWrap/>
            <w:vAlign w:val="center"/>
            <w:hideMark/>
          </w:tcPr>
          <w:p w14:paraId="64A7EB20" w14:textId="77777777" w:rsidR="00333AA3" w:rsidRPr="00110509" w:rsidRDefault="00333AA3" w:rsidP="00333AA3">
            <w:pPr>
              <w:spacing w:after="0"/>
              <w:jc w:val="center"/>
              <w:rPr>
                <w:rFonts w:eastAsia="Times New Roman" w:cs="Times New Roman"/>
                <w:color w:val="000000"/>
                <w:sz w:val="20"/>
                <w:szCs w:val="20"/>
              </w:rPr>
            </w:pPr>
          </w:p>
        </w:tc>
      </w:tr>
      <w:tr w:rsidR="00110509" w:rsidRPr="00104050" w14:paraId="7E4BB97E" w14:textId="77777777" w:rsidTr="00110509">
        <w:trPr>
          <w:trHeight w:val="300"/>
        </w:trPr>
        <w:tc>
          <w:tcPr>
            <w:tcW w:w="2119" w:type="dxa"/>
            <w:shd w:val="clear" w:color="auto" w:fill="auto"/>
            <w:noWrap/>
            <w:vAlign w:val="center"/>
            <w:hideMark/>
          </w:tcPr>
          <w:p w14:paraId="69EDDAC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Mid-Atlantic</w:t>
            </w:r>
          </w:p>
        </w:tc>
        <w:tc>
          <w:tcPr>
            <w:tcW w:w="723" w:type="dxa"/>
            <w:shd w:val="clear" w:color="auto" w:fill="auto"/>
            <w:noWrap/>
            <w:vAlign w:val="center"/>
            <w:hideMark/>
          </w:tcPr>
          <w:p w14:paraId="64EE131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1C5EAE80"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0.67</w:t>
            </w:r>
          </w:p>
        </w:tc>
        <w:tc>
          <w:tcPr>
            <w:tcW w:w="969" w:type="dxa"/>
            <w:shd w:val="clear" w:color="auto" w:fill="auto"/>
            <w:noWrap/>
            <w:vAlign w:val="center"/>
            <w:hideMark/>
          </w:tcPr>
          <w:p w14:paraId="77591BD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308F1CC5"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7D4F74A0" w14:textId="77777777" w:rsidR="00333AA3" w:rsidRPr="00110509" w:rsidRDefault="00333AA3" w:rsidP="00333AA3">
            <w:pPr>
              <w:spacing w:after="0"/>
              <w:jc w:val="center"/>
              <w:rPr>
                <w:rFonts w:eastAsia="Times New Roman" w:cs="Times New Roman"/>
                <w:sz w:val="20"/>
                <w:szCs w:val="20"/>
              </w:rPr>
            </w:pPr>
          </w:p>
        </w:tc>
        <w:tc>
          <w:tcPr>
            <w:tcW w:w="630" w:type="dxa"/>
            <w:shd w:val="clear" w:color="auto" w:fill="auto"/>
            <w:noWrap/>
            <w:vAlign w:val="center"/>
            <w:hideMark/>
          </w:tcPr>
          <w:p w14:paraId="6C3A0DC4"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0A2F0AEC" w14:textId="77777777" w:rsidR="00333AA3" w:rsidRPr="00110509" w:rsidRDefault="00333AA3" w:rsidP="00333AA3">
            <w:pPr>
              <w:spacing w:after="0"/>
              <w:jc w:val="center"/>
              <w:rPr>
                <w:rFonts w:eastAsia="Times New Roman" w:cs="Times New Roman"/>
                <w:sz w:val="20"/>
                <w:szCs w:val="20"/>
              </w:rPr>
            </w:pPr>
          </w:p>
        </w:tc>
        <w:tc>
          <w:tcPr>
            <w:tcW w:w="1080" w:type="dxa"/>
            <w:shd w:val="clear" w:color="auto" w:fill="auto"/>
            <w:noWrap/>
            <w:vAlign w:val="center"/>
            <w:hideMark/>
          </w:tcPr>
          <w:p w14:paraId="49C2B6C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90" w:type="dxa"/>
            <w:shd w:val="clear" w:color="auto" w:fill="auto"/>
            <w:noWrap/>
            <w:vAlign w:val="center"/>
            <w:hideMark/>
          </w:tcPr>
          <w:p w14:paraId="4DEBEA15"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6E7FFB06"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3ECDF56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r>
      <w:tr w:rsidR="00110509" w:rsidRPr="00104050" w14:paraId="49A196AA" w14:textId="77777777" w:rsidTr="00110509">
        <w:trPr>
          <w:trHeight w:val="300"/>
        </w:trPr>
        <w:tc>
          <w:tcPr>
            <w:tcW w:w="2119" w:type="dxa"/>
            <w:shd w:val="clear" w:color="auto" w:fill="auto"/>
            <w:noWrap/>
            <w:vAlign w:val="center"/>
            <w:hideMark/>
          </w:tcPr>
          <w:p w14:paraId="3A18118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Southeast</w:t>
            </w:r>
          </w:p>
        </w:tc>
        <w:tc>
          <w:tcPr>
            <w:tcW w:w="723" w:type="dxa"/>
            <w:shd w:val="clear" w:color="auto" w:fill="auto"/>
            <w:noWrap/>
            <w:vAlign w:val="center"/>
            <w:hideMark/>
          </w:tcPr>
          <w:p w14:paraId="4864701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7</w:t>
            </w:r>
          </w:p>
        </w:tc>
        <w:tc>
          <w:tcPr>
            <w:tcW w:w="869" w:type="dxa"/>
            <w:shd w:val="clear" w:color="auto" w:fill="auto"/>
            <w:noWrap/>
            <w:vAlign w:val="center"/>
            <w:hideMark/>
          </w:tcPr>
          <w:p w14:paraId="502CB6E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0.79</w:t>
            </w:r>
          </w:p>
        </w:tc>
        <w:tc>
          <w:tcPr>
            <w:tcW w:w="969" w:type="dxa"/>
            <w:shd w:val="clear" w:color="auto" w:fill="auto"/>
            <w:noWrap/>
            <w:vAlign w:val="center"/>
            <w:hideMark/>
          </w:tcPr>
          <w:p w14:paraId="5E70F376"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2E38DD4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568D6D0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0A9C2133"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22B266D7"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311FFA4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90" w:type="dxa"/>
            <w:shd w:val="clear" w:color="auto" w:fill="auto"/>
            <w:noWrap/>
            <w:vAlign w:val="center"/>
            <w:hideMark/>
          </w:tcPr>
          <w:p w14:paraId="32D079A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02D73CE2"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16475557" w14:textId="77777777" w:rsidR="00333AA3" w:rsidRPr="00110509" w:rsidRDefault="00333AA3" w:rsidP="00333AA3">
            <w:pPr>
              <w:spacing w:after="0"/>
              <w:jc w:val="center"/>
              <w:rPr>
                <w:rFonts w:eastAsia="Times New Roman" w:cs="Times New Roman"/>
                <w:sz w:val="20"/>
                <w:szCs w:val="20"/>
              </w:rPr>
            </w:pPr>
          </w:p>
        </w:tc>
      </w:tr>
      <w:tr w:rsidR="00110509" w:rsidRPr="00104050" w14:paraId="102DC62B" w14:textId="77777777" w:rsidTr="00110509">
        <w:trPr>
          <w:trHeight w:val="300"/>
        </w:trPr>
        <w:tc>
          <w:tcPr>
            <w:tcW w:w="2119" w:type="dxa"/>
            <w:shd w:val="clear" w:color="auto" w:fill="auto"/>
            <w:noWrap/>
            <w:vAlign w:val="center"/>
            <w:hideMark/>
          </w:tcPr>
          <w:p w14:paraId="571DE11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Great Lakes</w:t>
            </w:r>
          </w:p>
        </w:tc>
        <w:tc>
          <w:tcPr>
            <w:tcW w:w="723" w:type="dxa"/>
            <w:shd w:val="clear" w:color="auto" w:fill="auto"/>
            <w:noWrap/>
            <w:vAlign w:val="center"/>
            <w:hideMark/>
          </w:tcPr>
          <w:p w14:paraId="3051B17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4912B25F"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0.85</w:t>
            </w:r>
          </w:p>
        </w:tc>
        <w:tc>
          <w:tcPr>
            <w:tcW w:w="969" w:type="dxa"/>
            <w:shd w:val="clear" w:color="auto" w:fill="auto"/>
            <w:noWrap/>
            <w:vAlign w:val="center"/>
            <w:hideMark/>
          </w:tcPr>
          <w:p w14:paraId="6D51B58F"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72AF20FD"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4391756F" w14:textId="77777777" w:rsidR="00333AA3" w:rsidRPr="00110509" w:rsidRDefault="00333AA3" w:rsidP="00333AA3">
            <w:pPr>
              <w:spacing w:after="0"/>
              <w:jc w:val="center"/>
              <w:rPr>
                <w:rFonts w:eastAsia="Times New Roman" w:cs="Times New Roman"/>
                <w:color w:val="000000"/>
                <w:sz w:val="20"/>
                <w:szCs w:val="20"/>
              </w:rPr>
            </w:pPr>
          </w:p>
        </w:tc>
        <w:tc>
          <w:tcPr>
            <w:tcW w:w="630" w:type="dxa"/>
            <w:shd w:val="clear" w:color="auto" w:fill="auto"/>
            <w:noWrap/>
            <w:vAlign w:val="center"/>
            <w:hideMark/>
          </w:tcPr>
          <w:p w14:paraId="3E52EFFA"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0ECD1CB2" w14:textId="77777777" w:rsidR="00333AA3" w:rsidRPr="00110509" w:rsidRDefault="00333AA3" w:rsidP="00333AA3">
            <w:pPr>
              <w:spacing w:after="0"/>
              <w:jc w:val="center"/>
              <w:rPr>
                <w:rFonts w:eastAsia="Times New Roman" w:cs="Times New Roman"/>
                <w:color w:val="000000"/>
                <w:sz w:val="20"/>
                <w:szCs w:val="20"/>
              </w:rPr>
            </w:pPr>
          </w:p>
        </w:tc>
        <w:tc>
          <w:tcPr>
            <w:tcW w:w="1080" w:type="dxa"/>
            <w:shd w:val="clear" w:color="auto" w:fill="auto"/>
            <w:noWrap/>
            <w:vAlign w:val="center"/>
            <w:hideMark/>
          </w:tcPr>
          <w:p w14:paraId="6DD28817"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40BBD9BC"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019CD30C"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78592D5A" w14:textId="77777777" w:rsidR="00333AA3" w:rsidRPr="00110509" w:rsidRDefault="00333AA3" w:rsidP="00333AA3">
            <w:pPr>
              <w:spacing w:after="0"/>
              <w:jc w:val="center"/>
              <w:rPr>
                <w:rFonts w:eastAsia="Times New Roman" w:cs="Times New Roman"/>
                <w:sz w:val="20"/>
                <w:szCs w:val="20"/>
              </w:rPr>
            </w:pPr>
          </w:p>
        </w:tc>
      </w:tr>
      <w:tr w:rsidR="00110509" w:rsidRPr="00104050" w14:paraId="6C80E5C5" w14:textId="77777777" w:rsidTr="00110509">
        <w:trPr>
          <w:trHeight w:val="300"/>
        </w:trPr>
        <w:tc>
          <w:tcPr>
            <w:tcW w:w="2119" w:type="dxa"/>
            <w:shd w:val="clear" w:color="auto" w:fill="auto"/>
            <w:noWrap/>
            <w:vAlign w:val="center"/>
            <w:hideMark/>
          </w:tcPr>
          <w:p w14:paraId="47181100"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Prairie Peninsula</w:t>
            </w:r>
          </w:p>
        </w:tc>
        <w:tc>
          <w:tcPr>
            <w:tcW w:w="723" w:type="dxa"/>
            <w:shd w:val="clear" w:color="auto" w:fill="auto"/>
            <w:noWrap/>
            <w:vAlign w:val="center"/>
            <w:hideMark/>
          </w:tcPr>
          <w:p w14:paraId="0150FB6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1AC86B9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0.86</w:t>
            </w:r>
          </w:p>
        </w:tc>
        <w:tc>
          <w:tcPr>
            <w:tcW w:w="969" w:type="dxa"/>
            <w:shd w:val="clear" w:color="auto" w:fill="auto"/>
            <w:noWrap/>
            <w:vAlign w:val="center"/>
            <w:hideMark/>
          </w:tcPr>
          <w:p w14:paraId="15D35D6A"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68B37247"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4733E9EB" w14:textId="77777777" w:rsidR="00333AA3" w:rsidRPr="00110509" w:rsidRDefault="00333AA3" w:rsidP="00333AA3">
            <w:pPr>
              <w:spacing w:after="0"/>
              <w:jc w:val="center"/>
              <w:rPr>
                <w:rFonts w:eastAsia="Times New Roman" w:cs="Times New Roman"/>
                <w:color w:val="000000"/>
                <w:sz w:val="20"/>
                <w:szCs w:val="20"/>
              </w:rPr>
            </w:pPr>
          </w:p>
        </w:tc>
        <w:tc>
          <w:tcPr>
            <w:tcW w:w="630" w:type="dxa"/>
            <w:shd w:val="clear" w:color="auto" w:fill="auto"/>
            <w:noWrap/>
            <w:vAlign w:val="center"/>
            <w:hideMark/>
          </w:tcPr>
          <w:p w14:paraId="2DA1AF8B"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2ED832CD"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3721AB01" w14:textId="77777777" w:rsidR="00333AA3" w:rsidRPr="00110509" w:rsidRDefault="00333AA3" w:rsidP="00333AA3">
            <w:pPr>
              <w:spacing w:after="0"/>
              <w:jc w:val="center"/>
              <w:rPr>
                <w:rFonts w:eastAsia="Times New Roman" w:cs="Times New Roman"/>
                <w:color w:val="000000"/>
                <w:sz w:val="20"/>
                <w:szCs w:val="20"/>
              </w:rPr>
            </w:pPr>
          </w:p>
        </w:tc>
        <w:tc>
          <w:tcPr>
            <w:tcW w:w="990" w:type="dxa"/>
            <w:shd w:val="clear" w:color="auto" w:fill="auto"/>
            <w:noWrap/>
            <w:vAlign w:val="center"/>
            <w:hideMark/>
          </w:tcPr>
          <w:p w14:paraId="21AA189C"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157EEAF2"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41080A53" w14:textId="77777777" w:rsidR="00333AA3" w:rsidRPr="00110509" w:rsidRDefault="00333AA3" w:rsidP="00333AA3">
            <w:pPr>
              <w:spacing w:after="0"/>
              <w:jc w:val="center"/>
              <w:rPr>
                <w:rFonts w:eastAsia="Times New Roman" w:cs="Times New Roman"/>
                <w:sz w:val="20"/>
                <w:szCs w:val="20"/>
              </w:rPr>
            </w:pPr>
          </w:p>
        </w:tc>
      </w:tr>
      <w:tr w:rsidR="00110509" w:rsidRPr="00104050" w14:paraId="4C5C1863" w14:textId="77777777" w:rsidTr="00110509">
        <w:trPr>
          <w:trHeight w:val="300"/>
        </w:trPr>
        <w:tc>
          <w:tcPr>
            <w:tcW w:w="2119" w:type="dxa"/>
            <w:shd w:val="clear" w:color="auto" w:fill="auto"/>
            <w:noWrap/>
            <w:vAlign w:val="center"/>
            <w:hideMark/>
          </w:tcPr>
          <w:p w14:paraId="27FBABA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Appalachian Cumberland Plateau</w:t>
            </w:r>
          </w:p>
        </w:tc>
        <w:tc>
          <w:tcPr>
            <w:tcW w:w="723" w:type="dxa"/>
            <w:shd w:val="clear" w:color="auto" w:fill="auto"/>
            <w:noWrap/>
            <w:vAlign w:val="center"/>
            <w:hideMark/>
          </w:tcPr>
          <w:p w14:paraId="7CF6087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05AF269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0.76</w:t>
            </w:r>
          </w:p>
        </w:tc>
        <w:tc>
          <w:tcPr>
            <w:tcW w:w="969" w:type="dxa"/>
            <w:shd w:val="clear" w:color="auto" w:fill="auto"/>
            <w:noWrap/>
            <w:vAlign w:val="center"/>
            <w:hideMark/>
          </w:tcPr>
          <w:p w14:paraId="2B68C17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6CD355DC"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0291D26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2F40BE03"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61C64CB6" w14:textId="77777777" w:rsidR="00333AA3" w:rsidRPr="00110509" w:rsidRDefault="00333AA3" w:rsidP="00333AA3">
            <w:pPr>
              <w:spacing w:after="0"/>
              <w:jc w:val="center"/>
              <w:rPr>
                <w:rFonts w:eastAsia="Times New Roman" w:cs="Times New Roman"/>
                <w:sz w:val="20"/>
                <w:szCs w:val="20"/>
              </w:rPr>
            </w:pPr>
          </w:p>
        </w:tc>
        <w:tc>
          <w:tcPr>
            <w:tcW w:w="1080" w:type="dxa"/>
            <w:shd w:val="clear" w:color="auto" w:fill="auto"/>
            <w:noWrap/>
            <w:vAlign w:val="center"/>
            <w:hideMark/>
          </w:tcPr>
          <w:p w14:paraId="0F79C7E0"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4DF5831D"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5EB3C5DA"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31BA1FA0" w14:textId="77777777" w:rsidR="00333AA3" w:rsidRPr="00110509" w:rsidRDefault="00333AA3" w:rsidP="00333AA3">
            <w:pPr>
              <w:spacing w:after="0"/>
              <w:jc w:val="center"/>
              <w:rPr>
                <w:rFonts w:eastAsia="Times New Roman" w:cs="Times New Roman"/>
                <w:sz w:val="20"/>
                <w:szCs w:val="20"/>
              </w:rPr>
            </w:pPr>
          </w:p>
        </w:tc>
      </w:tr>
      <w:tr w:rsidR="00110509" w:rsidRPr="00104050" w14:paraId="28CE4C28" w14:textId="77777777" w:rsidTr="00110509">
        <w:trPr>
          <w:trHeight w:val="300"/>
        </w:trPr>
        <w:tc>
          <w:tcPr>
            <w:tcW w:w="2119" w:type="dxa"/>
            <w:shd w:val="clear" w:color="auto" w:fill="auto"/>
            <w:noWrap/>
            <w:vAlign w:val="center"/>
            <w:hideMark/>
          </w:tcPr>
          <w:p w14:paraId="042070F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Ozarks Complex-1</w:t>
            </w:r>
          </w:p>
        </w:tc>
        <w:tc>
          <w:tcPr>
            <w:tcW w:w="723" w:type="dxa"/>
            <w:shd w:val="clear" w:color="auto" w:fill="auto"/>
            <w:noWrap/>
            <w:vAlign w:val="center"/>
            <w:hideMark/>
          </w:tcPr>
          <w:p w14:paraId="6B99CBBA"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06299A48"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0.58</w:t>
            </w:r>
          </w:p>
        </w:tc>
        <w:tc>
          <w:tcPr>
            <w:tcW w:w="969" w:type="dxa"/>
            <w:shd w:val="clear" w:color="auto" w:fill="auto"/>
            <w:noWrap/>
            <w:vAlign w:val="center"/>
            <w:hideMark/>
          </w:tcPr>
          <w:p w14:paraId="05106B71" w14:textId="77777777" w:rsidR="00333AA3" w:rsidRPr="00110509" w:rsidRDefault="00333AA3" w:rsidP="00333AA3">
            <w:pPr>
              <w:spacing w:after="0"/>
              <w:jc w:val="center"/>
              <w:rPr>
                <w:rFonts w:eastAsia="Times New Roman" w:cs="Times New Roman"/>
                <w:color w:val="000000"/>
                <w:sz w:val="20"/>
                <w:szCs w:val="20"/>
              </w:rPr>
            </w:pPr>
          </w:p>
        </w:tc>
        <w:tc>
          <w:tcPr>
            <w:tcW w:w="1350" w:type="dxa"/>
            <w:shd w:val="clear" w:color="auto" w:fill="auto"/>
            <w:noWrap/>
            <w:vAlign w:val="center"/>
            <w:hideMark/>
          </w:tcPr>
          <w:p w14:paraId="61F672C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469DA33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288A6E69"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61BA834A" w14:textId="77777777" w:rsidR="00333AA3" w:rsidRPr="00110509" w:rsidRDefault="00333AA3" w:rsidP="00333AA3">
            <w:pPr>
              <w:spacing w:after="0"/>
              <w:jc w:val="center"/>
              <w:rPr>
                <w:rFonts w:eastAsia="Times New Roman" w:cs="Times New Roman"/>
                <w:sz w:val="20"/>
                <w:szCs w:val="20"/>
              </w:rPr>
            </w:pPr>
          </w:p>
        </w:tc>
        <w:tc>
          <w:tcPr>
            <w:tcW w:w="1080" w:type="dxa"/>
            <w:shd w:val="clear" w:color="auto" w:fill="auto"/>
            <w:noWrap/>
            <w:vAlign w:val="center"/>
            <w:hideMark/>
          </w:tcPr>
          <w:p w14:paraId="4B4BA338"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90" w:type="dxa"/>
            <w:shd w:val="clear" w:color="auto" w:fill="auto"/>
            <w:noWrap/>
            <w:vAlign w:val="center"/>
            <w:hideMark/>
          </w:tcPr>
          <w:p w14:paraId="2FC1866B"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2E4E800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149164A2" w14:textId="77777777" w:rsidR="00333AA3" w:rsidRPr="00110509" w:rsidRDefault="00333AA3" w:rsidP="00333AA3">
            <w:pPr>
              <w:spacing w:after="0"/>
              <w:jc w:val="center"/>
              <w:rPr>
                <w:rFonts w:eastAsia="Times New Roman" w:cs="Times New Roman"/>
                <w:color w:val="000000"/>
                <w:sz w:val="20"/>
                <w:szCs w:val="20"/>
              </w:rPr>
            </w:pPr>
          </w:p>
        </w:tc>
      </w:tr>
      <w:tr w:rsidR="00110509" w:rsidRPr="00104050" w14:paraId="69F213AD" w14:textId="77777777" w:rsidTr="00110509">
        <w:trPr>
          <w:trHeight w:val="300"/>
        </w:trPr>
        <w:tc>
          <w:tcPr>
            <w:tcW w:w="2119" w:type="dxa"/>
            <w:shd w:val="clear" w:color="auto" w:fill="auto"/>
            <w:noWrap/>
            <w:vAlign w:val="center"/>
            <w:hideMark/>
          </w:tcPr>
          <w:p w14:paraId="0D4C61F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Ozarks Complex-2</w:t>
            </w:r>
          </w:p>
        </w:tc>
        <w:tc>
          <w:tcPr>
            <w:tcW w:w="723" w:type="dxa"/>
            <w:shd w:val="clear" w:color="auto" w:fill="auto"/>
            <w:noWrap/>
            <w:vAlign w:val="center"/>
            <w:hideMark/>
          </w:tcPr>
          <w:p w14:paraId="465611FF"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6EFD4D5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0.95</w:t>
            </w:r>
          </w:p>
        </w:tc>
        <w:tc>
          <w:tcPr>
            <w:tcW w:w="969" w:type="dxa"/>
            <w:shd w:val="clear" w:color="auto" w:fill="auto"/>
            <w:noWrap/>
            <w:vAlign w:val="center"/>
            <w:hideMark/>
          </w:tcPr>
          <w:p w14:paraId="068DA79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036294A3"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77ECE9B5" w14:textId="77777777" w:rsidR="00333AA3" w:rsidRPr="00110509" w:rsidRDefault="00333AA3" w:rsidP="00333AA3">
            <w:pPr>
              <w:spacing w:after="0"/>
              <w:jc w:val="center"/>
              <w:rPr>
                <w:rFonts w:eastAsia="Times New Roman" w:cs="Times New Roman"/>
                <w:sz w:val="20"/>
                <w:szCs w:val="20"/>
              </w:rPr>
            </w:pPr>
          </w:p>
        </w:tc>
        <w:tc>
          <w:tcPr>
            <w:tcW w:w="630" w:type="dxa"/>
            <w:shd w:val="clear" w:color="auto" w:fill="auto"/>
            <w:noWrap/>
            <w:vAlign w:val="center"/>
            <w:hideMark/>
          </w:tcPr>
          <w:p w14:paraId="56CEC34F"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55277F98" w14:textId="77777777" w:rsidR="00333AA3" w:rsidRPr="00110509" w:rsidRDefault="00333AA3" w:rsidP="00333AA3">
            <w:pPr>
              <w:spacing w:after="0"/>
              <w:jc w:val="center"/>
              <w:rPr>
                <w:rFonts w:eastAsia="Times New Roman" w:cs="Times New Roman"/>
                <w:color w:val="000000"/>
                <w:sz w:val="20"/>
                <w:szCs w:val="20"/>
              </w:rPr>
            </w:pPr>
          </w:p>
        </w:tc>
        <w:tc>
          <w:tcPr>
            <w:tcW w:w="1080" w:type="dxa"/>
            <w:shd w:val="clear" w:color="auto" w:fill="auto"/>
            <w:noWrap/>
            <w:vAlign w:val="center"/>
            <w:hideMark/>
          </w:tcPr>
          <w:p w14:paraId="6756D883"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09BD01D2"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32FB7BC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74C94F3F" w14:textId="77777777" w:rsidR="00333AA3" w:rsidRPr="00110509" w:rsidRDefault="00333AA3" w:rsidP="00333AA3">
            <w:pPr>
              <w:spacing w:after="0"/>
              <w:jc w:val="center"/>
              <w:rPr>
                <w:rFonts w:eastAsia="Times New Roman" w:cs="Times New Roman"/>
                <w:color w:val="000000"/>
                <w:sz w:val="20"/>
                <w:szCs w:val="20"/>
              </w:rPr>
            </w:pPr>
          </w:p>
        </w:tc>
      </w:tr>
      <w:tr w:rsidR="00110509" w:rsidRPr="00104050" w14:paraId="546E0C19" w14:textId="77777777" w:rsidTr="00110509">
        <w:trPr>
          <w:trHeight w:val="300"/>
        </w:trPr>
        <w:tc>
          <w:tcPr>
            <w:tcW w:w="2119" w:type="dxa"/>
            <w:shd w:val="clear" w:color="auto" w:fill="auto"/>
            <w:noWrap/>
            <w:vAlign w:val="center"/>
            <w:hideMark/>
          </w:tcPr>
          <w:p w14:paraId="06E9D45A"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Northern Plains</w:t>
            </w:r>
          </w:p>
        </w:tc>
        <w:tc>
          <w:tcPr>
            <w:tcW w:w="723" w:type="dxa"/>
            <w:shd w:val="clear" w:color="auto" w:fill="auto"/>
            <w:noWrap/>
            <w:vAlign w:val="center"/>
            <w:hideMark/>
          </w:tcPr>
          <w:p w14:paraId="538447E0"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6</w:t>
            </w:r>
          </w:p>
        </w:tc>
        <w:tc>
          <w:tcPr>
            <w:tcW w:w="869" w:type="dxa"/>
            <w:shd w:val="clear" w:color="auto" w:fill="auto"/>
            <w:noWrap/>
            <w:vAlign w:val="center"/>
            <w:hideMark/>
          </w:tcPr>
          <w:p w14:paraId="14C64BA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0.91</w:t>
            </w:r>
          </w:p>
        </w:tc>
        <w:tc>
          <w:tcPr>
            <w:tcW w:w="969" w:type="dxa"/>
            <w:shd w:val="clear" w:color="auto" w:fill="auto"/>
            <w:noWrap/>
            <w:vAlign w:val="center"/>
            <w:hideMark/>
          </w:tcPr>
          <w:p w14:paraId="1650C8A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342F05CA"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0AFDDCA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48074E2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5B4D492A" w14:textId="77777777" w:rsidR="00333AA3" w:rsidRPr="00110509" w:rsidRDefault="00333AA3" w:rsidP="00333AA3">
            <w:pPr>
              <w:spacing w:after="0"/>
              <w:jc w:val="center"/>
              <w:rPr>
                <w:rFonts w:eastAsia="Times New Roman" w:cs="Times New Roman"/>
                <w:color w:val="000000"/>
                <w:sz w:val="20"/>
                <w:szCs w:val="20"/>
              </w:rPr>
            </w:pPr>
          </w:p>
        </w:tc>
        <w:tc>
          <w:tcPr>
            <w:tcW w:w="1080" w:type="dxa"/>
            <w:shd w:val="clear" w:color="auto" w:fill="auto"/>
            <w:noWrap/>
            <w:vAlign w:val="center"/>
            <w:hideMark/>
          </w:tcPr>
          <w:p w14:paraId="3EFCAFCB"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7EF0C8E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7658FF31"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4F42E593" w14:textId="77777777" w:rsidR="00333AA3" w:rsidRPr="00110509" w:rsidRDefault="00333AA3" w:rsidP="00333AA3">
            <w:pPr>
              <w:spacing w:after="0"/>
              <w:jc w:val="center"/>
              <w:rPr>
                <w:rFonts w:eastAsia="Times New Roman" w:cs="Times New Roman"/>
                <w:sz w:val="20"/>
                <w:szCs w:val="20"/>
              </w:rPr>
            </w:pPr>
          </w:p>
        </w:tc>
      </w:tr>
      <w:tr w:rsidR="00110509" w:rsidRPr="00104050" w14:paraId="6616CFEA" w14:textId="77777777" w:rsidTr="00110509">
        <w:trPr>
          <w:trHeight w:val="300"/>
        </w:trPr>
        <w:tc>
          <w:tcPr>
            <w:tcW w:w="2119" w:type="dxa"/>
            <w:shd w:val="clear" w:color="auto" w:fill="auto"/>
            <w:noWrap/>
            <w:vAlign w:val="center"/>
            <w:hideMark/>
          </w:tcPr>
          <w:p w14:paraId="1CD2F0CD"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Central Plains</w:t>
            </w:r>
          </w:p>
        </w:tc>
        <w:tc>
          <w:tcPr>
            <w:tcW w:w="723" w:type="dxa"/>
            <w:shd w:val="clear" w:color="auto" w:fill="auto"/>
            <w:noWrap/>
            <w:vAlign w:val="center"/>
            <w:hideMark/>
          </w:tcPr>
          <w:p w14:paraId="636CBA8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5</w:t>
            </w:r>
          </w:p>
        </w:tc>
        <w:tc>
          <w:tcPr>
            <w:tcW w:w="869" w:type="dxa"/>
            <w:shd w:val="clear" w:color="auto" w:fill="auto"/>
            <w:noWrap/>
            <w:vAlign w:val="center"/>
            <w:hideMark/>
          </w:tcPr>
          <w:p w14:paraId="5D3C562F"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0.98</w:t>
            </w:r>
          </w:p>
        </w:tc>
        <w:tc>
          <w:tcPr>
            <w:tcW w:w="969" w:type="dxa"/>
            <w:shd w:val="clear" w:color="auto" w:fill="auto"/>
            <w:noWrap/>
            <w:vAlign w:val="center"/>
            <w:hideMark/>
          </w:tcPr>
          <w:p w14:paraId="6EC3290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500AF213"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4EF5A3A2" w14:textId="77777777" w:rsidR="00333AA3" w:rsidRPr="00110509" w:rsidRDefault="00333AA3" w:rsidP="00333AA3">
            <w:pPr>
              <w:spacing w:after="0"/>
              <w:jc w:val="center"/>
              <w:rPr>
                <w:rFonts w:eastAsia="Times New Roman" w:cs="Times New Roman"/>
                <w:sz w:val="20"/>
                <w:szCs w:val="20"/>
              </w:rPr>
            </w:pPr>
          </w:p>
        </w:tc>
        <w:tc>
          <w:tcPr>
            <w:tcW w:w="630" w:type="dxa"/>
            <w:shd w:val="clear" w:color="auto" w:fill="auto"/>
            <w:noWrap/>
            <w:vAlign w:val="center"/>
            <w:hideMark/>
          </w:tcPr>
          <w:p w14:paraId="40936AC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7274F1F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0B748DF8" w14:textId="77777777" w:rsidR="00333AA3" w:rsidRPr="00110509" w:rsidRDefault="00333AA3" w:rsidP="00333AA3">
            <w:pPr>
              <w:spacing w:after="0"/>
              <w:jc w:val="center"/>
              <w:rPr>
                <w:rFonts w:eastAsia="Times New Roman" w:cs="Times New Roman"/>
                <w:color w:val="000000"/>
                <w:sz w:val="20"/>
                <w:szCs w:val="20"/>
              </w:rPr>
            </w:pPr>
          </w:p>
        </w:tc>
        <w:tc>
          <w:tcPr>
            <w:tcW w:w="990" w:type="dxa"/>
            <w:shd w:val="clear" w:color="auto" w:fill="auto"/>
            <w:noWrap/>
            <w:vAlign w:val="center"/>
            <w:hideMark/>
          </w:tcPr>
          <w:p w14:paraId="11771DC4"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21BDA44C"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0354C504" w14:textId="77777777" w:rsidR="00333AA3" w:rsidRPr="00110509" w:rsidRDefault="00333AA3" w:rsidP="00333AA3">
            <w:pPr>
              <w:spacing w:after="0"/>
              <w:jc w:val="center"/>
              <w:rPr>
                <w:rFonts w:eastAsia="Times New Roman" w:cs="Times New Roman"/>
                <w:sz w:val="20"/>
                <w:szCs w:val="20"/>
              </w:rPr>
            </w:pPr>
          </w:p>
        </w:tc>
      </w:tr>
      <w:tr w:rsidR="00110509" w:rsidRPr="00104050" w14:paraId="2DA7CB3B" w14:textId="77777777" w:rsidTr="00110509">
        <w:trPr>
          <w:trHeight w:val="300"/>
        </w:trPr>
        <w:tc>
          <w:tcPr>
            <w:tcW w:w="2119" w:type="dxa"/>
            <w:shd w:val="clear" w:color="auto" w:fill="auto"/>
            <w:noWrap/>
            <w:vAlign w:val="center"/>
            <w:hideMark/>
          </w:tcPr>
          <w:p w14:paraId="14333D5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Southern Plains</w:t>
            </w:r>
          </w:p>
        </w:tc>
        <w:tc>
          <w:tcPr>
            <w:tcW w:w="723" w:type="dxa"/>
            <w:shd w:val="clear" w:color="auto" w:fill="auto"/>
            <w:noWrap/>
            <w:vAlign w:val="center"/>
            <w:hideMark/>
          </w:tcPr>
          <w:p w14:paraId="0CC4403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5FDF63A0"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0.88</w:t>
            </w:r>
          </w:p>
        </w:tc>
        <w:tc>
          <w:tcPr>
            <w:tcW w:w="969" w:type="dxa"/>
            <w:shd w:val="clear" w:color="auto" w:fill="auto"/>
            <w:noWrap/>
            <w:vAlign w:val="center"/>
            <w:hideMark/>
          </w:tcPr>
          <w:p w14:paraId="17FDEA70"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03178117"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37BFFDE3" w14:textId="77777777" w:rsidR="00333AA3" w:rsidRPr="00110509" w:rsidRDefault="00333AA3" w:rsidP="00333AA3">
            <w:pPr>
              <w:spacing w:after="0"/>
              <w:jc w:val="center"/>
              <w:rPr>
                <w:rFonts w:eastAsia="Times New Roman" w:cs="Times New Roman"/>
                <w:color w:val="000000"/>
                <w:sz w:val="20"/>
                <w:szCs w:val="20"/>
              </w:rPr>
            </w:pPr>
          </w:p>
        </w:tc>
        <w:tc>
          <w:tcPr>
            <w:tcW w:w="630" w:type="dxa"/>
            <w:shd w:val="clear" w:color="auto" w:fill="auto"/>
            <w:noWrap/>
            <w:vAlign w:val="center"/>
            <w:hideMark/>
          </w:tcPr>
          <w:p w14:paraId="5B7BBF96"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3571D155" w14:textId="77777777" w:rsidR="00333AA3" w:rsidRPr="00110509" w:rsidRDefault="00333AA3" w:rsidP="00333AA3">
            <w:pPr>
              <w:spacing w:after="0"/>
              <w:jc w:val="center"/>
              <w:rPr>
                <w:rFonts w:eastAsia="Times New Roman" w:cs="Times New Roman"/>
                <w:color w:val="000000"/>
                <w:sz w:val="20"/>
                <w:szCs w:val="20"/>
              </w:rPr>
            </w:pPr>
          </w:p>
        </w:tc>
        <w:tc>
          <w:tcPr>
            <w:tcW w:w="1080" w:type="dxa"/>
            <w:shd w:val="clear" w:color="auto" w:fill="auto"/>
            <w:noWrap/>
            <w:vAlign w:val="center"/>
            <w:hideMark/>
          </w:tcPr>
          <w:p w14:paraId="6A787CAC"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2B53C7AC"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481FEE9F"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0C121B23" w14:textId="77777777" w:rsidR="00333AA3" w:rsidRPr="00110509" w:rsidRDefault="00333AA3" w:rsidP="00333AA3">
            <w:pPr>
              <w:spacing w:after="0"/>
              <w:jc w:val="center"/>
              <w:rPr>
                <w:rFonts w:eastAsia="Times New Roman" w:cs="Times New Roman"/>
                <w:sz w:val="20"/>
                <w:szCs w:val="20"/>
              </w:rPr>
            </w:pPr>
          </w:p>
        </w:tc>
      </w:tr>
      <w:tr w:rsidR="00110509" w:rsidRPr="00104050" w14:paraId="0C1BA1EC" w14:textId="77777777" w:rsidTr="00110509">
        <w:trPr>
          <w:trHeight w:val="300"/>
        </w:trPr>
        <w:tc>
          <w:tcPr>
            <w:tcW w:w="2119" w:type="dxa"/>
            <w:shd w:val="clear" w:color="auto" w:fill="auto"/>
            <w:noWrap/>
            <w:vAlign w:val="center"/>
            <w:hideMark/>
          </w:tcPr>
          <w:p w14:paraId="192C752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Northern Rockies</w:t>
            </w:r>
          </w:p>
        </w:tc>
        <w:tc>
          <w:tcPr>
            <w:tcW w:w="723" w:type="dxa"/>
            <w:shd w:val="clear" w:color="auto" w:fill="auto"/>
            <w:noWrap/>
            <w:vAlign w:val="center"/>
            <w:hideMark/>
          </w:tcPr>
          <w:p w14:paraId="5996D6B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0AB744B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0.59</w:t>
            </w:r>
          </w:p>
        </w:tc>
        <w:tc>
          <w:tcPr>
            <w:tcW w:w="969" w:type="dxa"/>
            <w:shd w:val="clear" w:color="auto" w:fill="auto"/>
            <w:noWrap/>
            <w:vAlign w:val="center"/>
            <w:hideMark/>
          </w:tcPr>
          <w:p w14:paraId="33D47A26" w14:textId="77777777" w:rsidR="00333AA3" w:rsidRPr="00110509" w:rsidRDefault="00333AA3" w:rsidP="00333AA3">
            <w:pPr>
              <w:spacing w:after="0"/>
              <w:jc w:val="center"/>
              <w:rPr>
                <w:rFonts w:eastAsia="Times New Roman" w:cs="Times New Roman"/>
                <w:color w:val="000000"/>
                <w:sz w:val="20"/>
                <w:szCs w:val="20"/>
              </w:rPr>
            </w:pPr>
          </w:p>
        </w:tc>
        <w:tc>
          <w:tcPr>
            <w:tcW w:w="1350" w:type="dxa"/>
            <w:shd w:val="clear" w:color="auto" w:fill="auto"/>
            <w:noWrap/>
            <w:vAlign w:val="center"/>
            <w:hideMark/>
          </w:tcPr>
          <w:p w14:paraId="795ED0D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457E4ABA"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1905A933"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0938C506" w14:textId="77777777" w:rsidR="00333AA3" w:rsidRPr="00110509" w:rsidRDefault="00333AA3" w:rsidP="00333AA3">
            <w:pPr>
              <w:spacing w:after="0"/>
              <w:jc w:val="center"/>
              <w:rPr>
                <w:rFonts w:eastAsia="Times New Roman" w:cs="Times New Roman"/>
                <w:sz w:val="20"/>
                <w:szCs w:val="20"/>
              </w:rPr>
            </w:pPr>
          </w:p>
        </w:tc>
        <w:tc>
          <w:tcPr>
            <w:tcW w:w="1080" w:type="dxa"/>
            <w:shd w:val="clear" w:color="auto" w:fill="auto"/>
            <w:noWrap/>
            <w:vAlign w:val="center"/>
            <w:hideMark/>
          </w:tcPr>
          <w:p w14:paraId="61EB3332"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1717F1F6"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0CAA3A52"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798C07F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r>
      <w:tr w:rsidR="00110509" w:rsidRPr="00104050" w14:paraId="04327F25" w14:textId="77777777" w:rsidTr="00110509">
        <w:trPr>
          <w:trHeight w:val="300"/>
        </w:trPr>
        <w:tc>
          <w:tcPr>
            <w:tcW w:w="2119" w:type="dxa"/>
            <w:shd w:val="clear" w:color="auto" w:fill="auto"/>
            <w:noWrap/>
            <w:vAlign w:val="center"/>
            <w:hideMark/>
          </w:tcPr>
          <w:p w14:paraId="1B1F9DF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Southern Rockies</w:t>
            </w:r>
          </w:p>
        </w:tc>
        <w:tc>
          <w:tcPr>
            <w:tcW w:w="723" w:type="dxa"/>
            <w:shd w:val="clear" w:color="auto" w:fill="auto"/>
            <w:noWrap/>
            <w:vAlign w:val="center"/>
            <w:hideMark/>
          </w:tcPr>
          <w:p w14:paraId="26FB242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6</w:t>
            </w:r>
          </w:p>
        </w:tc>
        <w:tc>
          <w:tcPr>
            <w:tcW w:w="869" w:type="dxa"/>
            <w:shd w:val="clear" w:color="auto" w:fill="auto"/>
            <w:noWrap/>
            <w:vAlign w:val="center"/>
            <w:hideMark/>
          </w:tcPr>
          <w:p w14:paraId="0BA5F05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0.83</w:t>
            </w:r>
          </w:p>
        </w:tc>
        <w:tc>
          <w:tcPr>
            <w:tcW w:w="969" w:type="dxa"/>
            <w:shd w:val="clear" w:color="auto" w:fill="auto"/>
            <w:noWrap/>
            <w:vAlign w:val="center"/>
            <w:hideMark/>
          </w:tcPr>
          <w:p w14:paraId="7800FD3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58FFCE46"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6899276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568A4BD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128BC59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17279623" w14:textId="77777777" w:rsidR="00333AA3" w:rsidRPr="00110509" w:rsidRDefault="00333AA3" w:rsidP="00333AA3">
            <w:pPr>
              <w:spacing w:after="0"/>
              <w:jc w:val="center"/>
              <w:rPr>
                <w:rFonts w:eastAsia="Times New Roman" w:cs="Times New Roman"/>
                <w:color w:val="000000"/>
                <w:sz w:val="20"/>
                <w:szCs w:val="20"/>
              </w:rPr>
            </w:pPr>
          </w:p>
        </w:tc>
        <w:tc>
          <w:tcPr>
            <w:tcW w:w="990" w:type="dxa"/>
            <w:shd w:val="clear" w:color="auto" w:fill="auto"/>
            <w:noWrap/>
            <w:vAlign w:val="center"/>
            <w:hideMark/>
          </w:tcPr>
          <w:p w14:paraId="64B7683F"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6B27272E"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5816F7EF" w14:textId="77777777" w:rsidR="00333AA3" w:rsidRPr="00110509" w:rsidRDefault="00333AA3" w:rsidP="00333AA3">
            <w:pPr>
              <w:spacing w:after="0"/>
              <w:jc w:val="center"/>
              <w:rPr>
                <w:rFonts w:eastAsia="Times New Roman" w:cs="Times New Roman"/>
                <w:sz w:val="20"/>
                <w:szCs w:val="20"/>
              </w:rPr>
            </w:pPr>
          </w:p>
        </w:tc>
      </w:tr>
      <w:tr w:rsidR="00110509" w:rsidRPr="00104050" w14:paraId="3E576161" w14:textId="77777777" w:rsidTr="00110509">
        <w:trPr>
          <w:trHeight w:val="300"/>
        </w:trPr>
        <w:tc>
          <w:tcPr>
            <w:tcW w:w="2119" w:type="dxa"/>
            <w:shd w:val="clear" w:color="auto" w:fill="auto"/>
            <w:noWrap/>
            <w:vAlign w:val="center"/>
            <w:hideMark/>
          </w:tcPr>
          <w:p w14:paraId="20445076"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Desert Southwest</w:t>
            </w:r>
          </w:p>
        </w:tc>
        <w:tc>
          <w:tcPr>
            <w:tcW w:w="723" w:type="dxa"/>
            <w:shd w:val="clear" w:color="auto" w:fill="auto"/>
            <w:noWrap/>
            <w:vAlign w:val="center"/>
            <w:hideMark/>
          </w:tcPr>
          <w:p w14:paraId="77CF842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5</w:t>
            </w:r>
          </w:p>
        </w:tc>
        <w:tc>
          <w:tcPr>
            <w:tcW w:w="869" w:type="dxa"/>
            <w:shd w:val="clear" w:color="auto" w:fill="auto"/>
            <w:noWrap/>
            <w:vAlign w:val="center"/>
            <w:hideMark/>
          </w:tcPr>
          <w:p w14:paraId="6F0E8CD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0.95</w:t>
            </w:r>
          </w:p>
        </w:tc>
        <w:tc>
          <w:tcPr>
            <w:tcW w:w="969" w:type="dxa"/>
            <w:shd w:val="clear" w:color="auto" w:fill="auto"/>
            <w:noWrap/>
            <w:vAlign w:val="center"/>
            <w:hideMark/>
          </w:tcPr>
          <w:p w14:paraId="1C3EBDF3" w14:textId="77777777" w:rsidR="00333AA3" w:rsidRPr="00110509" w:rsidRDefault="00333AA3" w:rsidP="00333AA3">
            <w:pPr>
              <w:spacing w:after="0"/>
              <w:jc w:val="center"/>
              <w:rPr>
                <w:rFonts w:eastAsia="Times New Roman" w:cs="Times New Roman"/>
                <w:color w:val="000000"/>
                <w:sz w:val="20"/>
                <w:szCs w:val="20"/>
              </w:rPr>
            </w:pPr>
          </w:p>
        </w:tc>
        <w:tc>
          <w:tcPr>
            <w:tcW w:w="1350" w:type="dxa"/>
            <w:shd w:val="clear" w:color="auto" w:fill="auto"/>
            <w:noWrap/>
            <w:vAlign w:val="center"/>
            <w:hideMark/>
          </w:tcPr>
          <w:p w14:paraId="2E09C7A7"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483D2A3C"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6D8A0E18"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644BA7CD"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457151B1" w14:textId="77777777" w:rsidR="00333AA3" w:rsidRPr="00110509" w:rsidRDefault="00333AA3" w:rsidP="00333AA3">
            <w:pPr>
              <w:spacing w:after="0"/>
              <w:jc w:val="center"/>
              <w:rPr>
                <w:rFonts w:eastAsia="Times New Roman" w:cs="Times New Roman"/>
                <w:color w:val="000000"/>
                <w:sz w:val="20"/>
                <w:szCs w:val="20"/>
              </w:rPr>
            </w:pPr>
          </w:p>
        </w:tc>
        <w:tc>
          <w:tcPr>
            <w:tcW w:w="990" w:type="dxa"/>
            <w:shd w:val="clear" w:color="auto" w:fill="auto"/>
            <w:noWrap/>
            <w:vAlign w:val="center"/>
            <w:hideMark/>
          </w:tcPr>
          <w:p w14:paraId="2757D48F"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6F8242F2"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734F2550" w14:textId="77777777" w:rsidR="00333AA3" w:rsidRPr="00110509" w:rsidRDefault="00333AA3" w:rsidP="00333AA3">
            <w:pPr>
              <w:spacing w:after="0"/>
              <w:jc w:val="center"/>
              <w:rPr>
                <w:rFonts w:eastAsia="Times New Roman" w:cs="Times New Roman"/>
                <w:sz w:val="20"/>
                <w:szCs w:val="20"/>
              </w:rPr>
            </w:pPr>
          </w:p>
        </w:tc>
      </w:tr>
      <w:tr w:rsidR="00110509" w:rsidRPr="00104050" w14:paraId="7EB8B691" w14:textId="77777777" w:rsidTr="00110509">
        <w:trPr>
          <w:trHeight w:val="300"/>
        </w:trPr>
        <w:tc>
          <w:tcPr>
            <w:tcW w:w="2119" w:type="dxa"/>
            <w:shd w:val="clear" w:color="auto" w:fill="auto"/>
            <w:noWrap/>
            <w:vAlign w:val="center"/>
            <w:hideMark/>
          </w:tcPr>
          <w:p w14:paraId="393F8EB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Great Basin</w:t>
            </w:r>
          </w:p>
        </w:tc>
        <w:tc>
          <w:tcPr>
            <w:tcW w:w="723" w:type="dxa"/>
            <w:shd w:val="clear" w:color="auto" w:fill="auto"/>
            <w:noWrap/>
            <w:vAlign w:val="center"/>
            <w:hideMark/>
          </w:tcPr>
          <w:p w14:paraId="56520EF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251409F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0.94</w:t>
            </w:r>
          </w:p>
        </w:tc>
        <w:tc>
          <w:tcPr>
            <w:tcW w:w="969" w:type="dxa"/>
            <w:shd w:val="clear" w:color="auto" w:fill="auto"/>
            <w:noWrap/>
            <w:vAlign w:val="center"/>
            <w:hideMark/>
          </w:tcPr>
          <w:p w14:paraId="0CCE4CF4"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616ADD6B" w14:textId="77777777" w:rsidR="00333AA3" w:rsidRPr="00110509" w:rsidRDefault="00333AA3" w:rsidP="00333AA3">
            <w:pPr>
              <w:spacing w:after="0"/>
              <w:jc w:val="center"/>
              <w:rPr>
                <w:rFonts w:eastAsia="Times New Roman" w:cs="Times New Roman"/>
                <w:color w:val="000000"/>
                <w:sz w:val="20"/>
                <w:szCs w:val="20"/>
              </w:rPr>
            </w:pPr>
          </w:p>
        </w:tc>
        <w:tc>
          <w:tcPr>
            <w:tcW w:w="900" w:type="dxa"/>
            <w:shd w:val="clear" w:color="auto" w:fill="auto"/>
            <w:noWrap/>
            <w:vAlign w:val="center"/>
            <w:hideMark/>
          </w:tcPr>
          <w:p w14:paraId="5BBD353A" w14:textId="77777777" w:rsidR="00333AA3" w:rsidRPr="00110509" w:rsidRDefault="00333AA3" w:rsidP="00333AA3">
            <w:pPr>
              <w:spacing w:after="0"/>
              <w:jc w:val="center"/>
              <w:rPr>
                <w:rFonts w:eastAsia="Times New Roman" w:cs="Times New Roman"/>
                <w:sz w:val="20"/>
                <w:szCs w:val="20"/>
              </w:rPr>
            </w:pPr>
          </w:p>
        </w:tc>
        <w:tc>
          <w:tcPr>
            <w:tcW w:w="630" w:type="dxa"/>
            <w:shd w:val="clear" w:color="auto" w:fill="auto"/>
            <w:noWrap/>
            <w:vAlign w:val="center"/>
            <w:hideMark/>
          </w:tcPr>
          <w:p w14:paraId="04AFC65E"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720" w:type="dxa"/>
            <w:shd w:val="clear" w:color="auto" w:fill="auto"/>
            <w:noWrap/>
            <w:vAlign w:val="center"/>
            <w:hideMark/>
          </w:tcPr>
          <w:p w14:paraId="6659C4E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1CE30FE9" w14:textId="77777777" w:rsidR="00333AA3" w:rsidRPr="00110509" w:rsidRDefault="00333AA3" w:rsidP="00333AA3">
            <w:pPr>
              <w:spacing w:after="0"/>
              <w:jc w:val="center"/>
              <w:rPr>
                <w:rFonts w:eastAsia="Times New Roman" w:cs="Times New Roman"/>
                <w:color w:val="000000"/>
                <w:sz w:val="20"/>
                <w:szCs w:val="20"/>
              </w:rPr>
            </w:pPr>
          </w:p>
        </w:tc>
        <w:tc>
          <w:tcPr>
            <w:tcW w:w="990" w:type="dxa"/>
            <w:shd w:val="clear" w:color="auto" w:fill="auto"/>
            <w:noWrap/>
            <w:vAlign w:val="center"/>
            <w:hideMark/>
          </w:tcPr>
          <w:p w14:paraId="4DE61025"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0E06459E"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21A980A3" w14:textId="77777777" w:rsidR="00333AA3" w:rsidRPr="00110509" w:rsidRDefault="00333AA3" w:rsidP="00333AA3">
            <w:pPr>
              <w:spacing w:after="0"/>
              <w:jc w:val="center"/>
              <w:rPr>
                <w:rFonts w:eastAsia="Times New Roman" w:cs="Times New Roman"/>
                <w:sz w:val="20"/>
                <w:szCs w:val="20"/>
              </w:rPr>
            </w:pPr>
          </w:p>
        </w:tc>
      </w:tr>
      <w:tr w:rsidR="00110509" w:rsidRPr="00104050" w14:paraId="164D172F" w14:textId="77777777" w:rsidTr="00110509">
        <w:trPr>
          <w:trHeight w:val="300"/>
        </w:trPr>
        <w:tc>
          <w:tcPr>
            <w:tcW w:w="2119" w:type="dxa"/>
            <w:shd w:val="clear" w:color="auto" w:fill="auto"/>
            <w:noWrap/>
            <w:vAlign w:val="center"/>
            <w:hideMark/>
          </w:tcPr>
          <w:p w14:paraId="0F40D236"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Pacific Northwest</w:t>
            </w:r>
          </w:p>
        </w:tc>
        <w:tc>
          <w:tcPr>
            <w:tcW w:w="723" w:type="dxa"/>
            <w:shd w:val="clear" w:color="auto" w:fill="auto"/>
            <w:noWrap/>
            <w:vAlign w:val="center"/>
            <w:hideMark/>
          </w:tcPr>
          <w:p w14:paraId="44CD2D1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0E46E20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0.70</w:t>
            </w:r>
          </w:p>
        </w:tc>
        <w:tc>
          <w:tcPr>
            <w:tcW w:w="969" w:type="dxa"/>
            <w:shd w:val="clear" w:color="auto" w:fill="auto"/>
            <w:noWrap/>
            <w:vAlign w:val="center"/>
            <w:hideMark/>
          </w:tcPr>
          <w:p w14:paraId="505931B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08D5A5F5"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074C6560" w14:textId="77777777" w:rsidR="00333AA3" w:rsidRPr="00110509" w:rsidRDefault="00333AA3" w:rsidP="00333AA3">
            <w:pPr>
              <w:spacing w:after="0"/>
              <w:jc w:val="center"/>
              <w:rPr>
                <w:rFonts w:eastAsia="Times New Roman" w:cs="Times New Roman"/>
                <w:color w:val="000000"/>
                <w:sz w:val="20"/>
                <w:szCs w:val="20"/>
              </w:rPr>
            </w:pPr>
          </w:p>
        </w:tc>
        <w:tc>
          <w:tcPr>
            <w:tcW w:w="630" w:type="dxa"/>
            <w:shd w:val="clear" w:color="auto" w:fill="auto"/>
            <w:noWrap/>
            <w:vAlign w:val="center"/>
            <w:hideMark/>
          </w:tcPr>
          <w:p w14:paraId="18D9BE4A"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7465C903"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080" w:type="dxa"/>
            <w:shd w:val="clear" w:color="auto" w:fill="auto"/>
            <w:noWrap/>
            <w:vAlign w:val="center"/>
            <w:hideMark/>
          </w:tcPr>
          <w:p w14:paraId="7FDD77C4" w14:textId="77777777" w:rsidR="00333AA3" w:rsidRPr="00110509" w:rsidRDefault="00333AA3" w:rsidP="00333AA3">
            <w:pPr>
              <w:spacing w:after="0"/>
              <w:jc w:val="center"/>
              <w:rPr>
                <w:rFonts w:eastAsia="Times New Roman" w:cs="Times New Roman"/>
                <w:color w:val="000000"/>
                <w:sz w:val="20"/>
                <w:szCs w:val="20"/>
              </w:rPr>
            </w:pPr>
          </w:p>
        </w:tc>
        <w:tc>
          <w:tcPr>
            <w:tcW w:w="990" w:type="dxa"/>
            <w:shd w:val="clear" w:color="auto" w:fill="auto"/>
            <w:noWrap/>
            <w:vAlign w:val="center"/>
            <w:hideMark/>
          </w:tcPr>
          <w:p w14:paraId="6E4887D2"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6F8F7999"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6E38DB97" w14:textId="77777777" w:rsidR="00333AA3" w:rsidRPr="00110509" w:rsidRDefault="00333AA3" w:rsidP="00333AA3">
            <w:pPr>
              <w:spacing w:after="0"/>
              <w:jc w:val="center"/>
              <w:rPr>
                <w:rFonts w:eastAsia="Times New Roman" w:cs="Times New Roman"/>
                <w:sz w:val="20"/>
                <w:szCs w:val="20"/>
              </w:rPr>
            </w:pPr>
          </w:p>
        </w:tc>
      </w:tr>
      <w:tr w:rsidR="00110509" w:rsidRPr="00104050" w14:paraId="29405FF1" w14:textId="77777777" w:rsidTr="00110509">
        <w:trPr>
          <w:trHeight w:val="300"/>
        </w:trPr>
        <w:tc>
          <w:tcPr>
            <w:tcW w:w="2119" w:type="dxa"/>
            <w:shd w:val="clear" w:color="auto" w:fill="auto"/>
            <w:noWrap/>
            <w:vAlign w:val="center"/>
            <w:hideMark/>
          </w:tcPr>
          <w:p w14:paraId="267F2C2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Pacific Southwest</w:t>
            </w:r>
          </w:p>
        </w:tc>
        <w:tc>
          <w:tcPr>
            <w:tcW w:w="723" w:type="dxa"/>
            <w:shd w:val="clear" w:color="auto" w:fill="auto"/>
            <w:noWrap/>
            <w:vAlign w:val="center"/>
            <w:hideMark/>
          </w:tcPr>
          <w:p w14:paraId="77CCE7D2"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4</w:t>
            </w:r>
          </w:p>
        </w:tc>
        <w:tc>
          <w:tcPr>
            <w:tcW w:w="869" w:type="dxa"/>
            <w:shd w:val="clear" w:color="auto" w:fill="auto"/>
            <w:noWrap/>
            <w:vAlign w:val="center"/>
            <w:hideMark/>
          </w:tcPr>
          <w:p w14:paraId="0AE64A78"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0.70</w:t>
            </w:r>
          </w:p>
        </w:tc>
        <w:tc>
          <w:tcPr>
            <w:tcW w:w="969" w:type="dxa"/>
            <w:shd w:val="clear" w:color="auto" w:fill="auto"/>
            <w:noWrap/>
            <w:vAlign w:val="center"/>
            <w:hideMark/>
          </w:tcPr>
          <w:p w14:paraId="3FC395B7"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1350" w:type="dxa"/>
            <w:shd w:val="clear" w:color="auto" w:fill="auto"/>
            <w:noWrap/>
            <w:vAlign w:val="center"/>
            <w:hideMark/>
          </w:tcPr>
          <w:p w14:paraId="4D536931"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900" w:type="dxa"/>
            <w:shd w:val="clear" w:color="auto" w:fill="auto"/>
            <w:noWrap/>
            <w:vAlign w:val="center"/>
            <w:hideMark/>
          </w:tcPr>
          <w:p w14:paraId="13F7633B" w14:textId="77777777" w:rsidR="00333AA3" w:rsidRPr="00110509" w:rsidRDefault="00333AA3" w:rsidP="00333AA3">
            <w:pPr>
              <w:spacing w:after="0"/>
              <w:jc w:val="center"/>
              <w:rPr>
                <w:rFonts w:eastAsia="Times New Roman" w:cs="Times New Roman"/>
                <w:color w:val="000000"/>
                <w:sz w:val="20"/>
                <w:szCs w:val="20"/>
              </w:rPr>
            </w:pPr>
            <w:r w:rsidRPr="00110509">
              <w:rPr>
                <w:rFonts w:eastAsia="Times New Roman" w:cs="Times New Roman"/>
                <w:color w:val="000000"/>
                <w:sz w:val="20"/>
                <w:szCs w:val="20"/>
              </w:rPr>
              <w:t>X</w:t>
            </w:r>
          </w:p>
        </w:tc>
        <w:tc>
          <w:tcPr>
            <w:tcW w:w="630" w:type="dxa"/>
            <w:shd w:val="clear" w:color="auto" w:fill="auto"/>
            <w:noWrap/>
            <w:vAlign w:val="center"/>
            <w:hideMark/>
          </w:tcPr>
          <w:p w14:paraId="14A68D87" w14:textId="77777777" w:rsidR="00333AA3" w:rsidRPr="00110509" w:rsidRDefault="00333AA3" w:rsidP="00333AA3">
            <w:pPr>
              <w:spacing w:after="0"/>
              <w:jc w:val="center"/>
              <w:rPr>
                <w:rFonts w:eastAsia="Times New Roman" w:cs="Times New Roman"/>
                <w:color w:val="000000"/>
                <w:sz w:val="20"/>
                <w:szCs w:val="20"/>
              </w:rPr>
            </w:pPr>
          </w:p>
        </w:tc>
        <w:tc>
          <w:tcPr>
            <w:tcW w:w="720" w:type="dxa"/>
            <w:shd w:val="clear" w:color="auto" w:fill="auto"/>
            <w:noWrap/>
            <w:vAlign w:val="center"/>
            <w:hideMark/>
          </w:tcPr>
          <w:p w14:paraId="54902545" w14:textId="77777777" w:rsidR="00333AA3" w:rsidRPr="00110509" w:rsidRDefault="00333AA3" w:rsidP="00333AA3">
            <w:pPr>
              <w:spacing w:after="0"/>
              <w:jc w:val="center"/>
              <w:rPr>
                <w:rFonts w:eastAsia="Times New Roman" w:cs="Times New Roman"/>
                <w:sz w:val="20"/>
                <w:szCs w:val="20"/>
              </w:rPr>
            </w:pPr>
          </w:p>
        </w:tc>
        <w:tc>
          <w:tcPr>
            <w:tcW w:w="1080" w:type="dxa"/>
            <w:shd w:val="clear" w:color="auto" w:fill="auto"/>
            <w:noWrap/>
            <w:vAlign w:val="center"/>
            <w:hideMark/>
          </w:tcPr>
          <w:p w14:paraId="38F2AEDE" w14:textId="77777777" w:rsidR="00333AA3" w:rsidRPr="00110509" w:rsidRDefault="00333AA3" w:rsidP="00333AA3">
            <w:pPr>
              <w:spacing w:after="0"/>
              <w:jc w:val="center"/>
              <w:rPr>
                <w:rFonts w:eastAsia="Times New Roman" w:cs="Times New Roman"/>
                <w:sz w:val="20"/>
                <w:szCs w:val="20"/>
              </w:rPr>
            </w:pPr>
          </w:p>
        </w:tc>
        <w:tc>
          <w:tcPr>
            <w:tcW w:w="990" w:type="dxa"/>
            <w:shd w:val="clear" w:color="auto" w:fill="auto"/>
            <w:noWrap/>
            <w:vAlign w:val="center"/>
            <w:hideMark/>
          </w:tcPr>
          <w:p w14:paraId="512B5C94" w14:textId="77777777" w:rsidR="00333AA3" w:rsidRPr="00110509" w:rsidRDefault="00333AA3" w:rsidP="00333AA3">
            <w:pPr>
              <w:spacing w:after="0"/>
              <w:jc w:val="center"/>
              <w:rPr>
                <w:rFonts w:eastAsia="Times New Roman" w:cs="Times New Roman"/>
                <w:sz w:val="20"/>
                <w:szCs w:val="20"/>
              </w:rPr>
            </w:pPr>
          </w:p>
        </w:tc>
        <w:tc>
          <w:tcPr>
            <w:tcW w:w="720" w:type="dxa"/>
            <w:shd w:val="clear" w:color="auto" w:fill="auto"/>
            <w:noWrap/>
            <w:vAlign w:val="center"/>
            <w:hideMark/>
          </w:tcPr>
          <w:p w14:paraId="078B831E" w14:textId="77777777" w:rsidR="00333AA3" w:rsidRPr="00110509" w:rsidRDefault="00333AA3" w:rsidP="00333AA3">
            <w:pPr>
              <w:spacing w:after="0"/>
              <w:jc w:val="center"/>
              <w:rPr>
                <w:rFonts w:eastAsia="Times New Roman" w:cs="Times New Roman"/>
                <w:sz w:val="20"/>
                <w:szCs w:val="20"/>
              </w:rPr>
            </w:pPr>
          </w:p>
        </w:tc>
        <w:tc>
          <w:tcPr>
            <w:tcW w:w="900" w:type="dxa"/>
            <w:shd w:val="clear" w:color="auto" w:fill="auto"/>
            <w:noWrap/>
            <w:vAlign w:val="center"/>
            <w:hideMark/>
          </w:tcPr>
          <w:p w14:paraId="0E31D837" w14:textId="77777777" w:rsidR="00333AA3" w:rsidRPr="00110509" w:rsidRDefault="00333AA3" w:rsidP="00333AA3">
            <w:pPr>
              <w:spacing w:after="0"/>
              <w:jc w:val="center"/>
              <w:rPr>
                <w:rFonts w:eastAsia="Times New Roman" w:cs="Times New Roman"/>
                <w:sz w:val="20"/>
                <w:szCs w:val="20"/>
              </w:rPr>
            </w:pPr>
          </w:p>
        </w:tc>
      </w:tr>
    </w:tbl>
    <w:p w14:paraId="25AD6F9A" w14:textId="77777777" w:rsidR="00333AA3" w:rsidRDefault="00333AA3" w:rsidP="00333AA3">
      <w:pPr>
        <w:rPr>
          <w:rFonts w:cs="Times New Roman"/>
          <w:szCs w:val="24"/>
        </w:rPr>
        <w:sectPr w:rsidR="00333AA3" w:rsidSect="00110509">
          <w:pgSz w:w="15840" w:h="12240" w:orient="landscape"/>
          <w:pgMar w:top="1440" w:right="1440" w:bottom="1440" w:left="1440" w:header="720" w:footer="720" w:gutter="0"/>
          <w:cols w:space="720"/>
          <w:docGrid w:linePitch="360"/>
        </w:sectPr>
      </w:pPr>
    </w:p>
    <w:p w14:paraId="099F32A0" w14:textId="77777777" w:rsidR="00333AA3" w:rsidRDefault="00333AA3" w:rsidP="00333AA3">
      <w:pPr>
        <w:spacing w:line="480" w:lineRule="auto"/>
        <w:rPr>
          <w:rFonts w:cs="Times New Roman"/>
          <w:b/>
          <w:szCs w:val="24"/>
        </w:rPr>
      </w:pPr>
      <w:r>
        <w:rPr>
          <w:rFonts w:cs="Times New Roman"/>
          <w:b/>
          <w:szCs w:val="24"/>
        </w:rPr>
        <w:lastRenderedPageBreak/>
        <w:t xml:space="preserve">Figure Captions </w:t>
      </w:r>
    </w:p>
    <w:p w14:paraId="32369617" w14:textId="267CF44C" w:rsidR="00706C5E" w:rsidRPr="00FC2592" w:rsidRDefault="00333AA3" w:rsidP="00333AA3">
      <w:pPr>
        <w:spacing w:line="480" w:lineRule="auto"/>
        <w:rPr>
          <w:rFonts w:cs="Times New Roman"/>
          <w:szCs w:val="24"/>
        </w:rPr>
      </w:pPr>
      <w:r w:rsidRPr="006F24A8">
        <w:rPr>
          <w:rFonts w:cs="Times New Roman"/>
          <w:szCs w:val="24"/>
        </w:rPr>
        <w:t xml:space="preserve">Figure 1: </w:t>
      </w:r>
      <w:r>
        <w:rPr>
          <w:rFonts w:cs="Times New Roman"/>
          <w:szCs w:val="24"/>
        </w:rPr>
        <w:t xml:space="preserve">Representative spatial patterns of </w:t>
      </w:r>
      <w:proofErr w:type="spellStart"/>
      <w:r>
        <w:rPr>
          <w:rFonts w:cs="Times New Roman"/>
          <w:szCs w:val="24"/>
        </w:rPr>
        <w:t>hydrogeomorphic</w:t>
      </w:r>
      <w:proofErr w:type="spellEnd"/>
      <w:r>
        <w:rPr>
          <w:rFonts w:cs="Times New Roman"/>
          <w:szCs w:val="24"/>
        </w:rPr>
        <w:t xml:space="preserve"> patches within 4 river networks. Inset shows all river n</w:t>
      </w:r>
      <w:r w:rsidRPr="006F24A8">
        <w:rPr>
          <w:rFonts w:cs="Times New Roman"/>
          <w:szCs w:val="24"/>
        </w:rPr>
        <w:t>etwork locations</w:t>
      </w:r>
      <w:r>
        <w:rPr>
          <w:rFonts w:cs="Times New Roman"/>
          <w:szCs w:val="24"/>
        </w:rPr>
        <w:t xml:space="preserve"> used in the analysis within the NEON </w:t>
      </w:r>
      <w:proofErr w:type="spellStart"/>
      <w:r>
        <w:rPr>
          <w:rFonts w:cs="Times New Roman"/>
          <w:szCs w:val="24"/>
        </w:rPr>
        <w:t>ecoclimate</w:t>
      </w:r>
      <w:proofErr w:type="spellEnd"/>
      <w:r>
        <w:rPr>
          <w:rFonts w:cs="Times New Roman"/>
          <w:szCs w:val="24"/>
        </w:rPr>
        <w:t xml:space="preserve"> domain</w:t>
      </w:r>
      <w:r w:rsidRPr="006F24A8">
        <w:rPr>
          <w:rFonts w:cs="Times New Roman"/>
          <w:szCs w:val="24"/>
        </w:rPr>
        <w:t>.</w:t>
      </w:r>
      <w:r w:rsidRPr="00724315">
        <w:rPr>
          <w:rFonts w:cs="Times New Roman"/>
          <w:szCs w:val="24"/>
        </w:rPr>
        <w:t xml:space="preserve"> </w:t>
      </w:r>
      <w:r>
        <w:rPr>
          <w:rFonts w:cs="Times New Roman"/>
          <w:szCs w:val="24"/>
        </w:rPr>
        <w:t xml:space="preserve">NRTH = Northeast; MDAT = Mid-Atlantic; </w:t>
      </w:r>
      <w:r w:rsidRPr="004F110C">
        <w:rPr>
          <w:rFonts w:cs="Times New Roman"/>
          <w:szCs w:val="24"/>
        </w:rPr>
        <w:t>STHS</w:t>
      </w:r>
      <w:r>
        <w:rPr>
          <w:rFonts w:cs="Times New Roman"/>
          <w:szCs w:val="24"/>
        </w:rPr>
        <w:t xml:space="preserve"> = Southeast; </w:t>
      </w:r>
      <w:r w:rsidRPr="004F110C">
        <w:rPr>
          <w:rFonts w:cs="Times New Roman"/>
          <w:szCs w:val="24"/>
        </w:rPr>
        <w:t>GRTL</w:t>
      </w:r>
      <w:r>
        <w:rPr>
          <w:rFonts w:cs="Times New Roman"/>
          <w:szCs w:val="24"/>
        </w:rPr>
        <w:t xml:space="preserve"> = Great Lakes; </w:t>
      </w:r>
      <w:r w:rsidRPr="004F110C">
        <w:rPr>
          <w:rFonts w:cs="Times New Roman"/>
          <w:szCs w:val="24"/>
        </w:rPr>
        <w:t>PRRP</w:t>
      </w:r>
      <w:r>
        <w:rPr>
          <w:rFonts w:cs="Times New Roman"/>
          <w:szCs w:val="24"/>
        </w:rPr>
        <w:t xml:space="preserve"> = Prairie Peninsula; </w:t>
      </w:r>
      <w:r w:rsidRPr="004F110C">
        <w:rPr>
          <w:rFonts w:cs="Times New Roman"/>
          <w:szCs w:val="24"/>
        </w:rPr>
        <w:t>APCP</w:t>
      </w:r>
      <w:r>
        <w:rPr>
          <w:rFonts w:cs="Times New Roman"/>
          <w:szCs w:val="24"/>
        </w:rPr>
        <w:t xml:space="preserve"> = </w:t>
      </w:r>
      <w:r w:rsidRPr="00681393">
        <w:rPr>
          <w:rFonts w:eastAsia="Times New Roman" w:cs="Times New Roman"/>
          <w:color w:val="000000"/>
        </w:rPr>
        <w:t>Appalachian Cumberland Plateau</w:t>
      </w:r>
      <w:r>
        <w:rPr>
          <w:rFonts w:eastAsia="Times New Roman" w:cs="Times New Roman"/>
          <w:color w:val="000000"/>
        </w:rPr>
        <w:t xml:space="preserve">; </w:t>
      </w:r>
      <w:r w:rsidRPr="004F110C">
        <w:rPr>
          <w:rFonts w:cs="Times New Roman"/>
          <w:szCs w:val="24"/>
        </w:rPr>
        <w:t>OC-2</w:t>
      </w:r>
      <w:r>
        <w:rPr>
          <w:rFonts w:cs="Times New Roman"/>
          <w:szCs w:val="24"/>
        </w:rPr>
        <w:t xml:space="preserve"> = Ozarks Complex-2; </w:t>
      </w:r>
      <w:r w:rsidRPr="004F110C">
        <w:rPr>
          <w:rFonts w:cs="Times New Roman"/>
          <w:szCs w:val="24"/>
        </w:rPr>
        <w:t>OC-1</w:t>
      </w:r>
      <w:r>
        <w:rPr>
          <w:rFonts w:cs="Times New Roman"/>
          <w:szCs w:val="24"/>
        </w:rPr>
        <w:t xml:space="preserve"> = Ozarks Complex-1; </w:t>
      </w:r>
      <w:r w:rsidRPr="004F110C">
        <w:rPr>
          <w:rFonts w:cs="Times New Roman"/>
          <w:szCs w:val="24"/>
        </w:rPr>
        <w:t>NRTP</w:t>
      </w:r>
      <w:r>
        <w:rPr>
          <w:rFonts w:cs="Times New Roman"/>
          <w:szCs w:val="24"/>
        </w:rPr>
        <w:t xml:space="preserve"> = Northern Plains; </w:t>
      </w:r>
      <w:r w:rsidRPr="004F110C">
        <w:rPr>
          <w:rFonts w:cs="Times New Roman"/>
          <w:szCs w:val="24"/>
        </w:rPr>
        <w:t>CNTP</w:t>
      </w:r>
      <w:r>
        <w:rPr>
          <w:rFonts w:cs="Times New Roman"/>
          <w:szCs w:val="24"/>
        </w:rPr>
        <w:t xml:space="preserve"> = Central Plains; </w:t>
      </w:r>
      <w:r w:rsidRPr="004F110C">
        <w:rPr>
          <w:rFonts w:cs="Times New Roman"/>
          <w:szCs w:val="24"/>
        </w:rPr>
        <w:t>STHP</w:t>
      </w:r>
      <w:r>
        <w:rPr>
          <w:rFonts w:cs="Times New Roman"/>
          <w:szCs w:val="24"/>
        </w:rPr>
        <w:t xml:space="preserve"> = Southern Plains; </w:t>
      </w:r>
      <w:r w:rsidRPr="004F110C">
        <w:rPr>
          <w:rFonts w:cs="Times New Roman"/>
          <w:szCs w:val="24"/>
        </w:rPr>
        <w:t>NRTR</w:t>
      </w:r>
      <w:r>
        <w:rPr>
          <w:rFonts w:cs="Times New Roman"/>
          <w:szCs w:val="24"/>
        </w:rPr>
        <w:t xml:space="preserve"> = Northern Rockies; </w:t>
      </w:r>
      <w:r w:rsidRPr="004F110C">
        <w:rPr>
          <w:rFonts w:cs="Times New Roman"/>
          <w:szCs w:val="24"/>
        </w:rPr>
        <w:t>STHR</w:t>
      </w:r>
      <w:r>
        <w:rPr>
          <w:rFonts w:cs="Times New Roman"/>
          <w:szCs w:val="24"/>
        </w:rPr>
        <w:t xml:space="preserve"> = Southern Rockies; </w:t>
      </w:r>
      <w:r w:rsidRPr="004F110C">
        <w:rPr>
          <w:rFonts w:cs="Times New Roman"/>
          <w:szCs w:val="24"/>
        </w:rPr>
        <w:t>DSRS</w:t>
      </w:r>
      <w:r>
        <w:rPr>
          <w:rFonts w:cs="Times New Roman"/>
          <w:szCs w:val="24"/>
        </w:rPr>
        <w:t xml:space="preserve"> = Desert Southwest; </w:t>
      </w:r>
      <w:r w:rsidRPr="004F110C">
        <w:rPr>
          <w:rFonts w:cs="Times New Roman"/>
          <w:szCs w:val="24"/>
        </w:rPr>
        <w:t>GRTB</w:t>
      </w:r>
      <w:r>
        <w:rPr>
          <w:rFonts w:cs="Times New Roman"/>
          <w:szCs w:val="24"/>
        </w:rPr>
        <w:t xml:space="preserve"> = Great Basin; </w:t>
      </w:r>
      <w:r w:rsidRPr="004F110C">
        <w:rPr>
          <w:rFonts w:cs="Times New Roman"/>
          <w:szCs w:val="24"/>
        </w:rPr>
        <w:t>PCFN</w:t>
      </w:r>
      <w:r>
        <w:rPr>
          <w:rFonts w:cs="Times New Roman"/>
          <w:szCs w:val="24"/>
        </w:rPr>
        <w:t xml:space="preserve"> = Pacific Northwest; </w:t>
      </w:r>
      <w:r w:rsidRPr="004F110C">
        <w:rPr>
          <w:rFonts w:cs="Times New Roman"/>
          <w:szCs w:val="24"/>
        </w:rPr>
        <w:t>PCFS</w:t>
      </w:r>
      <w:r>
        <w:rPr>
          <w:rFonts w:cs="Times New Roman"/>
          <w:szCs w:val="24"/>
        </w:rPr>
        <w:t xml:space="preserve"> = Pacific Southwest</w:t>
      </w:r>
    </w:p>
    <w:p w14:paraId="7D7D41DE" w14:textId="22B4C5CD" w:rsidR="00706C5E" w:rsidRPr="00094186" w:rsidRDefault="00333AA3" w:rsidP="00333AA3">
      <w:pPr>
        <w:spacing w:line="480" w:lineRule="auto"/>
        <w:rPr>
          <w:rFonts w:cs="Times New Roman"/>
          <w:szCs w:val="24"/>
        </w:rPr>
      </w:pPr>
      <w:r>
        <w:rPr>
          <w:rFonts w:cs="Times New Roman"/>
          <w:szCs w:val="24"/>
        </w:rPr>
        <w:t>Figure 2: Schematic demonstrating the changing the scale of spatial extent (top), spatial grain (middle) and thematic resolution (bottom) in river networks. MSL = minimum stream length.</w:t>
      </w:r>
    </w:p>
    <w:p w14:paraId="533A5134" w14:textId="77777777" w:rsidR="00333AA3" w:rsidRDefault="00333AA3" w:rsidP="00333AA3">
      <w:pPr>
        <w:spacing w:line="480" w:lineRule="auto"/>
        <w:rPr>
          <w:rFonts w:cs="Times New Roman"/>
          <w:szCs w:val="24"/>
        </w:rPr>
      </w:pPr>
      <w:r w:rsidRPr="0048206F">
        <w:rPr>
          <w:rFonts w:cs="Times New Roman"/>
          <w:szCs w:val="24"/>
        </w:rPr>
        <w:t xml:space="preserve">Figure </w:t>
      </w:r>
      <w:r>
        <w:rPr>
          <w:rFonts w:cs="Times New Roman"/>
          <w:szCs w:val="24"/>
        </w:rPr>
        <w:t>3</w:t>
      </w:r>
      <w:r w:rsidRPr="0048206F">
        <w:rPr>
          <w:rFonts w:cs="Times New Roman"/>
          <w:szCs w:val="24"/>
        </w:rPr>
        <w:t xml:space="preserve">:  The relationship between characteristics of stream networks and the spatial pattern of </w:t>
      </w:r>
      <w:proofErr w:type="spellStart"/>
      <w:r w:rsidRPr="0048206F">
        <w:rPr>
          <w:rFonts w:cs="Times New Roman"/>
          <w:szCs w:val="24"/>
        </w:rPr>
        <w:t>hydrogeomorphic</w:t>
      </w:r>
      <w:proofErr w:type="spellEnd"/>
      <w:r w:rsidRPr="0048206F">
        <w:rPr>
          <w:rFonts w:cs="Times New Roman"/>
          <w:szCs w:val="24"/>
        </w:rPr>
        <w:t xml:space="preserve"> patches. SHDI = Shannon diversity index; TP = total number of patches, DCI = dendritic connectivity index; MPD = mean distance between patches. Lines of best fit are drawn for significant relationships (p&lt;0.05). Hashed lines represent power function, dotted lines represent linear function.</w:t>
      </w:r>
      <w:r>
        <w:rPr>
          <w:rFonts w:cs="Times New Roman"/>
          <w:szCs w:val="24"/>
        </w:rPr>
        <w:t xml:space="preserve"> NRTH = Northeast; MDAT = Mid-Atlantic; </w:t>
      </w:r>
      <w:r w:rsidRPr="004F110C">
        <w:rPr>
          <w:rFonts w:cs="Times New Roman"/>
          <w:szCs w:val="24"/>
        </w:rPr>
        <w:t>STHS</w:t>
      </w:r>
      <w:r>
        <w:rPr>
          <w:rFonts w:cs="Times New Roman"/>
          <w:szCs w:val="24"/>
        </w:rPr>
        <w:t xml:space="preserve"> = Southeast; </w:t>
      </w:r>
      <w:r w:rsidRPr="004F110C">
        <w:rPr>
          <w:rFonts w:cs="Times New Roman"/>
          <w:szCs w:val="24"/>
        </w:rPr>
        <w:t>GRTL</w:t>
      </w:r>
      <w:r>
        <w:rPr>
          <w:rFonts w:cs="Times New Roman"/>
          <w:szCs w:val="24"/>
        </w:rPr>
        <w:t xml:space="preserve"> = Great Lakes; </w:t>
      </w:r>
      <w:r w:rsidRPr="004F110C">
        <w:rPr>
          <w:rFonts w:cs="Times New Roman"/>
          <w:szCs w:val="24"/>
        </w:rPr>
        <w:t>PRRP</w:t>
      </w:r>
      <w:r>
        <w:rPr>
          <w:rFonts w:cs="Times New Roman"/>
          <w:szCs w:val="24"/>
        </w:rPr>
        <w:t xml:space="preserve"> = Prairie Peninsula; </w:t>
      </w:r>
      <w:r w:rsidRPr="004F110C">
        <w:rPr>
          <w:rFonts w:cs="Times New Roman"/>
          <w:szCs w:val="24"/>
        </w:rPr>
        <w:t>APCP</w:t>
      </w:r>
      <w:r>
        <w:rPr>
          <w:rFonts w:cs="Times New Roman"/>
          <w:szCs w:val="24"/>
        </w:rPr>
        <w:t xml:space="preserve"> = </w:t>
      </w:r>
      <w:r w:rsidRPr="00681393">
        <w:rPr>
          <w:rFonts w:eastAsia="Times New Roman" w:cs="Times New Roman"/>
          <w:color w:val="000000"/>
        </w:rPr>
        <w:t>Appalachian Cumberland Plateau</w:t>
      </w:r>
      <w:r>
        <w:rPr>
          <w:rFonts w:eastAsia="Times New Roman" w:cs="Times New Roman"/>
          <w:color w:val="000000"/>
        </w:rPr>
        <w:t xml:space="preserve">; </w:t>
      </w:r>
      <w:r w:rsidRPr="004F110C">
        <w:rPr>
          <w:rFonts w:cs="Times New Roman"/>
          <w:szCs w:val="24"/>
        </w:rPr>
        <w:t>OC-2</w:t>
      </w:r>
      <w:r>
        <w:rPr>
          <w:rFonts w:cs="Times New Roman"/>
          <w:szCs w:val="24"/>
        </w:rPr>
        <w:t xml:space="preserve"> = Ozarks Complex-2; </w:t>
      </w:r>
      <w:r w:rsidRPr="004F110C">
        <w:rPr>
          <w:rFonts w:cs="Times New Roman"/>
          <w:szCs w:val="24"/>
        </w:rPr>
        <w:t>OC-1</w:t>
      </w:r>
      <w:r>
        <w:rPr>
          <w:rFonts w:cs="Times New Roman"/>
          <w:szCs w:val="24"/>
        </w:rPr>
        <w:t xml:space="preserve"> = Ozarks Complex-1; </w:t>
      </w:r>
      <w:r w:rsidRPr="004F110C">
        <w:rPr>
          <w:rFonts w:cs="Times New Roman"/>
          <w:szCs w:val="24"/>
        </w:rPr>
        <w:t>NRTP</w:t>
      </w:r>
      <w:r>
        <w:rPr>
          <w:rFonts w:cs="Times New Roman"/>
          <w:szCs w:val="24"/>
        </w:rPr>
        <w:t xml:space="preserve"> = Northern Plains; </w:t>
      </w:r>
      <w:r w:rsidRPr="004F110C">
        <w:rPr>
          <w:rFonts w:cs="Times New Roman"/>
          <w:szCs w:val="24"/>
        </w:rPr>
        <w:t>CNTP</w:t>
      </w:r>
      <w:r>
        <w:rPr>
          <w:rFonts w:cs="Times New Roman"/>
          <w:szCs w:val="24"/>
        </w:rPr>
        <w:t xml:space="preserve"> = Central Plains; </w:t>
      </w:r>
      <w:r w:rsidRPr="004F110C">
        <w:rPr>
          <w:rFonts w:cs="Times New Roman"/>
          <w:szCs w:val="24"/>
        </w:rPr>
        <w:t>STHP</w:t>
      </w:r>
      <w:r>
        <w:rPr>
          <w:rFonts w:cs="Times New Roman"/>
          <w:szCs w:val="24"/>
        </w:rPr>
        <w:t xml:space="preserve"> = Southern Plains; </w:t>
      </w:r>
      <w:r w:rsidRPr="004F110C">
        <w:rPr>
          <w:rFonts w:cs="Times New Roman"/>
          <w:szCs w:val="24"/>
        </w:rPr>
        <w:t>NRTR</w:t>
      </w:r>
      <w:r>
        <w:rPr>
          <w:rFonts w:cs="Times New Roman"/>
          <w:szCs w:val="24"/>
        </w:rPr>
        <w:t xml:space="preserve"> = Northern Rockies; </w:t>
      </w:r>
      <w:r w:rsidRPr="004F110C">
        <w:rPr>
          <w:rFonts w:cs="Times New Roman"/>
          <w:szCs w:val="24"/>
        </w:rPr>
        <w:t>STHR</w:t>
      </w:r>
      <w:r>
        <w:rPr>
          <w:rFonts w:cs="Times New Roman"/>
          <w:szCs w:val="24"/>
        </w:rPr>
        <w:t xml:space="preserve"> = Southern Rockies; </w:t>
      </w:r>
      <w:r w:rsidRPr="004F110C">
        <w:rPr>
          <w:rFonts w:cs="Times New Roman"/>
          <w:szCs w:val="24"/>
        </w:rPr>
        <w:t>DSRS</w:t>
      </w:r>
      <w:r>
        <w:rPr>
          <w:rFonts w:cs="Times New Roman"/>
          <w:szCs w:val="24"/>
        </w:rPr>
        <w:t xml:space="preserve"> = Desert Southwest; </w:t>
      </w:r>
      <w:r w:rsidRPr="004F110C">
        <w:rPr>
          <w:rFonts w:cs="Times New Roman"/>
          <w:szCs w:val="24"/>
        </w:rPr>
        <w:t>GRTB</w:t>
      </w:r>
      <w:r>
        <w:rPr>
          <w:rFonts w:cs="Times New Roman"/>
          <w:szCs w:val="24"/>
        </w:rPr>
        <w:t xml:space="preserve"> = Great Basin; </w:t>
      </w:r>
      <w:r w:rsidRPr="004F110C">
        <w:rPr>
          <w:rFonts w:cs="Times New Roman"/>
          <w:szCs w:val="24"/>
        </w:rPr>
        <w:t>PCFN</w:t>
      </w:r>
      <w:r>
        <w:rPr>
          <w:rFonts w:cs="Times New Roman"/>
          <w:szCs w:val="24"/>
        </w:rPr>
        <w:t xml:space="preserve"> = Pacific Northwest; </w:t>
      </w:r>
      <w:r w:rsidRPr="004F110C">
        <w:rPr>
          <w:rFonts w:cs="Times New Roman"/>
          <w:szCs w:val="24"/>
        </w:rPr>
        <w:t>PCFS</w:t>
      </w:r>
      <w:r>
        <w:rPr>
          <w:rFonts w:cs="Times New Roman"/>
          <w:szCs w:val="24"/>
        </w:rPr>
        <w:t xml:space="preserve"> = Pacific Southwest</w:t>
      </w:r>
    </w:p>
    <w:p w14:paraId="7F4A110D" w14:textId="77777777" w:rsidR="00333AA3" w:rsidRDefault="00333AA3" w:rsidP="00333AA3">
      <w:pPr>
        <w:rPr>
          <w:rFonts w:cs="Times New Roman"/>
          <w:szCs w:val="24"/>
        </w:rPr>
      </w:pPr>
      <w:r w:rsidRPr="006F24A8">
        <w:rPr>
          <w:rFonts w:cs="Times New Roman"/>
          <w:szCs w:val="24"/>
        </w:rPr>
        <w:lastRenderedPageBreak/>
        <w:t xml:space="preserve">  </w:t>
      </w:r>
      <w:r>
        <w:rPr>
          <w:rFonts w:cs="Times New Roman"/>
          <w:noProof/>
          <w:szCs w:val="24"/>
        </w:rPr>
        <w:drawing>
          <wp:inline distT="0" distB="0" distL="0" distR="0" wp14:anchorId="62467771" wp14:editId="446105D7">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2C69FE1" w14:textId="004C2BB6" w:rsidR="001249BB" w:rsidRDefault="001249BB" w:rsidP="001249BB">
      <w:pPr>
        <w:pStyle w:val="Caption"/>
      </w:pPr>
      <w:bookmarkStart w:id="109" w:name="_Toc60480663"/>
      <w:r>
        <w:t xml:space="preserve">Figure </w:t>
      </w:r>
      <w:fldSimple w:instr=" STYLEREF 1 \s ">
        <w:r w:rsidR="000C6138">
          <w:rPr>
            <w:noProof/>
          </w:rPr>
          <w:t>4</w:t>
        </w:r>
      </w:fldSimple>
      <w:r w:rsidR="004F311A">
        <w:t>.</w:t>
      </w:r>
      <w:fldSimple w:instr=" SEQ Figure \* ARABIC \s 1 ">
        <w:r w:rsidR="000C6138">
          <w:rPr>
            <w:noProof/>
          </w:rPr>
          <w:t>1</w:t>
        </w:r>
      </w:fldSimple>
      <w:bookmarkEnd w:id="109"/>
    </w:p>
    <w:p w14:paraId="771ECEC1" w14:textId="77777777" w:rsidR="00333AA3" w:rsidRDefault="00333AA3" w:rsidP="00333AA3">
      <w:pPr>
        <w:rPr>
          <w:rFonts w:cs="Times New Roman"/>
          <w:szCs w:val="24"/>
        </w:rPr>
      </w:pPr>
      <w:r>
        <w:rPr>
          <w:rFonts w:cs="Times New Roman"/>
          <w:noProof/>
          <w:szCs w:val="24"/>
        </w:rPr>
        <w:lastRenderedPageBreak/>
        <w:drawing>
          <wp:inline distT="0" distB="0" distL="0" distR="0" wp14:anchorId="5929D023" wp14:editId="3422B00C">
            <wp:extent cx="5943600" cy="4385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le_Example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4385945"/>
                    </a:xfrm>
                    <a:prstGeom prst="rect">
                      <a:avLst/>
                    </a:prstGeom>
                  </pic:spPr>
                </pic:pic>
              </a:graphicData>
            </a:graphic>
          </wp:inline>
        </w:drawing>
      </w:r>
    </w:p>
    <w:p w14:paraId="73EEBA4C" w14:textId="5C586A9D" w:rsidR="00333AA3" w:rsidRPr="000C179D" w:rsidRDefault="001249BB" w:rsidP="001249BB">
      <w:pPr>
        <w:pStyle w:val="Caption"/>
        <w:rPr>
          <w:rFonts w:cs="Times New Roman"/>
          <w:szCs w:val="24"/>
        </w:rPr>
      </w:pPr>
      <w:bookmarkStart w:id="110" w:name="_Toc60480664"/>
      <w:r>
        <w:t xml:space="preserve">Figure </w:t>
      </w:r>
      <w:fldSimple w:instr=" STYLEREF 1 \s ">
        <w:r w:rsidR="000C6138">
          <w:rPr>
            <w:noProof/>
          </w:rPr>
          <w:t>4</w:t>
        </w:r>
      </w:fldSimple>
      <w:r w:rsidR="004F311A">
        <w:t>.</w:t>
      </w:r>
      <w:fldSimple w:instr=" SEQ Figure \* ARABIC \s 1 ">
        <w:r w:rsidR="000C6138">
          <w:rPr>
            <w:noProof/>
          </w:rPr>
          <w:t>2</w:t>
        </w:r>
      </w:fldSimple>
      <w:bookmarkEnd w:id="110"/>
    </w:p>
    <w:p w14:paraId="286DDCF0" w14:textId="77777777" w:rsidR="00333AA3" w:rsidRDefault="00333AA3" w:rsidP="00333AA3">
      <w:pPr>
        <w:rPr>
          <w:b/>
        </w:rPr>
      </w:pPr>
    </w:p>
    <w:p w14:paraId="19C1A940" w14:textId="77777777" w:rsidR="00333AA3" w:rsidRDefault="00333AA3" w:rsidP="00333AA3">
      <w:pPr>
        <w:rPr>
          <w:b/>
        </w:rPr>
      </w:pPr>
    </w:p>
    <w:p w14:paraId="3586A95C" w14:textId="77777777" w:rsidR="00333AA3" w:rsidRDefault="00333AA3" w:rsidP="00333AA3">
      <w:pPr>
        <w:rPr>
          <w:b/>
        </w:rPr>
      </w:pPr>
    </w:p>
    <w:p w14:paraId="0A1BEF3D" w14:textId="77777777" w:rsidR="00333AA3" w:rsidRDefault="00333AA3" w:rsidP="00333AA3">
      <w:pPr>
        <w:rPr>
          <w:b/>
        </w:rPr>
      </w:pPr>
    </w:p>
    <w:p w14:paraId="6CB5AF34" w14:textId="77777777" w:rsidR="00333AA3" w:rsidRDefault="00333AA3" w:rsidP="00333AA3">
      <w:pPr>
        <w:rPr>
          <w:b/>
        </w:rPr>
      </w:pPr>
    </w:p>
    <w:p w14:paraId="110F5900" w14:textId="77777777" w:rsidR="00333AA3" w:rsidRDefault="00333AA3" w:rsidP="00333AA3">
      <w:pPr>
        <w:rPr>
          <w:b/>
        </w:rPr>
      </w:pPr>
    </w:p>
    <w:p w14:paraId="14D61943" w14:textId="77777777" w:rsidR="00333AA3" w:rsidRDefault="00333AA3" w:rsidP="00333AA3">
      <w:pPr>
        <w:rPr>
          <w:b/>
        </w:rPr>
      </w:pPr>
    </w:p>
    <w:p w14:paraId="7493E505" w14:textId="77777777" w:rsidR="00333AA3" w:rsidRDefault="00333AA3" w:rsidP="00333AA3">
      <w:pPr>
        <w:rPr>
          <w:b/>
        </w:rPr>
      </w:pPr>
    </w:p>
    <w:p w14:paraId="68C5EE2B" w14:textId="77777777" w:rsidR="00333AA3" w:rsidRPr="0048206F" w:rsidRDefault="00333AA3" w:rsidP="00333AA3">
      <w:pPr>
        <w:rPr>
          <w:rFonts w:cs="Times New Roman"/>
          <w:b/>
          <w:szCs w:val="24"/>
        </w:rPr>
      </w:pPr>
      <w:r>
        <w:rPr>
          <w:rFonts w:cs="Times New Roman"/>
          <w:b/>
          <w:noProof/>
          <w:szCs w:val="24"/>
        </w:rPr>
        <w:lastRenderedPageBreak/>
        <w:drawing>
          <wp:inline distT="0" distB="0" distL="0" distR="0" wp14:anchorId="31C89454" wp14:editId="76EF176E">
            <wp:extent cx="5943600" cy="52406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3.jpg"/>
                    <pic:cNvPicPr/>
                  </pic:nvPicPr>
                  <pic:blipFill>
                    <a:blip r:embed="rId47">
                      <a:extLst>
                        <a:ext uri="{28A0092B-C50C-407E-A947-70E740481C1C}">
                          <a14:useLocalDpi xmlns:a14="http://schemas.microsoft.com/office/drawing/2010/main" val="0"/>
                        </a:ext>
                      </a:extLst>
                    </a:blip>
                    <a:stretch>
                      <a:fillRect/>
                    </a:stretch>
                  </pic:blipFill>
                  <pic:spPr>
                    <a:xfrm>
                      <a:off x="0" y="0"/>
                      <a:ext cx="5943600" cy="5240655"/>
                    </a:xfrm>
                    <a:prstGeom prst="rect">
                      <a:avLst/>
                    </a:prstGeom>
                  </pic:spPr>
                </pic:pic>
              </a:graphicData>
            </a:graphic>
          </wp:inline>
        </w:drawing>
      </w:r>
    </w:p>
    <w:p w14:paraId="0C4EE37B" w14:textId="23841B6C" w:rsidR="00333AA3" w:rsidRDefault="001249BB" w:rsidP="001249BB">
      <w:pPr>
        <w:pStyle w:val="Caption"/>
        <w:rPr>
          <w:rFonts w:cs="Times New Roman"/>
          <w:szCs w:val="24"/>
        </w:rPr>
      </w:pPr>
      <w:bookmarkStart w:id="111" w:name="_Toc60480665"/>
      <w:r>
        <w:t xml:space="preserve">Figure </w:t>
      </w:r>
      <w:fldSimple w:instr=" STYLEREF 1 \s ">
        <w:r w:rsidR="000C6138">
          <w:rPr>
            <w:noProof/>
          </w:rPr>
          <w:t>4</w:t>
        </w:r>
      </w:fldSimple>
      <w:r w:rsidR="004F311A">
        <w:t>.</w:t>
      </w:r>
      <w:fldSimple w:instr=" SEQ Figure \* ARABIC \s 1 ">
        <w:r w:rsidR="000C6138">
          <w:rPr>
            <w:noProof/>
          </w:rPr>
          <w:t>3</w:t>
        </w:r>
      </w:fldSimple>
      <w:bookmarkEnd w:id="111"/>
    </w:p>
    <w:p w14:paraId="4979A2D3" w14:textId="77777777" w:rsidR="00333AA3" w:rsidRDefault="00333AA3" w:rsidP="00333AA3">
      <w:pPr>
        <w:rPr>
          <w:rFonts w:cs="Times New Roman"/>
          <w:szCs w:val="24"/>
        </w:rPr>
      </w:pPr>
    </w:p>
    <w:p w14:paraId="5A685AE2" w14:textId="77777777" w:rsidR="00333AA3" w:rsidRDefault="00333AA3" w:rsidP="00333AA3">
      <w:pPr>
        <w:rPr>
          <w:rFonts w:cs="Times New Roman"/>
          <w:szCs w:val="24"/>
        </w:rPr>
      </w:pPr>
    </w:p>
    <w:p w14:paraId="70736EF5" w14:textId="77777777" w:rsidR="00333AA3" w:rsidRDefault="00333AA3" w:rsidP="00333AA3">
      <w:pPr>
        <w:rPr>
          <w:b/>
        </w:rPr>
      </w:pPr>
    </w:p>
    <w:p w14:paraId="1774AB90" w14:textId="77777777" w:rsidR="00333AA3" w:rsidRDefault="00333AA3" w:rsidP="00333AA3">
      <w:pPr>
        <w:rPr>
          <w:b/>
        </w:rPr>
      </w:pPr>
    </w:p>
    <w:p w14:paraId="71E65ED8" w14:textId="77777777" w:rsidR="00333AA3" w:rsidRDefault="00333AA3" w:rsidP="00333AA3">
      <w:pPr>
        <w:rPr>
          <w:b/>
        </w:rPr>
      </w:pPr>
    </w:p>
    <w:p w14:paraId="2DD172C4" w14:textId="77777777" w:rsidR="00333AA3" w:rsidRDefault="00333AA3" w:rsidP="00333AA3">
      <w:pPr>
        <w:rPr>
          <w:b/>
        </w:rPr>
      </w:pPr>
    </w:p>
    <w:p w14:paraId="572C8B10" w14:textId="77777777" w:rsidR="00333AA3" w:rsidRDefault="00333AA3" w:rsidP="00333AA3">
      <w:pPr>
        <w:rPr>
          <w:b/>
        </w:rPr>
      </w:pPr>
    </w:p>
    <w:p w14:paraId="62DFD80D" w14:textId="77777777" w:rsidR="00333AA3" w:rsidRDefault="00333AA3" w:rsidP="00333AA3">
      <w:pPr>
        <w:rPr>
          <w:b/>
        </w:rPr>
      </w:pPr>
    </w:p>
    <w:p w14:paraId="40705280" w14:textId="77777777" w:rsidR="00333AA3" w:rsidRDefault="00333AA3" w:rsidP="00333AA3">
      <w:pPr>
        <w:rPr>
          <w:b/>
        </w:rPr>
      </w:pPr>
    </w:p>
    <w:p w14:paraId="43E2E16A" w14:textId="77777777" w:rsidR="00706C5E" w:rsidRDefault="00706C5E" w:rsidP="00706C5E">
      <w:pPr>
        <w:pStyle w:val="Heading2"/>
      </w:pPr>
      <w:bookmarkStart w:id="112" w:name="_Toc60841242"/>
      <w:r>
        <w:lastRenderedPageBreak/>
        <w:t>Appendix S1. Supporting Information</w:t>
      </w:r>
      <w:bookmarkEnd w:id="112"/>
    </w:p>
    <w:p w14:paraId="17F84ACF" w14:textId="77777777" w:rsidR="00333AA3" w:rsidRPr="000C179D" w:rsidRDefault="00333AA3" w:rsidP="00333AA3">
      <w:pPr>
        <w:rPr>
          <w:rFonts w:cs="Times New Roman"/>
          <w:b/>
          <w:szCs w:val="24"/>
        </w:rPr>
      </w:pPr>
    </w:p>
    <w:p w14:paraId="2B5AA9AA" w14:textId="77777777" w:rsidR="00333AA3" w:rsidRDefault="00333AA3" w:rsidP="00333AA3">
      <w:pPr>
        <w:rPr>
          <w:b/>
        </w:rPr>
      </w:pPr>
    </w:p>
    <w:p w14:paraId="502B96A7" w14:textId="77777777" w:rsidR="00333AA3" w:rsidRPr="006F24A8" w:rsidRDefault="00333AA3" w:rsidP="00333AA3">
      <w:pPr>
        <w:jc w:val="center"/>
        <w:rPr>
          <w:rFonts w:cs="Times New Roman"/>
          <w:szCs w:val="24"/>
        </w:rPr>
      </w:pPr>
      <w:r w:rsidRPr="006F24A8">
        <w:rPr>
          <w:rFonts w:cs="Times New Roman"/>
          <w:noProof/>
          <w:szCs w:val="24"/>
        </w:rPr>
        <w:drawing>
          <wp:inline distT="0" distB="0" distL="0" distR="0" wp14:anchorId="4D62CAA6" wp14:editId="62052D86">
            <wp:extent cx="3101009" cy="2425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tworkStructure.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03139" cy="2426814"/>
                    </a:xfrm>
                    <a:prstGeom prst="rect">
                      <a:avLst/>
                    </a:prstGeom>
                  </pic:spPr>
                </pic:pic>
              </a:graphicData>
            </a:graphic>
          </wp:inline>
        </w:drawing>
      </w:r>
    </w:p>
    <w:p w14:paraId="333F71D7" w14:textId="1BC463B5" w:rsidR="00333AA3" w:rsidRPr="006F24A8" w:rsidRDefault="001249BB" w:rsidP="001249BB">
      <w:pPr>
        <w:pStyle w:val="Caption"/>
        <w:rPr>
          <w:rFonts w:cs="Times New Roman"/>
          <w:szCs w:val="24"/>
        </w:rPr>
      </w:pPr>
      <w:bookmarkStart w:id="113" w:name="_Toc60480666"/>
      <w:r>
        <w:t>Figure</w:t>
      </w:r>
      <w:r w:rsidR="00B06ABD">
        <w:rPr>
          <w:rFonts w:cs="Times New Roman"/>
          <w:szCs w:val="24"/>
        </w:rPr>
        <w:t xml:space="preserve"> </w:t>
      </w:r>
      <w:r w:rsidR="00333AA3">
        <w:rPr>
          <w:rFonts w:cs="Times New Roman"/>
          <w:szCs w:val="24"/>
        </w:rPr>
        <w:t>S</w:t>
      </w:r>
      <w:r w:rsidR="00B06ABD">
        <w:rPr>
          <w:rFonts w:cs="Times New Roman"/>
          <w:szCs w:val="24"/>
        </w:rPr>
        <w:t>4.1.</w:t>
      </w:r>
      <w:r w:rsidR="00333AA3" w:rsidRPr="006F24A8">
        <w:rPr>
          <w:rFonts w:cs="Times New Roman"/>
          <w:szCs w:val="24"/>
        </w:rPr>
        <w:t xml:space="preserve"> Sampling schematic</w:t>
      </w:r>
      <w:r w:rsidR="00333AA3">
        <w:rPr>
          <w:rFonts w:cs="Times New Roman"/>
          <w:szCs w:val="24"/>
        </w:rPr>
        <w:t xml:space="preserve"> for extracting </w:t>
      </w:r>
      <w:proofErr w:type="spellStart"/>
      <w:r w:rsidR="00333AA3" w:rsidRPr="006F24A8">
        <w:rPr>
          <w:rFonts w:cs="Times New Roman"/>
          <w:szCs w:val="24"/>
        </w:rPr>
        <w:t>Hydrogeomorphic</w:t>
      </w:r>
      <w:proofErr w:type="spellEnd"/>
      <w:r w:rsidR="00333AA3">
        <w:rPr>
          <w:rFonts w:cs="Times New Roman"/>
          <w:szCs w:val="24"/>
        </w:rPr>
        <w:t xml:space="preserve"> variables used to identify </w:t>
      </w:r>
      <w:proofErr w:type="spellStart"/>
      <w:r w:rsidR="00333AA3">
        <w:rPr>
          <w:rFonts w:cs="Times New Roman"/>
          <w:szCs w:val="24"/>
        </w:rPr>
        <w:t>hyd</w:t>
      </w:r>
      <w:r w:rsidR="00DA65F2">
        <w:rPr>
          <w:rFonts w:cs="Times New Roman"/>
          <w:szCs w:val="24"/>
        </w:rPr>
        <w:t>r</w:t>
      </w:r>
      <w:r w:rsidR="00333AA3">
        <w:rPr>
          <w:rFonts w:cs="Times New Roman"/>
          <w:szCs w:val="24"/>
        </w:rPr>
        <w:t>og</w:t>
      </w:r>
      <w:r w:rsidR="00DA65F2">
        <w:rPr>
          <w:rFonts w:cs="Times New Roman"/>
          <w:szCs w:val="24"/>
        </w:rPr>
        <w:t>eo</w:t>
      </w:r>
      <w:r w:rsidR="00333AA3">
        <w:rPr>
          <w:rFonts w:cs="Times New Roman"/>
          <w:szCs w:val="24"/>
        </w:rPr>
        <w:t>morphic</w:t>
      </w:r>
      <w:proofErr w:type="spellEnd"/>
      <w:r w:rsidR="00333AA3">
        <w:rPr>
          <w:rFonts w:cs="Times New Roman"/>
          <w:szCs w:val="24"/>
        </w:rPr>
        <w:t xml:space="preserve"> patches</w:t>
      </w:r>
      <w:r w:rsidR="00333AA3" w:rsidRPr="006F24A8">
        <w:rPr>
          <w:rFonts w:cs="Times New Roman"/>
          <w:szCs w:val="24"/>
        </w:rPr>
        <w:t xml:space="preserve">. Valley segments are defined as the stream section between headwaters and a </w:t>
      </w:r>
      <w:r w:rsidR="00333AA3">
        <w:rPr>
          <w:rFonts w:cs="Times New Roman"/>
          <w:szCs w:val="24"/>
        </w:rPr>
        <w:t xml:space="preserve">confluence or two confluences. </w:t>
      </w:r>
      <w:r w:rsidR="00333AA3" w:rsidRPr="006F24A8">
        <w:rPr>
          <w:rFonts w:cs="Times New Roman"/>
          <w:szCs w:val="24"/>
        </w:rPr>
        <w:t>Valley segments exceeding 1</w:t>
      </w:r>
      <w:r w:rsidR="00333AA3">
        <w:rPr>
          <w:rFonts w:cs="Times New Roman"/>
          <w:szCs w:val="24"/>
        </w:rPr>
        <w:t xml:space="preserve"> </w:t>
      </w:r>
      <w:r w:rsidR="00333AA3" w:rsidRPr="006F24A8">
        <w:rPr>
          <w:rFonts w:cs="Times New Roman"/>
          <w:szCs w:val="24"/>
        </w:rPr>
        <w:t xml:space="preserve">km were split into reach segments of equal length. </w:t>
      </w:r>
      <w:r w:rsidR="00333AA3">
        <w:rPr>
          <w:rFonts w:cs="Times New Roman"/>
          <w:szCs w:val="24"/>
        </w:rPr>
        <w:t>Reach segments are indicated by different colors. V</w:t>
      </w:r>
      <w:r w:rsidR="00333AA3" w:rsidRPr="006F24A8">
        <w:rPr>
          <w:rFonts w:cs="Times New Roman"/>
          <w:szCs w:val="24"/>
        </w:rPr>
        <w:t xml:space="preserve">ariables were calculated for all reach segments at </w:t>
      </w:r>
      <w:r w:rsidR="00333AA3">
        <w:rPr>
          <w:rFonts w:cs="Times New Roman"/>
          <w:szCs w:val="24"/>
        </w:rPr>
        <w:t>their midpoint (</w:t>
      </w:r>
      <w:r w:rsidR="00333AA3" w:rsidRPr="006F24A8">
        <w:rPr>
          <w:rFonts w:cs="Times New Roman"/>
          <w:szCs w:val="24"/>
        </w:rPr>
        <w:t>points</w:t>
      </w:r>
      <w:r w:rsidR="00333AA3">
        <w:rPr>
          <w:rFonts w:cs="Times New Roman"/>
          <w:szCs w:val="24"/>
        </w:rPr>
        <w:t>)</w:t>
      </w:r>
      <w:r w:rsidR="00333AA3" w:rsidRPr="006F24A8">
        <w:rPr>
          <w:rFonts w:cs="Times New Roman"/>
          <w:szCs w:val="24"/>
        </w:rPr>
        <w:t xml:space="preserve"> and along transects</w:t>
      </w:r>
      <w:r w:rsidR="00333AA3">
        <w:rPr>
          <w:rFonts w:cs="Times New Roman"/>
          <w:szCs w:val="24"/>
        </w:rPr>
        <w:t xml:space="preserve"> (lines perpendicular to channel)</w:t>
      </w:r>
      <w:r w:rsidR="00333AA3" w:rsidRPr="006F24A8">
        <w:rPr>
          <w:rFonts w:cs="Times New Roman"/>
          <w:szCs w:val="24"/>
        </w:rPr>
        <w:t>.</w:t>
      </w:r>
      <w:bookmarkEnd w:id="113"/>
    </w:p>
    <w:p w14:paraId="23FF1189" w14:textId="77777777" w:rsidR="00333AA3" w:rsidRDefault="00333AA3" w:rsidP="00333AA3">
      <w:pPr>
        <w:spacing w:line="480" w:lineRule="auto"/>
        <w:contextualSpacing/>
        <w:rPr>
          <w:rFonts w:cs="Times New Roman"/>
          <w:b/>
          <w:i/>
          <w:szCs w:val="24"/>
        </w:rPr>
      </w:pPr>
    </w:p>
    <w:p w14:paraId="0B5072BD" w14:textId="77777777" w:rsidR="00333AA3" w:rsidRDefault="00333AA3" w:rsidP="00333AA3">
      <w:pPr>
        <w:rPr>
          <w:rFonts w:cs="Times New Roman"/>
          <w:szCs w:val="24"/>
        </w:rPr>
        <w:sectPr w:rsidR="00333AA3" w:rsidSect="00C02A3F">
          <w:pgSz w:w="12240" w:h="15840"/>
          <w:pgMar w:top="1440" w:right="1440" w:bottom="1440" w:left="1440" w:header="720" w:footer="720" w:gutter="0"/>
          <w:cols w:space="720"/>
          <w:docGrid w:linePitch="360"/>
        </w:sectPr>
      </w:pPr>
    </w:p>
    <w:p w14:paraId="284E7874" w14:textId="77777777" w:rsidR="00333AA3" w:rsidRDefault="00333AA3" w:rsidP="00333AA3">
      <w:pPr>
        <w:jc w:val="center"/>
        <w:rPr>
          <w:rFonts w:cs="Times New Roman"/>
          <w:szCs w:val="24"/>
        </w:rPr>
      </w:pPr>
      <w:r>
        <w:rPr>
          <w:rFonts w:cs="Times New Roman"/>
          <w:noProof/>
          <w:szCs w:val="24"/>
        </w:rPr>
        <w:lastRenderedPageBreak/>
        <w:drawing>
          <wp:inline distT="0" distB="0" distL="0" distR="0" wp14:anchorId="7BB06B1B" wp14:editId="0620522A">
            <wp:extent cx="6795084" cy="45720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S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822527" cy="4590465"/>
                    </a:xfrm>
                    <a:prstGeom prst="rect">
                      <a:avLst/>
                    </a:prstGeom>
                  </pic:spPr>
                </pic:pic>
              </a:graphicData>
            </a:graphic>
          </wp:inline>
        </w:drawing>
      </w:r>
      <w:bookmarkStart w:id="114" w:name="_GoBack"/>
      <w:bookmarkEnd w:id="114"/>
    </w:p>
    <w:p w14:paraId="69D288F0" w14:textId="567147FF" w:rsidR="00102BD9" w:rsidRPr="00102BD9" w:rsidRDefault="001249BB" w:rsidP="00102BD9">
      <w:pPr>
        <w:pStyle w:val="Caption"/>
        <w:rPr>
          <w:rFonts w:cs="Times New Roman"/>
          <w:szCs w:val="24"/>
        </w:rPr>
      </w:pPr>
      <w:bookmarkStart w:id="115" w:name="_Toc60480667"/>
      <w:r>
        <w:t>Figure</w:t>
      </w:r>
      <w:r w:rsidR="0063365A">
        <w:rPr>
          <w:rFonts w:cs="Times New Roman"/>
          <w:szCs w:val="24"/>
        </w:rPr>
        <w:t xml:space="preserve"> </w:t>
      </w:r>
      <w:r w:rsidR="00B06ABD">
        <w:rPr>
          <w:rFonts w:cs="Times New Roman"/>
          <w:szCs w:val="24"/>
        </w:rPr>
        <w:t>S4.2</w:t>
      </w:r>
      <w:r w:rsidR="00333AA3" w:rsidRPr="0048206F">
        <w:rPr>
          <w:rFonts w:cs="Times New Roman"/>
          <w:szCs w:val="24"/>
        </w:rPr>
        <w:t xml:space="preserve"> </w:t>
      </w:r>
      <w:r w:rsidR="00333AA3">
        <w:rPr>
          <w:rFonts w:cs="Times New Roman"/>
          <w:szCs w:val="24"/>
        </w:rPr>
        <w:t>Representative scaling relationships between spatial pattern metrics and components of scale: spatial extent (left), spatial grain (middle) and thematic resolution (right). SHDI = Shannon Diversity Index, TP = total number of patches, DCI = Dendritic Connectivity Index, and MPD = mean patch distance. For each column, the left plot is an example of a predictable relationship with the line of best fit and the right plot is an example of an unpredictable relationship.</w:t>
      </w:r>
      <w:r w:rsidR="00333AA3" w:rsidRPr="003449B1">
        <w:rPr>
          <w:rFonts w:cs="Times New Roman"/>
          <w:szCs w:val="24"/>
        </w:rPr>
        <w:t xml:space="preserve"> </w:t>
      </w:r>
      <w:r w:rsidR="00333AA3">
        <w:rPr>
          <w:rFonts w:cs="Times New Roman"/>
          <w:szCs w:val="24"/>
        </w:rPr>
        <w:t xml:space="preserve">NRTH = Northeast; MDAT = Mid-Atlantic; </w:t>
      </w:r>
      <w:r w:rsidR="00333AA3" w:rsidRPr="004F110C">
        <w:rPr>
          <w:rFonts w:cs="Times New Roman"/>
          <w:szCs w:val="24"/>
        </w:rPr>
        <w:t>STHS</w:t>
      </w:r>
      <w:r w:rsidR="00333AA3">
        <w:rPr>
          <w:rFonts w:cs="Times New Roman"/>
          <w:szCs w:val="24"/>
        </w:rPr>
        <w:t xml:space="preserve"> = Southeast; </w:t>
      </w:r>
      <w:r w:rsidR="00333AA3" w:rsidRPr="004F110C">
        <w:rPr>
          <w:rFonts w:cs="Times New Roman"/>
          <w:szCs w:val="24"/>
        </w:rPr>
        <w:t>GRTL</w:t>
      </w:r>
      <w:r w:rsidR="00333AA3">
        <w:rPr>
          <w:rFonts w:cs="Times New Roman"/>
          <w:szCs w:val="24"/>
        </w:rPr>
        <w:t xml:space="preserve"> = Great Lakes; </w:t>
      </w:r>
      <w:r w:rsidR="00333AA3" w:rsidRPr="004F110C">
        <w:rPr>
          <w:rFonts w:cs="Times New Roman"/>
          <w:szCs w:val="24"/>
        </w:rPr>
        <w:t>PRRP</w:t>
      </w:r>
      <w:r w:rsidR="00333AA3">
        <w:rPr>
          <w:rFonts w:cs="Times New Roman"/>
          <w:szCs w:val="24"/>
        </w:rPr>
        <w:t xml:space="preserve"> = Prairie Peninsula; </w:t>
      </w:r>
      <w:r w:rsidR="00333AA3" w:rsidRPr="004F110C">
        <w:rPr>
          <w:rFonts w:cs="Times New Roman"/>
          <w:szCs w:val="24"/>
        </w:rPr>
        <w:t>APCP</w:t>
      </w:r>
      <w:r w:rsidR="00333AA3">
        <w:rPr>
          <w:rFonts w:cs="Times New Roman"/>
          <w:szCs w:val="24"/>
        </w:rPr>
        <w:t xml:space="preserve"> = </w:t>
      </w:r>
      <w:r w:rsidR="00333AA3" w:rsidRPr="00681393">
        <w:rPr>
          <w:rFonts w:eastAsia="Times New Roman" w:cs="Times New Roman"/>
          <w:color w:val="000000"/>
        </w:rPr>
        <w:t>Appalachian Cumberland Plateau</w:t>
      </w:r>
      <w:r w:rsidR="00333AA3">
        <w:rPr>
          <w:rFonts w:eastAsia="Times New Roman" w:cs="Times New Roman"/>
          <w:color w:val="000000"/>
        </w:rPr>
        <w:t xml:space="preserve">; </w:t>
      </w:r>
      <w:r w:rsidR="00333AA3" w:rsidRPr="004F110C">
        <w:rPr>
          <w:rFonts w:cs="Times New Roman"/>
          <w:szCs w:val="24"/>
        </w:rPr>
        <w:t>OC-2</w:t>
      </w:r>
      <w:r w:rsidR="00333AA3">
        <w:rPr>
          <w:rFonts w:cs="Times New Roman"/>
          <w:szCs w:val="24"/>
        </w:rPr>
        <w:t xml:space="preserve"> = Ozarks Complex-2; </w:t>
      </w:r>
      <w:r w:rsidR="00333AA3" w:rsidRPr="004F110C">
        <w:rPr>
          <w:rFonts w:cs="Times New Roman"/>
          <w:szCs w:val="24"/>
        </w:rPr>
        <w:t>OC-1</w:t>
      </w:r>
      <w:r w:rsidR="00333AA3">
        <w:rPr>
          <w:rFonts w:cs="Times New Roman"/>
          <w:szCs w:val="24"/>
        </w:rPr>
        <w:t xml:space="preserve"> = Ozarks Complex-1; </w:t>
      </w:r>
      <w:r w:rsidR="00333AA3" w:rsidRPr="004F110C">
        <w:rPr>
          <w:rFonts w:cs="Times New Roman"/>
          <w:szCs w:val="24"/>
        </w:rPr>
        <w:t>NRTP</w:t>
      </w:r>
      <w:r w:rsidR="00333AA3">
        <w:rPr>
          <w:rFonts w:cs="Times New Roman"/>
          <w:szCs w:val="24"/>
        </w:rPr>
        <w:t xml:space="preserve"> = Northern Plains; </w:t>
      </w:r>
      <w:r w:rsidR="00333AA3" w:rsidRPr="004F110C">
        <w:rPr>
          <w:rFonts w:cs="Times New Roman"/>
          <w:szCs w:val="24"/>
        </w:rPr>
        <w:t>CNTP</w:t>
      </w:r>
      <w:r w:rsidR="00333AA3">
        <w:rPr>
          <w:rFonts w:cs="Times New Roman"/>
          <w:szCs w:val="24"/>
        </w:rPr>
        <w:t xml:space="preserve"> = Central Plains; </w:t>
      </w:r>
      <w:r w:rsidR="00333AA3" w:rsidRPr="004F110C">
        <w:rPr>
          <w:rFonts w:cs="Times New Roman"/>
          <w:szCs w:val="24"/>
        </w:rPr>
        <w:t>STHP</w:t>
      </w:r>
      <w:r w:rsidR="00333AA3">
        <w:rPr>
          <w:rFonts w:cs="Times New Roman"/>
          <w:szCs w:val="24"/>
        </w:rPr>
        <w:t xml:space="preserve"> = Southern Plains; </w:t>
      </w:r>
      <w:r w:rsidR="00333AA3" w:rsidRPr="004F110C">
        <w:rPr>
          <w:rFonts w:cs="Times New Roman"/>
          <w:szCs w:val="24"/>
        </w:rPr>
        <w:t>NRTR</w:t>
      </w:r>
      <w:r w:rsidR="00333AA3">
        <w:rPr>
          <w:rFonts w:cs="Times New Roman"/>
          <w:szCs w:val="24"/>
        </w:rPr>
        <w:t xml:space="preserve"> = Northern Rockies; </w:t>
      </w:r>
      <w:r w:rsidR="00333AA3" w:rsidRPr="004F110C">
        <w:rPr>
          <w:rFonts w:cs="Times New Roman"/>
          <w:szCs w:val="24"/>
        </w:rPr>
        <w:t>STHR</w:t>
      </w:r>
      <w:r w:rsidR="00333AA3">
        <w:rPr>
          <w:rFonts w:cs="Times New Roman"/>
          <w:szCs w:val="24"/>
        </w:rPr>
        <w:t xml:space="preserve"> = Southern Rockies; </w:t>
      </w:r>
      <w:r w:rsidR="00333AA3" w:rsidRPr="004F110C">
        <w:rPr>
          <w:rFonts w:cs="Times New Roman"/>
          <w:szCs w:val="24"/>
        </w:rPr>
        <w:t>DSRS</w:t>
      </w:r>
      <w:r w:rsidR="00333AA3">
        <w:rPr>
          <w:rFonts w:cs="Times New Roman"/>
          <w:szCs w:val="24"/>
        </w:rPr>
        <w:t xml:space="preserve"> = Desert Southwest; </w:t>
      </w:r>
      <w:r w:rsidR="00333AA3" w:rsidRPr="004F110C">
        <w:rPr>
          <w:rFonts w:cs="Times New Roman"/>
          <w:szCs w:val="24"/>
        </w:rPr>
        <w:t>GRTB</w:t>
      </w:r>
      <w:r w:rsidR="00333AA3">
        <w:rPr>
          <w:rFonts w:cs="Times New Roman"/>
          <w:szCs w:val="24"/>
        </w:rPr>
        <w:t xml:space="preserve"> = Great Basin; </w:t>
      </w:r>
      <w:r w:rsidR="00333AA3" w:rsidRPr="004F110C">
        <w:rPr>
          <w:rFonts w:cs="Times New Roman"/>
          <w:szCs w:val="24"/>
        </w:rPr>
        <w:t>PCFN</w:t>
      </w:r>
      <w:r w:rsidR="00333AA3">
        <w:rPr>
          <w:rFonts w:cs="Times New Roman"/>
          <w:szCs w:val="24"/>
        </w:rPr>
        <w:t xml:space="preserve"> = Pacific Northwest; </w:t>
      </w:r>
      <w:r w:rsidR="00333AA3" w:rsidRPr="004F110C">
        <w:rPr>
          <w:rFonts w:cs="Times New Roman"/>
          <w:szCs w:val="24"/>
        </w:rPr>
        <w:t>PCFS</w:t>
      </w:r>
      <w:r w:rsidR="00333AA3">
        <w:rPr>
          <w:rFonts w:cs="Times New Roman"/>
          <w:szCs w:val="24"/>
        </w:rPr>
        <w:t xml:space="preserve"> = Pacific </w:t>
      </w:r>
      <w:bookmarkEnd w:id="115"/>
      <w:r w:rsidR="00C71491">
        <w:rPr>
          <w:rFonts w:cs="Times New Roman"/>
          <w:szCs w:val="24"/>
        </w:rPr>
        <w:t xml:space="preserve">Southwest </w:t>
      </w:r>
    </w:p>
    <w:sectPr w:rsidR="00102BD9" w:rsidRPr="00102BD9" w:rsidSect="007E7BCF">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F85B5" w14:textId="77777777" w:rsidR="00734BAD" w:rsidRDefault="00734BAD">
      <w:pPr>
        <w:spacing w:after="0" w:line="240" w:lineRule="auto"/>
      </w:pPr>
      <w:r>
        <w:separator/>
      </w:r>
    </w:p>
  </w:endnote>
  <w:endnote w:type="continuationSeparator" w:id="0">
    <w:p w14:paraId="7B029B13" w14:textId="77777777" w:rsidR="00734BAD" w:rsidRDefault="0073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5722D" w14:textId="64E6CC60" w:rsidR="00B5442B" w:rsidRDefault="00B5442B">
    <w:pPr>
      <w:pStyle w:val="Footer"/>
      <w:jc w:val="right"/>
    </w:pPr>
  </w:p>
  <w:p w14:paraId="0B65681C" w14:textId="77777777" w:rsidR="00B5442B" w:rsidRDefault="00B5442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035203"/>
      <w:docPartObj>
        <w:docPartGallery w:val="Page Numbers (Bottom of Page)"/>
        <w:docPartUnique/>
      </w:docPartObj>
    </w:sdtPr>
    <w:sdtEndPr>
      <w:rPr>
        <w:noProof/>
      </w:rPr>
    </w:sdtEndPr>
    <w:sdtContent>
      <w:p w14:paraId="01C7DB7F" w14:textId="3BA2CC5A" w:rsidR="00B5442B" w:rsidRDefault="00B5442B">
        <w:pPr>
          <w:pStyle w:val="Footer"/>
          <w:jc w:val="right"/>
        </w:pPr>
        <w:r>
          <w:fldChar w:fldCharType="begin"/>
        </w:r>
        <w:r>
          <w:instrText xml:space="preserve"> PAGE   \* MERGEFORMAT </w:instrText>
        </w:r>
        <w:r>
          <w:fldChar w:fldCharType="separate"/>
        </w:r>
        <w:r w:rsidR="007E7BCF">
          <w:rPr>
            <w:noProof/>
          </w:rPr>
          <w:t>11</w:t>
        </w:r>
        <w:r>
          <w:rPr>
            <w:noProof/>
          </w:rPr>
          <w:fldChar w:fldCharType="end"/>
        </w:r>
      </w:p>
    </w:sdtContent>
  </w:sdt>
  <w:p w14:paraId="6B3C3E06" w14:textId="77777777" w:rsidR="00B5442B" w:rsidRDefault="00B544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930317"/>
      <w:docPartObj>
        <w:docPartGallery w:val="Page Numbers (Bottom of Page)"/>
        <w:docPartUnique/>
      </w:docPartObj>
    </w:sdtPr>
    <w:sdtEndPr>
      <w:rPr>
        <w:noProof/>
      </w:rPr>
    </w:sdtEndPr>
    <w:sdtContent>
      <w:p w14:paraId="06D52B99" w14:textId="27BBFCB6" w:rsidR="00B5442B" w:rsidRDefault="00B5442B">
        <w:pPr>
          <w:pStyle w:val="Footer"/>
          <w:jc w:val="right"/>
        </w:pPr>
        <w:r>
          <w:fldChar w:fldCharType="begin"/>
        </w:r>
        <w:r>
          <w:instrText xml:space="preserve"> PAGE   \* MERGEFORMAT </w:instrText>
        </w:r>
        <w:r>
          <w:fldChar w:fldCharType="separate"/>
        </w:r>
        <w:r w:rsidR="007E7BCF">
          <w:rPr>
            <w:noProof/>
          </w:rPr>
          <w:t>117</w:t>
        </w:r>
        <w:r>
          <w:rPr>
            <w:noProof/>
          </w:rPr>
          <w:fldChar w:fldCharType="end"/>
        </w:r>
      </w:p>
    </w:sdtContent>
  </w:sdt>
  <w:p w14:paraId="3AF64E4B" w14:textId="77777777" w:rsidR="00B5442B" w:rsidRDefault="00B544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D743A" w14:textId="77777777" w:rsidR="00734BAD" w:rsidRDefault="00734BAD">
      <w:pPr>
        <w:spacing w:after="0" w:line="240" w:lineRule="auto"/>
      </w:pPr>
      <w:r>
        <w:separator/>
      </w:r>
    </w:p>
  </w:footnote>
  <w:footnote w:type="continuationSeparator" w:id="0">
    <w:p w14:paraId="40168EE2" w14:textId="77777777" w:rsidR="00734BAD" w:rsidRDefault="00734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17CF"/>
    <w:multiLevelType w:val="hybridMultilevel"/>
    <w:tmpl w:val="3E0E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3ECE"/>
    <w:multiLevelType w:val="hybridMultilevel"/>
    <w:tmpl w:val="5C2EE590"/>
    <w:lvl w:ilvl="0" w:tplc="F7D2CC2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F6729"/>
    <w:multiLevelType w:val="hybridMultilevel"/>
    <w:tmpl w:val="705CDB30"/>
    <w:lvl w:ilvl="0" w:tplc="504E2D0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EA7759"/>
    <w:multiLevelType w:val="hybridMultilevel"/>
    <w:tmpl w:val="31C48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0727F"/>
    <w:multiLevelType w:val="hybridMultilevel"/>
    <w:tmpl w:val="CAE075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C7634"/>
    <w:multiLevelType w:val="hybridMultilevel"/>
    <w:tmpl w:val="201AD4A4"/>
    <w:lvl w:ilvl="0" w:tplc="8A9282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C82F29"/>
    <w:multiLevelType w:val="hybridMultilevel"/>
    <w:tmpl w:val="8E249330"/>
    <w:lvl w:ilvl="0" w:tplc="A050BADE">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 w15:restartNumberingAfterBreak="0">
    <w:nsid w:val="27B16FC2"/>
    <w:multiLevelType w:val="hybridMultilevel"/>
    <w:tmpl w:val="EC66AEFE"/>
    <w:lvl w:ilvl="0" w:tplc="0BB0A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DE0C25"/>
    <w:multiLevelType w:val="hybridMultilevel"/>
    <w:tmpl w:val="F34C4698"/>
    <w:lvl w:ilvl="0" w:tplc="703A0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3B038E"/>
    <w:multiLevelType w:val="hybridMultilevel"/>
    <w:tmpl w:val="821CD2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A87032"/>
    <w:multiLevelType w:val="hybridMultilevel"/>
    <w:tmpl w:val="F788BFAE"/>
    <w:lvl w:ilvl="0" w:tplc="62E8D2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970E5C"/>
    <w:multiLevelType w:val="hybridMultilevel"/>
    <w:tmpl w:val="03B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F6523"/>
    <w:multiLevelType w:val="hybridMultilevel"/>
    <w:tmpl w:val="53A43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C5A38"/>
    <w:multiLevelType w:val="hybridMultilevel"/>
    <w:tmpl w:val="201AD4A4"/>
    <w:lvl w:ilvl="0" w:tplc="8A9282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050544"/>
    <w:multiLevelType w:val="hybridMultilevel"/>
    <w:tmpl w:val="C00297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9E27B7"/>
    <w:multiLevelType w:val="hybridMultilevel"/>
    <w:tmpl w:val="201AD4A4"/>
    <w:lvl w:ilvl="0" w:tplc="8A9282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6C2283"/>
    <w:multiLevelType w:val="hybridMultilevel"/>
    <w:tmpl w:val="7444EBC0"/>
    <w:lvl w:ilvl="0" w:tplc="04FA4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796547"/>
    <w:multiLevelType w:val="hybridMultilevel"/>
    <w:tmpl w:val="838A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CC428B"/>
    <w:multiLevelType w:val="hybridMultilevel"/>
    <w:tmpl w:val="057A9B80"/>
    <w:lvl w:ilvl="0" w:tplc="6E96F15C">
      <w:start w:val="36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A4DD3"/>
    <w:multiLevelType w:val="hybridMultilevel"/>
    <w:tmpl w:val="55D8CCD0"/>
    <w:lvl w:ilvl="0" w:tplc="70E6952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030E94"/>
    <w:multiLevelType w:val="hybridMultilevel"/>
    <w:tmpl w:val="F5B0FBC0"/>
    <w:lvl w:ilvl="0" w:tplc="3140E014">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A157996"/>
    <w:multiLevelType w:val="hybridMultilevel"/>
    <w:tmpl w:val="201AD4A4"/>
    <w:lvl w:ilvl="0" w:tplc="8A92829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437C6B"/>
    <w:multiLevelType w:val="hybridMultilevel"/>
    <w:tmpl w:val="D188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84239E"/>
    <w:multiLevelType w:val="hybridMultilevel"/>
    <w:tmpl w:val="33D0FB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2F0351"/>
    <w:multiLevelType w:val="hybridMultilevel"/>
    <w:tmpl w:val="3C0E5DEA"/>
    <w:lvl w:ilvl="0" w:tplc="42AAEE5E">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7E6D02AA"/>
    <w:multiLevelType w:val="hybridMultilevel"/>
    <w:tmpl w:val="11705D58"/>
    <w:lvl w:ilvl="0" w:tplc="DF6610D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4"/>
  </w:num>
  <w:num w:numId="3">
    <w:abstractNumId w:val="13"/>
  </w:num>
  <w:num w:numId="4">
    <w:abstractNumId w:val="5"/>
  </w:num>
  <w:num w:numId="5">
    <w:abstractNumId w:val="21"/>
  </w:num>
  <w:num w:numId="6">
    <w:abstractNumId w:val="6"/>
  </w:num>
  <w:num w:numId="7">
    <w:abstractNumId w:val="23"/>
  </w:num>
  <w:num w:numId="8">
    <w:abstractNumId w:val="19"/>
  </w:num>
  <w:num w:numId="9">
    <w:abstractNumId w:val="16"/>
  </w:num>
  <w:num w:numId="10">
    <w:abstractNumId w:val="8"/>
  </w:num>
  <w:num w:numId="11">
    <w:abstractNumId w:val="3"/>
  </w:num>
  <w:num w:numId="12">
    <w:abstractNumId w:val="24"/>
  </w:num>
  <w:num w:numId="13">
    <w:abstractNumId w:val="25"/>
  </w:num>
  <w:num w:numId="14">
    <w:abstractNumId w:val="10"/>
  </w:num>
  <w:num w:numId="15">
    <w:abstractNumId w:val="2"/>
  </w:num>
  <w:num w:numId="16">
    <w:abstractNumId w:val="11"/>
  </w:num>
  <w:num w:numId="17">
    <w:abstractNumId w:val="22"/>
  </w:num>
  <w:num w:numId="18">
    <w:abstractNumId w:val="12"/>
  </w:num>
  <w:num w:numId="19">
    <w:abstractNumId w:val="0"/>
  </w:num>
  <w:num w:numId="20">
    <w:abstractNumId w:val="4"/>
  </w:num>
  <w:num w:numId="21">
    <w:abstractNumId w:val="20"/>
  </w:num>
  <w:num w:numId="22">
    <w:abstractNumId w:val="18"/>
  </w:num>
  <w:num w:numId="23">
    <w:abstractNumId w:val="7"/>
  </w:num>
  <w:num w:numId="24">
    <w:abstractNumId w:val="9"/>
  </w:num>
  <w:num w:numId="25">
    <w:abstractNumId w:val="1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B89"/>
    <w:rsid w:val="000002F8"/>
    <w:rsid w:val="00007B70"/>
    <w:rsid w:val="00015D0D"/>
    <w:rsid w:val="00022B89"/>
    <w:rsid w:val="000324C2"/>
    <w:rsid w:val="00037C15"/>
    <w:rsid w:val="00042162"/>
    <w:rsid w:val="00042580"/>
    <w:rsid w:val="00054207"/>
    <w:rsid w:val="0009414C"/>
    <w:rsid w:val="000B3C27"/>
    <w:rsid w:val="000C2B50"/>
    <w:rsid w:val="000C6138"/>
    <w:rsid w:val="000D1FCF"/>
    <w:rsid w:val="000D7ACA"/>
    <w:rsid w:val="000E38AB"/>
    <w:rsid w:val="000F50D2"/>
    <w:rsid w:val="000F7EBB"/>
    <w:rsid w:val="00102BD9"/>
    <w:rsid w:val="00110509"/>
    <w:rsid w:val="00110D79"/>
    <w:rsid w:val="001239DE"/>
    <w:rsid w:val="001249BB"/>
    <w:rsid w:val="00135D1F"/>
    <w:rsid w:val="00155D79"/>
    <w:rsid w:val="00175716"/>
    <w:rsid w:val="00196999"/>
    <w:rsid w:val="00221A47"/>
    <w:rsid w:val="00244F9E"/>
    <w:rsid w:val="002507FE"/>
    <w:rsid w:val="002613F2"/>
    <w:rsid w:val="00264DC1"/>
    <w:rsid w:val="00273D0C"/>
    <w:rsid w:val="00277387"/>
    <w:rsid w:val="00284DB5"/>
    <w:rsid w:val="00293A80"/>
    <w:rsid w:val="002A7E80"/>
    <w:rsid w:val="002B7F7D"/>
    <w:rsid w:val="002D7985"/>
    <w:rsid w:val="002E1442"/>
    <w:rsid w:val="003045A6"/>
    <w:rsid w:val="00306019"/>
    <w:rsid w:val="00315283"/>
    <w:rsid w:val="00322FBE"/>
    <w:rsid w:val="00325B81"/>
    <w:rsid w:val="00333AA3"/>
    <w:rsid w:val="0034241C"/>
    <w:rsid w:val="00360C46"/>
    <w:rsid w:val="00362678"/>
    <w:rsid w:val="0036431A"/>
    <w:rsid w:val="00364688"/>
    <w:rsid w:val="00365CA3"/>
    <w:rsid w:val="00391217"/>
    <w:rsid w:val="00393700"/>
    <w:rsid w:val="00396EC1"/>
    <w:rsid w:val="003A35B5"/>
    <w:rsid w:val="003A66EC"/>
    <w:rsid w:val="003C2554"/>
    <w:rsid w:val="003E1164"/>
    <w:rsid w:val="003E1DB2"/>
    <w:rsid w:val="003E6C83"/>
    <w:rsid w:val="003F1246"/>
    <w:rsid w:val="00407AF3"/>
    <w:rsid w:val="00407D5E"/>
    <w:rsid w:val="004241E2"/>
    <w:rsid w:val="0043113F"/>
    <w:rsid w:val="00462144"/>
    <w:rsid w:val="004802B0"/>
    <w:rsid w:val="004909F7"/>
    <w:rsid w:val="004A70A1"/>
    <w:rsid w:val="004B0888"/>
    <w:rsid w:val="004B7069"/>
    <w:rsid w:val="004F311A"/>
    <w:rsid w:val="00504067"/>
    <w:rsid w:val="005044F6"/>
    <w:rsid w:val="00526C92"/>
    <w:rsid w:val="00534A8F"/>
    <w:rsid w:val="00557AA6"/>
    <w:rsid w:val="005736BE"/>
    <w:rsid w:val="005811EC"/>
    <w:rsid w:val="005B41A5"/>
    <w:rsid w:val="005E3DD7"/>
    <w:rsid w:val="005E49AE"/>
    <w:rsid w:val="005E59C2"/>
    <w:rsid w:val="00602D32"/>
    <w:rsid w:val="0063365A"/>
    <w:rsid w:val="00647028"/>
    <w:rsid w:val="006635D1"/>
    <w:rsid w:val="00665B56"/>
    <w:rsid w:val="006664CD"/>
    <w:rsid w:val="0067349A"/>
    <w:rsid w:val="006A3CAB"/>
    <w:rsid w:val="006A50D1"/>
    <w:rsid w:val="006B5B44"/>
    <w:rsid w:val="006E25A1"/>
    <w:rsid w:val="006E7A60"/>
    <w:rsid w:val="0070649D"/>
    <w:rsid w:val="00706C5E"/>
    <w:rsid w:val="007116A0"/>
    <w:rsid w:val="00715A71"/>
    <w:rsid w:val="00725791"/>
    <w:rsid w:val="00734BAD"/>
    <w:rsid w:val="00740BC9"/>
    <w:rsid w:val="00755451"/>
    <w:rsid w:val="00762E41"/>
    <w:rsid w:val="007646DD"/>
    <w:rsid w:val="00774E49"/>
    <w:rsid w:val="007775B0"/>
    <w:rsid w:val="0079206C"/>
    <w:rsid w:val="007A57ED"/>
    <w:rsid w:val="007B2104"/>
    <w:rsid w:val="007B4B12"/>
    <w:rsid w:val="007C4FFB"/>
    <w:rsid w:val="007D02D7"/>
    <w:rsid w:val="007D34C1"/>
    <w:rsid w:val="007D5E25"/>
    <w:rsid w:val="007E0C56"/>
    <w:rsid w:val="007E7BCF"/>
    <w:rsid w:val="007F1FDD"/>
    <w:rsid w:val="007F64A6"/>
    <w:rsid w:val="00812326"/>
    <w:rsid w:val="00842C86"/>
    <w:rsid w:val="00860F02"/>
    <w:rsid w:val="00866429"/>
    <w:rsid w:val="008759C3"/>
    <w:rsid w:val="00882750"/>
    <w:rsid w:val="00884B6C"/>
    <w:rsid w:val="008A6C2C"/>
    <w:rsid w:val="008D186C"/>
    <w:rsid w:val="008D4BF7"/>
    <w:rsid w:val="008E0BCC"/>
    <w:rsid w:val="008F25CD"/>
    <w:rsid w:val="008F2F91"/>
    <w:rsid w:val="00927F55"/>
    <w:rsid w:val="00934556"/>
    <w:rsid w:val="00935B80"/>
    <w:rsid w:val="00937691"/>
    <w:rsid w:val="00952EEB"/>
    <w:rsid w:val="0096235C"/>
    <w:rsid w:val="0097280E"/>
    <w:rsid w:val="009919FB"/>
    <w:rsid w:val="009A68E3"/>
    <w:rsid w:val="009C4F87"/>
    <w:rsid w:val="009C6EF9"/>
    <w:rsid w:val="009D454A"/>
    <w:rsid w:val="009E22AF"/>
    <w:rsid w:val="00A1291B"/>
    <w:rsid w:val="00A409BB"/>
    <w:rsid w:val="00A53CE6"/>
    <w:rsid w:val="00AB12ED"/>
    <w:rsid w:val="00AB3A11"/>
    <w:rsid w:val="00AB3EB0"/>
    <w:rsid w:val="00AB7462"/>
    <w:rsid w:val="00AB7646"/>
    <w:rsid w:val="00AD0C63"/>
    <w:rsid w:val="00AD5DC7"/>
    <w:rsid w:val="00B0194C"/>
    <w:rsid w:val="00B06ABD"/>
    <w:rsid w:val="00B2092D"/>
    <w:rsid w:val="00B27B90"/>
    <w:rsid w:val="00B33A39"/>
    <w:rsid w:val="00B5442B"/>
    <w:rsid w:val="00B63AA3"/>
    <w:rsid w:val="00B83CAE"/>
    <w:rsid w:val="00B8472B"/>
    <w:rsid w:val="00B853EF"/>
    <w:rsid w:val="00B90813"/>
    <w:rsid w:val="00BB52BB"/>
    <w:rsid w:val="00BE5C6B"/>
    <w:rsid w:val="00BF43F8"/>
    <w:rsid w:val="00C00D12"/>
    <w:rsid w:val="00C02A3F"/>
    <w:rsid w:val="00C0766A"/>
    <w:rsid w:val="00C21095"/>
    <w:rsid w:val="00C3010C"/>
    <w:rsid w:val="00C33804"/>
    <w:rsid w:val="00C41E05"/>
    <w:rsid w:val="00C64BBA"/>
    <w:rsid w:val="00C67F66"/>
    <w:rsid w:val="00C71491"/>
    <w:rsid w:val="00C85624"/>
    <w:rsid w:val="00CA7195"/>
    <w:rsid w:val="00CB6346"/>
    <w:rsid w:val="00CC0475"/>
    <w:rsid w:val="00CD24D0"/>
    <w:rsid w:val="00CD628D"/>
    <w:rsid w:val="00CF3322"/>
    <w:rsid w:val="00D0469B"/>
    <w:rsid w:val="00D268D5"/>
    <w:rsid w:val="00D55BA6"/>
    <w:rsid w:val="00D61045"/>
    <w:rsid w:val="00D83A30"/>
    <w:rsid w:val="00D8422C"/>
    <w:rsid w:val="00DA65F2"/>
    <w:rsid w:val="00DD0D95"/>
    <w:rsid w:val="00DE2F83"/>
    <w:rsid w:val="00DE4A28"/>
    <w:rsid w:val="00E223DD"/>
    <w:rsid w:val="00E24C4E"/>
    <w:rsid w:val="00E27EDF"/>
    <w:rsid w:val="00E37061"/>
    <w:rsid w:val="00E4495B"/>
    <w:rsid w:val="00E61FFF"/>
    <w:rsid w:val="00E67A1B"/>
    <w:rsid w:val="00E77AD8"/>
    <w:rsid w:val="00E9347A"/>
    <w:rsid w:val="00EA3B7C"/>
    <w:rsid w:val="00EC03C2"/>
    <w:rsid w:val="00EC799B"/>
    <w:rsid w:val="00ED063C"/>
    <w:rsid w:val="00EF430D"/>
    <w:rsid w:val="00F62863"/>
    <w:rsid w:val="00F62C63"/>
    <w:rsid w:val="00F716D3"/>
    <w:rsid w:val="00F80040"/>
    <w:rsid w:val="00F81898"/>
    <w:rsid w:val="00FA0782"/>
    <w:rsid w:val="00FA21FA"/>
    <w:rsid w:val="00FA60D1"/>
    <w:rsid w:val="00FC2592"/>
    <w:rsid w:val="00FD42FE"/>
    <w:rsid w:val="00FE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998D4"/>
  <w15:chartTrackingRefBased/>
  <w15:docId w15:val="{7B3478DC-5A3B-40E2-A071-D98F9D98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782"/>
    <w:rPr>
      <w:rFonts w:ascii="Times New Roman" w:hAnsi="Times New Roman"/>
      <w:sz w:val="24"/>
    </w:rPr>
  </w:style>
  <w:style w:type="paragraph" w:styleId="Heading1">
    <w:name w:val="heading 1"/>
    <w:basedOn w:val="Normal"/>
    <w:next w:val="Normal"/>
    <w:link w:val="Heading1Char"/>
    <w:uiPriority w:val="9"/>
    <w:qFormat/>
    <w:rsid w:val="00007B70"/>
    <w:pPr>
      <w:keepNext/>
      <w:keepLines/>
      <w:numPr>
        <w:numId w:val="26"/>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110D7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10D79"/>
    <w:pPr>
      <w:keepNext/>
      <w:keepLines/>
      <w:spacing w:before="40" w:after="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5C6B"/>
    <w:pPr>
      <w:spacing w:before="100" w:beforeAutospacing="1" w:after="100" w:afterAutospacing="1" w:line="240" w:lineRule="auto"/>
    </w:pPr>
    <w:rPr>
      <w:rFonts w:eastAsiaTheme="minorEastAsia" w:cs="Times New Roman"/>
      <w:szCs w:val="24"/>
    </w:rPr>
  </w:style>
  <w:style w:type="character" w:styleId="CommentReference">
    <w:name w:val="annotation reference"/>
    <w:basedOn w:val="DefaultParagraphFont"/>
    <w:uiPriority w:val="99"/>
    <w:semiHidden/>
    <w:unhideWhenUsed/>
    <w:rsid w:val="00BE5C6B"/>
    <w:rPr>
      <w:sz w:val="16"/>
      <w:szCs w:val="16"/>
    </w:rPr>
  </w:style>
  <w:style w:type="paragraph" w:styleId="CommentText">
    <w:name w:val="annotation text"/>
    <w:basedOn w:val="Normal"/>
    <w:link w:val="CommentTextChar"/>
    <w:uiPriority w:val="99"/>
    <w:semiHidden/>
    <w:unhideWhenUsed/>
    <w:rsid w:val="00BE5C6B"/>
    <w:pPr>
      <w:spacing w:line="240" w:lineRule="auto"/>
    </w:pPr>
    <w:rPr>
      <w:sz w:val="20"/>
      <w:szCs w:val="20"/>
    </w:rPr>
  </w:style>
  <w:style w:type="character" w:customStyle="1" w:styleId="CommentTextChar">
    <w:name w:val="Comment Text Char"/>
    <w:basedOn w:val="DefaultParagraphFont"/>
    <w:link w:val="CommentText"/>
    <w:uiPriority w:val="99"/>
    <w:semiHidden/>
    <w:rsid w:val="00BE5C6B"/>
    <w:rPr>
      <w:sz w:val="20"/>
      <w:szCs w:val="20"/>
    </w:rPr>
  </w:style>
  <w:style w:type="paragraph" w:styleId="BalloonText">
    <w:name w:val="Balloon Text"/>
    <w:basedOn w:val="Normal"/>
    <w:link w:val="BalloonTextChar"/>
    <w:uiPriority w:val="99"/>
    <w:semiHidden/>
    <w:unhideWhenUsed/>
    <w:rsid w:val="00BE5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C6B"/>
    <w:rPr>
      <w:rFonts w:ascii="Segoe UI" w:hAnsi="Segoe UI" w:cs="Segoe UI"/>
      <w:sz w:val="18"/>
      <w:szCs w:val="18"/>
    </w:rPr>
  </w:style>
  <w:style w:type="paragraph" w:styleId="Header">
    <w:name w:val="header"/>
    <w:basedOn w:val="Normal"/>
    <w:link w:val="HeaderChar"/>
    <w:uiPriority w:val="99"/>
    <w:unhideWhenUsed/>
    <w:rsid w:val="00BE5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C6B"/>
  </w:style>
  <w:style w:type="paragraph" w:styleId="Footer">
    <w:name w:val="footer"/>
    <w:basedOn w:val="Normal"/>
    <w:link w:val="FooterChar"/>
    <w:uiPriority w:val="99"/>
    <w:unhideWhenUsed/>
    <w:rsid w:val="00BE5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C6B"/>
  </w:style>
  <w:style w:type="paragraph" w:styleId="ListParagraph">
    <w:name w:val="List Paragraph"/>
    <w:basedOn w:val="Normal"/>
    <w:uiPriority w:val="34"/>
    <w:qFormat/>
    <w:rsid w:val="00BE5C6B"/>
    <w:pPr>
      <w:spacing w:line="240" w:lineRule="auto"/>
      <w:ind w:left="720"/>
      <w:contextualSpacing/>
    </w:pPr>
  </w:style>
  <w:style w:type="table" w:styleId="TableGrid">
    <w:name w:val="Table Grid"/>
    <w:basedOn w:val="TableNormal"/>
    <w:uiPriority w:val="39"/>
    <w:rsid w:val="00BE5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5C6B"/>
    <w:rPr>
      <w:color w:val="808080"/>
    </w:rPr>
  </w:style>
  <w:style w:type="paragraph" w:styleId="CommentSubject">
    <w:name w:val="annotation subject"/>
    <w:basedOn w:val="CommentText"/>
    <w:next w:val="CommentText"/>
    <w:link w:val="CommentSubjectChar"/>
    <w:uiPriority w:val="99"/>
    <w:semiHidden/>
    <w:unhideWhenUsed/>
    <w:rsid w:val="00BE5C6B"/>
    <w:rPr>
      <w:b/>
      <w:bCs/>
    </w:rPr>
  </w:style>
  <w:style w:type="character" w:customStyle="1" w:styleId="CommentSubjectChar">
    <w:name w:val="Comment Subject Char"/>
    <w:basedOn w:val="CommentTextChar"/>
    <w:link w:val="CommentSubject"/>
    <w:uiPriority w:val="99"/>
    <w:semiHidden/>
    <w:rsid w:val="00BE5C6B"/>
    <w:rPr>
      <w:b/>
      <w:bCs/>
      <w:sz w:val="20"/>
      <w:szCs w:val="20"/>
    </w:rPr>
  </w:style>
  <w:style w:type="paragraph" w:styleId="HTMLPreformatted">
    <w:name w:val="HTML Preformatted"/>
    <w:basedOn w:val="Normal"/>
    <w:link w:val="HTMLPreformattedChar"/>
    <w:uiPriority w:val="99"/>
    <w:unhideWhenUsed/>
    <w:rsid w:val="00BE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E5C6B"/>
    <w:rPr>
      <w:rFonts w:ascii="Courier New" w:eastAsia="Times New Roman" w:hAnsi="Courier New" w:cs="Courier New"/>
      <w:sz w:val="20"/>
      <w:szCs w:val="20"/>
    </w:rPr>
  </w:style>
  <w:style w:type="character" w:customStyle="1" w:styleId="gnkrckgcgsb">
    <w:name w:val="gnkrckgcgsb"/>
    <w:basedOn w:val="DefaultParagraphFont"/>
    <w:rsid w:val="00BE5C6B"/>
  </w:style>
  <w:style w:type="character" w:styleId="LineNumber">
    <w:name w:val="line number"/>
    <w:basedOn w:val="DefaultParagraphFont"/>
    <w:uiPriority w:val="99"/>
    <w:semiHidden/>
    <w:unhideWhenUsed/>
    <w:rsid w:val="00BE5C6B"/>
  </w:style>
  <w:style w:type="character" w:styleId="Hyperlink">
    <w:name w:val="Hyperlink"/>
    <w:basedOn w:val="DefaultParagraphFont"/>
    <w:uiPriority w:val="99"/>
    <w:unhideWhenUsed/>
    <w:rsid w:val="00BE5C6B"/>
    <w:rPr>
      <w:color w:val="0563C1" w:themeColor="hyperlink"/>
      <w:u w:val="single"/>
    </w:rPr>
  </w:style>
  <w:style w:type="paragraph" w:styleId="FootnoteText">
    <w:name w:val="footnote text"/>
    <w:basedOn w:val="Normal"/>
    <w:link w:val="FootnoteTextChar"/>
    <w:uiPriority w:val="99"/>
    <w:semiHidden/>
    <w:unhideWhenUsed/>
    <w:rsid w:val="00BE5C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C6B"/>
    <w:rPr>
      <w:sz w:val="20"/>
      <w:szCs w:val="20"/>
    </w:rPr>
  </w:style>
  <w:style w:type="character" w:styleId="FootnoteReference">
    <w:name w:val="footnote reference"/>
    <w:basedOn w:val="DefaultParagraphFont"/>
    <w:uiPriority w:val="99"/>
    <w:semiHidden/>
    <w:unhideWhenUsed/>
    <w:rsid w:val="00BE5C6B"/>
    <w:rPr>
      <w:vertAlign w:val="superscript"/>
    </w:rPr>
  </w:style>
  <w:style w:type="paragraph" w:styleId="Caption">
    <w:name w:val="caption"/>
    <w:basedOn w:val="Normal"/>
    <w:next w:val="Normal"/>
    <w:uiPriority w:val="35"/>
    <w:unhideWhenUsed/>
    <w:qFormat/>
    <w:rsid w:val="000D1FCF"/>
    <w:pPr>
      <w:spacing w:after="200" w:line="240" w:lineRule="auto"/>
    </w:pPr>
    <w:rPr>
      <w:iCs/>
      <w:szCs w:val="18"/>
    </w:rPr>
  </w:style>
  <w:style w:type="character" w:customStyle="1" w:styleId="current-selection">
    <w:name w:val="current-selection"/>
    <w:basedOn w:val="DefaultParagraphFont"/>
    <w:rsid w:val="00333AA3"/>
  </w:style>
  <w:style w:type="paragraph" w:styleId="Revision">
    <w:name w:val="Revision"/>
    <w:hidden/>
    <w:uiPriority w:val="99"/>
    <w:semiHidden/>
    <w:rsid w:val="00333AA3"/>
    <w:pPr>
      <w:spacing w:after="0" w:line="240" w:lineRule="auto"/>
    </w:pPr>
  </w:style>
  <w:style w:type="paragraph" w:customStyle="1" w:styleId="Default">
    <w:name w:val="Default"/>
    <w:rsid w:val="00333AA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333AA3"/>
    <w:rPr>
      <w:color w:val="605E5C"/>
      <w:shd w:val="clear" w:color="auto" w:fill="E1DFDD"/>
    </w:rPr>
  </w:style>
  <w:style w:type="character" w:styleId="FollowedHyperlink">
    <w:name w:val="FollowedHyperlink"/>
    <w:basedOn w:val="DefaultParagraphFont"/>
    <w:uiPriority w:val="99"/>
    <w:semiHidden/>
    <w:unhideWhenUsed/>
    <w:rsid w:val="00333AA3"/>
    <w:rPr>
      <w:color w:val="954F72"/>
      <w:u w:val="single"/>
    </w:rPr>
  </w:style>
  <w:style w:type="paragraph" w:customStyle="1" w:styleId="xl65">
    <w:name w:val="xl65"/>
    <w:basedOn w:val="Normal"/>
    <w:rsid w:val="00333AA3"/>
    <w:pPr>
      <w:spacing w:before="100" w:beforeAutospacing="1" w:after="100" w:afterAutospacing="1" w:line="240" w:lineRule="auto"/>
    </w:pPr>
    <w:rPr>
      <w:rFonts w:eastAsia="Times New Roman" w:cs="Times New Roman"/>
      <w:b/>
      <w:bCs/>
      <w:szCs w:val="24"/>
    </w:rPr>
  </w:style>
  <w:style w:type="paragraph" w:customStyle="1" w:styleId="xl66">
    <w:name w:val="xl66"/>
    <w:basedOn w:val="Normal"/>
    <w:rsid w:val="00333AA3"/>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007B70"/>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8A6C2C"/>
    <w:pPr>
      <w:outlineLvl w:val="9"/>
    </w:pPr>
  </w:style>
  <w:style w:type="paragraph" w:styleId="TOC1">
    <w:name w:val="toc 1"/>
    <w:basedOn w:val="Normal"/>
    <w:next w:val="Normal"/>
    <w:autoRedefine/>
    <w:uiPriority w:val="39"/>
    <w:unhideWhenUsed/>
    <w:rsid w:val="008A6C2C"/>
    <w:pPr>
      <w:spacing w:after="100"/>
    </w:pPr>
  </w:style>
  <w:style w:type="character" w:customStyle="1" w:styleId="Heading2Char">
    <w:name w:val="Heading 2 Char"/>
    <w:basedOn w:val="DefaultParagraphFont"/>
    <w:link w:val="Heading2"/>
    <w:uiPriority w:val="9"/>
    <w:rsid w:val="00110D79"/>
    <w:rPr>
      <w:rFonts w:ascii="Times New Roman" w:eastAsiaTheme="majorEastAsia" w:hAnsi="Times New Roman" w:cstheme="majorBidi"/>
      <w:b/>
      <w:sz w:val="24"/>
      <w:szCs w:val="26"/>
    </w:rPr>
  </w:style>
  <w:style w:type="paragraph" w:styleId="TOC2">
    <w:name w:val="toc 2"/>
    <w:basedOn w:val="Normal"/>
    <w:next w:val="Normal"/>
    <w:autoRedefine/>
    <w:uiPriority w:val="39"/>
    <w:unhideWhenUsed/>
    <w:rsid w:val="00110D79"/>
    <w:pPr>
      <w:spacing w:after="100"/>
      <w:ind w:left="220"/>
    </w:pPr>
  </w:style>
  <w:style w:type="character" w:customStyle="1" w:styleId="Heading3Char">
    <w:name w:val="Heading 3 Char"/>
    <w:basedOn w:val="DefaultParagraphFont"/>
    <w:link w:val="Heading3"/>
    <w:uiPriority w:val="9"/>
    <w:rsid w:val="00110D79"/>
    <w:rPr>
      <w:rFonts w:ascii="Times New Roman" w:eastAsiaTheme="majorEastAsia" w:hAnsi="Times New Roman" w:cstheme="majorBidi"/>
      <w:i/>
      <w:sz w:val="24"/>
      <w:szCs w:val="24"/>
    </w:rPr>
  </w:style>
  <w:style w:type="paragraph" w:styleId="TOC3">
    <w:name w:val="toc 3"/>
    <w:basedOn w:val="Normal"/>
    <w:next w:val="Normal"/>
    <w:autoRedefine/>
    <w:uiPriority w:val="39"/>
    <w:unhideWhenUsed/>
    <w:rsid w:val="00015D0D"/>
    <w:pPr>
      <w:spacing w:after="100"/>
      <w:ind w:left="440"/>
    </w:pPr>
  </w:style>
  <w:style w:type="paragraph" w:styleId="TableofFigures">
    <w:name w:val="table of figures"/>
    <w:basedOn w:val="Normal"/>
    <w:next w:val="Normal"/>
    <w:uiPriority w:val="99"/>
    <w:unhideWhenUsed/>
    <w:rsid w:val="00396EC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hyperlink" Target="https://www.itis.gov/taxmatch.html" TargetMode="External"/><Relationship Id="rId26" Type="http://schemas.openxmlformats.org/officeDocument/2006/relationships/image" Target="media/image13.jpg"/><Relationship Id="rId39" Type="http://schemas.openxmlformats.org/officeDocument/2006/relationships/hyperlink" Target="https://www.r-project.org/" TargetMode="External"/><Relationship Id="rId21" Type="http://schemas.openxmlformats.org/officeDocument/2006/relationships/image" Target="media/image8.jpg"/><Relationship Id="rId34" Type="http://schemas.openxmlformats.org/officeDocument/2006/relationships/image" Target="media/image21.jpeg"/><Relationship Id="rId42" Type="http://schemas.openxmlformats.org/officeDocument/2006/relationships/hyperlink" Target="https://websoilsurvey.nrcs.usda.gov/" TargetMode="External"/><Relationship Id="rId47" Type="http://schemas.openxmlformats.org/officeDocument/2006/relationships/image" Target="media/image24.jp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6.jpeg"/><Relationship Id="rId11" Type="http://schemas.openxmlformats.org/officeDocument/2006/relationships/image" Target="media/image1.tiff"/><Relationship Id="rId24" Type="http://schemas.openxmlformats.org/officeDocument/2006/relationships/image" Target="media/image11.tiff"/><Relationship Id="rId32" Type="http://schemas.openxmlformats.org/officeDocument/2006/relationships/image" Target="media/image19.jpg"/><Relationship Id="rId37" Type="http://schemas.openxmlformats.org/officeDocument/2006/relationships/hyperlink" Target="https://prism.oregonstate.edu/normals/" TargetMode="External"/><Relationship Id="rId40" Type="http://schemas.openxmlformats.org/officeDocument/2006/relationships/hyperlink" Target="https://www.usgs.gov/core-science-systems/ngp/national-hydrography/nhdplus-high-resolution" TargetMode="External"/><Relationship Id="rId45"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hyperlink" Target="https://www.neonscience.org/" TargetMode="External"/><Relationship Id="rId49" Type="http://schemas.openxmlformats.org/officeDocument/2006/relationships/image" Target="media/image26.jpg"/><Relationship Id="rId10" Type="http://schemas.openxmlformats.org/officeDocument/2006/relationships/hyperlink" Target="https://github.com/dkopp3/StreamNetworkTools_git" TargetMode="External"/><Relationship Id="rId19" Type="http://schemas.openxmlformats.org/officeDocument/2006/relationships/footer" Target="footer3.xml"/><Relationship Id="rId31" Type="http://schemas.openxmlformats.org/officeDocument/2006/relationships/image" Target="media/image18.jpg"/><Relationship Id="rId44" Type="http://schemas.openxmlformats.org/officeDocument/2006/relationships/hyperlink" Target="https://www.usgs.gov/core-science-systems/ngp/national-hydrography/nhdplus-high-resolutio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tiff"/><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yperlink" Target="https://www.worldclim.org/" TargetMode="External"/><Relationship Id="rId43" Type="http://schemas.openxmlformats.org/officeDocument/2006/relationships/hyperlink" Target="http://globalchange.bnu.edu.cn/" TargetMode="External"/><Relationship Id="rId48" Type="http://schemas.openxmlformats.org/officeDocument/2006/relationships/image" Target="media/image25.png"/><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hyperlink" Target="https://doi.org/10.1111/ecog.05298" TargetMode="External"/><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hyperlink" Target="https://websoilsurvey.nrcs.usda.gov/" TargetMode="External"/><Relationship Id="rId46" Type="http://schemas.openxmlformats.org/officeDocument/2006/relationships/image" Target="media/image23.jpg"/><Relationship Id="rId20" Type="http://schemas.openxmlformats.org/officeDocument/2006/relationships/image" Target="media/image7.jpg"/><Relationship Id="rId41" Type="http://schemas.openxmlformats.org/officeDocument/2006/relationships/hyperlink" Target="https://prism.oregonstate.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7196E-8E75-41FC-8A33-EF0D82E0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18682</TotalTime>
  <Pages>228</Pages>
  <Words>246800</Words>
  <Characters>1406763</Characters>
  <Application>Microsoft Office Word</Application>
  <DocSecurity>0</DocSecurity>
  <Lines>11723</Lines>
  <Paragraphs>3300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Kopp, Darin A.</dc:creator>
  <cp:keywords/>
  <dc:description/>
  <cp:lastModifiedBy>Mary Welsh</cp:lastModifiedBy>
  <cp:revision>5</cp:revision>
  <cp:lastPrinted>2021-03-23T22:43:00Z</cp:lastPrinted>
  <dcterms:created xsi:type="dcterms:W3CDTF">2020-12-30T16:03:00Z</dcterms:created>
  <dcterms:modified xsi:type="dcterms:W3CDTF">2021-04-21T01:44:00Z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http://www.zotero.org/styles/ecography</vt:lpwstr>
  </property>
  <property fmtid="{D5CDD505-2E9C-101B-9397-08002B2CF9AE}" pid="7" name="Mendeley Recent Style Name 2_1">
    <vt:lpwstr>Ecography</vt:lpwstr>
  </property>
  <property fmtid="{D5CDD505-2E9C-101B-9397-08002B2CF9AE}" pid="8" name="Mendeley Recent Style Id 3_1">
    <vt:lpwstr>http://www.zotero.org/styles/ecosystems</vt:lpwstr>
  </property>
  <property fmtid="{D5CDD505-2E9C-101B-9397-08002B2CF9AE}" pid="9" name="Mendeley Recent Style Name 3_1">
    <vt:lpwstr>Ecosystems</vt:lpwstr>
  </property>
  <property fmtid="{D5CDD505-2E9C-101B-9397-08002B2CF9AE}" pid="10" name="Mendeley Recent Style Id 4_1">
    <vt:lpwstr>http://www.zotero.org/styles/freshwater-science</vt:lpwstr>
  </property>
  <property fmtid="{D5CDD505-2E9C-101B-9397-08002B2CF9AE}" pid="11" name="Mendeley Recent Style Name 4_1">
    <vt:lpwstr>Freshwater Science</vt:lpwstr>
  </property>
  <property fmtid="{D5CDD505-2E9C-101B-9397-08002B2CF9AE}" pid="12" name="Mendeley Recent Style Id 5_1">
    <vt:lpwstr>http://www.zotero.org/styles/frontiers-in-ecology-and-the-environment</vt:lpwstr>
  </property>
  <property fmtid="{D5CDD505-2E9C-101B-9397-08002B2CF9AE}" pid="13" name="Mendeley Recent Style Name 5_1">
    <vt:lpwstr>Frontiers in Ecology and the Environment</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http://www.zotero.org/styles/landscape-ecology</vt:lpwstr>
  </property>
  <property fmtid="{D5CDD505-2E9C-101B-9397-08002B2CF9AE}" pid="17" name="Mendeley Recent Style Name 7_1">
    <vt:lpwstr>Landscape Ecology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a31e2299-38df-3c93-a932-792fb6ea74ad</vt:lpwstr>
  </property>
  <property fmtid="{D5CDD505-2E9C-101B-9397-08002B2CF9AE}" pid="24" name="Mendeley Citation Style_1">
    <vt:lpwstr>http://www.zotero.org/styles/freshwater-science</vt:lpwstr>
  </property>
</Properties>
</file>